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heme="minorBidi" w:hAnsiTheme="minorBidi"/>
          <w:sz w:val="22"/>
        </w:rPr>
      </w:pPr>
      <w:r>
        <w:rPr>
          <w:rFonts w:asciiTheme="minorBidi" w:hAnsiTheme="minorBidi"/>
          <w:sz w:val="22"/>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spacing w:line="360" w:lineRule="auto"/>
        <w:rPr>
          <w:rFonts w:asciiTheme="minorBidi" w:hAnsiTheme="minorBidi"/>
          <w:sz w:val="22"/>
        </w:rPr>
      </w:pPr>
    </w:p>
    <w:p>
      <w:pPr>
        <w:spacing w:line="360" w:lineRule="auto"/>
        <w:rPr>
          <w:rFonts w:asciiTheme="minorBidi" w:hAnsiTheme="minorBidi"/>
          <w:sz w:val="22"/>
        </w:rPr>
      </w:pPr>
    </w:p>
    <w:p>
      <w:pPr>
        <w:spacing w:line="360" w:lineRule="auto"/>
        <w:rPr>
          <w:rFonts w:asciiTheme="minorBidi" w:hAnsiTheme="minorBidi"/>
          <w:sz w:val="22"/>
        </w:rPr>
      </w:pPr>
    </w:p>
    <w:p>
      <w:pPr>
        <w:tabs>
          <w:tab w:val="left" w:pos="6540"/>
        </w:tabs>
        <w:spacing w:line="360" w:lineRule="auto"/>
        <w:rPr>
          <w:rFonts w:asciiTheme="minorBidi" w:hAnsiTheme="minorBidi"/>
          <w:sz w:val="22"/>
        </w:rPr>
      </w:pPr>
    </w:p>
    <w:p>
      <w:pPr>
        <w:tabs>
          <w:tab w:val="left" w:pos="6540"/>
        </w:tabs>
        <w:spacing w:line="360" w:lineRule="auto"/>
        <w:rPr>
          <w:rFonts w:hint="default" w:ascii="Arial" w:hAnsi="Arial" w:cs="Arial"/>
          <w:b/>
          <w:bCs/>
          <w:sz w:val="28"/>
          <w:szCs w:val="28"/>
          <w:lang w:val="nl-NL"/>
        </w:rPr>
      </w:pPr>
      <w:r>
        <w:rPr>
          <w:rFonts w:hint="default" w:ascii="Arial" w:hAnsi="Arial" w:cs="Arial"/>
          <w:b/>
          <w:bCs/>
          <w:sz w:val="28"/>
          <w:szCs w:val="28"/>
          <w:lang w:val="nl-NL"/>
        </w:rPr>
        <w:t xml:space="preserve">Module name: </w:t>
      </w:r>
      <w:r>
        <w:rPr>
          <w:rFonts w:hint="default" w:ascii="Arial" w:hAnsi="Arial" w:cs="Arial"/>
          <w:b/>
          <w:bCs/>
          <w:sz w:val="28"/>
          <w:szCs w:val="28"/>
          <w:lang w:val="en-US"/>
        </w:rPr>
        <w:t xml:space="preserve">   </w:t>
      </w:r>
      <w:r>
        <w:rPr>
          <w:rFonts w:hint="default" w:ascii="Arial" w:hAnsi="Arial" w:cs="Arial"/>
          <w:b/>
          <w:bCs/>
          <w:sz w:val="28"/>
          <w:szCs w:val="28"/>
        </w:rPr>
        <w:t>Introduction to Health and Social Care</w:t>
      </w:r>
    </w:p>
    <w:p>
      <w:pPr>
        <w:tabs>
          <w:tab w:val="left" w:pos="6540"/>
        </w:tabs>
        <w:spacing w:line="360" w:lineRule="auto"/>
        <w:rPr>
          <w:rFonts w:hint="default" w:ascii="Arial" w:hAnsi="Arial" w:cs="Arial"/>
          <w:sz w:val="28"/>
          <w:szCs w:val="28"/>
          <w:lang w:val="en-US"/>
        </w:rPr>
      </w:pPr>
      <w:r>
        <w:rPr>
          <w:rFonts w:hint="default" w:ascii="Arial" w:hAnsi="Arial" w:cs="Arial"/>
          <w:b/>
          <w:bCs/>
          <w:sz w:val="28"/>
          <w:szCs w:val="28"/>
        </w:rPr>
        <w:t>Module code</w:t>
      </w:r>
      <w:r>
        <w:rPr>
          <w:rFonts w:hint="default" w:ascii="Arial" w:hAnsi="Arial" w:cs="Arial"/>
          <w:sz w:val="28"/>
          <w:szCs w:val="28"/>
        </w:rPr>
        <w:t>:</w:t>
      </w:r>
      <w:r>
        <w:rPr>
          <w:rFonts w:hint="default" w:ascii="Arial" w:hAnsi="Arial" w:cs="Arial"/>
          <w:sz w:val="28"/>
          <w:szCs w:val="28"/>
          <w:lang w:val="en-US"/>
        </w:rPr>
        <w:t xml:space="preserve">     </w:t>
      </w:r>
      <w:r>
        <w:rPr>
          <w:rStyle w:val="9"/>
          <w:rFonts w:hint="default" w:ascii="Arial" w:hAnsi="Arial" w:eastAsia="Segoe UI" w:cs="Arial"/>
          <w:b/>
          <w:bCs/>
          <w:i w:val="0"/>
          <w:iCs w:val="0"/>
          <w:caps w:val="0"/>
          <w:color w:val="1D2125"/>
          <w:spacing w:val="0"/>
          <w:sz w:val="28"/>
          <w:szCs w:val="28"/>
          <w:shd w:val="clear" w:fill="FFFFFF"/>
        </w:rPr>
        <w:t>LCHS4003</w:t>
      </w:r>
    </w:p>
    <w:p>
      <w:pPr>
        <w:tabs>
          <w:tab w:val="left" w:pos="6540"/>
        </w:tabs>
        <w:spacing w:line="360" w:lineRule="auto"/>
        <w:rPr>
          <w:rFonts w:hint="default" w:ascii="Arial" w:hAnsi="Arial" w:cs="Arial"/>
          <w:b/>
          <w:bCs/>
          <w:sz w:val="28"/>
          <w:szCs w:val="28"/>
          <w:lang w:val="nl-NL"/>
        </w:rPr>
      </w:pPr>
    </w:p>
    <w:p>
      <w:pPr>
        <w:tabs>
          <w:tab w:val="left" w:pos="6540"/>
        </w:tabs>
        <w:spacing w:line="360" w:lineRule="auto"/>
        <w:rPr>
          <w:rFonts w:hint="default" w:ascii="Arial" w:hAnsi="Arial" w:cs="Arial"/>
          <w:sz w:val="28"/>
          <w:szCs w:val="28"/>
          <w:lang w:val="nl-NL"/>
        </w:rPr>
      </w:pPr>
      <w:r>
        <w:rPr>
          <w:rFonts w:hint="default" w:ascii="Arial" w:hAnsi="Arial" w:cs="Arial"/>
          <w:b/>
          <w:bCs/>
          <w:sz w:val="28"/>
          <w:szCs w:val="28"/>
          <w:lang w:val="nl-NL"/>
        </w:rPr>
        <w:t>Student name</w:t>
      </w:r>
      <w:r>
        <w:rPr>
          <w:rFonts w:hint="default" w:ascii="Arial" w:hAnsi="Arial" w:cs="Arial"/>
          <w:sz w:val="28"/>
          <w:szCs w:val="28"/>
          <w:lang w:val="nl-NL"/>
        </w:rPr>
        <w:t>:</w:t>
      </w:r>
      <w:r>
        <w:rPr>
          <w:rFonts w:hint="default" w:ascii="Arial" w:hAnsi="Arial" w:cs="Arial"/>
          <w:sz w:val="28"/>
          <w:szCs w:val="28"/>
          <w:lang w:val="en-US"/>
        </w:rPr>
        <w:t xml:space="preserve">   </w:t>
      </w:r>
      <w:r>
        <w:rPr>
          <w:rFonts w:hint="default" w:ascii="Arial" w:hAnsi="Arial" w:cs="Arial"/>
          <w:b/>
          <w:bCs/>
          <w:sz w:val="28"/>
          <w:szCs w:val="28"/>
          <w:lang w:val="en-US"/>
        </w:rPr>
        <w:t>Wasiu Olagbemiga Yusuph</w:t>
      </w:r>
    </w:p>
    <w:p>
      <w:pPr>
        <w:tabs>
          <w:tab w:val="left" w:pos="6540"/>
        </w:tabs>
        <w:spacing w:line="360" w:lineRule="auto"/>
        <w:rPr>
          <w:rFonts w:hint="default" w:ascii="Arial" w:hAnsi="Arial" w:cs="Arial"/>
          <w:sz w:val="28"/>
          <w:szCs w:val="28"/>
          <w:lang w:val="en-US"/>
        </w:rPr>
      </w:pPr>
      <w:r>
        <w:rPr>
          <w:rFonts w:hint="default" w:ascii="Arial" w:hAnsi="Arial" w:cs="Arial"/>
          <w:b/>
          <w:bCs/>
          <w:sz w:val="28"/>
          <w:szCs w:val="28"/>
          <w:lang w:val="nl-NL"/>
        </w:rPr>
        <w:t>Student ID</w:t>
      </w:r>
      <w:r>
        <w:rPr>
          <w:rFonts w:hint="default" w:ascii="Arial" w:hAnsi="Arial" w:cs="Arial"/>
          <w:sz w:val="28"/>
          <w:szCs w:val="28"/>
          <w:lang w:val="nl-NL"/>
        </w:rPr>
        <w:t>:</w:t>
      </w:r>
      <w:r>
        <w:rPr>
          <w:rFonts w:hint="default" w:ascii="Arial" w:hAnsi="Arial" w:cs="Arial"/>
          <w:sz w:val="28"/>
          <w:szCs w:val="28"/>
          <w:lang w:val="en-US"/>
        </w:rPr>
        <w:t xml:space="preserve">         </w:t>
      </w:r>
      <w:r>
        <w:rPr>
          <w:rFonts w:hint="default" w:ascii="Arial" w:hAnsi="Arial" w:cs="Arial"/>
          <w:b/>
          <w:bCs/>
          <w:sz w:val="28"/>
          <w:szCs w:val="28"/>
          <w:lang w:val="en-US"/>
        </w:rPr>
        <w:t>2509130</w:t>
      </w:r>
    </w:p>
    <w:p>
      <w:pPr>
        <w:tabs>
          <w:tab w:val="left" w:pos="6540"/>
        </w:tabs>
        <w:spacing w:line="360" w:lineRule="auto"/>
        <w:rPr>
          <w:rFonts w:hint="default" w:ascii="Arial" w:hAnsi="Arial" w:cs="Arial"/>
          <w:sz w:val="28"/>
          <w:szCs w:val="28"/>
          <w:lang w:val="nl-NL"/>
        </w:rPr>
      </w:pPr>
    </w:p>
    <w:p>
      <w:pPr>
        <w:tabs>
          <w:tab w:val="left" w:pos="6540"/>
        </w:tabs>
        <w:spacing w:line="360" w:lineRule="auto"/>
        <w:rPr>
          <w:rFonts w:hint="default" w:ascii="Arial" w:hAnsi="Arial" w:cs="Arial"/>
          <w:b/>
          <w:bCs/>
          <w:sz w:val="28"/>
          <w:szCs w:val="28"/>
          <w:lang w:val="en-US"/>
        </w:rPr>
      </w:pPr>
      <w:r>
        <w:rPr>
          <w:rFonts w:hint="default" w:ascii="Arial" w:hAnsi="Arial" w:cs="Arial"/>
          <w:b/>
          <w:bCs/>
          <w:sz w:val="28"/>
          <w:szCs w:val="28"/>
        </w:rPr>
        <w:t>Lectur</w:t>
      </w:r>
      <w:r>
        <w:rPr>
          <w:rFonts w:hint="default" w:ascii="Arial" w:hAnsi="Arial" w:cs="Arial"/>
          <w:b/>
          <w:bCs/>
          <w:sz w:val="28"/>
          <w:szCs w:val="28"/>
        </w:rPr>
        <w:t>er’s name:</w:t>
      </w:r>
      <w:r>
        <w:rPr>
          <w:rFonts w:hint="default" w:ascii="Arial" w:hAnsi="Arial" w:cs="Arial"/>
          <w:b/>
          <w:bCs/>
          <w:sz w:val="28"/>
          <w:szCs w:val="28"/>
          <w:lang w:val="en-US"/>
        </w:rPr>
        <w:t xml:space="preserve"> Eleni Koutsogeorgou-Andreou</w:t>
      </w:r>
    </w:p>
    <w:p>
      <w:pPr>
        <w:tabs>
          <w:tab w:val="left" w:pos="6540"/>
        </w:tabs>
        <w:spacing w:line="360" w:lineRule="auto"/>
        <w:rPr>
          <w:rFonts w:asciiTheme="minorBidi" w:hAnsiTheme="minorBidi"/>
          <w:sz w:val="22"/>
        </w:rPr>
      </w:pPr>
    </w:p>
    <w:p>
      <w:pPr>
        <w:tabs>
          <w:tab w:val="left" w:pos="6540"/>
        </w:tabs>
        <w:spacing w:line="360" w:lineRule="auto"/>
        <w:rPr>
          <w:rFonts w:asciiTheme="minorBidi" w:hAnsiTheme="minorBidi"/>
          <w:sz w:val="22"/>
        </w:rPr>
      </w:pPr>
      <w:bookmarkStart w:id="0" w:name="_GoBack"/>
      <w:bookmarkEnd w:id="0"/>
    </w:p>
    <w:p>
      <w:pPr>
        <w:tabs>
          <w:tab w:val="left" w:pos="6540"/>
        </w:tabs>
        <w:spacing w:line="360" w:lineRule="auto"/>
        <w:rPr>
          <w:rFonts w:asciiTheme="minorBidi" w:hAnsiTheme="minorBidi"/>
          <w:sz w:val="22"/>
        </w:rPr>
      </w:pPr>
    </w:p>
    <w:p>
      <w:pPr>
        <w:tabs>
          <w:tab w:val="left" w:pos="6540"/>
        </w:tabs>
        <w:spacing w:line="360" w:lineRule="auto"/>
        <w:rPr>
          <w:rFonts w:asciiTheme="minorBidi" w:hAnsiTheme="minorBidi"/>
          <w:sz w:val="22"/>
        </w:rPr>
      </w:pPr>
    </w:p>
    <w:p>
      <w:pPr>
        <w:spacing w:line="360" w:lineRule="auto"/>
        <w:rPr>
          <w:rFonts w:asciiTheme="minorBidi" w:hAnsiTheme="minorBidi"/>
          <w:sz w:val="22"/>
        </w:rPr>
      </w:pPr>
      <w:r>
        <w:rPr>
          <w:rFonts w:asciiTheme="minorBidi" w:hAnsiTheme="minorBidi"/>
          <w:sz w:val="22"/>
        </w:rPr>
        <w:br w:type="page"/>
      </w:r>
    </w:p>
    <w:p>
      <w:pPr>
        <w:pStyle w:val="2"/>
      </w:pPr>
      <w:r>
        <w:t>Table of contents</w:t>
      </w:r>
    </w:p>
    <w:p>
      <w:pPr>
        <w:spacing w:line="360" w:lineRule="auto"/>
        <w:rPr>
          <w:rFonts w:hint="default" w:asciiTheme="minorBidi" w:hAnsiTheme="minorBidi"/>
          <w:sz w:val="24"/>
          <w:szCs w:val="24"/>
        </w:rPr>
      </w:pPr>
      <w:r>
        <w:rPr>
          <w:rFonts w:hint="default" w:asciiTheme="minorBidi" w:hAnsiTheme="minorBidi"/>
          <w:sz w:val="24"/>
          <w:szCs w:val="24"/>
        </w:rPr>
        <w:t xml:space="preserve">1. </w:t>
      </w:r>
      <w:r>
        <w:rPr>
          <w:rFonts w:hint="default" w:asciiTheme="minorBidi" w:hAnsiTheme="minorBidi"/>
          <w:sz w:val="24"/>
          <w:szCs w:val="24"/>
          <w:lang w:val="en-US"/>
        </w:rPr>
        <w:tab/>
      </w:r>
      <w:r>
        <w:rPr>
          <w:rFonts w:hint="default" w:asciiTheme="minorBidi" w:hAnsiTheme="minorBidi"/>
          <w:sz w:val="24"/>
          <w:szCs w:val="24"/>
        </w:rPr>
        <w:t>Introduction</w:t>
      </w:r>
    </w:p>
    <w:p>
      <w:pPr>
        <w:spacing w:line="360" w:lineRule="auto"/>
        <w:rPr>
          <w:rFonts w:hint="default" w:asciiTheme="minorBidi" w:hAnsiTheme="minorBidi"/>
          <w:sz w:val="24"/>
          <w:szCs w:val="24"/>
        </w:rPr>
      </w:pPr>
      <w:r>
        <w:rPr>
          <w:rFonts w:hint="default" w:asciiTheme="minorBidi" w:hAnsiTheme="minorBidi"/>
          <w:sz w:val="24"/>
          <w:szCs w:val="24"/>
        </w:rPr>
        <w:t xml:space="preserve">2. </w:t>
      </w:r>
      <w:r>
        <w:rPr>
          <w:rFonts w:hint="default" w:asciiTheme="minorBidi" w:hAnsiTheme="minorBidi"/>
          <w:sz w:val="24"/>
          <w:szCs w:val="24"/>
          <w:lang w:val="en-US"/>
        </w:rPr>
        <w:tab/>
      </w:r>
      <w:r>
        <w:rPr>
          <w:rFonts w:hint="default" w:asciiTheme="minorBidi" w:hAnsiTheme="minorBidi"/>
          <w:sz w:val="24"/>
          <w:szCs w:val="24"/>
        </w:rPr>
        <w:t>Importance of Effective Communication</w:t>
      </w:r>
    </w:p>
    <w:p>
      <w:pPr>
        <w:spacing w:line="360" w:lineRule="auto"/>
        <w:rPr>
          <w:rFonts w:hint="default" w:asciiTheme="minorBidi" w:hAnsiTheme="minorBidi"/>
          <w:sz w:val="24"/>
          <w:szCs w:val="24"/>
        </w:rPr>
      </w:pPr>
      <w:r>
        <w:rPr>
          <w:rFonts w:hint="default" w:asciiTheme="minorBidi" w:hAnsiTheme="minorBidi"/>
          <w:sz w:val="24"/>
          <w:szCs w:val="24"/>
        </w:rPr>
        <w:t xml:space="preserve">3. </w:t>
      </w:r>
      <w:r>
        <w:rPr>
          <w:rFonts w:hint="default" w:asciiTheme="minorBidi" w:hAnsiTheme="minorBidi"/>
          <w:sz w:val="24"/>
          <w:szCs w:val="24"/>
          <w:lang w:val="en-US"/>
        </w:rPr>
        <w:tab/>
      </w:r>
      <w:r>
        <w:rPr>
          <w:rFonts w:hint="default" w:asciiTheme="minorBidi" w:hAnsiTheme="minorBidi"/>
          <w:sz w:val="24"/>
          <w:szCs w:val="24"/>
        </w:rPr>
        <w:t>Importance of Good Administrative Skills</w:t>
      </w:r>
    </w:p>
    <w:p>
      <w:pPr>
        <w:spacing w:line="360" w:lineRule="auto"/>
        <w:rPr>
          <w:rFonts w:hint="default" w:asciiTheme="minorBidi" w:hAnsiTheme="minorBidi"/>
          <w:sz w:val="24"/>
          <w:szCs w:val="24"/>
        </w:rPr>
      </w:pPr>
      <w:r>
        <w:rPr>
          <w:rFonts w:hint="default" w:asciiTheme="minorBidi" w:hAnsiTheme="minorBidi"/>
          <w:sz w:val="24"/>
          <w:szCs w:val="24"/>
        </w:rPr>
        <w:t xml:space="preserve">4. </w:t>
      </w:r>
      <w:r>
        <w:rPr>
          <w:rFonts w:hint="default" w:asciiTheme="minorBidi" w:hAnsiTheme="minorBidi"/>
          <w:sz w:val="24"/>
          <w:szCs w:val="24"/>
          <w:lang w:val="en-US"/>
        </w:rPr>
        <w:tab/>
      </w:r>
      <w:r>
        <w:rPr>
          <w:rFonts w:hint="default" w:asciiTheme="minorBidi" w:hAnsiTheme="minorBidi"/>
          <w:sz w:val="24"/>
          <w:szCs w:val="24"/>
        </w:rPr>
        <w:t>Importance of Working Collaboratively</w:t>
      </w:r>
    </w:p>
    <w:p>
      <w:pPr>
        <w:spacing w:line="360" w:lineRule="auto"/>
        <w:rPr>
          <w:rFonts w:hint="default" w:asciiTheme="minorBidi" w:hAnsiTheme="minorBidi"/>
          <w:sz w:val="24"/>
          <w:szCs w:val="24"/>
        </w:rPr>
      </w:pPr>
      <w:r>
        <w:rPr>
          <w:rFonts w:hint="default" w:asciiTheme="minorBidi" w:hAnsiTheme="minorBidi"/>
          <w:sz w:val="24"/>
          <w:szCs w:val="24"/>
        </w:rPr>
        <w:t xml:space="preserve">5. </w:t>
      </w:r>
      <w:r>
        <w:rPr>
          <w:rFonts w:hint="default" w:asciiTheme="minorBidi" w:hAnsiTheme="minorBidi"/>
          <w:sz w:val="24"/>
          <w:szCs w:val="24"/>
          <w:lang w:val="en-US"/>
        </w:rPr>
        <w:tab/>
      </w:r>
      <w:r>
        <w:rPr>
          <w:rFonts w:hint="default" w:asciiTheme="minorBidi" w:hAnsiTheme="minorBidi"/>
          <w:sz w:val="24"/>
          <w:szCs w:val="24"/>
        </w:rPr>
        <w:t>Conclusion</w:t>
      </w:r>
    </w:p>
    <w:p>
      <w:pPr>
        <w:spacing w:line="360" w:lineRule="auto"/>
        <w:rPr>
          <w:rFonts w:hint="default" w:asciiTheme="minorBidi" w:hAnsiTheme="minorBidi"/>
          <w:sz w:val="24"/>
          <w:szCs w:val="24"/>
        </w:rPr>
      </w:pPr>
      <w:r>
        <w:rPr>
          <w:rFonts w:hint="default" w:asciiTheme="minorBidi" w:hAnsiTheme="minorBidi"/>
          <w:sz w:val="24"/>
          <w:szCs w:val="24"/>
        </w:rPr>
        <w:t xml:space="preserve">6. </w:t>
      </w:r>
      <w:r>
        <w:rPr>
          <w:rFonts w:hint="default" w:asciiTheme="minorBidi" w:hAnsiTheme="minorBidi"/>
          <w:sz w:val="24"/>
          <w:szCs w:val="24"/>
          <w:lang w:val="en-US"/>
        </w:rPr>
        <w:tab/>
      </w:r>
      <w:r>
        <w:rPr>
          <w:rFonts w:hint="default" w:asciiTheme="minorBidi" w:hAnsiTheme="minorBidi"/>
          <w:sz w:val="24"/>
          <w:szCs w:val="24"/>
        </w:rPr>
        <w:t>References</w:t>
      </w:r>
    </w:p>
    <w:p>
      <w:pPr>
        <w:spacing w:line="360" w:lineRule="auto"/>
        <w:rPr>
          <w:rFonts w:hint="default" w:asciiTheme="minorBidi" w:hAnsiTheme="minorBidi"/>
          <w:sz w:val="22"/>
        </w:rPr>
      </w:pPr>
    </w:p>
    <w:p>
      <w:pPr>
        <w:rPr>
          <w:rFonts w:hint="default" w:asciiTheme="minorBidi" w:hAnsiTheme="minorBidi"/>
          <w:sz w:val="22"/>
        </w:rPr>
      </w:pPr>
      <w:r>
        <w:rPr>
          <w:rFonts w:hint="default" w:asciiTheme="minorBidi" w:hAnsiTheme="minorBidi"/>
          <w:sz w:val="22"/>
        </w:rPr>
        <w:br w:type="page"/>
      </w:r>
    </w:p>
    <w:p>
      <w:pPr>
        <w:pStyle w:val="2"/>
      </w:pPr>
      <w:r>
        <w:t>1. Introduction</w:t>
      </w:r>
    </w:p>
    <w:p>
      <w:pPr>
        <w:spacing w:line="360" w:lineRule="auto"/>
        <w:jc w:val="both"/>
        <w:rPr>
          <w:rFonts w:hint="default" w:asciiTheme="minorBidi" w:hAnsiTheme="minorBidi"/>
          <w:sz w:val="24"/>
          <w:szCs w:val="24"/>
        </w:rPr>
      </w:pPr>
      <w:r>
        <w:rPr>
          <w:rFonts w:hint="default" w:asciiTheme="minorBidi" w:hAnsiTheme="minorBidi"/>
          <w:sz w:val="24"/>
          <w:szCs w:val="24"/>
        </w:rPr>
        <w:t>This report provides an introductory overview of three core competencies essential to the functioning of health and social care systems: effective communication, good administrative skills, and collaborative working. Health and social care is a broad sector encompassing services provided by hospitals, general practitioners (GPs), residential care homes, community nursing, mental health teams, and social work agencies (NHS England, 2019). The quality and safety of care depend not only on clinical knowledge but also on the seamless integration of interpersonal, organisational, and team-based skills. This assignment defines and analyses each of these three pillars, explaining their significance in promoting person-centred care, reducing errors, and improving service user outcomes. Where relevant, reference is made to established frameworks and regulatory standards in the UK, including those from the Health and Care Professions Council (HCPC) and the Care Quality Commission (CQC).</w:t>
      </w:r>
    </w:p>
    <w:p>
      <w:pPr>
        <w:pStyle w:val="2"/>
      </w:pPr>
    </w:p>
    <w:p>
      <w:pPr>
        <w:pStyle w:val="2"/>
      </w:pPr>
      <w:r>
        <w:t>2. Importance of effective communication</w:t>
      </w:r>
    </w:p>
    <w:p>
      <w:pPr>
        <w:spacing w:line="360" w:lineRule="auto"/>
        <w:jc w:val="both"/>
        <w:rPr>
          <w:rFonts w:hint="default" w:asciiTheme="minorBidi" w:hAnsiTheme="minorBidi"/>
          <w:sz w:val="24"/>
          <w:szCs w:val="24"/>
        </w:rPr>
      </w:pPr>
      <w:r>
        <w:rPr>
          <w:rFonts w:hint="default" w:asciiTheme="minorBidi" w:hAnsiTheme="minorBidi"/>
          <w:sz w:val="24"/>
          <w:szCs w:val="24"/>
        </w:rPr>
        <w:t>Effective communication is the foundation of safe, compassionate, and efficient health and social care. It involves the clear, accurate, and timely exchange of information between service users, families, and multidisciplinary team members. Communication can be verbal (e.g., handovers, patient interviews), non-verbal (e.g., body language, eye contact), written (e.g., care records, emails), or technological (e.g., telehealth platforms).</w:t>
      </w:r>
      <w:r>
        <w:rPr>
          <w:rFonts w:hint="default" w:asciiTheme="minorBidi" w:hAnsiTheme="minorBidi"/>
          <w:sz w:val="24"/>
          <w:szCs w:val="24"/>
          <w:lang w:val="en-US"/>
        </w:rPr>
        <w:t xml:space="preserve"> These are some k</w:t>
      </w:r>
      <w:r>
        <w:rPr>
          <w:rFonts w:hint="default" w:asciiTheme="minorBidi" w:hAnsiTheme="minorBidi"/>
          <w:sz w:val="24"/>
          <w:szCs w:val="24"/>
        </w:rPr>
        <w:t xml:space="preserve">ey reasons for </w:t>
      </w:r>
      <w:r>
        <w:rPr>
          <w:rFonts w:hint="default" w:asciiTheme="minorBidi" w:hAnsiTheme="minorBidi"/>
          <w:sz w:val="24"/>
          <w:szCs w:val="24"/>
          <w:lang w:val="en-US"/>
        </w:rPr>
        <w:t>the</w:t>
      </w:r>
      <w:r>
        <w:rPr>
          <w:rFonts w:hint="default" w:asciiTheme="minorBidi" w:hAnsiTheme="minorBidi"/>
          <w:sz w:val="24"/>
          <w:szCs w:val="24"/>
        </w:rPr>
        <w:t xml:space="preserve"> importance</w:t>
      </w:r>
      <w:r>
        <w:rPr>
          <w:rFonts w:hint="default" w:asciiTheme="minorBidi" w:hAnsiTheme="minorBidi"/>
          <w:sz w:val="24"/>
          <w:szCs w:val="24"/>
          <w:lang w:val="en-US"/>
        </w:rPr>
        <w:t xml:space="preserve"> of effective communication</w:t>
      </w:r>
      <w:r>
        <w:rPr>
          <w:rFonts w:hint="default" w:asciiTheme="minorBidi" w:hAnsiTheme="minorBidi"/>
          <w:sz w:val="24"/>
          <w:szCs w:val="24"/>
        </w:rPr>
        <w:t>:</w:t>
      </w:r>
    </w:p>
    <w:p>
      <w:pPr>
        <w:numPr>
          <w:ilvl w:val="0"/>
          <w:numId w:val="1"/>
        </w:num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 </w:t>
      </w:r>
      <w:r>
        <w:rPr>
          <w:rFonts w:hint="default" w:asciiTheme="minorBidi" w:hAnsiTheme="minorBidi"/>
          <w:sz w:val="24"/>
          <w:szCs w:val="24"/>
        </w:rPr>
        <w:t>Patient safety:</w:t>
      </w:r>
      <w:r>
        <w:rPr>
          <w:rFonts w:hint="default" w:asciiTheme="minorBidi" w:hAnsiTheme="minorBidi"/>
          <w:sz w:val="24"/>
          <w:szCs w:val="24"/>
          <w:lang w:val="en-US"/>
        </w:rPr>
        <w:t xml:space="preserve"> </w:t>
      </w:r>
      <w:r>
        <w:rPr>
          <w:rFonts w:hint="default" w:asciiTheme="minorBidi" w:hAnsiTheme="minorBidi"/>
          <w:sz w:val="24"/>
          <w:szCs w:val="24"/>
        </w:rPr>
        <w:t>The World Health Organization (WHO, 2017) identifies communication failures as a leading cause of adverse events, including medication errors and delayed diagnoses. For example, unclear handover between ambulance crews and A&amp;E staff can lead to missing critical patient history.</w:t>
      </w:r>
    </w:p>
    <w:p>
      <w:pPr>
        <w:numPr>
          <w:ilvl w:val="0"/>
          <w:numId w:val="1"/>
        </w:numPr>
        <w:spacing w:line="360" w:lineRule="auto"/>
        <w:ind w:left="0" w:leftChars="0" w:firstLine="0" w:firstLineChars="0"/>
        <w:jc w:val="both"/>
        <w:rPr>
          <w:rFonts w:hint="default" w:asciiTheme="minorBidi" w:hAnsiTheme="minorBidi"/>
          <w:sz w:val="24"/>
          <w:szCs w:val="24"/>
        </w:rPr>
      </w:pPr>
      <w:r>
        <w:rPr>
          <w:rFonts w:hint="default" w:asciiTheme="minorBidi" w:hAnsiTheme="minorBidi"/>
          <w:sz w:val="24"/>
          <w:szCs w:val="24"/>
          <w:lang w:val="en-US"/>
        </w:rPr>
        <w:t xml:space="preserve"> </w:t>
      </w:r>
      <w:r>
        <w:rPr>
          <w:rFonts w:hint="default" w:asciiTheme="minorBidi" w:hAnsiTheme="minorBidi"/>
          <w:sz w:val="24"/>
          <w:szCs w:val="24"/>
        </w:rPr>
        <w:t>Person-centred care:</w:t>
      </w:r>
      <w:r>
        <w:rPr>
          <w:rFonts w:hint="default" w:asciiTheme="minorBidi" w:hAnsiTheme="minorBidi"/>
          <w:sz w:val="24"/>
          <w:szCs w:val="24"/>
          <w:lang w:val="en-US"/>
        </w:rPr>
        <w:t xml:space="preserve"> </w:t>
      </w:r>
      <w:r>
        <w:rPr>
          <w:rFonts w:hint="default" w:asciiTheme="minorBidi" w:hAnsiTheme="minorBidi"/>
          <w:sz w:val="24"/>
          <w:szCs w:val="24"/>
        </w:rPr>
        <w:t>Effective communication enables care workers to understand a service user’s preferences, values, and needs, thereby upholding the principles of the Health and Social Care Act 2012 (Department of Health, 2012). Active listening and empathy build trust, reducing anxiety and increasing cooperation with treatment plans.</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(c)  </w:t>
      </w:r>
      <w:r>
        <w:rPr>
          <w:rFonts w:hint="default" w:asciiTheme="minorBidi" w:hAnsiTheme="minorBidi"/>
          <w:sz w:val="24"/>
          <w:szCs w:val="24"/>
        </w:rPr>
        <w:t>Legal and ethical compliance: The HCPC (2016) Standards of Conduct, Performance and Ethics require registrants to communicate clearly and appropriately with service users and colleagues. Failure to do so may constitute a breach of duty of care.</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(d)  </w:t>
      </w:r>
      <w:r>
        <w:rPr>
          <w:rFonts w:hint="default" w:asciiTheme="minorBidi" w:hAnsiTheme="minorBidi"/>
          <w:sz w:val="24"/>
          <w:szCs w:val="24"/>
        </w:rPr>
        <w:t>Supporting vulnerable groups: Service users with dementia, learning disabilities, or hearing impairments require adapted communication methods (e.g., Makaton, picture boards, interpreters). Without such adjustments, their right to informed consent may be compromised (Mental Capacity Act 2005).</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W</w:t>
      </w:r>
      <w:r>
        <w:rPr>
          <w:rFonts w:hint="default" w:asciiTheme="minorBidi" w:hAnsiTheme="minorBidi"/>
          <w:sz w:val="24"/>
          <w:szCs w:val="24"/>
        </w:rPr>
        <w:t>ithout effective communication, care becomes unsafe, impersonal, and legally vulnerable. Organisations such as the CQC (2020) rate providers on their responsiveness and communication, directly linking communication quality to regulatory outcomes.</w:t>
      </w:r>
    </w:p>
    <w:p>
      <w:pPr>
        <w:tabs>
          <w:tab w:val="left" w:pos="6540"/>
        </w:tabs>
        <w:spacing w:line="360" w:lineRule="auto"/>
        <w:jc w:val="both"/>
        <w:rPr>
          <w:rFonts w:asciiTheme="minorBidi" w:hAnsiTheme="minorBidi"/>
          <w:sz w:val="22"/>
        </w:rPr>
      </w:pPr>
    </w:p>
    <w:p>
      <w:pPr>
        <w:pStyle w:val="2"/>
        <w:jc w:val="both"/>
      </w:pPr>
      <w:r>
        <w:t xml:space="preserve">3. Importance of good administrative skills </w:t>
      </w:r>
    </w:p>
    <w:p>
      <w:pPr>
        <w:spacing w:line="360" w:lineRule="auto"/>
        <w:jc w:val="both"/>
        <w:rPr>
          <w:rFonts w:hint="default" w:asciiTheme="minorBidi" w:hAnsiTheme="minorBidi"/>
          <w:sz w:val="24"/>
          <w:szCs w:val="24"/>
          <w:lang w:val="en-US"/>
        </w:rPr>
      </w:pPr>
      <w:r>
        <w:rPr>
          <w:rFonts w:hint="default" w:asciiTheme="minorBidi" w:hAnsiTheme="minorBidi"/>
          <w:sz w:val="24"/>
          <w:szCs w:val="24"/>
        </w:rPr>
        <w:t>Administrative skills in health and social care refer to the ability to organise, record, manage, and process information and resources efficiently. These include record-keeping, appointment scheduling, data entry, stock management, handling correspondence, and using digital care management systems (e.g., SystmOne, RiO).</w:t>
      </w:r>
      <w:r>
        <w:rPr>
          <w:rFonts w:hint="default" w:asciiTheme="minorBidi" w:hAnsiTheme="minorBidi"/>
          <w:sz w:val="24"/>
          <w:szCs w:val="24"/>
          <w:lang w:val="en-US"/>
        </w:rPr>
        <w:t xml:space="preserve"> Some of the reasons for the importance of good administrative skills are:</w:t>
      </w:r>
    </w:p>
    <w:p>
      <w:pPr>
        <w:numPr>
          <w:ilvl w:val="0"/>
          <w:numId w:val="2"/>
        </w:num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 </w:t>
      </w:r>
      <w:r>
        <w:rPr>
          <w:rFonts w:hint="default" w:asciiTheme="minorBidi" w:hAnsiTheme="minorBidi"/>
          <w:sz w:val="24"/>
          <w:szCs w:val="24"/>
        </w:rPr>
        <w:t>Continuity of care: Accurate and up-to-date records ensure that any care professional (e.g., night shift nurse, domiciliary care worker) can understand the service user’s history, current medications, and advance care plans. The *Data Protection Act 2018* (UK GDPR) mandates that records be accurate, relevant, and securely stored. Poor administration leads to fragmented care and duplication of assessments.</w:t>
      </w:r>
    </w:p>
    <w:p>
      <w:pPr>
        <w:numPr>
          <w:ilvl w:val="0"/>
          <w:numId w:val="2"/>
        </w:numPr>
        <w:spacing w:line="360" w:lineRule="auto"/>
        <w:ind w:left="0" w:leftChars="0" w:firstLine="0" w:firstLineChars="0"/>
        <w:jc w:val="both"/>
        <w:rPr>
          <w:rFonts w:hint="default" w:asciiTheme="minorBidi" w:hAnsiTheme="minorBidi"/>
          <w:sz w:val="24"/>
          <w:szCs w:val="24"/>
        </w:rPr>
      </w:pPr>
      <w:r>
        <w:rPr>
          <w:rFonts w:hint="default" w:asciiTheme="minorBidi" w:hAnsiTheme="minorBidi"/>
          <w:sz w:val="24"/>
          <w:szCs w:val="24"/>
          <w:lang w:val="en-US"/>
        </w:rPr>
        <w:t xml:space="preserve"> </w:t>
      </w:r>
      <w:r>
        <w:rPr>
          <w:rFonts w:hint="default" w:asciiTheme="minorBidi" w:hAnsiTheme="minorBidi"/>
          <w:sz w:val="24"/>
          <w:szCs w:val="24"/>
        </w:rPr>
        <w:t>Legal protection: Health and social care records are legal documents. In cases of complaints, safeguarding inquiries, or coroner’s inquests, poorly maintained records can be cited as evidence of negligence. The NMC (2018) Code states that nurses must “keep clear and accurate records” a principle applicable across all care roles.</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(c)  </w:t>
      </w:r>
      <w:r>
        <w:rPr>
          <w:rFonts w:hint="default" w:asciiTheme="minorBidi" w:hAnsiTheme="minorBidi"/>
          <w:sz w:val="24"/>
          <w:szCs w:val="24"/>
        </w:rPr>
        <w:t>Resource efficiency: Good administration reduces waste. For instance, proper stock control of incontinence pads or wound dressings prevents shortages and overspending, freeing up budget for frontline care. Effective scheduling minimises missed appointments (did not attends – DNAs), which cost the NHS approximately £1 billion annually (NHS England, 2018).</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(d)   </w:t>
      </w:r>
      <w:r>
        <w:rPr>
          <w:rFonts w:hint="default" w:asciiTheme="minorBidi" w:hAnsiTheme="minorBidi"/>
          <w:sz w:val="24"/>
          <w:szCs w:val="24"/>
        </w:rPr>
        <w:t>Compliance with regulation</w:t>
      </w:r>
      <w:r>
        <w:rPr>
          <w:rFonts w:hint="default" w:asciiTheme="minorBidi" w:hAnsiTheme="minorBidi"/>
          <w:sz w:val="24"/>
          <w:szCs w:val="24"/>
          <w:lang w:val="en-US"/>
        </w:rPr>
        <w:t>:</w:t>
      </w:r>
      <w:r>
        <w:rPr>
          <w:rFonts w:hint="default" w:asciiTheme="minorBidi" w:hAnsiTheme="minorBidi"/>
          <w:sz w:val="24"/>
          <w:szCs w:val="24"/>
        </w:rPr>
        <w:t xml:space="preserve"> The CQC’s Key Lines of Enquiry (KQIs) include questions on how well providers manage information. Organisations with poor administrative processes risk being rated “Inadequate” and placed into special measures.</w:t>
      </w:r>
    </w:p>
    <w:p>
      <w:pPr>
        <w:spacing w:line="360" w:lineRule="auto"/>
        <w:jc w:val="both"/>
        <w:rPr>
          <w:rFonts w:hint="default" w:asciiTheme="minorBidi" w:hAnsiTheme="minorBidi"/>
          <w:sz w:val="24"/>
          <w:szCs w:val="24"/>
        </w:rPr>
      </w:pPr>
      <w:r>
        <w:rPr>
          <w:rFonts w:hint="default" w:asciiTheme="minorBidi" w:hAnsiTheme="minorBidi"/>
          <w:sz w:val="24"/>
          <w:szCs w:val="24"/>
        </w:rPr>
        <w:t>Thus, administrative competence is not a peripheral “paperwork” duty but a core safety and governance function.</w:t>
      </w:r>
    </w:p>
    <w:p>
      <w:pPr>
        <w:pStyle w:val="2"/>
        <w:jc w:val="both"/>
      </w:pPr>
    </w:p>
    <w:p>
      <w:pPr>
        <w:pStyle w:val="2"/>
        <w:jc w:val="both"/>
      </w:pPr>
      <w:r>
        <w:t>4. Importance of working collaboratively</w:t>
      </w:r>
    </w:p>
    <w:p>
      <w:pPr>
        <w:spacing w:line="360" w:lineRule="auto"/>
        <w:jc w:val="both"/>
        <w:rPr>
          <w:rFonts w:hint="default" w:asciiTheme="minorBidi" w:hAnsiTheme="minorBidi"/>
          <w:sz w:val="24"/>
          <w:szCs w:val="24"/>
        </w:rPr>
      </w:pPr>
      <w:r>
        <w:rPr>
          <w:rFonts w:hint="default" w:asciiTheme="minorBidi" w:hAnsiTheme="minorBidi"/>
          <w:sz w:val="24"/>
          <w:szCs w:val="24"/>
        </w:rPr>
        <w:t xml:space="preserve">Working collaboratively also known as </w:t>
      </w:r>
      <w:r>
        <w:rPr>
          <w:rFonts w:hint="default" w:asciiTheme="minorBidi" w:hAnsiTheme="minorBidi"/>
          <w:sz w:val="24"/>
          <w:szCs w:val="24"/>
          <w:lang w:val="en-US"/>
        </w:rPr>
        <w:t>inter professional</w:t>
      </w:r>
      <w:r>
        <w:rPr>
          <w:rFonts w:hint="default" w:asciiTheme="minorBidi" w:hAnsiTheme="minorBidi"/>
          <w:sz w:val="24"/>
          <w:szCs w:val="24"/>
        </w:rPr>
        <w:t xml:space="preserve"> or multi-agency working involves health and social care professionals from different disciplines and organisations sharing information, goals, and responsibilities to deliver holistic care. Examples include integrated discharge teams, safeguarding adults boards, and shared care plans between GPs, social workers, and occupational therapists.</w:t>
      </w:r>
      <w:r>
        <w:rPr>
          <w:rFonts w:hint="default" w:asciiTheme="minorBidi" w:hAnsiTheme="minorBidi"/>
          <w:sz w:val="24"/>
          <w:szCs w:val="24"/>
          <w:lang w:val="en-US"/>
        </w:rPr>
        <w:t xml:space="preserve"> Some key </w:t>
      </w:r>
      <w:r>
        <w:rPr>
          <w:rFonts w:hint="default" w:asciiTheme="minorBidi" w:hAnsiTheme="minorBidi"/>
          <w:sz w:val="24"/>
          <w:szCs w:val="24"/>
        </w:rPr>
        <w:t>reasons for its importance</w:t>
      </w:r>
      <w:r>
        <w:rPr>
          <w:rFonts w:hint="default" w:asciiTheme="minorBidi" w:hAnsiTheme="minorBidi"/>
          <w:sz w:val="24"/>
          <w:szCs w:val="24"/>
          <w:lang w:val="en-US"/>
        </w:rPr>
        <w:t xml:space="preserve"> are:</w:t>
      </w:r>
    </w:p>
    <w:p>
      <w:pPr>
        <w:numPr>
          <w:ilvl w:val="0"/>
          <w:numId w:val="3"/>
        </w:num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 </w:t>
      </w:r>
      <w:r>
        <w:rPr>
          <w:rFonts w:hint="default" w:asciiTheme="minorBidi" w:hAnsiTheme="minorBidi"/>
          <w:sz w:val="24"/>
          <w:szCs w:val="24"/>
        </w:rPr>
        <w:t>Holistic addressing of complex needs: Many service users, particularly older adults or those with long-term conditions, have overlapping medical, psychological, and social needs. A single professional cannot meet all these alone. Collaboration ensures that, for example, a hospital discharge plan includes a social care package, physiotherapy, and mental health follow-up.</w:t>
      </w:r>
    </w:p>
    <w:p>
      <w:pPr>
        <w:numPr>
          <w:ilvl w:val="0"/>
          <w:numId w:val="3"/>
        </w:numPr>
        <w:spacing w:line="360" w:lineRule="auto"/>
        <w:ind w:left="0" w:leftChars="0" w:firstLine="0" w:firstLineChars="0"/>
        <w:jc w:val="both"/>
        <w:rPr>
          <w:rFonts w:hint="default" w:asciiTheme="minorBidi" w:hAnsiTheme="minorBidi"/>
          <w:sz w:val="24"/>
          <w:szCs w:val="24"/>
        </w:rPr>
      </w:pPr>
      <w:r>
        <w:rPr>
          <w:rFonts w:hint="default" w:asciiTheme="minorBidi" w:hAnsiTheme="minorBidi"/>
          <w:sz w:val="24"/>
          <w:szCs w:val="24"/>
          <w:lang w:val="en-US"/>
        </w:rPr>
        <w:t xml:space="preserve"> </w:t>
      </w:r>
      <w:r>
        <w:rPr>
          <w:rFonts w:hint="default" w:asciiTheme="minorBidi" w:hAnsiTheme="minorBidi"/>
          <w:sz w:val="24"/>
          <w:szCs w:val="24"/>
        </w:rPr>
        <w:t>Reducing service duplication and gaps: Without collaboration, service users may be repeatedly assessed by different agencies, while important needs fall through the cracks. The *Care Act 2014* places a legal duty on local authorities to promote integration with health services. Collaborative tools such as the “Team Around the Person” (TAP) meeting help prevent this.</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(c)  </w:t>
      </w:r>
      <w:r>
        <w:rPr>
          <w:rFonts w:hint="default" w:asciiTheme="minorBidi" w:hAnsiTheme="minorBidi"/>
          <w:sz w:val="24"/>
          <w:szCs w:val="24"/>
        </w:rPr>
        <w:t>Risk management and safeguarding: The UK’s statutory guidance, *Working Together to Safeguard Children* (DfE, 2018), stresses that no single agency can protect vulnerable individuals alone. Child protection or adult safeguarding case reviews frequently cite poor inter-agency communication as a contributing factor to serious harm or death.</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(d) </w:t>
      </w:r>
      <w:r>
        <w:rPr>
          <w:rFonts w:hint="default" w:asciiTheme="minorBidi" w:hAnsiTheme="minorBidi"/>
          <w:sz w:val="24"/>
          <w:szCs w:val="24"/>
        </w:rPr>
        <w:t>Staff well-being and retention: Collaboration distributes workload, provides peer support, and enables shared problem-solving. This reduces burnout and moral distress, which are high in social care due to underfunding and staff shortages (Skills for Care, 2021).</w:t>
      </w:r>
    </w:p>
    <w:p>
      <w:pPr>
        <w:spacing w:line="360" w:lineRule="auto"/>
        <w:jc w:val="both"/>
        <w:rPr>
          <w:rFonts w:hint="default" w:asciiTheme="minorBidi" w:hAnsiTheme="minorBidi"/>
          <w:sz w:val="24"/>
          <w:szCs w:val="24"/>
        </w:rPr>
      </w:pPr>
      <w:r>
        <w:rPr>
          <w:rFonts w:hint="default" w:asciiTheme="minorBidi" w:hAnsiTheme="minorBidi"/>
          <w:sz w:val="24"/>
          <w:szCs w:val="24"/>
        </w:rPr>
        <w:t>Barriers to collaboration include professional tribalism, different data-sharing protocols, and time pressures. Effective collaboration requires structured systems (e.g., integrated care records) and a culture of mutual respect.</w:t>
      </w:r>
    </w:p>
    <w:p>
      <w:pPr>
        <w:tabs>
          <w:tab w:val="left" w:pos="6540"/>
        </w:tabs>
        <w:spacing w:line="360" w:lineRule="auto"/>
        <w:jc w:val="both"/>
        <w:rPr>
          <w:rFonts w:asciiTheme="minorBidi" w:hAnsiTheme="minorBidi"/>
          <w:sz w:val="22"/>
        </w:rPr>
      </w:pPr>
    </w:p>
    <w:p>
      <w:pPr>
        <w:tabs>
          <w:tab w:val="left" w:pos="6540"/>
        </w:tabs>
        <w:spacing w:line="360" w:lineRule="auto"/>
        <w:jc w:val="both"/>
        <w:rPr>
          <w:rFonts w:asciiTheme="minorBidi" w:hAnsiTheme="minorBidi"/>
          <w:sz w:val="22"/>
        </w:rPr>
      </w:pPr>
    </w:p>
    <w:p>
      <w:pPr>
        <w:pStyle w:val="2"/>
        <w:jc w:val="both"/>
      </w:pPr>
      <w:r>
        <w:t xml:space="preserve">5. Conclusion </w:t>
      </w:r>
    </w:p>
    <w:p>
      <w:pPr>
        <w:spacing w:line="360" w:lineRule="auto"/>
        <w:jc w:val="both"/>
        <w:rPr>
          <w:rFonts w:hint="default" w:asciiTheme="minorBidi" w:hAnsiTheme="minorBidi"/>
          <w:sz w:val="24"/>
          <w:szCs w:val="24"/>
        </w:rPr>
      </w:pPr>
      <w:r>
        <w:rPr>
          <w:rFonts w:hint="default" w:asciiTheme="minorBidi" w:hAnsiTheme="minorBidi"/>
          <w:sz w:val="24"/>
          <w:szCs w:val="24"/>
        </w:rPr>
        <w:t xml:space="preserve">This report has introduced three foundational pillars of health and social care: effective communication, good administrative skills, and collaborative working. </w:t>
      </w:r>
    </w:p>
    <w:p>
      <w:pPr>
        <w:numPr>
          <w:ilvl w:val="0"/>
          <w:numId w:val="4"/>
        </w:numPr>
        <w:spacing w:line="360" w:lineRule="auto"/>
        <w:jc w:val="both"/>
        <w:rPr>
          <w:rFonts w:hint="default" w:asciiTheme="minorBidi" w:hAnsiTheme="minorBidi"/>
          <w:sz w:val="24"/>
          <w:szCs w:val="24"/>
        </w:rPr>
      </w:pPr>
      <w:r>
        <w:rPr>
          <w:rFonts w:hint="default" w:asciiTheme="minorBidi" w:hAnsiTheme="minorBidi"/>
          <w:sz w:val="24"/>
          <w:szCs w:val="24"/>
        </w:rPr>
        <w:t>Effective communication</w:t>
      </w:r>
      <w:r>
        <w:rPr>
          <w:rFonts w:hint="default" w:asciiTheme="minorBidi" w:hAnsiTheme="minorBidi"/>
          <w:sz w:val="24"/>
          <w:szCs w:val="24"/>
          <w:lang w:val="en-US"/>
        </w:rPr>
        <w:t xml:space="preserve"> </w:t>
      </w:r>
      <w:r>
        <w:rPr>
          <w:rFonts w:hint="default" w:asciiTheme="minorBidi" w:hAnsiTheme="minorBidi"/>
          <w:sz w:val="24"/>
          <w:szCs w:val="24"/>
        </w:rPr>
        <w:t>ensures safety, person-centredness, and legal compliance, adapting to the needs of diverse service users.</w:t>
      </w:r>
    </w:p>
    <w:p>
      <w:pPr>
        <w:numPr>
          <w:ilvl w:val="0"/>
          <w:numId w:val="4"/>
        </w:numPr>
        <w:spacing w:line="360" w:lineRule="auto"/>
        <w:ind w:left="0" w:leftChars="0" w:firstLine="0" w:firstLineChars="0"/>
        <w:jc w:val="both"/>
        <w:rPr>
          <w:rFonts w:hint="default" w:asciiTheme="minorBidi" w:hAnsiTheme="minorBidi"/>
          <w:sz w:val="24"/>
          <w:szCs w:val="24"/>
        </w:rPr>
      </w:pPr>
      <w:r>
        <w:rPr>
          <w:rFonts w:hint="default" w:asciiTheme="minorBidi" w:hAnsiTheme="minorBidi"/>
          <w:sz w:val="24"/>
          <w:szCs w:val="24"/>
        </w:rPr>
        <w:t>Good administrative skills underpin continuity of care, legal accountability, resource efficiency, and regulatory compliance.</w:t>
      </w:r>
    </w:p>
    <w:p>
      <w:pPr>
        <w:spacing w:line="360" w:lineRule="auto"/>
        <w:jc w:val="both"/>
        <w:rPr>
          <w:rFonts w:hint="default" w:asciiTheme="minorBidi" w:hAnsiTheme="minorBidi"/>
          <w:sz w:val="24"/>
          <w:szCs w:val="24"/>
        </w:rPr>
      </w:pPr>
      <w:r>
        <w:rPr>
          <w:rFonts w:hint="default" w:asciiTheme="minorBidi" w:hAnsiTheme="minorBidi"/>
          <w:sz w:val="24"/>
          <w:szCs w:val="24"/>
          <w:lang w:val="en-US"/>
        </w:rPr>
        <w:t xml:space="preserve">(c) </w:t>
      </w:r>
      <w:r>
        <w:rPr>
          <w:rFonts w:hint="default" w:asciiTheme="minorBidi" w:hAnsiTheme="minorBidi"/>
          <w:sz w:val="24"/>
          <w:szCs w:val="24"/>
        </w:rPr>
        <w:t>Working collaboratively</w:t>
      </w:r>
      <w:r>
        <w:rPr>
          <w:rFonts w:hint="default" w:asciiTheme="minorBidi" w:hAnsiTheme="minorBidi"/>
          <w:sz w:val="24"/>
          <w:szCs w:val="24"/>
          <w:lang w:val="en-US"/>
        </w:rPr>
        <w:t xml:space="preserve"> </w:t>
      </w:r>
      <w:r>
        <w:rPr>
          <w:rFonts w:hint="default" w:asciiTheme="minorBidi" w:hAnsiTheme="minorBidi"/>
          <w:sz w:val="24"/>
          <w:szCs w:val="24"/>
        </w:rPr>
        <w:t>enables holistic, risk-aware, and non-duplicative care, integrating medical and social models of support.</w:t>
      </w:r>
    </w:p>
    <w:p>
      <w:pPr>
        <w:spacing w:line="360" w:lineRule="auto"/>
        <w:jc w:val="both"/>
        <w:rPr>
          <w:rFonts w:hint="default" w:asciiTheme="minorBidi" w:hAnsiTheme="minorBidi"/>
          <w:sz w:val="24"/>
          <w:szCs w:val="24"/>
        </w:rPr>
      </w:pPr>
      <w:r>
        <w:rPr>
          <w:rFonts w:hint="default" w:asciiTheme="minorBidi" w:hAnsiTheme="minorBidi"/>
          <w:sz w:val="24"/>
          <w:szCs w:val="24"/>
        </w:rPr>
        <w:t>These three elements are interdependent. For example, collaborative working relies on clear communication, which itself depends on accurate administrative documentation. Failures in any one area weaken the entire care system. For students and new practitioners entering the sector, developing competence in these areas is as vital as clinical or technical knowledge. Ultimately, high-quality health and social care is not only about what is done but how information, relationships, and tasks are managed across the whole system.</w:t>
      </w:r>
    </w:p>
    <w:p>
      <w:pPr>
        <w:tabs>
          <w:tab w:val="left" w:pos="6540"/>
        </w:tabs>
        <w:spacing w:line="360" w:lineRule="auto"/>
        <w:rPr>
          <w:rFonts w:asciiTheme="minorBidi" w:hAnsiTheme="minorBidi"/>
          <w:sz w:val="22"/>
        </w:rPr>
      </w:pPr>
    </w:p>
    <w:p>
      <w:pPr>
        <w:tabs>
          <w:tab w:val="left" w:pos="6540"/>
        </w:tabs>
        <w:spacing w:line="360" w:lineRule="auto"/>
        <w:rPr>
          <w:rFonts w:asciiTheme="minorBidi" w:hAnsiTheme="minorBidi"/>
          <w:sz w:val="22"/>
        </w:rPr>
      </w:pPr>
    </w:p>
    <w:p>
      <w:pPr>
        <w:tabs>
          <w:tab w:val="left" w:pos="6540"/>
        </w:tabs>
        <w:spacing w:line="360" w:lineRule="auto"/>
        <w:rPr>
          <w:rFonts w:asciiTheme="minorBidi" w:hAnsiTheme="minorBidi"/>
          <w:sz w:val="22"/>
        </w:rPr>
      </w:pPr>
    </w:p>
    <w:p>
      <w:pPr>
        <w:tabs>
          <w:tab w:val="left" w:pos="6540"/>
        </w:tabs>
        <w:spacing w:line="360" w:lineRule="auto"/>
        <w:rPr>
          <w:rFonts w:asciiTheme="minorBidi" w:hAnsiTheme="minorBidi"/>
          <w:sz w:val="22"/>
        </w:rPr>
      </w:pPr>
    </w:p>
    <w:p>
      <w:pPr>
        <w:tabs>
          <w:tab w:val="left" w:pos="6540"/>
        </w:tabs>
        <w:spacing w:line="360" w:lineRule="auto"/>
        <w:rPr>
          <w:rFonts w:asciiTheme="minorBidi" w:hAnsiTheme="minorBidi"/>
          <w:sz w:val="22"/>
        </w:rPr>
      </w:pPr>
    </w:p>
    <w:p>
      <w:pPr>
        <w:rPr>
          <w:rFonts w:asciiTheme="minorBidi" w:hAnsiTheme="minorBidi" w:eastAsiaTheme="majorEastAsia"/>
          <w:b/>
          <w:sz w:val="28"/>
        </w:rPr>
      </w:pPr>
      <w:r>
        <w:br w:type="page"/>
      </w:r>
    </w:p>
    <w:p>
      <w:pPr>
        <w:pStyle w:val="2"/>
      </w:pPr>
      <w:r>
        <w:t>References</w:t>
      </w:r>
    </w:p>
    <w:p>
      <w:pPr>
        <w:spacing w:line="360" w:lineRule="auto"/>
        <w:jc w:val="both"/>
        <w:rPr>
          <w:rFonts w:hint="default" w:asciiTheme="minorBidi" w:hAnsiTheme="minorBidi"/>
          <w:sz w:val="24"/>
          <w:szCs w:val="24"/>
        </w:rPr>
      </w:pPr>
      <w:r>
        <w:rPr>
          <w:rFonts w:hint="default" w:asciiTheme="minorBidi" w:hAnsiTheme="minorBidi"/>
          <w:sz w:val="24"/>
          <w:szCs w:val="24"/>
        </w:rPr>
        <w:t>Care Quality Commission (CQC). (2020). Key lines of enquiry (KLOEs), prompts and rating characteristics for adult social care. Newcastle upon Tyne: CQC.</w:t>
      </w:r>
    </w:p>
    <w:p>
      <w:pPr>
        <w:spacing w:line="360" w:lineRule="auto"/>
        <w:jc w:val="both"/>
        <w:rPr>
          <w:rFonts w:hint="default" w:asciiTheme="minorBidi" w:hAnsiTheme="minorBidi"/>
          <w:sz w:val="24"/>
          <w:szCs w:val="24"/>
        </w:rPr>
      </w:pPr>
      <w:r>
        <w:rPr>
          <w:rFonts w:hint="default" w:asciiTheme="minorBidi" w:hAnsiTheme="minorBidi"/>
          <w:sz w:val="24"/>
          <w:szCs w:val="24"/>
        </w:rPr>
        <w:t>Department for Education (DfE). (2018). Working together to safeguard children: A guide to inter-agency working to safeguard and promote the welfare of children. London: HMSO.</w:t>
      </w:r>
    </w:p>
    <w:p>
      <w:pPr>
        <w:spacing w:line="360" w:lineRule="auto"/>
        <w:jc w:val="both"/>
        <w:rPr>
          <w:rFonts w:hint="default" w:asciiTheme="minorBidi" w:hAnsiTheme="minorBidi"/>
          <w:sz w:val="24"/>
          <w:szCs w:val="24"/>
        </w:rPr>
      </w:pPr>
      <w:r>
        <w:rPr>
          <w:rFonts w:hint="default" w:asciiTheme="minorBidi" w:hAnsiTheme="minorBidi"/>
          <w:sz w:val="24"/>
          <w:szCs w:val="24"/>
        </w:rPr>
        <w:t>Department of Health. (2012). Health and Social Care Act 2012: Chapter 7. London: The Stationery Office.</w:t>
      </w:r>
    </w:p>
    <w:p>
      <w:pPr>
        <w:spacing w:line="360" w:lineRule="auto"/>
        <w:jc w:val="both"/>
        <w:rPr>
          <w:rFonts w:hint="default" w:asciiTheme="minorBidi" w:hAnsiTheme="minorBidi"/>
          <w:sz w:val="24"/>
          <w:szCs w:val="24"/>
        </w:rPr>
      </w:pPr>
      <w:r>
        <w:rPr>
          <w:rFonts w:hint="default" w:asciiTheme="minorBidi" w:hAnsiTheme="minorBidi"/>
          <w:sz w:val="24"/>
          <w:szCs w:val="24"/>
        </w:rPr>
        <w:t>Health and Care Professions Council (HCPC). (2016). Standards of conduct, performance and ethics. London: HCPC.</w:t>
      </w:r>
    </w:p>
    <w:p>
      <w:pPr>
        <w:spacing w:line="360" w:lineRule="auto"/>
        <w:jc w:val="both"/>
        <w:rPr>
          <w:rFonts w:hint="default" w:asciiTheme="minorBidi" w:hAnsiTheme="minorBidi"/>
          <w:sz w:val="24"/>
          <w:szCs w:val="24"/>
        </w:rPr>
      </w:pPr>
      <w:r>
        <w:rPr>
          <w:rFonts w:hint="default" w:asciiTheme="minorBidi" w:hAnsiTheme="minorBidi"/>
          <w:sz w:val="24"/>
          <w:szCs w:val="24"/>
        </w:rPr>
        <w:t>Mental Capacity Act 2005 (c. 9). London: HMSO.</w:t>
      </w:r>
    </w:p>
    <w:p>
      <w:pPr>
        <w:spacing w:line="360" w:lineRule="auto"/>
        <w:jc w:val="both"/>
        <w:rPr>
          <w:rFonts w:hint="default" w:asciiTheme="minorBidi" w:hAnsiTheme="minorBidi"/>
          <w:sz w:val="24"/>
          <w:szCs w:val="24"/>
        </w:rPr>
      </w:pPr>
      <w:r>
        <w:rPr>
          <w:rFonts w:hint="default" w:asciiTheme="minorBidi" w:hAnsiTheme="minorBidi"/>
          <w:sz w:val="24"/>
          <w:szCs w:val="24"/>
        </w:rPr>
        <w:t>NHS England. (2018). Missed appointments: The cost to the NHS. London: NHS England.</w:t>
      </w:r>
    </w:p>
    <w:p>
      <w:pPr>
        <w:spacing w:line="360" w:lineRule="auto"/>
        <w:jc w:val="both"/>
        <w:rPr>
          <w:rFonts w:hint="default" w:asciiTheme="minorBidi" w:hAnsiTheme="minorBidi"/>
          <w:sz w:val="24"/>
          <w:szCs w:val="24"/>
        </w:rPr>
      </w:pPr>
      <w:r>
        <w:rPr>
          <w:rFonts w:hint="default" w:asciiTheme="minorBidi" w:hAnsiTheme="minorBidi"/>
          <w:sz w:val="24"/>
          <w:szCs w:val="24"/>
        </w:rPr>
        <w:t>NHS England. (2019). The NHS Long Term Plan. London: NHS England.</w:t>
      </w:r>
    </w:p>
    <w:p>
      <w:pPr>
        <w:spacing w:line="360" w:lineRule="auto"/>
        <w:jc w:val="both"/>
        <w:rPr>
          <w:rFonts w:hint="default" w:asciiTheme="minorBidi" w:hAnsiTheme="minorBidi"/>
          <w:sz w:val="24"/>
          <w:szCs w:val="24"/>
        </w:rPr>
      </w:pPr>
      <w:r>
        <w:rPr>
          <w:rFonts w:hint="default" w:asciiTheme="minorBidi" w:hAnsiTheme="minorBidi"/>
          <w:sz w:val="24"/>
          <w:szCs w:val="24"/>
        </w:rPr>
        <w:t>Nursing and Midwifery Council (NMC). (2018). The Code: Professional standards of practice and behaviour for nurses, midwives and nursing associates. London: NMC.</w:t>
      </w:r>
    </w:p>
    <w:p>
      <w:pPr>
        <w:spacing w:line="360" w:lineRule="auto"/>
        <w:jc w:val="both"/>
        <w:rPr>
          <w:rFonts w:hint="default" w:asciiTheme="minorBidi" w:hAnsiTheme="minorBidi"/>
          <w:sz w:val="24"/>
          <w:szCs w:val="24"/>
        </w:rPr>
      </w:pPr>
      <w:r>
        <w:rPr>
          <w:rFonts w:hint="default" w:asciiTheme="minorBidi" w:hAnsiTheme="minorBidi"/>
          <w:sz w:val="24"/>
          <w:szCs w:val="24"/>
        </w:rPr>
        <w:t>Skills for Care. (2021). The state of the adult social care sector and workforce in England. Leeds: Skills for Care.</w:t>
      </w:r>
    </w:p>
    <w:p>
      <w:pPr>
        <w:spacing w:line="360" w:lineRule="auto"/>
        <w:jc w:val="both"/>
        <w:rPr>
          <w:rFonts w:asciiTheme="minorBidi" w:hAnsiTheme="minorBidi"/>
          <w:sz w:val="24"/>
          <w:szCs w:val="24"/>
        </w:rPr>
      </w:pPr>
      <w:r>
        <w:rPr>
          <w:rFonts w:hint="default" w:asciiTheme="minorBidi" w:hAnsiTheme="minorBidi"/>
          <w:sz w:val="24"/>
          <w:szCs w:val="24"/>
        </w:rPr>
        <w:t>World Health Organization (WHO). (2017). Communication during patient hand-overs. Patient Safety Solutions, 1(3), 1–4.</w:t>
      </w:r>
    </w:p>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Light">
    <w:altName w:val="Euphorigenic"/>
    <w:panose1 w:val="00000000000000000000"/>
    <w:charset w:val="00"/>
    <w:family w:val="auto"/>
    <w:pitch w:val="default"/>
    <w:sig w:usb0="00000000" w:usb1="00000000" w:usb2="00000000" w:usb3="00000000" w:csb0="00000000" w:csb1="00000000"/>
  </w:font>
  <w:font w:name="Euphorigenic">
    <w:panose1 w:val="02000400000000000000"/>
    <w:charset w:val="00"/>
    <w:family w:val="auto"/>
    <w:pitch w:val="default"/>
    <w:sig w:usb0="80000027" w:usb1="0000000A" w:usb2="00000000" w:usb3="00000000" w:csb0="00000001"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7988516"/>
      <w:docPartObj>
        <w:docPartGallery w:val="AutoText"/>
      </w:docPartObj>
    </w:sdtPr>
    <w:sdtEndPr>
      <w:rPr>
        <w:rFonts w:asciiTheme="minorBidi" w:hAnsiTheme="minorBidi"/>
        <w:sz w:val="22"/>
      </w:rPr>
    </w:sdtEndPr>
    <w:sdtContent>
      <w:p>
        <w:pPr>
          <w:pStyle w:val="7"/>
          <w:jc w:val="center"/>
          <w:rPr>
            <w:rFonts w:asciiTheme="minorBidi" w:hAnsiTheme="minorBidi"/>
            <w:sz w:val="22"/>
          </w:rPr>
        </w:pPr>
        <w:r>
          <w:rPr>
            <w:rFonts w:asciiTheme="minorBidi" w:hAnsiTheme="minorBidi"/>
            <w:sz w:val="22"/>
          </w:rPr>
          <w:fldChar w:fldCharType="begin"/>
        </w:r>
        <w:r>
          <w:rPr>
            <w:rFonts w:asciiTheme="minorBidi" w:hAnsiTheme="minorBidi"/>
            <w:sz w:val="22"/>
          </w:rPr>
          <w:instrText xml:space="preserve"> PAGE   \* MERGEFORMAT </w:instrText>
        </w:r>
        <w:r>
          <w:rPr>
            <w:rFonts w:asciiTheme="minorBidi" w:hAnsiTheme="minorBidi"/>
            <w:sz w:val="22"/>
          </w:rPr>
          <w:fldChar w:fldCharType="separate"/>
        </w:r>
        <w:r>
          <w:rPr>
            <w:rFonts w:asciiTheme="minorBidi" w:hAnsiTheme="minorBidi"/>
            <w:sz w:val="22"/>
          </w:rPr>
          <w:t>2</w:t>
        </w:r>
        <w:r>
          <w:rPr>
            <w:rFonts w:asciiTheme="minorBidi" w:hAnsiTheme="minorBidi"/>
            <w:sz w:val="22"/>
          </w:rP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51485"/>
    <w:multiLevelType w:val="singleLevel"/>
    <w:tmpl w:val="D0151485"/>
    <w:lvl w:ilvl="0" w:tentative="0">
      <w:start w:val="1"/>
      <w:numFmt w:val="lowerLetter"/>
      <w:suff w:val="space"/>
      <w:lvlText w:val="(%1)"/>
      <w:lvlJc w:val="left"/>
    </w:lvl>
  </w:abstractNum>
  <w:abstractNum w:abstractNumId="1">
    <w:nsid w:val="082E577C"/>
    <w:multiLevelType w:val="singleLevel"/>
    <w:tmpl w:val="082E577C"/>
    <w:lvl w:ilvl="0" w:tentative="0">
      <w:start w:val="1"/>
      <w:numFmt w:val="lowerLetter"/>
      <w:suff w:val="space"/>
      <w:lvlText w:val="(%1)"/>
      <w:lvlJc w:val="left"/>
    </w:lvl>
  </w:abstractNum>
  <w:abstractNum w:abstractNumId="2">
    <w:nsid w:val="204B52DA"/>
    <w:multiLevelType w:val="singleLevel"/>
    <w:tmpl w:val="204B52DA"/>
    <w:lvl w:ilvl="0" w:tentative="0">
      <w:start w:val="1"/>
      <w:numFmt w:val="lowerLetter"/>
      <w:suff w:val="space"/>
      <w:lvlText w:val="(%1)"/>
      <w:lvlJc w:val="left"/>
    </w:lvl>
  </w:abstractNum>
  <w:abstractNum w:abstractNumId="3">
    <w:nsid w:val="64C3D74B"/>
    <w:multiLevelType w:val="singleLevel"/>
    <w:tmpl w:val="64C3D74B"/>
    <w:lvl w:ilvl="0" w:tentative="0">
      <w:start w:val="1"/>
      <w:numFmt w:val="lowerLetter"/>
      <w:suff w:val="space"/>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02"/>
    <w:rsid w:val="000572BF"/>
    <w:rsid w:val="00074402"/>
    <w:rsid w:val="001D7C03"/>
    <w:rsid w:val="00216C85"/>
    <w:rsid w:val="0026393A"/>
    <w:rsid w:val="00273EDD"/>
    <w:rsid w:val="002C3965"/>
    <w:rsid w:val="00321C4C"/>
    <w:rsid w:val="00392BBC"/>
    <w:rsid w:val="003E4ECF"/>
    <w:rsid w:val="004A736E"/>
    <w:rsid w:val="006925AA"/>
    <w:rsid w:val="00725177"/>
    <w:rsid w:val="007A1B8D"/>
    <w:rsid w:val="00814A9E"/>
    <w:rsid w:val="008E3943"/>
    <w:rsid w:val="0090040D"/>
    <w:rsid w:val="009D052C"/>
    <w:rsid w:val="009D1D1E"/>
    <w:rsid w:val="00A035FD"/>
    <w:rsid w:val="00AD23A0"/>
    <w:rsid w:val="00B87E75"/>
    <w:rsid w:val="00CD33A8"/>
    <w:rsid w:val="00E569FD"/>
    <w:rsid w:val="00E620E7"/>
    <w:rsid w:val="00F66E1B"/>
    <w:rsid w:val="0B673342"/>
    <w:rsid w:val="19CC2726"/>
    <w:rsid w:val="1CD93942"/>
    <w:rsid w:val="1D5B121B"/>
    <w:rsid w:val="2CEB5D3E"/>
    <w:rsid w:val="2E3D1973"/>
    <w:rsid w:val="30FB6952"/>
    <w:rsid w:val="347E3BAB"/>
    <w:rsid w:val="406F3324"/>
    <w:rsid w:val="420105EC"/>
    <w:rsid w:val="48934504"/>
    <w:rsid w:val="5CE30CD1"/>
    <w:rsid w:val="5D4A529A"/>
    <w:rsid w:val="671F493B"/>
    <w:rsid w:val="6AC33B48"/>
    <w:rsid w:val="717D06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10"/>
    <w:qFormat/>
    <w:uiPriority w:val="9"/>
    <w:pPr>
      <w:keepNext/>
      <w:keepLines/>
      <w:spacing w:before="240" w:after="0" w:line="360" w:lineRule="auto"/>
      <w:outlineLvl w:val="0"/>
    </w:pPr>
    <w:rPr>
      <w:rFonts w:ascii="Arial" w:hAnsi="Arial" w:eastAsiaTheme="majorEastAsia"/>
      <w:b/>
      <w:sz w:val="32"/>
    </w:rPr>
  </w:style>
  <w:style w:type="paragraph" w:styleId="3">
    <w:name w:val="heading 2"/>
    <w:basedOn w:val="1"/>
    <w:next w:val="1"/>
    <w:link w:val="11"/>
    <w:unhideWhenUsed/>
    <w:qFormat/>
    <w:uiPriority w:val="9"/>
    <w:pPr>
      <w:keepNext/>
      <w:keepLines/>
      <w:spacing w:before="40" w:after="0"/>
      <w:outlineLvl w:val="1"/>
    </w:pPr>
    <w:rPr>
      <w:rFonts w:ascii="Arial" w:hAnsi="Arial" w:eastAsiaTheme="majorEastAsia" w:cstheme="majorBidi"/>
      <w:b/>
      <w:i/>
      <w:color w:val="2F5597" w:themeColor="accent1" w:themeShade="BF"/>
      <w:sz w:val="26"/>
      <w:szCs w:val="26"/>
    </w:rPr>
  </w:style>
  <w:style w:type="paragraph" w:styleId="4">
    <w:name w:val="heading 3"/>
    <w:basedOn w:val="1"/>
    <w:next w:val="1"/>
    <w:link w:val="12"/>
    <w:qFormat/>
    <w:uiPriority w:val="9"/>
    <w:pPr>
      <w:spacing w:before="100" w:beforeAutospacing="1" w:after="100" w:afterAutospacing="1" w:line="240" w:lineRule="auto"/>
      <w:outlineLvl w:val="2"/>
    </w:pPr>
    <w:rPr>
      <w:rFonts w:ascii="Arial" w:hAnsi="Arial" w:eastAsia="Times New Roman" w:cs="Times New Roman"/>
      <w:b/>
      <w:bCs/>
      <w:szCs w:val="27"/>
      <w:lang w:eastAsia="en-GB"/>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4"/>
    <w:unhideWhenUsed/>
    <w:qFormat/>
    <w:uiPriority w:val="99"/>
    <w:pPr>
      <w:tabs>
        <w:tab w:val="center" w:pos="4513"/>
        <w:tab w:val="right" w:pos="9026"/>
      </w:tabs>
      <w:spacing w:after="0" w:line="240" w:lineRule="auto"/>
    </w:pPr>
  </w:style>
  <w:style w:type="paragraph" w:styleId="8">
    <w:name w:val="header"/>
    <w:basedOn w:val="1"/>
    <w:link w:val="13"/>
    <w:unhideWhenUsed/>
    <w:qFormat/>
    <w:uiPriority w:val="99"/>
    <w:pPr>
      <w:tabs>
        <w:tab w:val="center" w:pos="4513"/>
        <w:tab w:val="right" w:pos="9026"/>
      </w:tabs>
      <w:spacing w:after="0" w:line="240" w:lineRule="auto"/>
    </w:pPr>
  </w:style>
  <w:style w:type="character" w:styleId="9">
    <w:name w:val="Strong"/>
    <w:basedOn w:val="5"/>
    <w:qFormat/>
    <w:uiPriority w:val="22"/>
    <w:rPr>
      <w:b/>
      <w:bCs/>
    </w:rPr>
  </w:style>
  <w:style w:type="character" w:customStyle="1" w:styleId="10">
    <w:name w:val="Heading 1 Char"/>
    <w:basedOn w:val="5"/>
    <w:link w:val="2"/>
    <w:uiPriority w:val="9"/>
    <w:rPr>
      <w:rFonts w:ascii="Arial" w:hAnsi="Arial" w:eastAsiaTheme="majorEastAsia"/>
      <w:b/>
      <w:sz w:val="32"/>
    </w:rPr>
  </w:style>
  <w:style w:type="character" w:customStyle="1" w:styleId="11">
    <w:name w:val="Heading 2 Char"/>
    <w:basedOn w:val="5"/>
    <w:link w:val="3"/>
    <w:uiPriority w:val="9"/>
    <w:rPr>
      <w:rFonts w:ascii="Arial" w:hAnsi="Arial" w:eastAsiaTheme="majorEastAsia" w:cstheme="majorBidi"/>
      <w:b/>
      <w:i/>
      <w:color w:val="2F5597" w:themeColor="accent1" w:themeShade="BF"/>
      <w:sz w:val="26"/>
      <w:szCs w:val="26"/>
    </w:rPr>
  </w:style>
  <w:style w:type="character" w:customStyle="1" w:styleId="12">
    <w:name w:val="Heading 3 Char"/>
    <w:basedOn w:val="5"/>
    <w:link w:val="4"/>
    <w:uiPriority w:val="9"/>
    <w:rPr>
      <w:rFonts w:ascii="Arial" w:hAnsi="Arial" w:eastAsia="Times New Roman" w:cs="Times New Roman"/>
      <w:b/>
      <w:bCs/>
      <w:szCs w:val="27"/>
      <w:lang w:eastAsia="en-GB"/>
    </w:rPr>
  </w:style>
  <w:style w:type="character" w:customStyle="1" w:styleId="13">
    <w:name w:val="Header Char"/>
    <w:basedOn w:val="5"/>
    <w:link w:val="8"/>
    <w:qFormat/>
    <w:uiPriority w:val="99"/>
  </w:style>
  <w:style w:type="character" w:customStyle="1" w:styleId="14">
    <w:name w:val="Footer Char"/>
    <w:basedOn w:val="5"/>
    <w:link w:val="7"/>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cid:image001.png@01D0EA4A.2BD679A0"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57</Words>
  <Characters>332</Characters>
  <Lines>27</Lines>
  <Paragraphs>13</Paragraphs>
  <TotalTime>33</TotalTime>
  <ScaleCrop>false</ScaleCrop>
  <LinksUpToDate>false</LinksUpToDate>
  <CharactersWithSpaces>376</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2021-10-31T12:16:00Z</dcterms:created>
  <dc:creator>Eleni Koutsogeorgou</dc:creator>
  <cp:lastModifiedBy>THIS PC</cp:lastModifiedBy>
  <dcterms:modified xsi:type="dcterms:W3CDTF">2026-04-14T11:03:19Z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FCE937AB28A44A4BA8F8F7B0256744DA</vt:lpwstr>
  </property>
</Properties>
</file>