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383C93CA" w:rsidR="001B69C8" w:rsidRPr="003C3341" w:rsidRDefault="00641C90">
            <w:pPr>
              <w:rPr>
                <w:rFonts w:ascii="Tahoma" w:hAnsi="Tahoma" w:cs="Tahoma"/>
                <w:b/>
                <w:sz w:val="20"/>
                <w:szCs w:val="20"/>
              </w:rPr>
            </w:pPr>
            <w:r>
              <w:rPr>
                <w:rFonts w:ascii="Tahoma" w:hAnsi="Tahoma" w:cs="Tahoma"/>
                <w:b/>
                <w:sz w:val="20"/>
                <w:szCs w:val="20"/>
              </w:rPr>
              <w:t>Ruksana Begum</w:t>
            </w: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60BB87EF" w:rsidR="00B21F2E" w:rsidRPr="003C3341" w:rsidRDefault="00641C90">
            <w:pPr>
              <w:rPr>
                <w:rFonts w:ascii="Tahoma" w:hAnsi="Tahoma" w:cs="Tahoma"/>
                <w:b/>
                <w:sz w:val="20"/>
                <w:szCs w:val="20"/>
              </w:rPr>
            </w:pPr>
            <w:r w:rsidRPr="00641C90">
              <w:rPr>
                <w:rFonts w:ascii="Tahoma" w:hAnsi="Tahoma" w:cs="Tahoma"/>
                <w:b/>
                <w:bCs/>
                <w:sz w:val="20"/>
                <w:szCs w:val="20"/>
              </w:rPr>
              <w:t>2118820</w:t>
            </w:r>
          </w:p>
        </w:tc>
        <w:tc>
          <w:tcPr>
            <w:tcW w:w="7195" w:type="dxa"/>
            <w:shd w:val="clear" w:color="auto" w:fill="8DB3E2" w:themeFill="text2" w:themeFillTint="66"/>
          </w:tcPr>
          <w:p w14:paraId="488BCD26" w14:textId="72CACA6F"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41C90" w:rsidRPr="00641C90">
              <w:rPr>
                <w:rFonts w:ascii="Tahoma" w:hAnsi="Tahoma" w:cs="Tahoma"/>
                <w:b/>
                <w:sz w:val="20"/>
                <w:szCs w:val="20"/>
              </w:rPr>
              <w:t>Hotel Placement - Food &amp; Beverage Operations</w:t>
            </w:r>
          </w:p>
          <w:p w14:paraId="2019D1B6" w14:textId="77777777" w:rsidR="00B21F2E" w:rsidRDefault="00B21F2E" w:rsidP="00B21F2E">
            <w:pPr>
              <w:rPr>
                <w:rFonts w:ascii="Tahoma" w:hAnsi="Tahoma" w:cs="Tahoma"/>
                <w:b/>
                <w:sz w:val="20"/>
                <w:szCs w:val="20"/>
              </w:rPr>
            </w:pP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4AFABCB5" w:rsidR="00B21F2E" w:rsidRDefault="00641C90" w:rsidP="00B21F2E">
            <w:pPr>
              <w:jc w:val="center"/>
              <w:rPr>
                <w:rFonts w:ascii="Tahoma" w:hAnsi="Tahoma" w:cs="Tahoma"/>
                <w:b/>
                <w:sz w:val="20"/>
                <w:szCs w:val="20"/>
              </w:rPr>
            </w:pPr>
            <w:r>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6D4E768" w14:textId="77777777" w:rsidR="00641C90" w:rsidRDefault="00641C90" w:rsidP="00641C90">
            <w:pPr>
              <w:pStyle w:val="Title"/>
              <w:spacing w:line="360" w:lineRule="auto"/>
              <w:jc w:val="center"/>
              <w:rPr>
                <w:rFonts w:ascii="Arial" w:eastAsia="Arial" w:hAnsi="Arial" w:cs="Arial"/>
                <w:b/>
                <w:bCs/>
                <w:sz w:val="28"/>
                <w:szCs w:val="28"/>
                <w:u w:val="single"/>
              </w:rPr>
            </w:pPr>
            <w:r w:rsidRPr="0FBD62CF">
              <w:rPr>
                <w:rFonts w:ascii="Arial" w:eastAsia="Arial" w:hAnsi="Arial" w:cs="Arial"/>
                <w:b/>
                <w:bCs/>
                <w:sz w:val="28"/>
                <w:szCs w:val="28"/>
                <w:u w:val="single"/>
              </w:rPr>
              <w:t>Allergies and Intolerances and the Importance Within the Industry</w:t>
            </w:r>
          </w:p>
          <w:p w14:paraId="20BE51EE" w14:textId="77777777" w:rsidR="00641C90" w:rsidRDefault="00641C90" w:rsidP="00641C90">
            <w:pPr>
              <w:spacing w:line="360" w:lineRule="auto"/>
              <w:jc w:val="both"/>
              <w:rPr>
                <w:rFonts w:ascii="Arial" w:eastAsia="Arial" w:hAnsi="Arial" w:cs="Arial"/>
              </w:rPr>
            </w:pPr>
            <w:r w:rsidRPr="0FBD62CF">
              <w:rPr>
                <w:rFonts w:ascii="Arial" w:eastAsia="Arial" w:hAnsi="Arial" w:cs="Arial"/>
              </w:rPr>
              <w:t>One of the most delightful aspects of life is tasting good cuisine, especially with family and friends in a nice environment. On the other hand, many people seem to be unable to enjoy food due to bizarre illness which is known as food allergy. Those who have food allergy or intolerance are always worried that they could inadvertently consume a meal that will cause an allergic reaction. Generally, food allergy is a reaction to food which causes an inappropriate immunological response. When a person has the inability to digest certain meals and his body responses unpleasantly, this situation is called food intolerances. Bloating and stomach ache is the symptoms which it produces a few hours after consuming the item. Food intolerances and food poisoning are not the same thing. They are two different disorders that are not caused by an immunological reaction (Boyce JA, Assa'ad A, Burks AW, Jones SM, Sampson HA, et al.  2010).</w:t>
            </w:r>
            <w:r>
              <w:rPr>
                <w:rFonts w:ascii="Arial" w:eastAsia="Arial" w:hAnsi="Arial" w:cs="Arial"/>
              </w:rPr>
              <w:t xml:space="preserve"> I have learned a great deal of detail on the subject from this course about Allergies and intolerances.</w:t>
            </w:r>
          </w:p>
          <w:p w14:paraId="4059E670" w14:textId="77777777" w:rsidR="00641C90" w:rsidRDefault="00641C90" w:rsidP="00641C90">
            <w:pPr>
              <w:spacing w:line="360" w:lineRule="auto"/>
              <w:jc w:val="both"/>
              <w:rPr>
                <w:rFonts w:ascii="Arial" w:eastAsia="Arial" w:hAnsi="Arial" w:cs="Arial"/>
              </w:rPr>
            </w:pPr>
            <w:r w:rsidRPr="00DC041B">
              <w:rPr>
                <w:rFonts w:ascii="Arial" w:eastAsia="Arial" w:hAnsi="Arial" w:cs="Arial"/>
              </w:rPr>
              <w:t xml:space="preserve">Allergies trigger the immune system's antibody E (IgE) binds to food molecules. A macronutrient in the meal is typically to blame. As a result, inflammatory chemicals such as histamine are produced. The most common food allergies are to dairy, poultry, nuts, tree nuts, seafood, scallops, soybeans, and wheat. Among the most common food allergies is peanut allergy. Food predisposing factors are caused </w:t>
            </w:r>
            <w:r w:rsidRPr="00DC041B">
              <w:rPr>
                <w:rFonts w:ascii="Arial" w:eastAsia="Arial" w:hAnsi="Arial" w:cs="Arial"/>
              </w:rPr>
              <w:lastRenderedPageBreak/>
              <w:t>by the digestive system, whereas food allergies are caused by the immunological system. A food allergy can result in a deadly reaction known as anaphylactic shock if even a small quantity of the food is taken.</w:t>
            </w:r>
          </w:p>
          <w:p w14:paraId="53EA1B65" w14:textId="77777777" w:rsidR="00641C90" w:rsidRDefault="00641C90" w:rsidP="00641C90">
            <w:pPr>
              <w:spacing w:line="360" w:lineRule="auto"/>
              <w:jc w:val="both"/>
              <w:rPr>
                <w:rFonts w:ascii="Arial" w:eastAsia="Arial" w:hAnsi="Arial" w:cs="Arial"/>
              </w:rPr>
            </w:pPr>
            <w:r w:rsidRPr="0FBD62CF">
              <w:rPr>
                <w:rFonts w:ascii="Arial" w:eastAsia="Arial" w:hAnsi="Arial" w:cs="Arial"/>
              </w:rPr>
              <w:t xml:space="preserve">Food allergies affect more than 15 million people, or one in every 25 people (according to foodallergy.org). </w:t>
            </w:r>
            <w:r w:rsidRPr="00DC041B">
              <w:rPr>
                <w:rFonts w:ascii="Arial" w:eastAsia="Arial" w:hAnsi="Arial" w:cs="Arial"/>
              </w:rPr>
              <w:t>Restaurant chains and other food retailers should be cautious when dealing with people whom has food intolerances. Cross-contact occurs when one food interacts with someone and the proteins mix. This might be active or passive.</w:t>
            </w:r>
            <w:r>
              <w:rPr>
                <w:rFonts w:ascii="Arial" w:eastAsia="Arial" w:hAnsi="Arial" w:cs="Arial"/>
              </w:rPr>
              <w:t xml:space="preserve"> </w:t>
            </w:r>
            <w:r w:rsidRPr="0FBD62CF">
              <w:rPr>
                <w:rFonts w:ascii="Arial" w:eastAsia="Arial" w:hAnsi="Arial" w:cs="Arial"/>
              </w:rPr>
              <w:t xml:space="preserve">Food allergies are increasingly considered a public health concern. For food allergen management individual, government organizations, as well as food producers all have responsibilities. Employees may contribute to the safety of their coworkers as well as end-customers by correctly knowing the dangers of allergy and how to reduce them. There are several national as well as international legislation which address the importance of allergy management and establish rules that food makers must meet. </w:t>
            </w:r>
            <w:r>
              <w:rPr>
                <w:rFonts w:ascii="Arial" w:eastAsia="Arial" w:hAnsi="Arial" w:cs="Arial"/>
              </w:rPr>
              <w:t>I was unaware of the formal checklists provided by the authorities; this is such an crucial information people need. Such as the</w:t>
            </w:r>
            <w:r w:rsidRPr="0FBD62CF">
              <w:rPr>
                <w:rFonts w:ascii="Arial" w:eastAsia="Arial" w:hAnsi="Arial" w:cs="Arial"/>
              </w:rPr>
              <w:t xml:space="preserve"> checklist of prevalent allergenic foods has been produced by the Codex Alimentarius Commission on a worldwide scale. Allergy labeling regulations may differ from country to country. The EU regulation, for instance, includes fourteen food allergens that must be mentioned if they're used in packaged products. On the other hand, food makers are required to declare the eight most prevalent substances which cause food allergies in the United States. According to the international standard for food safety management systems, allergens constitute a food safety hazard. </w:t>
            </w:r>
          </w:p>
          <w:p w14:paraId="5729E12F" w14:textId="77777777" w:rsidR="00641C90" w:rsidRDefault="00641C90" w:rsidP="00641C90">
            <w:pPr>
              <w:spacing w:line="360" w:lineRule="auto"/>
              <w:jc w:val="both"/>
              <w:rPr>
                <w:rFonts w:ascii="Arial" w:eastAsia="Arial" w:hAnsi="Arial" w:cs="Arial"/>
              </w:rPr>
            </w:pPr>
            <w:r>
              <w:rPr>
                <w:rFonts w:ascii="Arial" w:eastAsia="Arial" w:hAnsi="Arial" w:cs="Arial"/>
              </w:rPr>
              <w:t xml:space="preserve">In this module I learned plenty about allergies and how they can have a drastic effect on people intolerant to them. I will make sure to apply the knowledge on moving forward. </w:t>
            </w:r>
            <w:r w:rsidRPr="0FBD62CF">
              <w:rPr>
                <w:rFonts w:ascii="Arial" w:eastAsia="Arial" w:hAnsi="Arial" w:cs="Arial"/>
              </w:rPr>
              <w:t>From itching to swelling to anaphylaxis, anything can happen to a person if they consume a minimal amount of the ingredient to which they are allergic. There is no cure for allergies and intolerances. The only method to avoid a response is to avoid the food which can cause allergic reaction. On the other hand, food service businesses have a crucial responsibility to play in guaranteeing and safeguarding their customers' eating experiences. Many food service businesses possessed list of ingredients for some or all of their food items, but many did not have distinct facilities and equipment in order to cook allergen-free cuisine. Customers who have food allergies or intolerances can be assisted by these important procedures.</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1B79FB7" w14:textId="77777777" w:rsidR="00641C90" w:rsidRDefault="00641C90" w:rsidP="00641C90">
            <w:pPr>
              <w:spacing w:line="360" w:lineRule="auto"/>
              <w:jc w:val="both"/>
              <w:rPr>
                <w:rFonts w:ascii="Arial" w:eastAsia="Arial" w:hAnsi="Arial" w:cs="Arial"/>
              </w:rPr>
            </w:pPr>
          </w:p>
          <w:p w14:paraId="3C770679" w14:textId="77777777" w:rsidR="00641C90" w:rsidRDefault="00641C90" w:rsidP="00641C90">
            <w:pPr>
              <w:spacing w:line="360" w:lineRule="auto"/>
              <w:jc w:val="both"/>
              <w:rPr>
                <w:rFonts w:ascii="Arial" w:eastAsia="Arial" w:hAnsi="Arial" w:cs="Arial"/>
              </w:rPr>
            </w:pPr>
            <w:r w:rsidRPr="0FBD62CF">
              <w:rPr>
                <w:rFonts w:ascii="Arial" w:eastAsia="Arial" w:hAnsi="Arial" w:cs="Arial"/>
                <w:b/>
                <w:bCs/>
              </w:rPr>
              <w:t>References:</w:t>
            </w:r>
          </w:p>
          <w:p w14:paraId="3D402560" w14:textId="77777777" w:rsidR="00641C90" w:rsidRDefault="00641C90" w:rsidP="00641C90">
            <w:pPr>
              <w:pStyle w:val="ListParagraph"/>
              <w:numPr>
                <w:ilvl w:val="0"/>
                <w:numId w:val="29"/>
              </w:numPr>
              <w:spacing w:after="160" w:line="360" w:lineRule="auto"/>
              <w:jc w:val="both"/>
              <w:rPr>
                <w:rFonts w:ascii="Arial" w:eastAsia="Arial" w:hAnsi="Arial" w:cs="Arial"/>
              </w:rPr>
            </w:pPr>
            <w:r w:rsidRPr="0FBD62CF">
              <w:rPr>
                <w:rFonts w:ascii="Arial" w:eastAsia="Arial" w:hAnsi="Arial" w:cs="Arial"/>
              </w:rPr>
              <w:t xml:space="preserve">Boyce JA, Assa'ad A, Burks AW, Jones SM, Sampson HA, et al. (December 2010). "Guidelines for the Diagnosis and Management of Food Allergy in the United States: Summary of the NIAID-Sponsored Expert Panel Report". Journal of Allergy and Clinical Immunology. 126 (6): 1105–18. [Accessed 1 June 2022] </w:t>
            </w:r>
          </w:p>
          <w:p w14:paraId="60E6B069" w14:textId="77777777" w:rsidR="00641C90" w:rsidRDefault="00641C90" w:rsidP="00641C90">
            <w:pPr>
              <w:pStyle w:val="ListParagraph"/>
              <w:numPr>
                <w:ilvl w:val="0"/>
                <w:numId w:val="29"/>
              </w:numPr>
              <w:spacing w:after="160" w:line="360" w:lineRule="auto"/>
              <w:jc w:val="both"/>
              <w:rPr>
                <w:rFonts w:ascii="Arial" w:eastAsia="Arial" w:hAnsi="Arial" w:cs="Arial"/>
                <w:color w:val="202122"/>
              </w:rPr>
            </w:pPr>
            <w:r w:rsidRPr="0FBD62CF">
              <w:rPr>
                <w:rFonts w:ascii="Arial" w:eastAsia="Arial" w:hAnsi="Arial" w:cs="Arial"/>
                <w:color w:val="202122"/>
              </w:rPr>
              <w:t xml:space="preserve">Fong AT, Katelaris CH, Wainstein B (2017). "Bullying and quality of life in children and adolescents with food allergy". J Paediatr Child Health. </w:t>
            </w:r>
            <w:r w:rsidRPr="0FBD62CF">
              <w:rPr>
                <w:rFonts w:ascii="Arial" w:eastAsia="Arial" w:hAnsi="Arial" w:cs="Arial"/>
                <w:b/>
                <w:bCs/>
                <w:color w:val="202122"/>
              </w:rPr>
              <w:t>53</w:t>
            </w:r>
            <w:r w:rsidRPr="0FBD62CF">
              <w:rPr>
                <w:rFonts w:ascii="Arial" w:eastAsia="Arial" w:hAnsi="Arial" w:cs="Arial"/>
                <w:color w:val="202122"/>
              </w:rPr>
              <w:t xml:space="preserve"> (7): 630–635. [Accessed 1 June 2022]</w:t>
            </w:r>
            <w:r w:rsidRPr="0FBD62CF">
              <w:rPr>
                <w:rFonts w:ascii="Arial" w:eastAsia="Arial" w:hAnsi="Arial" w:cs="Arial"/>
              </w:rPr>
              <w:t xml:space="preserve"> </w:t>
            </w:r>
          </w:p>
          <w:p w14:paraId="0D0A9280" w14:textId="77777777" w:rsidR="00641C90" w:rsidRDefault="00641C90" w:rsidP="00641C90">
            <w:pPr>
              <w:pStyle w:val="ListParagraph"/>
              <w:numPr>
                <w:ilvl w:val="0"/>
                <w:numId w:val="29"/>
              </w:numPr>
              <w:spacing w:after="160" w:line="360" w:lineRule="auto"/>
              <w:jc w:val="both"/>
              <w:rPr>
                <w:rFonts w:ascii="Arial" w:eastAsia="Arial" w:hAnsi="Arial" w:cs="Arial"/>
              </w:rPr>
            </w:pPr>
            <w:r w:rsidRPr="0FBD62CF">
              <w:rPr>
                <w:rFonts w:ascii="Arial" w:eastAsia="Arial" w:hAnsi="Arial" w:cs="Arial"/>
              </w:rPr>
              <w:t xml:space="preserve">"Food Allergy Facts &amp; Figures". Asthma and Allergy Foundation of America. 28 March 2007. [Accessed 1 June 2022] </w:t>
            </w:r>
          </w:p>
          <w:p w14:paraId="69A2F09E" w14:textId="77777777" w:rsidR="00641C90" w:rsidRDefault="00641C90" w:rsidP="00641C90">
            <w:pPr>
              <w:pStyle w:val="ListParagraph"/>
              <w:numPr>
                <w:ilvl w:val="0"/>
                <w:numId w:val="29"/>
              </w:numPr>
              <w:spacing w:after="160" w:line="360" w:lineRule="auto"/>
              <w:jc w:val="both"/>
              <w:rPr>
                <w:rFonts w:ascii="Arial" w:eastAsia="Arial" w:hAnsi="Arial" w:cs="Arial"/>
                <w:color w:val="202122"/>
              </w:rPr>
            </w:pPr>
            <w:r w:rsidRPr="0FBD62CF">
              <w:rPr>
                <w:rFonts w:ascii="Arial" w:eastAsia="Arial" w:hAnsi="Arial" w:cs="Arial"/>
                <w:color w:val="202122"/>
              </w:rPr>
              <w:t>"Food Allergen Labeling and Consumer Protection Act of 2004". FDA. 2 August 2004. [Accessed 1 June 2022]</w:t>
            </w:r>
          </w:p>
          <w:p w14:paraId="2AF5DF7A" w14:textId="77777777" w:rsidR="00641C90" w:rsidRDefault="00641C90" w:rsidP="00641C90">
            <w:pPr>
              <w:pStyle w:val="ListParagraph"/>
              <w:numPr>
                <w:ilvl w:val="0"/>
                <w:numId w:val="29"/>
              </w:numPr>
              <w:spacing w:after="160" w:line="360" w:lineRule="auto"/>
              <w:jc w:val="both"/>
              <w:rPr>
                <w:rFonts w:ascii="Arial" w:eastAsia="Arial" w:hAnsi="Arial" w:cs="Arial"/>
                <w:color w:val="202122"/>
              </w:rPr>
            </w:pPr>
            <w:hyperlink r:id="rId7">
              <w:r w:rsidRPr="0FBD62CF">
                <w:rPr>
                  <w:rStyle w:val="Hyperlink"/>
                  <w:rFonts w:ascii="Arial" w:eastAsia="Arial" w:hAnsi="Arial" w:cs="Arial"/>
                </w:rPr>
                <w:t>"Food Ingredients of Public Health Concern"</w:t>
              </w:r>
            </w:hyperlink>
            <w:r w:rsidRPr="0FBD62CF">
              <w:rPr>
                <w:rFonts w:ascii="Arial" w:eastAsia="Arial" w:hAnsi="Arial" w:cs="Arial"/>
                <w:color w:val="202122"/>
              </w:rPr>
              <w:t xml:space="preserve"> (PDF). United States Department of Agriculture. Food Safety and Inspection Service. 7 March 2017. [Accessed 1 June 2022]</w:t>
            </w:r>
            <w:r w:rsidRPr="0FBD62CF">
              <w:rPr>
                <w:rFonts w:ascii="Arial" w:eastAsia="Arial" w:hAnsi="Arial" w:cs="Arial"/>
              </w:rPr>
              <w:t xml:space="preserve"> </w:t>
            </w:r>
          </w:p>
          <w:p w14:paraId="358B0B63" w14:textId="77777777" w:rsidR="00641C90" w:rsidRDefault="00641C90" w:rsidP="00641C90">
            <w:pPr>
              <w:pStyle w:val="ListParagraph"/>
              <w:numPr>
                <w:ilvl w:val="0"/>
                <w:numId w:val="29"/>
              </w:numPr>
              <w:spacing w:after="160" w:line="360" w:lineRule="auto"/>
              <w:jc w:val="both"/>
              <w:rPr>
                <w:rFonts w:ascii="Arial" w:eastAsia="Arial" w:hAnsi="Arial" w:cs="Arial"/>
              </w:rPr>
            </w:pPr>
            <w:r w:rsidRPr="0FBD62CF">
              <w:rPr>
                <w:rFonts w:ascii="Arial" w:eastAsia="Arial" w:hAnsi="Arial" w:cs="Arial"/>
              </w:rPr>
              <w:t xml:space="preserve">"Making sense of allergies" (PDF). Sense About Science. p. 1. [Accessed 1 June 2022] </w:t>
            </w:r>
          </w:p>
          <w:p w14:paraId="3240940E" w14:textId="77777777" w:rsidR="00641C90" w:rsidRDefault="00641C90" w:rsidP="00641C90">
            <w:pPr>
              <w:pStyle w:val="ListParagraph"/>
              <w:numPr>
                <w:ilvl w:val="0"/>
                <w:numId w:val="29"/>
              </w:numPr>
              <w:spacing w:after="160" w:line="360" w:lineRule="auto"/>
              <w:jc w:val="both"/>
              <w:rPr>
                <w:rFonts w:ascii="Arial" w:eastAsia="Arial" w:hAnsi="Arial" w:cs="Arial"/>
              </w:rPr>
            </w:pPr>
            <w:r w:rsidRPr="0FBD62CF">
              <w:rPr>
                <w:rFonts w:ascii="Arial" w:eastAsia="Arial" w:hAnsi="Arial" w:cs="Arial"/>
              </w:rPr>
              <w:lastRenderedPageBreak/>
              <w:t>National Institute of Allergy and Infectious Diseases (July 2012). "Food Allergy an Overview" [Accessed 1 June 2022]</w:t>
            </w:r>
          </w:p>
          <w:p w14:paraId="727CB4AD" w14:textId="77777777" w:rsidR="00641C90" w:rsidRDefault="00641C90" w:rsidP="00641C90">
            <w:pPr>
              <w:pStyle w:val="ListParagraph"/>
              <w:numPr>
                <w:ilvl w:val="0"/>
                <w:numId w:val="29"/>
              </w:numPr>
              <w:spacing w:after="160" w:line="360" w:lineRule="auto"/>
              <w:jc w:val="both"/>
              <w:rPr>
                <w:rFonts w:ascii="Arial" w:eastAsia="Arial" w:hAnsi="Arial" w:cs="Arial"/>
                <w:color w:val="202122"/>
              </w:rPr>
            </w:pPr>
            <w:r w:rsidRPr="0FBD62CF">
              <w:rPr>
                <w:rFonts w:ascii="Arial" w:eastAsia="Arial" w:hAnsi="Arial" w:cs="Arial"/>
                <w:color w:val="202122"/>
              </w:rPr>
              <w:t xml:space="preserve">Zurzolo GA, de Courten M, Koplin J, et al. (2016). "Is advising food allergic patients to avoid food with precautionary allergen labelling out of date?". Curr Opin Allergy Clin Immunol. </w:t>
            </w:r>
            <w:r w:rsidRPr="0FBD62CF">
              <w:rPr>
                <w:rFonts w:ascii="Arial" w:eastAsia="Arial" w:hAnsi="Arial" w:cs="Arial"/>
                <w:b/>
                <w:bCs/>
                <w:color w:val="202122"/>
              </w:rPr>
              <w:t>16</w:t>
            </w:r>
            <w:r w:rsidRPr="0FBD62CF">
              <w:rPr>
                <w:rFonts w:ascii="Arial" w:eastAsia="Arial" w:hAnsi="Arial" w:cs="Arial"/>
                <w:color w:val="202122"/>
              </w:rPr>
              <w:t xml:space="preserve"> (3): 272–277. [Accessed 1 June 2022]</w:t>
            </w:r>
          </w:p>
          <w:p w14:paraId="352C37A6" w14:textId="77777777" w:rsidR="00641C90" w:rsidRDefault="00641C90" w:rsidP="00641C90">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68219" w14:textId="77777777" w:rsidR="00827252" w:rsidRDefault="00827252">
      <w:r>
        <w:separator/>
      </w:r>
    </w:p>
  </w:endnote>
  <w:endnote w:type="continuationSeparator" w:id="0">
    <w:p w14:paraId="72E4D9CB" w14:textId="77777777" w:rsidR="00827252" w:rsidRDefault="008272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F2981" w14:textId="77777777" w:rsidR="00827252" w:rsidRDefault="00827252">
      <w:r>
        <w:separator/>
      </w:r>
    </w:p>
  </w:footnote>
  <w:footnote w:type="continuationSeparator" w:id="0">
    <w:p w14:paraId="6C798135" w14:textId="77777777" w:rsidR="00827252" w:rsidRDefault="008272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016997"/>
    <w:multiLevelType w:val="hybridMultilevel"/>
    <w:tmpl w:val="3202E5DC"/>
    <w:lvl w:ilvl="0" w:tplc="CD305CBA">
      <w:start w:val="1"/>
      <w:numFmt w:val="decimal"/>
      <w:lvlText w:val="%1."/>
      <w:lvlJc w:val="left"/>
      <w:pPr>
        <w:ind w:left="720" w:hanging="360"/>
      </w:pPr>
    </w:lvl>
    <w:lvl w:ilvl="1" w:tplc="A2FAF58A">
      <w:start w:val="1"/>
      <w:numFmt w:val="lowerLetter"/>
      <w:lvlText w:val="%2."/>
      <w:lvlJc w:val="left"/>
      <w:pPr>
        <w:ind w:left="1440" w:hanging="360"/>
      </w:pPr>
    </w:lvl>
    <w:lvl w:ilvl="2" w:tplc="71BA62B4">
      <w:start w:val="1"/>
      <w:numFmt w:val="lowerRoman"/>
      <w:lvlText w:val="%3."/>
      <w:lvlJc w:val="right"/>
      <w:pPr>
        <w:ind w:left="2160" w:hanging="180"/>
      </w:pPr>
    </w:lvl>
    <w:lvl w:ilvl="3" w:tplc="1430B8F4">
      <w:start w:val="1"/>
      <w:numFmt w:val="decimal"/>
      <w:lvlText w:val="%4."/>
      <w:lvlJc w:val="left"/>
      <w:pPr>
        <w:ind w:left="2880" w:hanging="360"/>
      </w:pPr>
    </w:lvl>
    <w:lvl w:ilvl="4" w:tplc="FA66B25A">
      <w:start w:val="1"/>
      <w:numFmt w:val="lowerLetter"/>
      <w:lvlText w:val="%5."/>
      <w:lvlJc w:val="left"/>
      <w:pPr>
        <w:ind w:left="3600" w:hanging="360"/>
      </w:pPr>
    </w:lvl>
    <w:lvl w:ilvl="5" w:tplc="A3B4AC52">
      <w:start w:val="1"/>
      <w:numFmt w:val="lowerRoman"/>
      <w:lvlText w:val="%6."/>
      <w:lvlJc w:val="right"/>
      <w:pPr>
        <w:ind w:left="4320" w:hanging="180"/>
      </w:pPr>
    </w:lvl>
    <w:lvl w:ilvl="6" w:tplc="67F000B4">
      <w:start w:val="1"/>
      <w:numFmt w:val="decimal"/>
      <w:lvlText w:val="%7."/>
      <w:lvlJc w:val="left"/>
      <w:pPr>
        <w:ind w:left="5040" w:hanging="360"/>
      </w:pPr>
    </w:lvl>
    <w:lvl w:ilvl="7" w:tplc="7C1CB478">
      <w:start w:val="1"/>
      <w:numFmt w:val="lowerLetter"/>
      <w:lvlText w:val="%8."/>
      <w:lvlJc w:val="left"/>
      <w:pPr>
        <w:ind w:left="5760" w:hanging="360"/>
      </w:pPr>
    </w:lvl>
    <w:lvl w:ilvl="8" w:tplc="FBEC3534">
      <w:start w:val="1"/>
      <w:numFmt w:val="lowerRoman"/>
      <w:lvlText w:val="%9."/>
      <w:lvlJc w:val="right"/>
      <w:pPr>
        <w:ind w:left="6480" w:hanging="180"/>
      </w:p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51215697">
    <w:abstractNumId w:val="12"/>
  </w:num>
  <w:num w:numId="2" w16cid:durableId="796997375">
    <w:abstractNumId w:val="4"/>
  </w:num>
  <w:num w:numId="3" w16cid:durableId="1562013786">
    <w:abstractNumId w:val="28"/>
  </w:num>
  <w:num w:numId="4" w16cid:durableId="272127937">
    <w:abstractNumId w:val="5"/>
  </w:num>
  <w:num w:numId="5" w16cid:durableId="774980951">
    <w:abstractNumId w:val="24"/>
  </w:num>
  <w:num w:numId="6" w16cid:durableId="1884823910">
    <w:abstractNumId w:val="6"/>
  </w:num>
  <w:num w:numId="7" w16cid:durableId="903688250">
    <w:abstractNumId w:val="0"/>
  </w:num>
  <w:num w:numId="8" w16cid:durableId="532766311">
    <w:abstractNumId w:val="27"/>
  </w:num>
  <w:num w:numId="9" w16cid:durableId="1930458171">
    <w:abstractNumId w:val="15"/>
  </w:num>
  <w:num w:numId="10" w16cid:durableId="625157741">
    <w:abstractNumId w:val="19"/>
  </w:num>
  <w:num w:numId="11" w16cid:durableId="157693679">
    <w:abstractNumId w:val="3"/>
  </w:num>
  <w:num w:numId="12" w16cid:durableId="2026442898">
    <w:abstractNumId w:val="13"/>
  </w:num>
  <w:num w:numId="13" w16cid:durableId="1771777559">
    <w:abstractNumId w:val="2"/>
  </w:num>
  <w:num w:numId="14" w16cid:durableId="887767763">
    <w:abstractNumId w:val="9"/>
  </w:num>
  <w:num w:numId="15" w16cid:durableId="733700423">
    <w:abstractNumId w:val="18"/>
  </w:num>
  <w:num w:numId="16" w16cid:durableId="1454523144">
    <w:abstractNumId w:val="20"/>
  </w:num>
  <w:num w:numId="17" w16cid:durableId="1574505266">
    <w:abstractNumId w:val="1"/>
  </w:num>
  <w:num w:numId="18" w16cid:durableId="383407114">
    <w:abstractNumId w:val="26"/>
  </w:num>
  <w:num w:numId="19" w16cid:durableId="456686253">
    <w:abstractNumId w:val="8"/>
  </w:num>
  <w:num w:numId="20" w16cid:durableId="1124228282">
    <w:abstractNumId w:val="21"/>
  </w:num>
  <w:num w:numId="21" w16cid:durableId="2005040334">
    <w:abstractNumId w:val="11"/>
  </w:num>
  <w:num w:numId="22" w16cid:durableId="475805032">
    <w:abstractNumId w:val="17"/>
  </w:num>
  <w:num w:numId="23" w16cid:durableId="1071781250">
    <w:abstractNumId w:val="25"/>
  </w:num>
  <w:num w:numId="24" w16cid:durableId="1048843603">
    <w:abstractNumId w:val="10"/>
  </w:num>
  <w:num w:numId="25" w16cid:durableId="203102915">
    <w:abstractNumId w:val="23"/>
  </w:num>
  <w:num w:numId="26" w16cid:durableId="1134561662">
    <w:abstractNumId w:val="7"/>
  </w:num>
  <w:num w:numId="27" w16cid:durableId="679354292">
    <w:abstractNumId w:val="22"/>
  </w:num>
  <w:num w:numId="28" w16cid:durableId="808203896">
    <w:abstractNumId w:val="14"/>
  </w:num>
  <w:num w:numId="29" w16cid:durableId="33542735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1C90"/>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27252"/>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TitleChar">
    <w:name w:val="Title Char"/>
    <w:basedOn w:val="DefaultParagraphFont"/>
    <w:link w:val="Title"/>
    <w:uiPriority w:val="10"/>
    <w:rsid w:val="00641C9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641C90"/>
    <w:pPr>
      <w:contextualSpacing/>
    </w:pPr>
    <w:rPr>
      <w:rFonts w:asciiTheme="majorHAnsi" w:eastAsiaTheme="majorEastAsia" w:hAnsiTheme="majorHAnsi" w:cstheme="majorBidi"/>
      <w:spacing w:val="-10"/>
      <w:kern w:val="28"/>
      <w:sz w:val="56"/>
      <w:szCs w:val="56"/>
    </w:rPr>
  </w:style>
  <w:style w:type="character" w:customStyle="1" w:styleId="TitleChar1">
    <w:name w:val="Title Char1"/>
    <w:basedOn w:val="DefaultParagraphFont"/>
    <w:rsid w:val="00641C90"/>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41C9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821935">
      <w:bodyDiv w:val="1"/>
      <w:marLeft w:val="0"/>
      <w:marRight w:val="0"/>
      <w:marTop w:val="0"/>
      <w:marBottom w:val="0"/>
      <w:divBdr>
        <w:top w:val="none" w:sz="0" w:space="0" w:color="auto"/>
        <w:left w:val="none" w:sz="0" w:space="0" w:color="auto"/>
        <w:bottom w:val="none" w:sz="0" w:space="0" w:color="auto"/>
        <w:right w:val="none" w:sz="0" w:space="0" w:color="auto"/>
      </w:divBdr>
      <w:divsChild>
        <w:div w:id="1951400222">
          <w:marLeft w:val="0"/>
          <w:marRight w:val="0"/>
          <w:marTop w:val="0"/>
          <w:marBottom w:val="0"/>
          <w:divBdr>
            <w:top w:val="none" w:sz="0" w:space="0" w:color="auto"/>
            <w:left w:val="none" w:sz="0" w:space="0" w:color="auto"/>
            <w:bottom w:val="none" w:sz="0" w:space="0" w:color="auto"/>
            <w:right w:val="none" w:sz="0" w:space="0" w:color="auto"/>
          </w:divBdr>
          <w:divsChild>
            <w:div w:id="108383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fsis.usda.gov/wps/wcm/connect/09708e0b-1c79-43b4-99c4-78e408d01df1/35_IM_Ingredients_Health_Concern.pdf?MOD=AJPER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994</Words>
  <Characters>5666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Microsoft Office User</cp:lastModifiedBy>
  <cp:revision>3</cp:revision>
  <cp:lastPrinted>2020-09-28T20:53:00Z</cp:lastPrinted>
  <dcterms:created xsi:type="dcterms:W3CDTF">2022-01-12T15:50:00Z</dcterms:created>
  <dcterms:modified xsi:type="dcterms:W3CDTF">2022-06-02T18:14:00Z</dcterms:modified>
</cp:coreProperties>
</file>