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3DF03862" w14:textId="1BE90DF9" w:rsidR="6815BC1F" w:rsidRPr="00C84FC4" w:rsidRDefault="6815BC1F" w:rsidP="00C84FC4">
      <w:pPr>
        <w:spacing w:before="240" w:after="0" w:line="240" w:lineRule="auto"/>
        <w:ind w:firstLine="709"/>
        <w:jc w:val="both"/>
        <w:rPr>
          <w:rFonts w:ascii="Calibri" w:eastAsia="Calibri" w:hAnsi="Calibri" w:cs="Calibri"/>
          <w:sz w:val="22"/>
          <w:szCs w:val="22"/>
        </w:rPr>
      </w:pPr>
      <w:r w:rsidRPr="00C84FC4">
        <w:rPr>
          <w:rFonts w:ascii="Calibri" w:eastAsia="Calibri" w:hAnsi="Calibri" w:cs="Calibri"/>
          <w:sz w:val="22"/>
          <w:szCs w:val="22"/>
        </w:rPr>
        <w:t>This essay aims to compare and contrast Nancy Siraisi’s paper on ‘Anatomizing the Past: Physicians and History in Renaissance Culture’</w:t>
      </w:r>
      <w:r w:rsidRPr="00C84FC4">
        <w:rPr>
          <w:rStyle w:val="FootnoteReference"/>
          <w:rFonts w:ascii="Calibri" w:eastAsia="Calibri" w:hAnsi="Calibri" w:cs="Calibri"/>
          <w:sz w:val="22"/>
          <w:szCs w:val="22"/>
        </w:rPr>
        <w:footnoteReference w:id="2"/>
      </w:r>
      <w:r w:rsidRPr="00C84FC4">
        <w:rPr>
          <w:rFonts w:ascii="Calibri" w:eastAsia="Calibri" w:hAnsi="Calibri" w:cs="Calibri"/>
          <w:sz w:val="22"/>
          <w:szCs w:val="22"/>
        </w:rPr>
        <w:t xml:space="preserve"> published in </w:t>
      </w:r>
      <w:r w:rsidRPr="00C84FC4">
        <w:rPr>
          <w:rFonts w:ascii="Calibri" w:eastAsia="Calibri" w:hAnsi="Calibri" w:cs="Calibri"/>
          <w:i/>
          <w:iCs/>
          <w:sz w:val="22"/>
          <w:szCs w:val="22"/>
        </w:rPr>
        <w:t>Renaissance Quarterly</w:t>
      </w:r>
      <w:r w:rsidRPr="00C84FC4">
        <w:rPr>
          <w:rFonts w:ascii="Calibri" w:eastAsia="Calibri" w:hAnsi="Calibri" w:cs="Calibri"/>
          <w:sz w:val="22"/>
          <w:szCs w:val="22"/>
        </w:rPr>
        <w:t xml:space="preserve"> in the Spring of 2000, with Alisha Rankin’s paper ‘Telling Time Through Medicine: A gendered Perspective’</w:t>
      </w:r>
      <w:r w:rsidRPr="00C84FC4">
        <w:rPr>
          <w:rStyle w:val="FootnoteReference"/>
          <w:rFonts w:ascii="Calibri" w:eastAsia="Calibri" w:hAnsi="Calibri" w:cs="Calibri"/>
          <w:sz w:val="22"/>
          <w:szCs w:val="22"/>
        </w:rPr>
        <w:footnoteReference w:id="3"/>
      </w:r>
      <w:r w:rsidRPr="00C84FC4">
        <w:rPr>
          <w:rFonts w:ascii="Calibri" w:eastAsia="Calibri" w:hAnsi="Calibri" w:cs="Calibri"/>
          <w:sz w:val="22"/>
          <w:szCs w:val="22"/>
        </w:rPr>
        <w:t xml:space="preserve"> published in the book ‘Gendered Temporalities in the Early Modern World’</w:t>
      </w:r>
      <w:r w:rsidRPr="00C84FC4">
        <w:rPr>
          <w:rStyle w:val="FootnoteReference"/>
          <w:rFonts w:ascii="Calibri" w:eastAsia="Calibri" w:hAnsi="Calibri" w:cs="Calibri"/>
          <w:sz w:val="22"/>
          <w:szCs w:val="22"/>
        </w:rPr>
        <w:footnoteReference w:id="4"/>
      </w:r>
      <w:r w:rsidRPr="00C84FC4">
        <w:rPr>
          <w:rFonts w:ascii="Calibri" w:eastAsia="Calibri" w:hAnsi="Calibri" w:cs="Calibri"/>
          <w:sz w:val="22"/>
          <w:szCs w:val="22"/>
        </w:rPr>
        <w:t xml:space="preserve"> edited by Merry E. </w:t>
      </w:r>
      <w:bookmarkStart w:id="0" w:name="_Int_jPaC3YWk"/>
      <w:r w:rsidRPr="00C84FC4">
        <w:rPr>
          <w:rFonts w:ascii="Calibri" w:eastAsia="Calibri" w:hAnsi="Calibri" w:cs="Calibri"/>
          <w:sz w:val="22"/>
          <w:szCs w:val="22"/>
        </w:rPr>
        <w:t>Weisner-Hanks in 2018.</w:t>
      </w:r>
      <w:bookmarkEnd w:id="0"/>
      <w:r w:rsidRPr="00C84FC4">
        <w:rPr>
          <w:rFonts w:ascii="Calibri" w:eastAsia="Calibri" w:hAnsi="Calibri" w:cs="Calibri"/>
          <w:sz w:val="22"/>
          <w:szCs w:val="22"/>
        </w:rPr>
        <w:t xml:space="preserve"> Siraisi’s paper attempts to demonstrate how medical practitioners during the Renaissance concerned themselves with historical accounts of their disciplines. </w:t>
      </w:r>
      <w:r w:rsidR="12B5780D" w:rsidRPr="00C84FC4">
        <w:rPr>
          <w:rFonts w:ascii="Calibri" w:eastAsia="Calibri" w:hAnsi="Calibri" w:cs="Calibri"/>
          <w:sz w:val="22"/>
          <w:szCs w:val="22"/>
        </w:rPr>
        <w:t>She provides evidence that these authors</w:t>
      </w:r>
      <w:r w:rsidR="00F67CDA">
        <w:rPr>
          <w:rFonts w:ascii="Calibri" w:eastAsia="Calibri" w:hAnsi="Calibri" w:cs="Calibri"/>
          <w:sz w:val="22"/>
          <w:szCs w:val="22"/>
        </w:rPr>
        <w:t xml:space="preserve"> both</w:t>
      </w:r>
      <w:r w:rsidR="12B5780D" w:rsidRPr="00C84FC4">
        <w:rPr>
          <w:rFonts w:ascii="Calibri" w:eastAsia="Calibri" w:hAnsi="Calibri" w:cs="Calibri"/>
          <w:sz w:val="22"/>
          <w:szCs w:val="22"/>
        </w:rPr>
        <w:t xml:space="preserve"> read and wrote medical history for their own interest and </w:t>
      </w:r>
      <w:r w:rsidR="34859E2A" w:rsidRPr="00C84FC4">
        <w:rPr>
          <w:rFonts w:ascii="Calibri" w:eastAsia="Calibri" w:hAnsi="Calibri" w:cs="Calibri"/>
          <w:sz w:val="22"/>
          <w:szCs w:val="22"/>
        </w:rPr>
        <w:t xml:space="preserve">to </w:t>
      </w:r>
      <w:r w:rsidR="12B5780D" w:rsidRPr="00C84FC4">
        <w:rPr>
          <w:rFonts w:ascii="Calibri" w:eastAsia="Calibri" w:hAnsi="Calibri" w:cs="Calibri"/>
          <w:sz w:val="22"/>
          <w:szCs w:val="22"/>
        </w:rPr>
        <w:t>record contemporary knowledge for future medical use.</w:t>
      </w:r>
      <w:r w:rsidRPr="00C84FC4">
        <w:rPr>
          <w:rFonts w:ascii="Calibri" w:eastAsia="Calibri" w:hAnsi="Calibri" w:cs="Calibri"/>
          <w:sz w:val="22"/>
          <w:szCs w:val="22"/>
        </w:rPr>
        <w:t xml:space="preserve"> </w:t>
      </w:r>
      <w:r w:rsidR="406DF909" w:rsidRPr="00C84FC4">
        <w:rPr>
          <w:rFonts w:ascii="Calibri" w:eastAsia="Calibri" w:hAnsi="Calibri" w:cs="Calibri"/>
          <w:sz w:val="22"/>
          <w:szCs w:val="22"/>
        </w:rPr>
        <w:t xml:space="preserve">She employs many </w:t>
      </w:r>
      <w:r w:rsidR="0033632E">
        <w:rPr>
          <w:rFonts w:ascii="Calibri" w:eastAsia="Calibri" w:hAnsi="Calibri" w:cs="Calibri"/>
          <w:sz w:val="22"/>
          <w:szCs w:val="22"/>
        </w:rPr>
        <w:t>primary sources</w:t>
      </w:r>
      <w:r w:rsidR="406DF909" w:rsidRPr="00C84FC4">
        <w:rPr>
          <w:rFonts w:ascii="Calibri" w:eastAsia="Calibri" w:hAnsi="Calibri" w:cs="Calibri"/>
          <w:sz w:val="22"/>
          <w:szCs w:val="22"/>
        </w:rPr>
        <w:t xml:space="preserve"> </w:t>
      </w:r>
      <w:r w:rsidR="00F67CDA">
        <w:rPr>
          <w:rFonts w:ascii="Calibri" w:eastAsia="Calibri" w:hAnsi="Calibri" w:cs="Calibri"/>
          <w:sz w:val="22"/>
          <w:szCs w:val="22"/>
        </w:rPr>
        <w:t>encompassing</w:t>
      </w:r>
      <w:r w:rsidR="406DF909" w:rsidRPr="00C84FC4">
        <w:rPr>
          <w:rFonts w:ascii="Calibri" w:eastAsia="Calibri" w:hAnsi="Calibri" w:cs="Calibri"/>
          <w:sz w:val="22"/>
          <w:szCs w:val="22"/>
        </w:rPr>
        <w:t xml:space="preserve"> </w:t>
      </w:r>
      <w:r w:rsidR="00203E76">
        <w:rPr>
          <w:rFonts w:ascii="Calibri" w:eastAsia="Calibri" w:hAnsi="Calibri" w:cs="Calibri"/>
          <w:sz w:val="22"/>
          <w:szCs w:val="22"/>
        </w:rPr>
        <w:t>mainly</w:t>
      </w:r>
      <w:r w:rsidR="406DF909" w:rsidRPr="00C84FC4">
        <w:rPr>
          <w:rFonts w:ascii="Calibri" w:eastAsia="Calibri" w:hAnsi="Calibri" w:cs="Calibri"/>
          <w:sz w:val="22"/>
          <w:szCs w:val="22"/>
        </w:rPr>
        <w:t xml:space="preserve"> the </w:t>
      </w:r>
      <w:r w:rsidR="4D09A54A" w:rsidRPr="00C84FC4">
        <w:rPr>
          <w:rFonts w:ascii="Calibri" w:eastAsia="Calibri" w:hAnsi="Calibri" w:cs="Calibri"/>
          <w:sz w:val="22"/>
          <w:szCs w:val="22"/>
        </w:rPr>
        <w:t>15</w:t>
      </w:r>
      <w:r w:rsidR="4D09A54A" w:rsidRPr="00C84FC4">
        <w:rPr>
          <w:rFonts w:ascii="Calibri" w:eastAsia="Calibri" w:hAnsi="Calibri" w:cs="Calibri"/>
          <w:sz w:val="22"/>
          <w:szCs w:val="22"/>
          <w:vertAlign w:val="superscript"/>
        </w:rPr>
        <w:t>th</w:t>
      </w:r>
      <w:r w:rsidR="406DF909" w:rsidRPr="00C84FC4">
        <w:rPr>
          <w:rFonts w:ascii="Calibri" w:eastAsia="Calibri" w:hAnsi="Calibri" w:cs="Calibri"/>
          <w:sz w:val="22"/>
          <w:szCs w:val="22"/>
        </w:rPr>
        <w:t xml:space="preserve"> and </w:t>
      </w:r>
      <w:r w:rsidR="38B2C0DA" w:rsidRPr="00C84FC4">
        <w:rPr>
          <w:rFonts w:ascii="Calibri" w:eastAsia="Calibri" w:hAnsi="Calibri" w:cs="Calibri"/>
          <w:sz w:val="22"/>
          <w:szCs w:val="22"/>
        </w:rPr>
        <w:t>16</w:t>
      </w:r>
      <w:r w:rsidR="38B2C0DA" w:rsidRPr="00C84FC4">
        <w:rPr>
          <w:rFonts w:ascii="Calibri" w:eastAsia="Calibri" w:hAnsi="Calibri" w:cs="Calibri"/>
          <w:sz w:val="22"/>
          <w:szCs w:val="22"/>
          <w:vertAlign w:val="superscript"/>
        </w:rPr>
        <w:t>th</w:t>
      </w:r>
      <w:r w:rsidR="406DF909" w:rsidRPr="00C84FC4">
        <w:rPr>
          <w:rFonts w:ascii="Calibri" w:eastAsia="Calibri" w:hAnsi="Calibri" w:cs="Calibri"/>
          <w:sz w:val="22"/>
          <w:szCs w:val="22"/>
        </w:rPr>
        <w:t xml:space="preserve"> centuries.</w:t>
      </w:r>
      <w:r w:rsidRPr="00C84FC4">
        <w:rPr>
          <w:rFonts w:ascii="Calibri" w:eastAsia="Calibri" w:hAnsi="Calibri" w:cs="Calibri"/>
          <w:sz w:val="22"/>
          <w:szCs w:val="22"/>
        </w:rPr>
        <w:t xml:space="preserve"> </w:t>
      </w:r>
      <w:r w:rsidR="6EC74487" w:rsidRPr="00C84FC4">
        <w:rPr>
          <w:rFonts w:ascii="Calibri" w:eastAsia="Calibri" w:hAnsi="Calibri" w:cs="Calibri"/>
          <w:sz w:val="22"/>
          <w:szCs w:val="22"/>
        </w:rPr>
        <w:t>Rankin’s paper, however, aims to convince the reader that gender was a crucial consideration in Renaissance medical temporalities.</w:t>
      </w:r>
      <w:r w:rsidRPr="00C84FC4">
        <w:rPr>
          <w:rFonts w:ascii="Calibri" w:eastAsia="Calibri" w:hAnsi="Calibri" w:cs="Calibri"/>
          <w:sz w:val="22"/>
          <w:szCs w:val="22"/>
        </w:rPr>
        <w:t xml:space="preserve"> She demonstrates how women, specifically two</w:t>
      </w:r>
      <w:r w:rsidR="00F67CDA">
        <w:rPr>
          <w:rFonts w:ascii="Calibri" w:eastAsia="Calibri" w:hAnsi="Calibri" w:cs="Calibri"/>
          <w:sz w:val="22"/>
          <w:szCs w:val="22"/>
        </w:rPr>
        <w:t xml:space="preserve"> German</w:t>
      </w:r>
      <w:r w:rsidRPr="00C84FC4">
        <w:rPr>
          <w:rFonts w:ascii="Calibri" w:eastAsia="Calibri" w:hAnsi="Calibri" w:cs="Calibri"/>
          <w:sz w:val="22"/>
          <w:szCs w:val="22"/>
        </w:rPr>
        <w:t xml:space="preserve"> </w:t>
      </w:r>
      <w:bookmarkStart w:id="1" w:name="_Int_PGlj3mlZ"/>
      <w:r w:rsidRPr="00C84FC4">
        <w:rPr>
          <w:rFonts w:ascii="Calibri" w:eastAsia="Calibri" w:hAnsi="Calibri" w:cs="Calibri"/>
          <w:sz w:val="22"/>
          <w:szCs w:val="22"/>
        </w:rPr>
        <w:t>noblewomen</w:t>
      </w:r>
      <w:bookmarkEnd w:id="1"/>
      <w:r w:rsidRPr="00C84FC4">
        <w:rPr>
          <w:rFonts w:ascii="Calibri" w:eastAsia="Calibri" w:hAnsi="Calibri" w:cs="Calibri"/>
          <w:sz w:val="22"/>
          <w:szCs w:val="22"/>
        </w:rPr>
        <w:t xml:space="preserve">, </w:t>
      </w:r>
      <w:r w:rsidR="00F67CDA">
        <w:rPr>
          <w:rFonts w:ascii="Calibri" w:eastAsia="Calibri" w:hAnsi="Calibri" w:cs="Calibri"/>
          <w:sz w:val="22"/>
          <w:szCs w:val="22"/>
        </w:rPr>
        <w:t xml:space="preserve">heavily </w:t>
      </w:r>
      <w:r w:rsidRPr="00C84FC4">
        <w:rPr>
          <w:rFonts w:ascii="Calibri" w:eastAsia="Calibri" w:hAnsi="Calibri" w:cs="Calibri"/>
          <w:sz w:val="22"/>
          <w:szCs w:val="22"/>
        </w:rPr>
        <w:t xml:space="preserve">relied on non-traditional timing methods in their healing practices, most notably, the use of botanical and </w:t>
      </w:r>
      <w:r w:rsidR="48983B28" w:rsidRPr="00C84FC4">
        <w:rPr>
          <w:rFonts w:ascii="Calibri" w:eastAsia="Calibri" w:hAnsi="Calibri" w:cs="Calibri"/>
          <w:sz w:val="22"/>
          <w:szCs w:val="22"/>
        </w:rPr>
        <w:t xml:space="preserve">female </w:t>
      </w:r>
      <w:r w:rsidRPr="00C84FC4">
        <w:rPr>
          <w:rFonts w:ascii="Calibri" w:eastAsia="Calibri" w:hAnsi="Calibri" w:cs="Calibri"/>
          <w:sz w:val="22"/>
          <w:szCs w:val="22"/>
        </w:rPr>
        <w:t>embodied time. Her main method of communicating her thesis is</w:t>
      </w:r>
      <w:r w:rsidR="00F67CDA">
        <w:rPr>
          <w:rFonts w:ascii="Calibri" w:eastAsia="Calibri" w:hAnsi="Calibri" w:cs="Calibri"/>
          <w:sz w:val="22"/>
          <w:szCs w:val="22"/>
        </w:rPr>
        <w:t xml:space="preserve"> by</w:t>
      </w:r>
      <w:r w:rsidRPr="00C84FC4">
        <w:rPr>
          <w:rFonts w:ascii="Calibri" w:eastAsia="Calibri" w:hAnsi="Calibri" w:cs="Calibri"/>
          <w:sz w:val="22"/>
          <w:szCs w:val="22"/>
        </w:rPr>
        <w:t xml:space="preserve"> </w:t>
      </w:r>
      <w:r w:rsidR="4409E9E6" w:rsidRPr="00C84FC4">
        <w:rPr>
          <w:rFonts w:ascii="Calibri" w:eastAsia="Calibri" w:hAnsi="Calibri" w:cs="Calibri"/>
          <w:sz w:val="22"/>
          <w:szCs w:val="22"/>
        </w:rPr>
        <w:t>excerpts</w:t>
      </w:r>
      <w:r w:rsidRPr="00C84FC4">
        <w:rPr>
          <w:rFonts w:ascii="Calibri" w:eastAsia="Calibri" w:hAnsi="Calibri" w:cs="Calibri"/>
          <w:sz w:val="22"/>
          <w:szCs w:val="22"/>
        </w:rPr>
        <w:t xml:space="preserve"> from the written letters of </w:t>
      </w:r>
      <w:r w:rsidR="00F67CDA">
        <w:rPr>
          <w:rFonts w:ascii="Calibri" w:eastAsia="Calibri" w:hAnsi="Calibri" w:cs="Calibri"/>
          <w:sz w:val="22"/>
          <w:szCs w:val="22"/>
        </w:rPr>
        <w:t>C</w:t>
      </w:r>
      <w:r w:rsidRPr="00C84FC4">
        <w:rPr>
          <w:rFonts w:ascii="Calibri" w:eastAsia="Calibri" w:hAnsi="Calibri" w:cs="Calibri"/>
          <w:sz w:val="22"/>
          <w:szCs w:val="22"/>
        </w:rPr>
        <w:t xml:space="preserve">ountess Dorothea of Mansfeld to </w:t>
      </w:r>
      <w:r w:rsidR="2D051121" w:rsidRPr="00C84FC4">
        <w:rPr>
          <w:rFonts w:ascii="Calibri" w:eastAsia="Calibri" w:hAnsi="Calibri" w:cs="Calibri"/>
          <w:sz w:val="22"/>
          <w:szCs w:val="22"/>
        </w:rPr>
        <w:t>Electress</w:t>
      </w:r>
      <w:r w:rsidRPr="00C84FC4">
        <w:rPr>
          <w:rFonts w:ascii="Calibri" w:eastAsia="Calibri" w:hAnsi="Calibri" w:cs="Calibri"/>
          <w:sz w:val="22"/>
          <w:szCs w:val="22"/>
        </w:rPr>
        <w:t xml:space="preserve"> Anna of Saxony in the late 16</w:t>
      </w:r>
      <w:r w:rsidRPr="00C84FC4">
        <w:rPr>
          <w:rFonts w:ascii="Calibri" w:eastAsia="Calibri" w:hAnsi="Calibri" w:cs="Calibri"/>
          <w:sz w:val="22"/>
          <w:szCs w:val="22"/>
          <w:vertAlign w:val="superscript"/>
        </w:rPr>
        <w:t>th</w:t>
      </w:r>
      <w:r w:rsidRPr="00C84FC4">
        <w:rPr>
          <w:rFonts w:ascii="Calibri" w:eastAsia="Calibri" w:hAnsi="Calibri" w:cs="Calibri"/>
          <w:sz w:val="22"/>
          <w:szCs w:val="22"/>
        </w:rPr>
        <w:t xml:space="preserve"> century. In this essay, the presentation of their arguments will be </w:t>
      </w:r>
      <w:r w:rsidR="2DECD1A6" w:rsidRPr="00C84FC4">
        <w:rPr>
          <w:rFonts w:ascii="Calibri" w:eastAsia="Calibri" w:hAnsi="Calibri" w:cs="Calibri"/>
          <w:sz w:val="22"/>
          <w:szCs w:val="22"/>
        </w:rPr>
        <w:t>analyzed</w:t>
      </w:r>
      <w:r w:rsidRPr="00C84FC4">
        <w:rPr>
          <w:rFonts w:ascii="Calibri" w:eastAsia="Calibri" w:hAnsi="Calibri" w:cs="Calibri"/>
          <w:sz w:val="22"/>
          <w:szCs w:val="22"/>
        </w:rPr>
        <w:t xml:space="preserve"> in detail, focusing on structure and delivery. This essay will then go on to </w:t>
      </w:r>
      <w:r w:rsidR="721C51AB" w:rsidRPr="00C84FC4">
        <w:rPr>
          <w:rFonts w:ascii="Calibri" w:eastAsia="Calibri" w:hAnsi="Calibri" w:cs="Calibri"/>
          <w:sz w:val="22"/>
          <w:szCs w:val="22"/>
        </w:rPr>
        <w:t>compare</w:t>
      </w:r>
      <w:r w:rsidR="1B33D0A9" w:rsidRPr="00C84FC4">
        <w:rPr>
          <w:rFonts w:ascii="Calibri" w:eastAsia="Calibri" w:hAnsi="Calibri" w:cs="Calibri"/>
          <w:sz w:val="22"/>
          <w:szCs w:val="22"/>
        </w:rPr>
        <w:t xml:space="preserve"> </w:t>
      </w:r>
      <w:r w:rsidRPr="00C84FC4">
        <w:rPr>
          <w:rFonts w:ascii="Calibri" w:eastAsia="Calibri" w:hAnsi="Calibri" w:cs="Calibri"/>
          <w:sz w:val="22"/>
          <w:szCs w:val="22"/>
        </w:rPr>
        <w:t>th</w:t>
      </w:r>
      <w:r w:rsidR="00930B5F" w:rsidRPr="00C84FC4">
        <w:rPr>
          <w:rFonts w:ascii="Calibri" w:eastAsia="Calibri" w:hAnsi="Calibri" w:cs="Calibri"/>
          <w:sz w:val="22"/>
          <w:szCs w:val="22"/>
        </w:rPr>
        <w:t>e considerations of gender</w:t>
      </w:r>
      <w:r w:rsidRPr="00C84FC4">
        <w:rPr>
          <w:rFonts w:ascii="Calibri" w:eastAsia="Calibri" w:hAnsi="Calibri" w:cs="Calibri"/>
          <w:sz w:val="22"/>
          <w:szCs w:val="22"/>
        </w:rPr>
        <w:t xml:space="preserve"> </w:t>
      </w:r>
      <w:r w:rsidR="00930B5F" w:rsidRPr="00C84FC4">
        <w:rPr>
          <w:rFonts w:ascii="Calibri" w:eastAsia="Calibri" w:hAnsi="Calibri" w:cs="Calibri"/>
          <w:sz w:val="22"/>
          <w:szCs w:val="22"/>
        </w:rPr>
        <w:t xml:space="preserve">in </w:t>
      </w:r>
      <w:r w:rsidRPr="00C84FC4">
        <w:rPr>
          <w:rFonts w:ascii="Calibri" w:eastAsia="Calibri" w:hAnsi="Calibri" w:cs="Calibri"/>
          <w:sz w:val="22"/>
          <w:szCs w:val="22"/>
        </w:rPr>
        <w:t xml:space="preserve">both papers followed by a discussion on how the main idea of temporalities in </w:t>
      </w:r>
      <w:r w:rsidR="00F67CDA">
        <w:rPr>
          <w:rFonts w:ascii="Calibri" w:eastAsia="Calibri" w:hAnsi="Calibri" w:cs="Calibri"/>
          <w:sz w:val="22"/>
          <w:szCs w:val="22"/>
        </w:rPr>
        <w:t xml:space="preserve">the </w:t>
      </w:r>
      <w:r w:rsidRPr="00C84FC4">
        <w:rPr>
          <w:rFonts w:ascii="Calibri" w:eastAsia="Calibri" w:hAnsi="Calibri" w:cs="Calibri"/>
          <w:sz w:val="22"/>
          <w:szCs w:val="22"/>
        </w:rPr>
        <w:t>contemporary medical practice is communicated to the reader.</w:t>
      </w:r>
    </w:p>
    <w:p w14:paraId="02E846A6" w14:textId="4E1CEB37" w:rsidR="3367070F" w:rsidRPr="00C84FC4" w:rsidRDefault="3367070F" w:rsidP="00C84FC4">
      <w:pPr>
        <w:spacing w:before="240" w:after="0" w:line="240" w:lineRule="auto"/>
        <w:ind w:firstLine="709"/>
        <w:jc w:val="both"/>
        <w:rPr>
          <w:rFonts w:ascii="Calibri" w:eastAsia="Calibri" w:hAnsi="Calibri" w:cs="Calibri"/>
          <w:sz w:val="22"/>
          <w:szCs w:val="22"/>
        </w:rPr>
      </w:pPr>
      <w:r w:rsidRPr="00C84FC4">
        <w:rPr>
          <w:rFonts w:ascii="Calibri" w:eastAsia="Calibri" w:hAnsi="Calibri" w:cs="Calibri"/>
          <w:sz w:val="22"/>
          <w:szCs w:val="22"/>
        </w:rPr>
        <w:t>Both authors attempt to present their arguments in a highly structured manner, however, both structures differ</w:t>
      </w:r>
      <w:r w:rsidR="004339D8">
        <w:rPr>
          <w:rFonts w:ascii="Calibri" w:eastAsia="Calibri" w:hAnsi="Calibri" w:cs="Calibri"/>
          <w:sz w:val="22"/>
          <w:szCs w:val="22"/>
        </w:rPr>
        <w:t xml:space="preserve"> </w:t>
      </w:r>
      <w:r w:rsidR="05322D83" w:rsidRPr="00C84FC4">
        <w:rPr>
          <w:rFonts w:ascii="Calibri" w:eastAsia="Calibri" w:hAnsi="Calibri" w:cs="Calibri"/>
          <w:sz w:val="22"/>
          <w:szCs w:val="22"/>
        </w:rPr>
        <w:t>in part due</w:t>
      </w:r>
      <w:r w:rsidR="00935A2E">
        <w:rPr>
          <w:rFonts w:ascii="Calibri" w:eastAsia="Calibri" w:hAnsi="Calibri" w:cs="Calibri"/>
          <w:sz w:val="22"/>
          <w:szCs w:val="22"/>
        </w:rPr>
        <w:t xml:space="preserve"> overall scope</w:t>
      </w:r>
      <w:r w:rsidR="00BA67EA">
        <w:rPr>
          <w:rFonts w:ascii="Calibri" w:eastAsia="Calibri" w:hAnsi="Calibri" w:cs="Calibri"/>
          <w:sz w:val="22"/>
          <w:szCs w:val="22"/>
        </w:rPr>
        <w:t xml:space="preserve"> and in part</w:t>
      </w:r>
      <w:r w:rsidR="05322D83" w:rsidRPr="00C84FC4">
        <w:rPr>
          <w:rFonts w:ascii="Calibri" w:eastAsia="Calibri" w:hAnsi="Calibri" w:cs="Calibri"/>
          <w:sz w:val="22"/>
          <w:szCs w:val="22"/>
        </w:rPr>
        <w:t xml:space="preserve"> </w:t>
      </w:r>
      <w:r w:rsidR="006B2BC0">
        <w:rPr>
          <w:rFonts w:ascii="Calibri" w:eastAsia="Calibri" w:hAnsi="Calibri" w:cs="Calibri"/>
          <w:sz w:val="22"/>
          <w:szCs w:val="22"/>
        </w:rPr>
        <w:t xml:space="preserve">due </w:t>
      </w:r>
      <w:r w:rsidRPr="00C84FC4">
        <w:rPr>
          <w:rFonts w:ascii="Calibri" w:eastAsia="Calibri" w:hAnsi="Calibri" w:cs="Calibri"/>
          <w:sz w:val="22"/>
          <w:szCs w:val="22"/>
        </w:rPr>
        <w:t>to their target audiences</w:t>
      </w:r>
      <w:r w:rsidR="7CE37392" w:rsidRPr="00C84FC4">
        <w:rPr>
          <w:rFonts w:ascii="Calibri" w:eastAsia="Calibri" w:hAnsi="Calibri" w:cs="Calibri"/>
          <w:sz w:val="22"/>
          <w:szCs w:val="22"/>
        </w:rPr>
        <w:t xml:space="preserve"> and</w:t>
      </w:r>
      <w:r w:rsidR="62CFBE8D" w:rsidRPr="00C84FC4">
        <w:rPr>
          <w:rFonts w:ascii="Calibri" w:eastAsia="Calibri" w:hAnsi="Calibri" w:cs="Calibri"/>
          <w:sz w:val="22"/>
          <w:szCs w:val="22"/>
        </w:rPr>
        <w:t xml:space="preserve"> the</w:t>
      </w:r>
      <w:r w:rsidR="7CE37392" w:rsidRPr="00C84FC4">
        <w:rPr>
          <w:rFonts w:ascii="Calibri" w:eastAsia="Calibri" w:hAnsi="Calibri" w:cs="Calibri"/>
          <w:sz w:val="22"/>
          <w:szCs w:val="22"/>
        </w:rPr>
        <w:t xml:space="preserve"> mode of publication</w:t>
      </w:r>
      <w:r w:rsidRPr="00C84FC4">
        <w:rPr>
          <w:rFonts w:ascii="Calibri" w:eastAsia="Calibri" w:hAnsi="Calibri" w:cs="Calibri"/>
          <w:sz w:val="22"/>
          <w:szCs w:val="22"/>
        </w:rPr>
        <w:t>. Siraisi outlines the study of history through the eyes of medical practitioners from ‘the formulaic past for their own discipline’</w:t>
      </w:r>
      <w:r w:rsidRPr="00C84FC4">
        <w:rPr>
          <w:rStyle w:val="FootnoteReference"/>
          <w:rFonts w:ascii="Calibri" w:eastAsia="Calibri" w:hAnsi="Calibri" w:cs="Calibri"/>
          <w:sz w:val="22"/>
          <w:szCs w:val="22"/>
        </w:rPr>
        <w:footnoteReference w:id="5"/>
      </w:r>
      <w:r w:rsidRPr="00C84FC4">
        <w:rPr>
          <w:rFonts w:ascii="Calibri" w:eastAsia="Calibri" w:hAnsi="Calibri" w:cs="Calibri"/>
          <w:sz w:val="22"/>
          <w:szCs w:val="22"/>
        </w:rPr>
        <w:t xml:space="preserve"> prior to the </w:t>
      </w:r>
      <w:r w:rsidR="4D093B25" w:rsidRPr="00C84FC4">
        <w:rPr>
          <w:rFonts w:ascii="Calibri" w:eastAsia="Calibri" w:hAnsi="Calibri" w:cs="Calibri"/>
          <w:sz w:val="22"/>
          <w:szCs w:val="22"/>
        </w:rPr>
        <w:t>15</w:t>
      </w:r>
      <w:r w:rsidR="4D093B25" w:rsidRPr="00C84FC4">
        <w:rPr>
          <w:rFonts w:ascii="Calibri" w:eastAsia="Calibri" w:hAnsi="Calibri" w:cs="Calibri"/>
          <w:sz w:val="22"/>
          <w:szCs w:val="22"/>
          <w:vertAlign w:val="superscript"/>
        </w:rPr>
        <w:t>th</w:t>
      </w:r>
      <w:r w:rsidR="4D093B25" w:rsidRPr="00C84FC4">
        <w:rPr>
          <w:rFonts w:ascii="Calibri" w:eastAsia="Calibri" w:hAnsi="Calibri" w:cs="Calibri"/>
          <w:sz w:val="22"/>
          <w:szCs w:val="22"/>
        </w:rPr>
        <w:t xml:space="preserve"> </w:t>
      </w:r>
      <w:r w:rsidRPr="00C84FC4">
        <w:rPr>
          <w:rFonts w:ascii="Calibri" w:eastAsia="Calibri" w:hAnsi="Calibri" w:cs="Calibri"/>
          <w:sz w:val="22"/>
          <w:szCs w:val="22"/>
        </w:rPr>
        <w:t xml:space="preserve">century up to detailed treatises on medical particulars and </w:t>
      </w:r>
      <w:r w:rsidR="0C032929" w:rsidRPr="00C84FC4">
        <w:rPr>
          <w:rFonts w:ascii="Calibri" w:eastAsia="Calibri" w:hAnsi="Calibri" w:cs="Calibri"/>
          <w:sz w:val="22"/>
          <w:szCs w:val="22"/>
        </w:rPr>
        <w:t xml:space="preserve">practitioner </w:t>
      </w:r>
      <w:r w:rsidRPr="00C84FC4">
        <w:rPr>
          <w:rFonts w:ascii="Calibri" w:eastAsia="Calibri" w:hAnsi="Calibri" w:cs="Calibri"/>
          <w:sz w:val="22"/>
          <w:szCs w:val="22"/>
        </w:rPr>
        <w:t xml:space="preserve">biographies in the </w:t>
      </w:r>
      <w:r w:rsidR="00BA67EA">
        <w:rPr>
          <w:rFonts w:ascii="Calibri" w:eastAsia="Calibri" w:hAnsi="Calibri" w:cs="Calibri"/>
          <w:sz w:val="22"/>
          <w:szCs w:val="22"/>
        </w:rPr>
        <w:t xml:space="preserve">late </w:t>
      </w:r>
      <w:r w:rsidR="156F9F68" w:rsidRPr="00C84FC4">
        <w:rPr>
          <w:rFonts w:ascii="Calibri" w:eastAsia="Calibri" w:hAnsi="Calibri" w:cs="Calibri"/>
          <w:sz w:val="22"/>
          <w:szCs w:val="22"/>
        </w:rPr>
        <w:t>16</w:t>
      </w:r>
      <w:r w:rsidR="156F9F68" w:rsidRPr="00C84FC4">
        <w:rPr>
          <w:rFonts w:ascii="Calibri" w:eastAsia="Calibri" w:hAnsi="Calibri" w:cs="Calibri"/>
          <w:sz w:val="22"/>
          <w:szCs w:val="22"/>
          <w:vertAlign w:val="superscript"/>
        </w:rPr>
        <w:t>th</w:t>
      </w:r>
      <w:r w:rsidRPr="00C84FC4">
        <w:rPr>
          <w:rFonts w:ascii="Calibri" w:eastAsia="Calibri" w:hAnsi="Calibri" w:cs="Calibri"/>
          <w:sz w:val="22"/>
          <w:szCs w:val="22"/>
        </w:rPr>
        <w:t xml:space="preserve"> century</w:t>
      </w:r>
      <w:r w:rsidR="00F03043">
        <w:rPr>
          <w:rFonts w:ascii="Calibri" w:eastAsia="Calibri" w:hAnsi="Calibri" w:cs="Calibri"/>
          <w:sz w:val="22"/>
          <w:szCs w:val="22"/>
        </w:rPr>
        <w:t xml:space="preserve"> in a form similar to that of a comprehensive review</w:t>
      </w:r>
      <w:r w:rsidRPr="00C84FC4">
        <w:rPr>
          <w:rFonts w:ascii="Calibri" w:eastAsia="Calibri" w:hAnsi="Calibri" w:cs="Calibri"/>
          <w:sz w:val="22"/>
          <w:szCs w:val="22"/>
        </w:rPr>
        <w:t xml:space="preserve">. To support her chronology, she invokes the names of many contemporary Renaissance </w:t>
      </w:r>
      <w:r w:rsidR="2C7C3F65" w:rsidRPr="00C84FC4">
        <w:rPr>
          <w:rFonts w:ascii="Calibri" w:eastAsia="Calibri" w:hAnsi="Calibri" w:cs="Calibri"/>
          <w:sz w:val="22"/>
          <w:szCs w:val="22"/>
        </w:rPr>
        <w:t>physicians</w:t>
      </w:r>
      <w:r w:rsidRPr="00C84FC4">
        <w:rPr>
          <w:rFonts w:ascii="Calibri" w:eastAsia="Calibri" w:hAnsi="Calibri" w:cs="Calibri"/>
          <w:sz w:val="22"/>
          <w:szCs w:val="22"/>
        </w:rPr>
        <w:t xml:space="preserve"> as well the ancient Greek </w:t>
      </w:r>
      <w:r w:rsidR="008417FE" w:rsidRPr="00C84FC4">
        <w:rPr>
          <w:rFonts w:ascii="Calibri" w:eastAsia="Calibri" w:hAnsi="Calibri" w:cs="Calibri"/>
          <w:sz w:val="22"/>
          <w:szCs w:val="22"/>
        </w:rPr>
        <w:t>authors</w:t>
      </w:r>
      <w:r w:rsidRPr="00C84FC4">
        <w:rPr>
          <w:rFonts w:ascii="Calibri" w:eastAsia="Calibri" w:hAnsi="Calibri" w:cs="Calibri"/>
          <w:sz w:val="22"/>
          <w:szCs w:val="22"/>
        </w:rPr>
        <w:t xml:space="preserve"> they wrote about, such as Hippocrates and Galen. Rankin on the other hand follows a more </w:t>
      </w:r>
      <w:r w:rsidR="26AC3636" w:rsidRPr="00C84FC4">
        <w:rPr>
          <w:rFonts w:ascii="Calibri" w:eastAsia="Calibri" w:hAnsi="Calibri" w:cs="Calibri"/>
          <w:sz w:val="22"/>
          <w:szCs w:val="22"/>
        </w:rPr>
        <w:t>funneled</w:t>
      </w:r>
      <w:r w:rsidRPr="00C84FC4">
        <w:rPr>
          <w:rFonts w:ascii="Calibri" w:eastAsia="Calibri" w:hAnsi="Calibri" w:cs="Calibri"/>
          <w:sz w:val="22"/>
          <w:szCs w:val="22"/>
        </w:rPr>
        <w:t xml:space="preserve"> structure, commencing with general</w:t>
      </w:r>
      <w:r w:rsidR="00937E79">
        <w:rPr>
          <w:rFonts w:ascii="Calibri" w:eastAsia="Calibri" w:hAnsi="Calibri" w:cs="Calibri"/>
          <w:sz w:val="22"/>
          <w:szCs w:val="22"/>
        </w:rPr>
        <w:t xml:space="preserve"> </w:t>
      </w:r>
      <w:r w:rsidR="00BA661C">
        <w:rPr>
          <w:rFonts w:ascii="Calibri" w:eastAsia="Calibri" w:hAnsi="Calibri" w:cs="Calibri"/>
          <w:sz w:val="22"/>
          <w:szCs w:val="22"/>
        </w:rPr>
        <w:t>and concise</w:t>
      </w:r>
      <w:r w:rsidRPr="00C84FC4">
        <w:rPr>
          <w:rFonts w:ascii="Calibri" w:eastAsia="Calibri" w:hAnsi="Calibri" w:cs="Calibri"/>
          <w:sz w:val="22"/>
          <w:szCs w:val="22"/>
        </w:rPr>
        <w:t xml:space="preserve"> in</w:t>
      </w:r>
      <w:r w:rsidR="007C1302">
        <w:rPr>
          <w:rFonts w:ascii="Calibri" w:eastAsia="Calibri" w:hAnsi="Calibri" w:cs="Calibri"/>
          <w:sz w:val="22"/>
          <w:szCs w:val="22"/>
        </w:rPr>
        <w:t>duction</w:t>
      </w:r>
      <w:r w:rsidRPr="00C84FC4">
        <w:rPr>
          <w:rFonts w:ascii="Calibri" w:eastAsia="Calibri" w:hAnsi="Calibri" w:cs="Calibri"/>
          <w:sz w:val="22"/>
          <w:szCs w:val="22"/>
        </w:rPr>
        <w:t>s to humoral medicine and medical time</w:t>
      </w:r>
      <w:r w:rsidRPr="00C84FC4">
        <w:rPr>
          <w:rStyle w:val="FootnoteReference"/>
          <w:rFonts w:ascii="Calibri" w:eastAsia="Calibri" w:hAnsi="Calibri" w:cs="Calibri"/>
          <w:sz w:val="22"/>
          <w:szCs w:val="22"/>
        </w:rPr>
        <w:footnoteReference w:id="6"/>
      </w:r>
      <w:r w:rsidRPr="00C84FC4">
        <w:rPr>
          <w:rFonts w:ascii="Calibri" w:eastAsia="Calibri" w:hAnsi="Calibri" w:cs="Calibri"/>
          <w:sz w:val="22"/>
          <w:szCs w:val="22"/>
        </w:rPr>
        <w:t xml:space="preserve"> and </w:t>
      </w:r>
      <w:r w:rsidR="007F4211" w:rsidRPr="00C84FC4">
        <w:rPr>
          <w:rFonts w:ascii="Calibri" w:eastAsia="Calibri" w:hAnsi="Calibri" w:cs="Calibri"/>
          <w:sz w:val="22"/>
          <w:szCs w:val="22"/>
        </w:rPr>
        <w:t>continuing</w:t>
      </w:r>
      <w:r w:rsidRPr="00C84FC4">
        <w:rPr>
          <w:rFonts w:ascii="Calibri" w:eastAsia="Calibri" w:hAnsi="Calibri" w:cs="Calibri"/>
          <w:sz w:val="22"/>
          <w:szCs w:val="22"/>
        </w:rPr>
        <w:t xml:space="preserve"> with </w:t>
      </w:r>
      <w:r w:rsidR="5A3405EA" w:rsidRPr="00C84FC4">
        <w:rPr>
          <w:rFonts w:ascii="Calibri" w:eastAsia="Calibri" w:hAnsi="Calibri" w:cs="Calibri"/>
          <w:sz w:val="22"/>
          <w:szCs w:val="22"/>
        </w:rPr>
        <w:t xml:space="preserve">a </w:t>
      </w:r>
      <w:r w:rsidRPr="00C84FC4">
        <w:rPr>
          <w:rFonts w:ascii="Calibri" w:eastAsia="Calibri" w:hAnsi="Calibri" w:cs="Calibri"/>
          <w:sz w:val="22"/>
          <w:szCs w:val="22"/>
        </w:rPr>
        <w:t>more specific female</w:t>
      </w:r>
      <w:r w:rsidR="3D8F8853" w:rsidRPr="00C84FC4">
        <w:rPr>
          <w:rFonts w:ascii="Calibri" w:eastAsia="Calibri" w:hAnsi="Calibri" w:cs="Calibri"/>
          <w:sz w:val="22"/>
          <w:szCs w:val="22"/>
        </w:rPr>
        <w:t xml:space="preserve"> embodied</w:t>
      </w:r>
      <w:r w:rsidRPr="00C84FC4">
        <w:rPr>
          <w:rFonts w:ascii="Calibri" w:eastAsia="Calibri" w:hAnsi="Calibri" w:cs="Calibri"/>
          <w:sz w:val="22"/>
          <w:szCs w:val="22"/>
        </w:rPr>
        <w:t xml:space="preserve"> perspectives on the subject</w:t>
      </w:r>
      <w:r w:rsidR="00923369">
        <w:rPr>
          <w:rFonts w:ascii="Calibri" w:eastAsia="Calibri" w:hAnsi="Calibri" w:cs="Calibri"/>
          <w:sz w:val="22"/>
          <w:szCs w:val="22"/>
        </w:rPr>
        <w:t>.</w:t>
      </w:r>
      <w:r w:rsidRPr="00C84FC4">
        <w:rPr>
          <w:rStyle w:val="FootnoteReference"/>
          <w:rFonts w:ascii="Calibri" w:eastAsia="Calibri" w:hAnsi="Calibri" w:cs="Calibri"/>
          <w:sz w:val="22"/>
          <w:szCs w:val="22"/>
        </w:rPr>
        <w:footnoteReference w:id="7"/>
      </w:r>
      <w:r w:rsidRPr="00C84FC4">
        <w:rPr>
          <w:rFonts w:ascii="Calibri" w:eastAsia="Calibri" w:hAnsi="Calibri" w:cs="Calibri"/>
          <w:sz w:val="22"/>
          <w:szCs w:val="22"/>
        </w:rPr>
        <w:t xml:space="preserve"> </w:t>
      </w:r>
      <w:r w:rsidR="00491BC8">
        <w:rPr>
          <w:rFonts w:ascii="Calibri" w:eastAsia="Calibri" w:hAnsi="Calibri" w:cs="Calibri"/>
          <w:sz w:val="22"/>
          <w:szCs w:val="22"/>
        </w:rPr>
        <w:t>When</w:t>
      </w:r>
      <w:r w:rsidR="00B6260D">
        <w:rPr>
          <w:rFonts w:ascii="Calibri" w:eastAsia="Calibri" w:hAnsi="Calibri" w:cs="Calibri"/>
          <w:sz w:val="22"/>
          <w:szCs w:val="22"/>
        </w:rPr>
        <w:t xml:space="preserve"> considering the above structures, it is evident </w:t>
      </w:r>
      <w:r w:rsidR="00C31035">
        <w:rPr>
          <w:rFonts w:ascii="Calibri" w:eastAsia="Calibri" w:hAnsi="Calibri" w:cs="Calibri"/>
          <w:sz w:val="22"/>
          <w:szCs w:val="22"/>
        </w:rPr>
        <w:t xml:space="preserve">in the text </w:t>
      </w:r>
      <w:r w:rsidR="00B6260D">
        <w:rPr>
          <w:rFonts w:ascii="Calibri" w:eastAsia="Calibri" w:hAnsi="Calibri" w:cs="Calibri"/>
          <w:sz w:val="22"/>
          <w:szCs w:val="22"/>
        </w:rPr>
        <w:t xml:space="preserve">that </w:t>
      </w:r>
      <w:r w:rsidR="00B6260D" w:rsidRPr="00B6260D">
        <w:rPr>
          <w:rFonts w:ascii="Calibri" w:eastAsia="Calibri" w:hAnsi="Calibri" w:cs="Calibri"/>
          <w:sz w:val="22"/>
          <w:szCs w:val="22"/>
        </w:rPr>
        <w:t xml:space="preserve">Rankin’s paper is a </w:t>
      </w:r>
      <w:r w:rsidR="00C31035">
        <w:rPr>
          <w:rFonts w:ascii="Calibri" w:eastAsia="Calibri" w:hAnsi="Calibri" w:cs="Calibri"/>
          <w:sz w:val="22"/>
          <w:szCs w:val="22"/>
        </w:rPr>
        <w:t>considerably</w:t>
      </w:r>
      <w:r w:rsidR="00B6260D" w:rsidRPr="00B6260D">
        <w:rPr>
          <w:rFonts w:ascii="Calibri" w:eastAsia="Calibri" w:hAnsi="Calibri" w:cs="Calibri"/>
          <w:sz w:val="22"/>
          <w:szCs w:val="22"/>
        </w:rPr>
        <w:t xml:space="preserve"> easier read for a variety of reasons.</w:t>
      </w:r>
      <w:r w:rsidR="00C31035">
        <w:rPr>
          <w:rFonts w:ascii="Calibri" w:eastAsia="Calibri" w:hAnsi="Calibri" w:cs="Calibri"/>
          <w:sz w:val="22"/>
          <w:szCs w:val="22"/>
        </w:rPr>
        <w:t xml:space="preserve"> First consider </w:t>
      </w:r>
      <w:r w:rsidR="00A35A69">
        <w:rPr>
          <w:rFonts w:ascii="Calibri" w:eastAsia="Calibri" w:hAnsi="Calibri" w:cs="Calibri"/>
          <w:sz w:val="22"/>
          <w:szCs w:val="22"/>
        </w:rPr>
        <w:t xml:space="preserve">who the target audience for both authors were. </w:t>
      </w:r>
      <w:r w:rsidRPr="00C84FC4">
        <w:rPr>
          <w:rFonts w:ascii="Calibri" w:eastAsia="Calibri" w:hAnsi="Calibri" w:cs="Calibri"/>
          <w:sz w:val="22"/>
          <w:szCs w:val="22"/>
        </w:rPr>
        <w:t xml:space="preserve">Siraisi’s paper was presented at the </w:t>
      </w:r>
      <w:r w:rsidR="4F7EA479" w:rsidRPr="00C84FC4">
        <w:rPr>
          <w:rFonts w:ascii="Calibri" w:eastAsia="Calibri" w:hAnsi="Calibri" w:cs="Calibri"/>
          <w:sz w:val="22"/>
          <w:szCs w:val="22"/>
        </w:rPr>
        <w:t>Josephine</w:t>
      </w:r>
      <w:r w:rsidRPr="00C84FC4">
        <w:rPr>
          <w:rFonts w:ascii="Calibri" w:eastAsia="Calibri" w:hAnsi="Calibri" w:cs="Calibri"/>
          <w:sz w:val="22"/>
          <w:szCs w:val="22"/>
        </w:rPr>
        <w:t xml:space="preserve"> Waters Bennett Lecture in 1999, the plenary </w:t>
      </w:r>
      <w:r w:rsidR="0005649F">
        <w:rPr>
          <w:rFonts w:ascii="Calibri" w:eastAsia="Calibri" w:hAnsi="Calibri" w:cs="Calibri"/>
          <w:sz w:val="22"/>
          <w:szCs w:val="22"/>
        </w:rPr>
        <w:t>l</w:t>
      </w:r>
      <w:r w:rsidRPr="00C84FC4">
        <w:rPr>
          <w:rFonts w:ascii="Calibri" w:eastAsia="Calibri" w:hAnsi="Calibri" w:cs="Calibri"/>
          <w:sz w:val="22"/>
          <w:szCs w:val="22"/>
        </w:rPr>
        <w:t>ecture hosted by the Renaissance Society of America</w:t>
      </w:r>
      <w:r w:rsidR="00A748E3">
        <w:rPr>
          <w:rFonts w:ascii="Calibri" w:eastAsia="Calibri" w:hAnsi="Calibri" w:cs="Calibri"/>
          <w:sz w:val="22"/>
          <w:szCs w:val="22"/>
        </w:rPr>
        <w:t xml:space="preserve">. </w:t>
      </w:r>
      <w:r w:rsidRPr="00C84FC4">
        <w:rPr>
          <w:rFonts w:ascii="Calibri" w:eastAsia="Calibri" w:hAnsi="Calibri" w:cs="Calibri"/>
          <w:sz w:val="22"/>
          <w:szCs w:val="22"/>
        </w:rPr>
        <w:t>This society is one of the largest of its kind in the world whose membership includes highly regarded professors in the field</w:t>
      </w:r>
      <w:r w:rsidR="00A748E3">
        <w:rPr>
          <w:rFonts w:ascii="Calibri" w:eastAsia="Calibri" w:hAnsi="Calibri" w:cs="Calibri"/>
          <w:sz w:val="22"/>
          <w:szCs w:val="22"/>
        </w:rPr>
        <w:t>.</w:t>
      </w:r>
      <w:r w:rsidR="00A748E3" w:rsidRPr="00C84FC4">
        <w:rPr>
          <w:rStyle w:val="FootnoteReference"/>
          <w:rFonts w:ascii="Calibri" w:eastAsia="Calibri" w:hAnsi="Calibri" w:cs="Calibri"/>
          <w:sz w:val="22"/>
          <w:szCs w:val="22"/>
        </w:rPr>
        <w:footnoteReference w:id="8"/>
      </w:r>
      <w:r w:rsidR="00A748E3" w:rsidRPr="00C84FC4">
        <w:rPr>
          <w:rFonts w:ascii="Calibri" w:eastAsia="Calibri" w:hAnsi="Calibri" w:cs="Calibri"/>
          <w:sz w:val="22"/>
          <w:szCs w:val="22"/>
        </w:rPr>
        <w:t xml:space="preserve"> </w:t>
      </w:r>
      <w:r w:rsidRPr="00C84FC4">
        <w:rPr>
          <w:rFonts w:ascii="Calibri" w:eastAsia="Calibri" w:hAnsi="Calibri" w:cs="Calibri"/>
          <w:sz w:val="22"/>
          <w:szCs w:val="22"/>
        </w:rPr>
        <w:t xml:space="preserve"> Rankin’s paper was published in an anthology of essays on temporal gender perspectives in which the </w:t>
      </w:r>
      <w:r w:rsidR="6211C0E3" w:rsidRPr="00C84FC4">
        <w:rPr>
          <w:rFonts w:ascii="Calibri" w:eastAsia="Calibri" w:hAnsi="Calibri" w:cs="Calibri"/>
          <w:sz w:val="22"/>
          <w:szCs w:val="22"/>
        </w:rPr>
        <w:t xml:space="preserve">anthology </w:t>
      </w:r>
      <w:r w:rsidRPr="00C84FC4">
        <w:rPr>
          <w:rFonts w:ascii="Calibri" w:eastAsia="Calibri" w:hAnsi="Calibri" w:cs="Calibri"/>
          <w:sz w:val="22"/>
          <w:szCs w:val="22"/>
        </w:rPr>
        <w:t xml:space="preserve">editor claims ‘The authors come from different scholarly disciplines, including art history, English, history, Spanish, and women’s and gender studies, and several are written by interdisciplinary groups of </w:t>
      </w:r>
      <w:bookmarkStart w:id="3" w:name="_Int_GlwwV3pa"/>
      <w:r w:rsidR="1616BBAA" w:rsidRPr="00C84FC4">
        <w:rPr>
          <w:rFonts w:ascii="Calibri" w:eastAsia="Calibri" w:hAnsi="Calibri" w:cs="Calibri"/>
          <w:sz w:val="22"/>
          <w:szCs w:val="22"/>
        </w:rPr>
        <w:t>authors’</w:t>
      </w:r>
      <w:bookmarkEnd w:id="3"/>
      <w:r w:rsidRPr="00C84FC4">
        <w:rPr>
          <w:rFonts w:ascii="Calibri" w:eastAsia="Calibri" w:hAnsi="Calibri" w:cs="Calibri"/>
          <w:sz w:val="22"/>
          <w:szCs w:val="22"/>
        </w:rPr>
        <w:t>.</w:t>
      </w:r>
      <w:r w:rsidRPr="00C84FC4">
        <w:rPr>
          <w:rStyle w:val="FootnoteReference"/>
          <w:rFonts w:ascii="Calibri" w:eastAsia="Calibri" w:hAnsi="Calibri" w:cs="Calibri"/>
          <w:sz w:val="22"/>
          <w:szCs w:val="22"/>
        </w:rPr>
        <w:footnoteReference w:id="9"/>
      </w:r>
      <w:r w:rsidRPr="00C84FC4">
        <w:rPr>
          <w:rFonts w:ascii="Calibri" w:eastAsia="Calibri" w:hAnsi="Calibri" w:cs="Calibri"/>
          <w:sz w:val="22"/>
          <w:szCs w:val="22"/>
        </w:rPr>
        <w:t xml:space="preserve"> </w:t>
      </w:r>
      <w:r w:rsidR="00A748E3">
        <w:rPr>
          <w:rFonts w:ascii="Calibri" w:eastAsia="Calibri" w:hAnsi="Calibri" w:cs="Calibri"/>
          <w:sz w:val="22"/>
          <w:szCs w:val="22"/>
        </w:rPr>
        <w:t xml:space="preserve">Analyzing </w:t>
      </w:r>
      <w:r w:rsidR="00A748E3">
        <w:rPr>
          <w:rFonts w:ascii="Calibri" w:eastAsia="Calibri" w:hAnsi="Calibri" w:cs="Calibri"/>
          <w:sz w:val="22"/>
          <w:szCs w:val="22"/>
        </w:rPr>
        <w:lastRenderedPageBreak/>
        <w:t>the text and considering the target audience, it</w:t>
      </w:r>
      <w:r w:rsidRPr="00C84FC4">
        <w:rPr>
          <w:rFonts w:ascii="Calibri" w:eastAsia="Calibri" w:hAnsi="Calibri" w:cs="Calibri"/>
          <w:sz w:val="22"/>
          <w:szCs w:val="22"/>
        </w:rPr>
        <w:t xml:space="preserve"> is evident that Siraisi is writing for those already versed in the history </w:t>
      </w:r>
      <w:r w:rsidR="03F8E892" w:rsidRPr="00C84FC4">
        <w:rPr>
          <w:rFonts w:ascii="Calibri" w:eastAsia="Calibri" w:hAnsi="Calibri" w:cs="Calibri"/>
          <w:sz w:val="22"/>
          <w:szCs w:val="22"/>
        </w:rPr>
        <w:t xml:space="preserve">and </w:t>
      </w:r>
      <w:r w:rsidR="00FB3EF7">
        <w:rPr>
          <w:rFonts w:ascii="Calibri" w:eastAsia="Calibri" w:hAnsi="Calibri" w:cs="Calibri"/>
          <w:sz w:val="22"/>
          <w:szCs w:val="22"/>
        </w:rPr>
        <w:t>individuals</w:t>
      </w:r>
      <w:r w:rsidR="03F8E892" w:rsidRPr="00C84FC4">
        <w:rPr>
          <w:rFonts w:ascii="Calibri" w:eastAsia="Calibri" w:hAnsi="Calibri" w:cs="Calibri"/>
          <w:sz w:val="22"/>
          <w:szCs w:val="22"/>
        </w:rPr>
        <w:t xml:space="preserve"> </w:t>
      </w:r>
      <w:r w:rsidRPr="00C84FC4">
        <w:rPr>
          <w:rFonts w:ascii="Calibri" w:eastAsia="Calibri" w:hAnsi="Calibri" w:cs="Calibri"/>
          <w:sz w:val="22"/>
          <w:szCs w:val="22"/>
        </w:rPr>
        <w:t xml:space="preserve">of the Renaissance, while Rankin writes for those who may be approaching the subject from </w:t>
      </w:r>
      <w:r w:rsidR="5F3704EE" w:rsidRPr="00C84FC4">
        <w:rPr>
          <w:rFonts w:ascii="Calibri" w:eastAsia="Calibri" w:hAnsi="Calibri" w:cs="Calibri"/>
          <w:sz w:val="22"/>
          <w:szCs w:val="22"/>
        </w:rPr>
        <w:t>other</w:t>
      </w:r>
      <w:r w:rsidRPr="00C84FC4">
        <w:rPr>
          <w:rFonts w:ascii="Calibri" w:eastAsia="Calibri" w:hAnsi="Calibri" w:cs="Calibri"/>
          <w:sz w:val="22"/>
          <w:szCs w:val="22"/>
        </w:rPr>
        <w:t xml:space="preserve"> discipline</w:t>
      </w:r>
      <w:r w:rsidR="4E6A3F34" w:rsidRPr="00C84FC4">
        <w:rPr>
          <w:rFonts w:ascii="Calibri" w:eastAsia="Calibri" w:hAnsi="Calibri" w:cs="Calibri"/>
          <w:sz w:val="22"/>
          <w:szCs w:val="22"/>
        </w:rPr>
        <w:t>s</w:t>
      </w:r>
      <w:r w:rsidR="00FB3EF7">
        <w:rPr>
          <w:rFonts w:ascii="Calibri" w:eastAsia="Calibri" w:hAnsi="Calibri" w:cs="Calibri"/>
          <w:sz w:val="22"/>
          <w:szCs w:val="22"/>
        </w:rPr>
        <w:t>,</w:t>
      </w:r>
      <w:r w:rsidR="4E6A3F34" w:rsidRPr="00C84FC4">
        <w:rPr>
          <w:rFonts w:ascii="Calibri" w:eastAsia="Calibri" w:hAnsi="Calibri" w:cs="Calibri"/>
          <w:sz w:val="22"/>
          <w:szCs w:val="22"/>
        </w:rPr>
        <w:t xml:space="preserve"> and may not have the appropriate </w:t>
      </w:r>
      <w:r w:rsidR="00FB3EF7">
        <w:rPr>
          <w:rFonts w:ascii="Calibri" w:eastAsia="Calibri" w:hAnsi="Calibri" w:cs="Calibri"/>
          <w:sz w:val="22"/>
          <w:szCs w:val="22"/>
        </w:rPr>
        <w:t xml:space="preserve">historical </w:t>
      </w:r>
      <w:r w:rsidR="4E6A3F34" w:rsidRPr="00C84FC4">
        <w:rPr>
          <w:rFonts w:ascii="Calibri" w:eastAsia="Calibri" w:hAnsi="Calibri" w:cs="Calibri"/>
          <w:sz w:val="22"/>
          <w:szCs w:val="22"/>
        </w:rPr>
        <w:t>context</w:t>
      </w:r>
      <w:r w:rsidRPr="00C84FC4">
        <w:rPr>
          <w:rFonts w:ascii="Calibri" w:eastAsia="Calibri" w:hAnsi="Calibri" w:cs="Calibri"/>
          <w:sz w:val="22"/>
          <w:szCs w:val="22"/>
        </w:rPr>
        <w:t xml:space="preserve">. Siraisi, for example, </w:t>
      </w:r>
      <w:r w:rsidR="09DBD587" w:rsidRPr="00C84FC4">
        <w:rPr>
          <w:rFonts w:ascii="Calibri" w:eastAsia="Calibri" w:hAnsi="Calibri" w:cs="Calibri"/>
          <w:sz w:val="22"/>
          <w:szCs w:val="22"/>
        </w:rPr>
        <w:t>introduces</w:t>
      </w:r>
      <w:r w:rsidRPr="00C84FC4">
        <w:rPr>
          <w:rFonts w:ascii="Calibri" w:eastAsia="Calibri" w:hAnsi="Calibri" w:cs="Calibri"/>
          <w:sz w:val="22"/>
          <w:szCs w:val="22"/>
        </w:rPr>
        <w:t xml:space="preserve"> her </w:t>
      </w:r>
      <w:r w:rsidR="7D4FB34B" w:rsidRPr="00C84FC4">
        <w:rPr>
          <w:rFonts w:ascii="Calibri" w:eastAsia="Calibri" w:hAnsi="Calibri" w:cs="Calibri"/>
          <w:sz w:val="22"/>
          <w:szCs w:val="22"/>
        </w:rPr>
        <w:t>paper</w:t>
      </w:r>
      <w:r w:rsidRPr="00C84FC4">
        <w:rPr>
          <w:rFonts w:ascii="Calibri" w:eastAsia="Calibri" w:hAnsi="Calibri" w:cs="Calibri"/>
          <w:sz w:val="22"/>
          <w:szCs w:val="22"/>
        </w:rPr>
        <w:t xml:space="preserve"> </w:t>
      </w:r>
      <w:r w:rsidR="0CFDD6A4" w:rsidRPr="00C84FC4">
        <w:rPr>
          <w:rFonts w:ascii="Calibri" w:eastAsia="Calibri" w:hAnsi="Calibri" w:cs="Calibri"/>
          <w:sz w:val="22"/>
          <w:szCs w:val="22"/>
        </w:rPr>
        <w:t>stating</w:t>
      </w:r>
      <w:r w:rsidRPr="00C84FC4">
        <w:rPr>
          <w:rFonts w:ascii="Calibri" w:eastAsia="Calibri" w:hAnsi="Calibri" w:cs="Calibri"/>
          <w:sz w:val="22"/>
          <w:szCs w:val="22"/>
        </w:rPr>
        <w:t xml:space="preserve"> ‘Among Bodin’s more optimistic assertions about history...’</w:t>
      </w:r>
      <w:r w:rsidRPr="00C84FC4">
        <w:rPr>
          <w:rStyle w:val="FootnoteReference"/>
          <w:rFonts w:ascii="Calibri" w:eastAsia="Calibri" w:hAnsi="Calibri" w:cs="Calibri"/>
          <w:sz w:val="22"/>
          <w:szCs w:val="22"/>
        </w:rPr>
        <w:footnoteReference w:id="10"/>
      </w:r>
      <w:r w:rsidRPr="00C84FC4">
        <w:rPr>
          <w:rFonts w:ascii="Calibri" w:eastAsia="Calibri" w:hAnsi="Calibri" w:cs="Calibri"/>
          <w:sz w:val="22"/>
          <w:szCs w:val="22"/>
        </w:rPr>
        <w:t xml:space="preserve"> casually assuming the reader </w:t>
      </w:r>
      <w:r w:rsidR="552E0C4D" w:rsidRPr="00C84FC4">
        <w:rPr>
          <w:rFonts w:ascii="Calibri" w:eastAsia="Calibri" w:hAnsi="Calibri" w:cs="Calibri"/>
          <w:sz w:val="22"/>
          <w:szCs w:val="22"/>
        </w:rPr>
        <w:t>is already familiar with Bodin</w:t>
      </w:r>
      <w:r w:rsidRPr="00C84FC4">
        <w:rPr>
          <w:rFonts w:ascii="Calibri" w:eastAsia="Calibri" w:hAnsi="Calibri" w:cs="Calibri"/>
          <w:sz w:val="22"/>
          <w:szCs w:val="22"/>
        </w:rPr>
        <w:t>. Rankin</w:t>
      </w:r>
      <w:r w:rsidR="00423283">
        <w:rPr>
          <w:rFonts w:ascii="Calibri" w:eastAsia="Calibri" w:hAnsi="Calibri" w:cs="Calibri"/>
          <w:sz w:val="22"/>
          <w:szCs w:val="22"/>
        </w:rPr>
        <w:t xml:space="preserve">, </w:t>
      </w:r>
      <w:r w:rsidR="0005649F">
        <w:rPr>
          <w:rFonts w:ascii="Calibri" w:eastAsia="Calibri" w:hAnsi="Calibri" w:cs="Calibri"/>
          <w:sz w:val="22"/>
          <w:szCs w:val="22"/>
        </w:rPr>
        <w:t>conversely</w:t>
      </w:r>
      <w:r w:rsidR="00423283">
        <w:rPr>
          <w:rFonts w:ascii="Calibri" w:eastAsia="Calibri" w:hAnsi="Calibri" w:cs="Calibri"/>
          <w:sz w:val="22"/>
          <w:szCs w:val="22"/>
        </w:rPr>
        <w:t>,</w:t>
      </w:r>
      <w:r w:rsidRPr="00C84FC4">
        <w:rPr>
          <w:rFonts w:ascii="Calibri" w:eastAsia="Calibri" w:hAnsi="Calibri" w:cs="Calibri"/>
          <w:sz w:val="22"/>
          <w:szCs w:val="22"/>
        </w:rPr>
        <w:t xml:space="preserve"> </w:t>
      </w:r>
      <w:r w:rsidR="00CC22CA">
        <w:rPr>
          <w:rFonts w:ascii="Calibri" w:eastAsia="Calibri" w:hAnsi="Calibri" w:cs="Calibri"/>
          <w:sz w:val="22"/>
          <w:szCs w:val="22"/>
        </w:rPr>
        <w:t>opens</w:t>
      </w:r>
      <w:r w:rsidRPr="00C84FC4">
        <w:rPr>
          <w:rFonts w:ascii="Calibri" w:eastAsia="Calibri" w:hAnsi="Calibri" w:cs="Calibri"/>
          <w:sz w:val="22"/>
          <w:szCs w:val="22"/>
        </w:rPr>
        <w:t xml:space="preserve"> her </w:t>
      </w:r>
      <w:r w:rsidR="48D22D6D" w:rsidRPr="00C84FC4">
        <w:rPr>
          <w:rFonts w:ascii="Calibri" w:eastAsia="Calibri" w:hAnsi="Calibri" w:cs="Calibri"/>
          <w:sz w:val="22"/>
          <w:szCs w:val="22"/>
        </w:rPr>
        <w:t xml:space="preserve">paper </w:t>
      </w:r>
      <w:r w:rsidRPr="00C84FC4">
        <w:rPr>
          <w:rFonts w:ascii="Calibri" w:eastAsia="Calibri" w:hAnsi="Calibri" w:cs="Calibri"/>
          <w:sz w:val="22"/>
          <w:szCs w:val="22"/>
        </w:rPr>
        <w:t>with a</w:t>
      </w:r>
      <w:r w:rsidR="00226419">
        <w:rPr>
          <w:rFonts w:ascii="Calibri" w:eastAsia="Calibri" w:hAnsi="Calibri" w:cs="Calibri"/>
          <w:sz w:val="22"/>
          <w:szCs w:val="22"/>
        </w:rPr>
        <w:t xml:space="preserve">s short narrative </w:t>
      </w:r>
      <w:r w:rsidR="4A19897F" w:rsidRPr="00C84FC4">
        <w:rPr>
          <w:rFonts w:ascii="Calibri" w:eastAsia="Calibri" w:hAnsi="Calibri" w:cs="Calibri"/>
          <w:sz w:val="22"/>
          <w:szCs w:val="22"/>
        </w:rPr>
        <w:t xml:space="preserve">on the </w:t>
      </w:r>
      <w:r w:rsidRPr="00C84FC4">
        <w:rPr>
          <w:rFonts w:ascii="Calibri" w:eastAsia="Calibri" w:hAnsi="Calibri" w:cs="Calibri"/>
          <w:sz w:val="22"/>
          <w:szCs w:val="22"/>
        </w:rPr>
        <w:t xml:space="preserve">two </w:t>
      </w:r>
      <w:bookmarkStart w:id="4" w:name="_Int_vBl7MuCQ"/>
      <w:r w:rsidRPr="00C84FC4">
        <w:rPr>
          <w:rFonts w:ascii="Calibri" w:eastAsia="Calibri" w:hAnsi="Calibri" w:cs="Calibri"/>
          <w:sz w:val="22"/>
          <w:szCs w:val="22"/>
        </w:rPr>
        <w:t>noblewomen</w:t>
      </w:r>
      <w:bookmarkEnd w:id="4"/>
      <w:r w:rsidRPr="00C84FC4">
        <w:rPr>
          <w:rFonts w:ascii="Calibri" w:eastAsia="Calibri" w:hAnsi="Calibri" w:cs="Calibri"/>
          <w:sz w:val="22"/>
          <w:szCs w:val="22"/>
        </w:rPr>
        <w:t xml:space="preserve"> explaining who they were and what </w:t>
      </w:r>
      <w:r w:rsidR="009F7BAC">
        <w:rPr>
          <w:rFonts w:ascii="Calibri" w:eastAsia="Calibri" w:hAnsi="Calibri" w:cs="Calibri"/>
          <w:sz w:val="22"/>
          <w:szCs w:val="22"/>
        </w:rPr>
        <w:t>their sit</w:t>
      </w:r>
      <w:r w:rsidR="00C52439">
        <w:rPr>
          <w:rFonts w:ascii="Calibri" w:eastAsia="Calibri" w:hAnsi="Calibri" w:cs="Calibri"/>
          <w:sz w:val="22"/>
          <w:szCs w:val="22"/>
        </w:rPr>
        <w:t>uation is</w:t>
      </w:r>
      <w:r w:rsidRPr="00C84FC4">
        <w:rPr>
          <w:rFonts w:ascii="Calibri" w:eastAsia="Calibri" w:hAnsi="Calibri" w:cs="Calibri"/>
          <w:sz w:val="22"/>
          <w:szCs w:val="22"/>
        </w:rPr>
        <w:t>.</w:t>
      </w:r>
      <w:r w:rsidRPr="00C84FC4">
        <w:rPr>
          <w:rStyle w:val="FootnoteReference"/>
          <w:rFonts w:ascii="Calibri" w:eastAsia="Calibri" w:hAnsi="Calibri" w:cs="Calibri"/>
          <w:sz w:val="22"/>
          <w:szCs w:val="22"/>
        </w:rPr>
        <w:footnoteReference w:id="11"/>
      </w:r>
      <w:r w:rsidRPr="00C84FC4">
        <w:rPr>
          <w:rFonts w:ascii="Calibri" w:eastAsia="Calibri" w:hAnsi="Calibri" w:cs="Calibri"/>
          <w:sz w:val="22"/>
          <w:szCs w:val="22"/>
        </w:rPr>
        <w:t xml:space="preserve"> </w:t>
      </w:r>
      <w:r w:rsidR="7AC9323B" w:rsidRPr="00C84FC4">
        <w:rPr>
          <w:rFonts w:ascii="Calibri" w:eastAsia="Calibri" w:hAnsi="Calibri" w:cs="Calibri"/>
          <w:sz w:val="22"/>
          <w:szCs w:val="22"/>
        </w:rPr>
        <w:t xml:space="preserve">Throughout the essay, she utilizes </w:t>
      </w:r>
      <w:r w:rsidR="705DD014" w:rsidRPr="00C84FC4">
        <w:rPr>
          <w:rFonts w:ascii="Calibri" w:eastAsia="Calibri" w:hAnsi="Calibri" w:cs="Calibri"/>
          <w:sz w:val="22"/>
          <w:szCs w:val="22"/>
        </w:rPr>
        <w:t xml:space="preserve">the written exchanges </w:t>
      </w:r>
      <w:r w:rsidR="1F526738" w:rsidRPr="00C84FC4">
        <w:rPr>
          <w:rFonts w:ascii="Calibri" w:eastAsia="Calibri" w:hAnsi="Calibri" w:cs="Calibri"/>
          <w:sz w:val="22"/>
          <w:szCs w:val="22"/>
        </w:rPr>
        <w:t>between</w:t>
      </w:r>
      <w:r w:rsidR="705DD014" w:rsidRPr="00C84FC4">
        <w:rPr>
          <w:rFonts w:ascii="Calibri" w:eastAsia="Calibri" w:hAnsi="Calibri" w:cs="Calibri"/>
          <w:sz w:val="22"/>
          <w:szCs w:val="22"/>
        </w:rPr>
        <w:t xml:space="preserve"> these women to </w:t>
      </w:r>
      <w:r w:rsidR="62240B51" w:rsidRPr="00C84FC4">
        <w:rPr>
          <w:rFonts w:ascii="Calibri" w:eastAsia="Calibri" w:hAnsi="Calibri" w:cs="Calibri"/>
          <w:sz w:val="22"/>
          <w:szCs w:val="22"/>
        </w:rPr>
        <w:t>support her overall thesis</w:t>
      </w:r>
      <w:r w:rsidR="006A523B" w:rsidRPr="00C84FC4">
        <w:rPr>
          <w:rFonts w:ascii="Calibri" w:eastAsia="Calibri" w:hAnsi="Calibri" w:cs="Calibri"/>
          <w:sz w:val="22"/>
          <w:szCs w:val="22"/>
        </w:rPr>
        <w:t>,</w:t>
      </w:r>
      <w:r w:rsidR="62240B51" w:rsidRPr="00C84FC4">
        <w:rPr>
          <w:rFonts w:ascii="Calibri" w:eastAsia="Calibri" w:hAnsi="Calibri" w:cs="Calibri"/>
          <w:sz w:val="22"/>
          <w:szCs w:val="22"/>
        </w:rPr>
        <w:t xml:space="preserve"> </w:t>
      </w:r>
      <w:r w:rsidR="0F991457" w:rsidRPr="00C84FC4">
        <w:rPr>
          <w:rFonts w:ascii="Calibri" w:eastAsia="Calibri" w:hAnsi="Calibri" w:cs="Calibri"/>
          <w:sz w:val="22"/>
          <w:szCs w:val="22"/>
        </w:rPr>
        <w:t>commencing her conclusion with ‘The discussions between these elite German noblewomen...</w:t>
      </w:r>
      <w:bookmarkStart w:id="5" w:name="_Int_IYmZh5v8"/>
      <w:r w:rsidR="0F991457" w:rsidRPr="00C84FC4">
        <w:rPr>
          <w:rFonts w:ascii="Calibri" w:eastAsia="Calibri" w:hAnsi="Calibri" w:cs="Calibri"/>
          <w:sz w:val="22"/>
          <w:szCs w:val="22"/>
        </w:rPr>
        <w:t>’.</w:t>
      </w:r>
      <w:bookmarkEnd w:id="5"/>
      <w:r w:rsidRPr="00C84FC4">
        <w:rPr>
          <w:rStyle w:val="FootnoteReference"/>
          <w:rFonts w:ascii="Calibri" w:eastAsia="Calibri" w:hAnsi="Calibri" w:cs="Calibri"/>
          <w:sz w:val="22"/>
          <w:szCs w:val="22"/>
        </w:rPr>
        <w:footnoteReference w:id="12"/>
      </w:r>
      <w:r w:rsidR="0F991457" w:rsidRPr="00C84FC4">
        <w:rPr>
          <w:rFonts w:ascii="Calibri" w:eastAsia="Calibri" w:hAnsi="Calibri" w:cs="Calibri"/>
          <w:sz w:val="22"/>
          <w:szCs w:val="22"/>
        </w:rPr>
        <w:t xml:space="preserve"> Rankin’s </w:t>
      </w:r>
      <w:r w:rsidR="3E7D33BC" w:rsidRPr="00C84FC4">
        <w:rPr>
          <w:rFonts w:ascii="Calibri" w:eastAsia="Calibri" w:hAnsi="Calibri" w:cs="Calibri"/>
          <w:sz w:val="22"/>
          <w:szCs w:val="22"/>
        </w:rPr>
        <w:t xml:space="preserve">handling of this singular account allows the reader to </w:t>
      </w:r>
      <w:r w:rsidR="26A0F9D4" w:rsidRPr="00C84FC4">
        <w:rPr>
          <w:rFonts w:ascii="Calibri" w:eastAsia="Calibri" w:hAnsi="Calibri" w:cs="Calibri"/>
          <w:sz w:val="22"/>
          <w:szCs w:val="22"/>
        </w:rPr>
        <w:t xml:space="preserve">experience an authentic and in-depth example of Renaissance medical </w:t>
      </w:r>
      <w:r w:rsidR="27F0AF88" w:rsidRPr="00C84FC4">
        <w:rPr>
          <w:rFonts w:ascii="Calibri" w:eastAsia="Calibri" w:hAnsi="Calibri" w:cs="Calibri"/>
          <w:sz w:val="22"/>
          <w:szCs w:val="22"/>
        </w:rPr>
        <w:t xml:space="preserve">practice. Moreover, she takes the time </w:t>
      </w:r>
      <w:r w:rsidR="0005649F">
        <w:rPr>
          <w:rFonts w:ascii="Calibri" w:eastAsia="Calibri" w:hAnsi="Calibri" w:cs="Calibri"/>
          <w:sz w:val="22"/>
          <w:szCs w:val="22"/>
        </w:rPr>
        <w:t xml:space="preserve">to </w:t>
      </w:r>
      <w:r w:rsidR="27F0AF88" w:rsidRPr="00C84FC4">
        <w:rPr>
          <w:rFonts w:ascii="Calibri" w:eastAsia="Calibri" w:hAnsi="Calibri" w:cs="Calibri"/>
          <w:sz w:val="22"/>
          <w:szCs w:val="22"/>
        </w:rPr>
        <w:t>concret</w:t>
      </w:r>
      <w:r w:rsidR="0666439C" w:rsidRPr="00C84FC4">
        <w:rPr>
          <w:rFonts w:ascii="Calibri" w:eastAsia="Calibri" w:hAnsi="Calibri" w:cs="Calibri"/>
          <w:sz w:val="22"/>
          <w:szCs w:val="22"/>
        </w:rPr>
        <w:t xml:space="preserve">ely and concisely introduce </w:t>
      </w:r>
      <w:r w:rsidR="62AE728A" w:rsidRPr="00C84FC4">
        <w:rPr>
          <w:rFonts w:ascii="Calibri" w:eastAsia="Calibri" w:hAnsi="Calibri" w:cs="Calibri"/>
          <w:sz w:val="22"/>
          <w:szCs w:val="22"/>
        </w:rPr>
        <w:t>necessary</w:t>
      </w:r>
      <w:r w:rsidR="0666439C" w:rsidRPr="00C84FC4">
        <w:rPr>
          <w:rFonts w:ascii="Calibri" w:eastAsia="Calibri" w:hAnsi="Calibri" w:cs="Calibri"/>
          <w:sz w:val="22"/>
          <w:szCs w:val="22"/>
        </w:rPr>
        <w:t xml:space="preserve"> </w:t>
      </w:r>
      <w:r w:rsidR="56C9CE3E" w:rsidRPr="00C84FC4">
        <w:rPr>
          <w:rFonts w:ascii="Calibri" w:eastAsia="Calibri" w:hAnsi="Calibri" w:cs="Calibri"/>
          <w:sz w:val="22"/>
          <w:szCs w:val="22"/>
        </w:rPr>
        <w:t>contextual considerations. In the sections o</w:t>
      </w:r>
      <w:r w:rsidR="0005649F">
        <w:rPr>
          <w:rFonts w:ascii="Calibri" w:eastAsia="Calibri" w:hAnsi="Calibri" w:cs="Calibri"/>
          <w:sz w:val="22"/>
          <w:szCs w:val="22"/>
        </w:rPr>
        <w:t>n</w:t>
      </w:r>
      <w:r w:rsidR="56C9CE3E" w:rsidRPr="00C84FC4">
        <w:rPr>
          <w:rFonts w:ascii="Calibri" w:eastAsia="Calibri" w:hAnsi="Calibri" w:cs="Calibri"/>
          <w:sz w:val="22"/>
          <w:szCs w:val="22"/>
        </w:rPr>
        <w:t xml:space="preserve"> </w:t>
      </w:r>
      <w:r w:rsidR="3FFD7E6A" w:rsidRPr="00C84FC4">
        <w:rPr>
          <w:rFonts w:ascii="Calibri" w:eastAsia="Calibri" w:hAnsi="Calibri" w:cs="Calibri"/>
          <w:sz w:val="22"/>
          <w:szCs w:val="22"/>
        </w:rPr>
        <w:t>M</w:t>
      </w:r>
      <w:r w:rsidR="56C9CE3E" w:rsidRPr="00C84FC4">
        <w:rPr>
          <w:rFonts w:ascii="Calibri" w:eastAsia="Calibri" w:hAnsi="Calibri" w:cs="Calibri"/>
          <w:sz w:val="22"/>
          <w:szCs w:val="22"/>
        </w:rPr>
        <w:t xml:space="preserve">edical </w:t>
      </w:r>
      <w:r w:rsidR="6CBD8422" w:rsidRPr="00C84FC4">
        <w:rPr>
          <w:rFonts w:ascii="Calibri" w:eastAsia="Calibri" w:hAnsi="Calibri" w:cs="Calibri"/>
          <w:sz w:val="22"/>
          <w:szCs w:val="22"/>
        </w:rPr>
        <w:t>T</w:t>
      </w:r>
      <w:r w:rsidR="56C9CE3E" w:rsidRPr="00C84FC4">
        <w:rPr>
          <w:rFonts w:ascii="Calibri" w:eastAsia="Calibri" w:hAnsi="Calibri" w:cs="Calibri"/>
          <w:sz w:val="22"/>
          <w:szCs w:val="22"/>
        </w:rPr>
        <w:t xml:space="preserve">ime, she </w:t>
      </w:r>
      <w:r w:rsidR="00B27752" w:rsidRPr="00C84FC4">
        <w:rPr>
          <w:rFonts w:ascii="Calibri" w:eastAsia="Calibri" w:hAnsi="Calibri" w:cs="Calibri"/>
          <w:sz w:val="22"/>
          <w:szCs w:val="22"/>
        </w:rPr>
        <w:t>briefly</w:t>
      </w:r>
      <w:r w:rsidR="00C67EB1" w:rsidRPr="00C84FC4">
        <w:rPr>
          <w:rFonts w:ascii="Calibri" w:eastAsia="Calibri" w:hAnsi="Calibri" w:cs="Calibri"/>
          <w:sz w:val="22"/>
          <w:szCs w:val="22"/>
        </w:rPr>
        <w:t xml:space="preserve"> outlines</w:t>
      </w:r>
      <w:r w:rsidR="56C9CE3E" w:rsidRPr="00C84FC4">
        <w:rPr>
          <w:rFonts w:ascii="Calibri" w:eastAsia="Calibri" w:hAnsi="Calibri" w:cs="Calibri"/>
          <w:sz w:val="22"/>
          <w:szCs w:val="22"/>
        </w:rPr>
        <w:t xml:space="preserve"> contemporary humoral theory, </w:t>
      </w:r>
      <w:r w:rsidR="4542B4C0" w:rsidRPr="00C84FC4">
        <w:rPr>
          <w:rFonts w:ascii="Calibri" w:eastAsia="Calibri" w:hAnsi="Calibri" w:cs="Calibri"/>
          <w:sz w:val="22"/>
          <w:szCs w:val="22"/>
        </w:rPr>
        <w:t xml:space="preserve">medical </w:t>
      </w:r>
      <w:r w:rsidR="7E8C6A49" w:rsidRPr="00C84FC4">
        <w:rPr>
          <w:rFonts w:ascii="Calibri" w:eastAsia="Calibri" w:hAnsi="Calibri" w:cs="Calibri"/>
          <w:sz w:val="22"/>
          <w:szCs w:val="22"/>
        </w:rPr>
        <w:t>timing,</w:t>
      </w:r>
      <w:r w:rsidR="4542B4C0" w:rsidRPr="00C84FC4">
        <w:rPr>
          <w:rFonts w:ascii="Calibri" w:eastAsia="Calibri" w:hAnsi="Calibri" w:cs="Calibri"/>
          <w:sz w:val="22"/>
          <w:szCs w:val="22"/>
        </w:rPr>
        <w:t xml:space="preserve"> </w:t>
      </w:r>
      <w:r w:rsidR="1EB346C0" w:rsidRPr="00C84FC4">
        <w:rPr>
          <w:rFonts w:ascii="Calibri" w:eastAsia="Calibri" w:hAnsi="Calibri" w:cs="Calibri"/>
          <w:sz w:val="22"/>
          <w:szCs w:val="22"/>
        </w:rPr>
        <w:t>and the all-important astrological factors.</w:t>
      </w:r>
      <w:r w:rsidRPr="00C84FC4">
        <w:rPr>
          <w:rStyle w:val="FootnoteReference"/>
          <w:rFonts w:ascii="Calibri" w:eastAsia="Calibri" w:hAnsi="Calibri" w:cs="Calibri"/>
          <w:sz w:val="22"/>
          <w:szCs w:val="22"/>
        </w:rPr>
        <w:footnoteReference w:id="13"/>
      </w:r>
      <w:r w:rsidR="19874180" w:rsidRPr="00C84FC4">
        <w:rPr>
          <w:rFonts w:ascii="Calibri" w:eastAsia="Calibri" w:hAnsi="Calibri" w:cs="Calibri"/>
          <w:sz w:val="22"/>
          <w:szCs w:val="22"/>
        </w:rPr>
        <w:t xml:space="preserve"> Contrary to Ran</w:t>
      </w:r>
      <w:r w:rsidR="0143E01B" w:rsidRPr="00C84FC4">
        <w:rPr>
          <w:rFonts w:ascii="Calibri" w:eastAsia="Calibri" w:hAnsi="Calibri" w:cs="Calibri"/>
          <w:sz w:val="22"/>
          <w:szCs w:val="22"/>
        </w:rPr>
        <w:t xml:space="preserve">kin, Siraisi, does not provide the necessary context in similar situations. </w:t>
      </w:r>
      <w:r w:rsidR="1942C0EC" w:rsidRPr="00C84FC4">
        <w:rPr>
          <w:rFonts w:ascii="Calibri" w:eastAsia="Calibri" w:hAnsi="Calibri" w:cs="Calibri"/>
          <w:sz w:val="22"/>
          <w:szCs w:val="22"/>
        </w:rPr>
        <w:t>For example, she makes several references to Galenic medicine and the life of Hippocrates</w:t>
      </w:r>
      <w:r w:rsidR="0143E01B" w:rsidRPr="00C84FC4">
        <w:rPr>
          <w:rFonts w:ascii="Calibri" w:eastAsia="Calibri" w:hAnsi="Calibri" w:cs="Calibri"/>
          <w:sz w:val="22"/>
          <w:szCs w:val="22"/>
        </w:rPr>
        <w:t xml:space="preserve"> </w:t>
      </w:r>
      <w:r w:rsidR="0F22EB50" w:rsidRPr="00C84FC4">
        <w:rPr>
          <w:rFonts w:ascii="Calibri" w:eastAsia="Calibri" w:hAnsi="Calibri" w:cs="Calibri"/>
          <w:sz w:val="22"/>
          <w:szCs w:val="22"/>
        </w:rPr>
        <w:t xml:space="preserve">without providing the </w:t>
      </w:r>
      <w:r w:rsidR="0F69802C" w:rsidRPr="00C84FC4">
        <w:rPr>
          <w:rFonts w:ascii="Calibri" w:eastAsia="Calibri" w:hAnsi="Calibri" w:cs="Calibri"/>
          <w:sz w:val="22"/>
          <w:szCs w:val="22"/>
        </w:rPr>
        <w:t>essential background information</w:t>
      </w:r>
      <w:r w:rsidR="00ED0281">
        <w:rPr>
          <w:rFonts w:ascii="Calibri" w:eastAsia="Calibri" w:hAnsi="Calibri" w:cs="Calibri"/>
          <w:sz w:val="22"/>
          <w:szCs w:val="22"/>
        </w:rPr>
        <w:t>.</w:t>
      </w:r>
      <w:r w:rsidRPr="00C84FC4">
        <w:rPr>
          <w:rStyle w:val="FootnoteReference"/>
          <w:rFonts w:ascii="Calibri" w:eastAsia="Calibri" w:hAnsi="Calibri" w:cs="Calibri"/>
          <w:sz w:val="22"/>
          <w:szCs w:val="22"/>
        </w:rPr>
        <w:footnoteReference w:id="14"/>
      </w:r>
      <w:r w:rsidR="0F69802C" w:rsidRPr="00C84FC4">
        <w:rPr>
          <w:rFonts w:ascii="Calibri" w:eastAsia="Calibri" w:hAnsi="Calibri" w:cs="Calibri"/>
          <w:sz w:val="22"/>
          <w:szCs w:val="22"/>
        </w:rPr>
        <w:t xml:space="preserve"> </w:t>
      </w:r>
      <w:r w:rsidR="61B8102C" w:rsidRPr="00C84FC4">
        <w:rPr>
          <w:rFonts w:ascii="Calibri" w:eastAsia="Calibri" w:hAnsi="Calibri" w:cs="Calibri"/>
          <w:sz w:val="22"/>
          <w:szCs w:val="22"/>
        </w:rPr>
        <w:t>She further makes the use of several Latin phrases, such as ‘cognitio historia</w:t>
      </w:r>
      <w:bookmarkStart w:id="6" w:name="_Int_dyso5CJW"/>
      <w:r w:rsidR="29E89CED" w:rsidRPr="00C84FC4">
        <w:rPr>
          <w:rFonts w:ascii="Calibri" w:eastAsia="Calibri" w:hAnsi="Calibri" w:cs="Calibri"/>
          <w:sz w:val="22"/>
          <w:szCs w:val="22"/>
        </w:rPr>
        <w:t>’</w:t>
      </w:r>
      <w:r w:rsidR="008C2297" w:rsidRPr="00C84FC4">
        <w:rPr>
          <w:rStyle w:val="FootnoteReference"/>
          <w:rFonts w:ascii="Calibri" w:eastAsia="Calibri" w:hAnsi="Calibri" w:cs="Calibri"/>
          <w:sz w:val="22"/>
          <w:szCs w:val="22"/>
        </w:rPr>
        <w:footnoteReference w:id="15"/>
      </w:r>
      <w:r w:rsidR="437F9B75" w:rsidRPr="00C84FC4">
        <w:rPr>
          <w:rFonts w:ascii="Calibri" w:eastAsia="Calibri" w:hAnsi="Calibri" w:cs="Calibri"/>
          <w:sz w:val="22"/>
          <w:szCs w:val="22"/>
        </w:rPr>
        <w:t>,</w:t>
      </w:r>
      <w:bookmarkEnd w:id="6"/>
      <w:r w:rsidR="61B8102C" w:rsidRPr="00C84FC4">
        <w:rPr>
          <w:rFonts w:ascii="Calibri" w:eastAsia="Calibri" w:hAnsi="Calibri" w:cs="Calibri"/>
          <w:sz w:val="22"/>
          <w:szCs w:val="22"/>
        </w:rPr>
        <w:t xml:space="preserve"> </w:t>
      </w:r>
      <w:r w:rsidR="53F49CF6" w:rsidRPr="00C84FC4">
        <w:rPr>
          <w:rFonts w:ascii="Calibri" w:eastAsia="Calibri" w:hAnsi="Calibri" w:cs="Calibri"/>
          <w:sz w:val="22"/>
          <w:szCs w:val="22"/>
        </w:rPr>
        <w:t>’vera narratio'</w:t>
      </w:r>
      <w:r w:rsidRPr="00C84FC4">
        <w:rPr>
          <w:rStyle w:val="FootnoteReference"/>
          <w:rFonts w:ascii="Calibri" w:eastAsia="Calibri" w:hAnsi="Calibri" w:cs="Calibri"/>
          <w:sz w:val="22"/>
          <w:szCs w:val="22"/>
        </w:rPr>
        <w:footnoteReference w:id="16"/>
      </w:r>
      <w:r w:rsidR="53F49CF6" w:rsidRPr="00C84FC4">
        <w:rPr>
          <w:rFonts w:ascii="Calibri" w:eastAsia="Calibri" w:hAnsi="Calibri" w:cs="Calibri"/>
          <w:sz w:val="22"/>
          <w:szCs w:val="22"/>
        </w:rPr>
        <w:t xml:space="preserve">, </w:t>
      </w:r>
      <w:r w:rsidR="4972F262" w:rsidRPr="00C84FC4">
        <w:rPr>
          <w:rFonts w:ascii="Calibri" w:eastAsia="Calibri" w:hAnsi="Calibri" w:cs="Calibri"/>
          <w:sz w:val="22"/>
          <w:szCs w:val="22"/>
        </w:rPr>
        <w:t>’historia naturalis’</w:t>
      </w:r>
      <w:r w:rsidRPr="00C84FC4">
        <w:rPr>
          <w:rStyle w:val="FootnoteReference"/>
          <w:rFonts w:ascii="Calibri" w:eastAsia="Calibri" w:hAnsi="Calibri" w:cs="Calibri"/>
          <w:sz w:val="22"/>
          <w:szCs w:val="22"/>
        </w:rPr>
        <w:footnoteReference w:id="17"/>
      </w:r>
      <w:r w:rsidR="008A0FB1" w:rsidRPr="00C84FC4">
        <w:rPr>
          <w:rFonts w:ascii="Calibri" w:eastAsia="Calibri" w:hAnsi="Calibri" w:cs="Calibri"/>
          <w:sz w:val="22"/>
          <w:szCs w:val="22"/>
        </w:rPr>
        <w:t>,</w:t>
      </w:r>
      <w:r w:rsidR="4972F262" w:rsidRPr="00C84FC4">
        <w:rPr>
          <w:rFonts w:ascii="Calibri" w:eastAsia="Calibri" w:hAnsi="Calibri" w:cs="Calibri"/>
          <w:sz w:val="22"/>
          <w:szCs w:val="22"/>
        </w:rPr>
        <w:t xml:space="preserve"> </w:t>
      </w:r>
      <w:r w:rsidR="61B8102C" w:rsidRPr="00C84FC4">
        <w:rPr>
          <w:rFonts w:ascii="Calibri" w:eastAsia="Calibri" w:hAnsi="Calibri" w:cs="Calibri"/>
          <w:sz w:val="22"/>
          <w:szCs w:val="22"/>
        </w:rPr>
        <w:t>‘Quaestio</w:t>
      </w:r>
      <w:bookmarkStart w:id="7" w:name="_Int_uUGuWOGf"/>
      <w:r w:rsidR="61B8102C" w:rsidRPr="00C84FC4">
        <w:rPr>
          <w:rFonts w:ascii="Calibri" w:eastAsia="Calibri" w:hAnsi="Calibri" w:cs="Calibri"/>
          <w:sz w:val="22"/>
          <w:szCs w:val="22"/>
        </w:rPr>
        <w:t>’</w:t>
      </w:r>
      <w:r w:rsidRPr="00C84FC4">
        <w:rPr>
          <w:rStyle w:val="FootnoteReference"/>
          <w:rFonts w:ascii="Calibri" w:eastAsia="Calibri" w:hAnsi="Calibri" w:cs="Calibri"/>
          <w:sz w:val="22"/>
          <w:szCs w:val="22"/>
        </w:rPr>
        <w:footnoteReference w:id="18"/>
      </w:r>
      <w:r w:rsidR="61B8102C" w:rsidRPr="00C84FC4">
        <w:rPr>
          <w:rFonts w:ascii="Calibri" w:eastAsia="Calibri" w:hAnsi="Calibri" w:cs="Calibri"/>
          <w:sz w:val="22"/>
          <w:szCs w:val="22"/>
        </w:rPr>
        <w:t>,</w:t>
      </w:r>
      <w:bookmarkEnd w:id="7"/>
      <w:r w:rsidR="61B8102C" w:rsidRPr="00C84FC4">
        <w:rPr>
          <w:rFonts w:ascii="Calibri" w:eastAsia="Calibri" w:hAnsi="Calibri" w:cs="Calibri"/>
          <w:sz w:val="22"/>
          <w:szCs w:val="22"/>
        </w:rPr>
        <w:t xml:space="preserve"> ‘scientia</w:t>
      </w:r>
      <w:bookmarkStart w:id="8" w:name="_Int_RNUcnBU2"/>
      <w:r w:rsidR="61B8102C" w:rsidRPr="00C84FC4">
        <w:rPr>
          <w:rFonts w:ascii="Calibri" w:eastAsia="Calibri" w:hAnsi="Calibri" w:cs="Calibri"/>
          <w:sz w:val="22"/>
          <w:szCs w:val="22"/>
        </w:rPr>
        <w:t>’</w:t>
      </w:r>
      <w:r w:rsidRPr="00C84FC4">
        <w:rPr>
          <w:rStyle w:val="FootnoteReference"/>
          <w:rFonts w:ascii="Calibri" w:eastAsia="Calibri" w:hAnsi="Calibri" w:cs="Calibri"/>
          <w:sz w:val="22"/>
          <w:szCs w:val="22"/>
        </w:rPr>
        <w:footnoteReference w:id="19"/>
      </w:r>
      <w:r w:rsidR="61B8102C" w:rsidRPr="00C84FC4">
        <w:rPr>
          <w:rFonts w:ascii="Calibri" w:eastAsia="Calibri" w:hAnsi="Calibri" w:cs="Calibri"/>
          <w:sz w:val="22"/>
          <w:szCs w:val="22"/>
        </w:rPr>
        <w:t>,</w:t>
      </w:r>
      <w:bookmarkEnd w:id="8"/>
      <w:r w:rsidR="61B8102C" w:rsidRPr="00C84FC4">
        <w:rPr>
          <w:rFonts w:ascii="Calibri" w:eastAsia="Calibri" w:hAnsi="Calibri" w:cs="Calibri"/>
          <w:sz w:val="22"/>
          <w:szCs w:val="22"/>
        </w:rPr>
        <w:t xml:space="preserve"> ‘ars’</w:t>
      </w:r>
      <w:r w:rsidRPr="00C84FC4">
        <w:rPr>
          <w:rStyle w:val="FootnoteReference"/>
          <w:rFonts w:ascii="Calibri" w:eastAsia="Calibri" w:hAnsi="Calibri" w:cs="Calibri"/>
          <w:sz w:val="22"/>
          <w:szCs w:val="22"/>
        </w:rPr>
        <w:footnoteReference w:id="20"/>
      </w:r>
      <w:r w:rsidR="6D6409CE" w:rsidRPr="00C84FC4">
        <w:rPr>
          <w:rFonts w:ascii="Calibri" w:eastAsia="Calibri" w:hAnsi="Calibri" w:cs="Calibri"/>
          <w:sz w:val="22"/>
          <w:szCs w:val="22"/>
        </w:rPr>
        <w:t xml:space="preserve"> without providing the required translations.</w:t>
      </w:r>
      <w:r w:rsidR="20611909" w:rsidRPr="00C84FC4">
        <w:rPr>
          <w:rFonts w:ascii="Calibri" w:eastAsia="Calibri" w:hAnsi="Calibri" w:cs="Calibri"/>
          <w:sz w:val="22"/>
          <w:szCs w:val="22"/>
        </w:rPr>
        <w:t xml:space="preserve"> </w:t>
      </w:r>
      <w:r w:rsidR="372AD3BB" w:rsidRPr="00C84FC4">
        <w:rPr>
          <w:rFonts w:ascii="Calibri" w:eastAsia="Calibri" w:hAnsi="Calibri" w:cs="Calibri"/>
          <w:sz w:val="22"/>
          <w:szCs w:val="22"/>
        </w:rPr>
        <w:t>Overall, Siraisi’s paper, while thorough and persuasive in its arguments, is not written for those with</w:t>
      </w:r>
      <w:r w:rsidR="00A24FFB" w:rsidRPr="00C84FC4">
        <w:rPr>
          <w:rFonts w:ascii="Calibri" w:eastAsia="Calibri" w:hAnsi="Calibri" w:cs="Calibri"/>
          <w:sz w:val="22"/>
          <w:szCs w:val="22"/>
        </w:rPr>
        <w:t>out</w:t>
      </w:r>
      <w:r w:rsidR="372AD3BB" w:rsidRPr="00C84FC4">
        <w:rPr>
          <w:rFonts w:ascii="Calibri" w:eastAsia="Calibri" w:hAnsi="Calibri" w:cs="Calibri"/>
          <w:sz w:val="22"/>
          <w:szCs w:val="22"/>
        </w:rPr>
        <w:t xml:space="preserve"> prior knowledge of Renaissance history or </w:t>
      </w:r>
      <w:r w:rsidR="00A24FFB" w:rsidRPr="00C84FC4">
        <w:rPr>
          <w:rFonts w:ascii="Calibri" w:eastAsia="Calibri" w:hAnsi="Calibri" w:cs="Calibri"/>
          <w:sz w:val="22"/>
          <w:szCs w:val="22"/>
        </w:rPr>
        <w:t xml:space="preserve">the </w:t>
      </w:r>
      <w:r w:rsidR="372AD3BB" w:rsidRPr="00C84FC4">
        <w:rPr>
          <w:rFonts w:ascii="Calibri" w:eastAsia="Calibri" w:hAnsi="Calibri" w:cs="Calibri"/>
          <w:sz w:val="22"/>
          <w:szCs w:val="22"/>
        </w:rPr>
        <w:t>contemporary medical theories.</w:t>
      </w:r>
      <w:r w:rsidR="34B1943D" w:rsidRPr="00C84FC4">
        <w:rPr>
          <w:rFonts w:ascii="Calibri" w:eastAsia="Calibri" w:hAnsi="Calibri" w:cs="Calibri"/>
          <w:sz w:val="22"/>
          <w:szCs w:val="22"/>
        </w:rPr>
        <w:t xml:space="preserve"> Rankin’s paper is more approachable for the novice reader </w:t>
      </w:r>
      <w:r w:rsidR="00C74319">
        <w:rPr>
          <w:rFonts w:ascii="Calibri" w:eastAsia="Calibri" w:hAnsi="Calibri" w:cs="Calibri"/>
          <w:sz w:val="22"/>
          <w:szCs w:val="22"/>
        </w:rPr>
        <w:t xml:space="preserve">due to its </w:t>
      </w:r>
      <w:r w:rsidR="00B876A8">
        <w:rPr>
          <w:rFonts w:ascii="Calibri" w:eastAsia="Calibri" w:hAnsi="Calibri" w:cs="Calibri"/>
          <w:sz w:val="22"/>
          <w:szCs w:val="22"/>
        </w:rPr>
        <w:t xml:space="preserve">limited scope and funneled narrative. </w:t>
      </w:r>
      <w:r w:rsidR="00703546">
        <w:rPr>
          <w:rFonts w:ascii="Calibri" w:eastAsia="Calibri" w:hAnsi="Calibri" w:cs="Calibri"/>
          <w:sz w:val="22"/>
          <w:szCs w:val="22"/>
        </w:rPr>
        <w:t>As such, it</w:t>
      </w:r>
      <w:r w:rsidR="34B1943D" w:rsidRPr="00C84FC4">
        <w:rPr>
          <w:rFonts w:ascii="Calibri" w:eastAsia="Calibri" w:hAnsi="Calibri" w:cs="Calibri"/>
          <w:sz w:val="22"/>
          <w:szCs w:val="22"/>
        </w:rPr>
        <w:t xml:space="preserve"> could </w:t>
      </w:r>
      <w:r w:rsidR="00D55343" w:rsidRPr="00C84FC4">
        <w:rPr>
          <w:rFonts w:ascii="Calibri" w:eastAsia="Calibri" w:hAnsi="Calibri" w:cs="Calibri"/>
          <w:sz w:val="22"/>
          <w:szCs w:val="22"/>
        </w:rPr>
        <w:t>potentially</w:t>
      </w:r>
      <w:r w:rsidR="00A24FFB" w:rsidRPr="00C84FC4">
        <w:rPr>
          <w:rFonts w:ascii="Calibri" w:eastAsia="Calibri" w:hAnsi="Calibri" w:cs="Calibri"/>
          <w:sz w:val="22"/>
          <w:szCs w:val="22"/>
        </w:rPr>
        <w:t xml:space="preserve"> </w:t>
      </w:r>
      <w:r w:rsidR="34B1943D" w:rsidRPr="00C84FC4">
        <w:rPr>
          <w:rFonts w:ascii="Calibri" w:eastAsia="Calibri" w:hAnsi="Calibri" w:cs="Calibri"/>
          <w:sz w:val="22"/>
          <w:szCs w:val="22"/>
        </w:rPr>
        <w:t xml:space="preserve">introduce the early modern period to a wider audience due to its gender-based subject matter. As such, </w:t>
      </w:r>
      <w:r w:rsidR="50DEAB7D" w:rsidRPr="00C84FC4">
        <w:rPr>
          <w:rFonts w:ascii="Calibri" w:eastAsia="Calibri" w:hAnsi="Calibri" w:cs="Calibri"/>
          <w:sz w:val="22"/>
          <w:szCs w:val="22"/>
        </w:rPr>
        <w:t xml:space="preserve">a comparison of the </w:t>
      </w:r>
      <w:r w:rsidR="2C642170" w:rsidRPr="00C84FC4">
        <w:rPr>
          <w:rFonts w:ascii="Calibri" w:eastAsia="Calibri" w:hAnsi="Calibri" w:cs="Calibri"/>
          <w:sz w:val="22"/>
          <w:szCs w:val="22"/>
        </w:rPr>
        <w:t>gender-based</w:t>
      </w:r>
      <w:r w:rsidR="50DEAB7D" w:rsidRPr="00C84FC4">
        <w:rPr>
          <w:rFonts w:ascii="Calibri" w:eastAsia="Calibri" w:hAnsi="Calibri" w:cs="Calibri"/>
          <w:sz w:val="22"/>
          <w:szCs w:val="22"/>
        </w:rPr>
        <w:t xml:space="preserve"> themes </w:t>
      </w:r>
      <w:r w:rsidR="08848044" w:rsidRPr="00C84FC4">
        <w:rPr>
          <w:rFonts w:ascii="Calibri" w:eastAsia="Calibri" w:hAnsi="Calibri" w:cs="Calibri"/>
          <w:sz w:val="22"/>
          <w:szCs w:val="22"/>
        </w:rPr>
        <w:t xml:space="preserve">of these two papers </w:t>
      </w:r>
      <w:r w:rsidR="32E57F0A" w:rsidRPr="00C84FC4">
        <w:rPr>
          <w:rFonts w:ascii="Calibri" w:eastAsia="Calibri" w:hAnsi="Calibri" w:cs="Calibri"/>
          <w:sz w:val="22"/>
          <w:szCs w:val="22"/>
        </w:rPr>
        <w:t xml:space="preserve">is </w:t>
      </w:r>
      <w:r w:rsidR="00F471CB">
        <w:rPr>
          <w:rFonts w:ascii="Calibri" w:eastAsia="Calibri" w:hAnsi="Calibri" w:cs="Calibri"/>
          <w:sz w:val="22"/>
          <w:szCs w:val="22"/>
        </w:rPr>
        <w:t>can be examined</w:t>
      </w:r>
      <w:r w:rsidR="32E57F0A" w:rsidRPr="00C84FC4">
        <w:rPr>
          <w:rFonts w:ascii="Calibri" w:eastAsia="Calibri" w:hAnsi="Calibri" w:cs="Calibri"/>
          <w:sz w:val="22"/>
          <w:szCs w:val="22"/>
        </w:rPr>
        <w:t>.</w:t>
      </w:r>
    </w:p>
    <w:p w14:paraId="6F0933BE" w14:textId="6E962A57" w:rsidR="00D55343" w:rsidRPr="00C84FC4" w:rsidRDefault="1E6FB1C3" w:rsidP="00DA33C1">
      <w:pPr>
        <w:spacing w:before="240" w:after="0" w:line="240" w:lineRule="auto"/>
        <w:ind w:firstLine="709"/>
        <w:jc w:val="both"/>
        <w:rPr>
          <w:rFonts w:ascii="Calibri" w:eastAsia="Calibri" w:hAnsi="Calibri" w:cs="Calibri"/>
          <w:sz w:val="22"/>
          <w:szCs w:val="22"/>
        </w:rPr>
      </w:pPr>
      <w:r w:rsidRPr="00C84FC4">
        <w:rPr>
          <w:rFonts w:ascii="Calibri" w:eastAsia="Calibri" w:hAnsi="Calibri" w:cs="Calibri"/>
          <w:sz w:val="22"/>
          <w:szCs w:val="22"/>
        </w:rPr>
        <w:t xml:space="preserve">A major contrasting theme in both papers is that Rankin </w:t>
      </w:r>
      <w:r w:rsidR="62CDF3C1" w:rsidRPr="00C84FC4">
        <w:rPr>
          <w:rFonts w:ascii="Calibri" w:eastAsia="Calibri" w:hAnsi="Calibri" w:cs="Calibri"/>
          <w:sz w:val="22"/>
          <w:szCs w:val="22"/>
        </w:rPr>
        <w:t>has a predominant focus on the female perspective of her t</w:t>
      </w:r>
      <w:r w:rsidR="55CF0717" w:rsidRPr="00C84FC4">
        <w:rPr>
          <w:rFonts w:ascii="Calibri" w:eastAsia="Calibri" w:hAnsi="Calibri" w:cs="Calibri"/>
          <w:sz w:val="22"/>
          <w:szCs w:val="22"/>
        </w:rPr>
        <w:t>hesis,</w:t>
      </w:r>
      <w:r w:rsidR="62CDF3C1" w:rsidRPr="00C84FC4">
        <w:rPr>
          <w:rFonts w:ascii="Calibri" w:eastAsia="Calibri" w:hAnsi="Calibri" w:cs="Calibri"/>
          <w:sz w:val="22"/>
          <w:szCs w:val="22"/>
        </w:rPr>
        <w:t xml:space="preserve"> w</w:t>
      </w:r>
      <w:r w:rsidR="316EBB13" w:rsidRPr="00C84FC4">
        <w:rPr>
          <w:rFonts w:ascii="Calibri" w:eastAsia="Calibri" w:hAnsi="Calibri" w:cs="Calibri"/>
          <w:sz w:val="22"/>
          <w:szCs w:val="22"/>
        </w:rPr>
        <w:t>hile gender is not a</w:t>
      </w:r>
      <w:r w:rsidR="004779D4">
        <w:rPr>
          <w:rFonts w:ascii="Calibri" w:eastAsia="Calibri" w:hAnsi="Calibri" w:cs="Calibri"/>
          <w:sz w:val="22"/>
          <w:szCs w:val="22"/>
        </w:rPr>
        <w:t xml:space="preserve"> major</w:t>
      </w:r>
      <w:r w:rsidR="316EBB13" w:rsidRPr="00C84FC4">
        <w:rPr>
          <w:rFonts w:ascii="Calibri" w:eastAsia="Calibri" w:hAnsi="Calibri" w:cs="Calibri"/>
          <w:sz w:val="22"/>
          <w:szCs w:val="22"/>
        </w:rPr>
        <w:t xml:space="preserve"> topic of consideration in Siraisi’s work. </w:t>
      </w:r>
      <w:r w:rsidR="007A2BB9">
        <w:rPr>
          <w:rFonts w:ascii="Calibri" w:eastAsia="Calibri" w:hAnsi="Calibri" w:cs="Calibri"/>
          <w:sz w:val="22"/>
          <w:szCs w:val="22"/>
        </w:rPr>
        <w:t>In fact, t</w:t>
      </w:r>
      <w:r w:rsidR="1D1D2DD1" w:rsidRPr="00C84FC4">
        <w:rPr>
          <w:rFonts w:ascii="Calibri" w:eastAsia="Calibri" w:hAnsi="Calibri" w:cs="Calibri"/>
          <w:sz w:val="22"/>
          <w:szCs w:val="22"/>
        </w:rPr>
        <w:t>he vast</w:t>
      </w:r>
      <w:r w:rsidR="001308D1">
        <w:rPr>
          <w:rFonts w:ascii="Calibri" w:eastAsia="Calibri" w:hAnsi="Calibri" w:cs="Calibri"/>
          <w:sz w:val="22"/>
          <w:szCs w:val="22"/>
        </w:rPr>
        <w:t xml:space="preserve"> range of</w:t>
      </w:r>
      <w:r w:rsidR="1D1D2DD1" w:rsidRPr="00C84FC4">
        <w:rPr>
          <w:rFonts w:ascii="Calibri" w:eastAsia="Calibri" w:hAnsi="Calibri" w:cs="Calibri"/>
          <w:sz w:val="22"/>
          <w:szCs w:val="22"/>
        </w:rPr>
        <w:t xml:space="preserve"> historical </w:t>
      </w:r>
      <w:r w:rsidR="002A4FA3">
        <w:rPr>
          <w:rFonts w:ascii="Calibri" w:eastAsia="Calibri" w:hAnsi="Calibri" w:cs="Calibri"/>
          <w:sz w:val="22"/>
          <w:szCs w:val="22"/>
        </w:rPr>
        <w:t>primary sources</w:t>
      </w:r>
      <w:r w:rsidR="1D1D2DD1" w:rsidRPr="00C84FC4">
        <w:rPr>
          <w:rFonts w:ascii="Calibri" w:eastAsia="Calibri" w:hAnsi="Calibri" w:cs="Calibri"/>
          <w:sz w:val="22"/>
          <w:szCs w:val="22"/>
        </w:rPr>
        <w:t xml:space="preserve"> Siraisi presents is </w:t>
      </w:r>
      <w:r w:rsidR="002A4FA3">
        <w:rPr>
          <w:rFonts w:ascii="Calibri" w:eastAsia="Calibri" w:hAnsi="Calibri" w:cs="Calibri"/>
          <w:sz w:val="22"/>
          <w:szCs w:val="22"/>
        </w:rPr>
        <w:t>mainly</w:t>
      </w:r>
      <w:r w:rsidR="1D1D2DD1" w:rsidRPr="00C84FC4">
        <w:rPr>
          <w:rFonts w:ascii="Calibri" w:eastAsia="Calibri" w:hAnsi="Calibri" w:cs="Calibri"/>
          <w:sz w:val="22"/>
          <w:szCs w:val="22"/>
        </w:rPr>
        <w:t xml:space="preserve"> of male authorship.</w:t>
      </w:r>
      <w:r w:rsidR="22E6542A" w:rsidRPr="00C84FC4">
        <w:rPr>
          <w:rFonts w:ascii="Calibri" w:eastAsia="Calibri" w:hAnsi="Calibri" w:cs="Calibri"/>
          <w:sz w:val="22"/>
          <w:szCs w:val="22"/>
        </w:rPr>
        <w:t xml:space="preserve"> </w:t>
      </w:r>
      <w:r w:rsidR="00DA33C1">
        <w:rPr>
          <w:rFonts w:ascii="Calibri" w:eastAsia="Calibri" w:hAnsi="Calibri" w:cs="Calibri"/>
          <w:sz w:val="22"/>
          <w:szCs w:val="22"/>
        </w:rPr>
        <w:t xml:space="preserve">Rankin provides a series of keywords </w:t>
      </w:r>
      <w:r w:rsidR="00DA33C1" w:rsidRPr="00C84FC4">
        <w:rPr>
          <w:rFonts w:ascii="Calibri" w:eastAsia="Calibri" w:hAnsi="Calibri" w:cs="Calibri"/>
          <w:sz w:val="22"/>
          <w:szCs w:val="22"/>
        </w:rPr>
        <w:t>before</w:t>
      </w:r>
      <w:r w:rsidR="00294C4C">
        <w:rPr>
          <w:rFonts w:ascii="Calibri" w:eastAsia="Calibri" w:hAnsi="Calibri" w:cs="Calibri"/>
          <w:sz w:val="22"/>
          <w:szCs w:val="22"/>
        </w:rPr>
        <w:t xml:space="preserve"> </w:t>
      </w:r>
      <w:r w:rsidR="00DA33C1">
        <w:rPr>
          <w:rFonts w:ascii="Calibri" w:eastAsia="Calibri" w:hAnsi="Calibri" w:cs="Calibri"/>
          <w:sz w:val="22"/>
          <w:szCs w:val="22"/>
        </w:rPr>
        <w:t>her introductory paragraph:</w:t>
      </w:r>
      <w:r w:rsidR="22E6542A" w:rsidRPr="00C84FC4">
        <w:rPr>
          <w:rFonts w:ascii="Calibri" w:eastAsia="Calibri" w:hAnsi="Calibri" w:cs="Calibri"/>
          <w:sz w:val="22"/>
          <w:szCs w:val="22"/>
        </w:rPr>
        <w:t xml:space="preserve"> </w:t>
      </w:r>
      <w:r w:rsidR="4FEEE762" w:rsidRPr="00C84FC4">
        <w:rPr>
          <w:rFonts w:ascii="Calibri" w:eastAsia="Calibri" w:hAnsi="Calibri" w:cs="Calibri"/>
          <w:sz w:val="22"/>
          <w:szCs w:val="22"/>
        </w:rPr>
        <w:t>‘medicine; pregnancy; childbirth; temporality; menstruation</w:t>
      </w:r>
      <w:r w:rsidR="127A214E" w:rsidRPr="00C84FC4">
        <w:rPr>
          <w:rFonts w:ascii="Calibri" w:eastAsia="Calibri" w:hAnsi="Calibri" w:cs="Calibri"/>
          <w:sz w:val="22"/>
          <w:szCs w:val="22"/>
        </w:rPr>
        <w:t>.</w:t>
      </w:r>
      <w:r w:rsidR="00B1431D" w:rsidRPr="00C84FC4">
        <w:rPr>
          <w:rStyle w:val="FootnoteReference"/>
          <w:rFonts w:ascii="Calibri" w:eastAsia="Calibri" w:hAnsi="Calibri" w:cs="Calibri"/>
          <w:sz w:val="22"/>
          <w:szCs w:val="22"/>
        </w:rPr>
        <w:footnoteReference w:id="21"/>
      </w:r>
      <w:r w:rsidR="127A214E" w:rsidRPr="00C84FC4">
        <w:rPr>
          <w:rFonts w:ascii="Calibri" w:eastAsia="Calibri" w:hAnsi="Calibri" w:cs="Calibri"/>
          <w:sz w:val="22"/>
          <w:szCs w:val="22"/>
        </w:rPr>
        <w:t>’</w:t>
      </w:r>
      <w:r w:rsidR="4FEEE762" w:rsidRPr="00C84FC4">
        <w:rPr>
          <w:rFonts w:ascii="Calibri" w:eastAsia="Calibri" w:hAnsi="Calibri" w:cs="Calibri"/>
          <w:sz w:val="22"/>
          <w:szCs w:val="22"/>
        </w:rPr>
        <w:t xml:space="preserve"> They illustrate</w:t>
      </w:r>
      <w:r w:rsidR="38A0E7CF" w:rsidRPr="00C84FC4">
        <w:rPr>
          <w:rFonts w:ascii="Calibri" w:eastAsia="Calibri" w:hAnsi="Calibri" w:cs="Calibri"/>
          <w:sz w:val="22"/>
          <w:szCs w:val="22"/>
        </w:rPr>
        <w:t xml:space="preserve"> the prevalence of the gendered perspective she is arguing for. </w:t>
      </w:r>
      <w:r w:rsidR="301FB5BA" w:rsidRPr="00C84FC4">
        <w:rPr>
          <w:rFonts w:ascii="Calibri" w:eastAsia="Calibri" w:hAnsi="Calibri" w:cs="Calibri"/>
          <w:sz w:val="22"/>
          <w:szCs w:val="22"/>
        </w:rPr>
        <w:t>Moreover, t</w:t>
      </w:r>
      <w:r w:rsidR="00B4A9CF" w:rsidRPr="00C84FC4">
        <w:rPr>
          <w:rFonts w:ascii="Calibri" w:eastAsia="Calibri" w:hAnsi="Calibri" w:cs="Calibri"/>
          <w:sz w:val="22"/>
          <w:szCs w:val="22"/>
        </w:rPr>
        <w:t xml:space="preserve">he editor of the </w:t>
      </w:r>
      <w:r w:rsidR="001308D1">
        <w:rPr>
          <w:rFonts w:ascii="Calibri" w:eastAsia="Calibri" w:hAnsi="Calibri" w:cs="Calibri"/>
          <w:sz w:val="22"/>
          <w:szCs w:val="22"/>
        </w:rPr>
        <w:t>anthology</w:t>
      </w:r>
      <w:r w:rsidR="00B4A9CF" w:rsidRPr="00C84FC4">
        <w:rPr>
          <w:rFonts w:ascii="Calibri" w:eastAsia="Calibri" w:hAnsi="Calibri" w:cs="Calibri"/>
          <w:sz w:val="22"/>
          <w:szCs w:val="22"/>
        </w:rPr>
        <w:t xml:space="preserve"> this paper was included in wrote in her introductory chapter that this book ‘… examines gendered and embodied temporalities, and the ways that time structured early modern lives</w:t>
      </w:r>
      <w:r w:rsidR="3FE9479D" w:rsidRPr="00C84FC4">
        <w:rPr>
          <w:rFonts w:ascii="Calibri" w:eastAsia="Calibri" w:hAnsi="Calibri" w:cs="Calibri"/>
          <w:sz w:val="22"/>
          <w:szCs w:val="22"/>
        </w:rPr>
        <w:t>.</w:t>
      </w:r>
      <w:r w:rsidR="00D514CC" w:rsidRPr="00C84FC4">
        <w:rPr>
          <w:rStyle w:val="FootnoteReference"/>
          <w:rFonts w:ascii="Calibri" w:eastAsia="Calibri" w:hAnsi="Calibri" w:cs="Calibri"/>
          <w:sz w:val="22"/>
          <w:szCs w:val="22"/>
        </w:rPr>
        <w:footnoteReference w:id="22"/>
      </w:r>
      <w:r w:rsidR="3FE9479D" w:rsidRPr="00C84FC4">
        <w:rPr>
          <w:rFonts w:ascii="Calibri" w:eastAsia="Calibri" w:hAnsi="Calibri" w:cs="Calibri"/>
          <w:sz w:val="22"/>
          <w:szCs w:val="22"/>
        </w:rPr>
        <w:t>’</w:t>
      </w:r>
      <w:r w:rsidR="68308BE1" w:rsidRPr="00C84FC4">
        <w:rPr>
          <w:rFonts w:ascii="Calibri" w:eastAsia="Calibri" w:hAnsi="Calibri" w:cs="Calibri"/>
          <w:sz w:val="22"/>
          <w:szCs w:val="22"/>
        </w:rPr>
        <w:t xml:space="preserve"> Rankin herself is a Professor and Chair of the History Department while also being a member of the Faculty of Women's, Gender, and Sexuality Studies in Tuft’s University in Massachusetts</w:t>
      </w:r>
      <w:r w:rsidR="001817F4" w:rsidRPr="00C84FC4">
        <w:rPr>
          <w:rStyle w:val="FootnoteReference"/>
          <w:rFonts w:ascii="Calibri" w:eastAsia="Calibri" w:hAnsi="Calibri" w:cs="Calibri"/>
          <w:sz w:val="22"/>
          <w:szCs w:val="22"/>
        </w:rPr>
        <w:footnoteReference w:id="23"/>
      </w:r>
      <w:r w:rsidR="68308BE1" w:rsidRPr="00C84FC4">
        <w:rPr>
          <w:rFonts w:ascii="Calibri" w:eastAsia="Calibri" w:hAnsi="Calibri" w:cs="Calibri"/>
          <w:sz w:val="22"/>
          <w:szCs w:val="22"/>
        </w:rPr>
        <w:t xml:space="preserve">. It is evident from the </w:t>
      </w:r>
      <w:r w:rsidR="5069BEEC" w:rsidRPr="00C84FC4">
        <w:rPr>
          <w:rFonts w:ascii="Calibri" w:eastAsia="Calibri" w:hAnsi="Calibri" w:cs="Calibri"/>
          <w:sz w:val="22"/>
          <w:szCs w:val="22"/>
        </w:rPr>
        <w:t xml:space="preserve">points above, the motivation and context she is writing for. Her impressive </w:t>
      </w:r>
      <w:r w:rsidR="000E4CA8">
        <w:rPr>
          <w:rFonts w:ascii="Calibri" w:eastAsia="Calibri" w:hAnsi="Calibri" w:cs="Calibri"/>
          <w:sz w:val="22"/>
          <w:szCs w:val="22"/>
        </w:rPr>
        <w:t xml:space="preserve">academic </w:t>
      </w:r>
      <w:r w:rsidR="5069BEEC" w:rsidRPr="00C84FC4">
        <w:rPr>
          <w:rFonts w:ascii="Calibri" w:eastAsia="Calibri" w:hAnsi="Calibri" w:cs="Calibri"/>
          <w:sz w:val="22"/>
          <w:szCs w:val="22"/>
        </w:rPr>
        <w:t xml:space="preserve">credentials </w:t>
      </w:r>
      <w:r w:rsidR="000E4CA8">
        <w:rPr>
          <w:rFonts w:ascii="Calibri" w:eastAsia="Calibri" w:hAnsi="Calibri" w:cs="Calibri"/>
          <w:sz w:val="22"/>
          <w:szCs w:val="22"/>
        </w:rPr>
        <w:t>provide</w:t>
      </w:r>
      <w:r w:rsidR="5069BEEC" w:rsidRPr="00C84FC4">
        <w:rPr>
          <w:rFonts w:ascii="Calibri" w:eastAsia="Calibri" w:hAnsi="Calibri" w:cs="Calibri"/>
          <w:sz w:val="22"/>
          <w:szCs w:val="22"/>
        </w:rPr>
        <w:t xml:space="preserve"> her </w:t>
      </w:r>
      <w:r w:rsidR="00172EAE">
        <w:rPr>
          <w:rFonts w:ascii="Calibri" w:eastAsia="Calibri" w:hAnsi="Calibri" w:cs="Calibri"/>
          <w:sz w:val="22"/>
          <w:szCs w:val="22"/>
        </w:rPr>
        <w:t xml:space="preserve">with </w:t>
      </w:r>
      <w:r w:rsidR="5069BEEC" w:rsidRPr="00C84FC4">
        <w:rPr>
          <w:rFonts w:ascii="Calibri" w:eastAsia="Calibri" w:hAnsi="Calibri" w:cs="Calibri"/>
          <w:sz w:val="22"/>
          <w:szCs w:val="22"/>
        </w:rPr>
        <w:t>the authority to</w:t>
      </w:r>
      <w:r w:rsidR="053532DC" w:rsidRPr="00C84FC4">
        <w:rPr>
          <w:rFonts w:ascii="Calibri" w:eastAsia="Calibri" w:hAnsi="Calibri" w:cs="Calibri"/>
          <w:sz w:val="22"/>
          <w:szCs w:val="22"/>
        </w:rPr>
        <w:t xml:space="preserve"> communicate this information.</w:t>
      </w:r>
      <w:r w:rsidR="1E73E7AE" w:rsidRPr="00C84FC4">
        <w:rPr>
          <w:rFonts w:ascii="Calibri" w:eastAsia="Calibri" w:hAnsi="Calibri" w:cs="Calibri"/>
          <w:sz w:val="22"/>
          <w:szCs w:val="22"/>
        </w:rPr>
        <w:t xml:space="preserve"> On the other hand, Siraisi’s</w:t>
      </w:r>
      <w:r w:rsidR="01F0AD41" w:rsidRPr="00C84FC4">
        <w:rPr>
          <w:rFonts w:ascii="Calibri" w:eastAsia="Calibri" w:hAnsi="Calibri" w:cs="Calibri"/>
          <w:sz w:val="22"/>
          <w:szCs w:val="22"/>
        </w:rPr>
        <w:t xml:space="preserve"> lack of gender specific </w:t>
      </w:r>
      <w:r w:rsidR="01F0AD41" w:rsidRPr="00C84FC4">
        <w:rPr>
          <w:rFonts w:ascii="Calibri" w:eastAsia="Calibri" w:hAnsi="Calibri" w:cs="Calibri"/>
          <w:sz w:val="22"/>
          <w:szCs w:val="22"/>
        </w:rPr>
        <w:lastRenderedPageBreak/>
        <w:t xml:space="preserve">focus is due to the context </w:t>
      </w:r>
      <w:r w:rsidR="001308D1">
        <w:rPr>
          <w:rFonts w:ascii="Calibri" w:eastAsia="Calibri" w:hAnsi="Calibri" w:cs="Calibri"/>
          <w:sz w:val="22"/>
          <w:szCs w:val="22"/>
        </w:rPr>
        <w:t>the paper was</w:t>
      </w:r>
      <w:r w:rsidR="01F0AD41" w:rsidRPr="00C84FC4">
        <w:rPr>
          <w:rFonts w:ascii="Calibri" w:eastAsia="Calibri" w:hAnsi="Calibri" w:cs="Calibri"/>
          <w:sz w:val="22"/>
          <w:szCs w:val="22"/>
        </w:rPr>
        <w:t xml:space="preserve"> written in.</w:t>
      </w:r>
      <w:r w:rsidR="33D94242" w:rsidRPr="00C84FC4">
        <w:rPr>
          <w:rFonts w:ascii="Calibri" w:eastAsia="Calibri" w:hAnsi="Calibri" w:cs="Calibri"/>
          <w:sz w:val="22"/>
          <w:szCs w:val="22"/>
        </w:rPr>
        <w:t xml:space="preserve"> </w:t>
      </w:r>
      <w:r w:rsidR="0076124D">
        <w:rPr>
          <w:rFonts w:ascii="Calibri" w:eastAsia="Calibri" w:hAnsi="Calibri" w:cs="Calibri"/>
          <w:sz w:val="22"/>
          <w:szCs w:val="22"/>
        </w:rPr>
        <w:t xml:space="preserve">For </w:t>
      </w:r>
      <w:r w:rsidR="33D94242" w:rsidRPr="00C84FC4">
        <w:rPr>
          <w:rFonts w:ascii="Calibri" w:eastAsia="Calibri" w:hAnsi="Calibri" w:cs="Calibri"/>
          <w:sz w:val="22"/>
          <w:szCs w:val="22"/>
        </w:rPr>
        <w:t>Siraisi’s</w:t>
      </w:r>
      <w:r w:rsidR="0076124D">
        <w:rPr>
          <w:rFonts w:ascii="Calibri" w:eastAsia="Calibri" w:hAnsi="Calibri" w:cs="Calibri"/>
          <w:sz w:val="22"/>
          <w:szCs w:val="22"/>
        </w:rPr>
        <w:t>, her</w:t>
      </w:r>
      <w:r w:rsidR="33D94242" w:rsidRPr="00C84FC4">
        <w:rPr>
          <w:rFonts w:ascii="Calibri" w:eastAsia="Calibri" w:hAnsi="Calibri" w:cs="Calibri"/>
          <w:sz w:val="22"/>
          <w:szCs w:val="22"/>
        </w:rPr>
        <w:t xml:space="preserve"> target audience</w:t>
      </w:r>
      <w:r w:rsidR="0076124D">
        <w:rPr>
          <w:rFonts w:ascii="Calibri" w:eastAsia="Calibri" w:hAnsi="Calibri" w:cs="Calibri"/>
          <w:sz w:val="22"/>
          <w:szCs w:val="22"/>
        </w:rPr>
        <w:t>’s</w:t>
      </w:r>
      <w:r w:rsidR="33D94242" w:rsidRPr="00C84FC4">
        <w:rPr>
          <w:rFonts w:ascii="Calibri" w:eastAsia="Calibri" w:hAnsi="Calibri" w:cs="Calibri"/>
          <w:sz w:val="22"/>
          <w:szCs w:val="22"/>
        </w:rPr>
        <w:t xml:space="preserve"> </w:t>
      </w:r>
      <w:r w:rsidR="6A2B3386" w:rsidRPr="00C84FC4">
        <w:rPr>
          <w:rFonts w:ascii="Calibri" w:eastAsia="Calibri" w:hAnsi="Calibri" w:cs="Calibri"/>
          <w:sz w:val="22"/>
          <w:szCs w:val="22"/>
        </w:rPr>
        <w:t xml:space="preserve">focus is on the </w:t>
      </w:r>
      <w:r w:rsidR="00D55343" w:rsidRPr="00C84FC4">
        <w:rPr>
          <w:rFonts w:ascii="Calibri" w:eastAsia="Calibri" w:hAnsi="Calibri" w:cs="Calibri"/>
          <w:sz w:val="22"/>
          <w:szCs w:val="22"/>
        </w:rPr>
        <w:t>Renaissance</w:t>
      </w:r>
      <w:r w:rsidR="6A2B3386" w:rsidRPr="00C84FC4">
        <w:rPr>
          <w:rFonts w:ascii="Calibri" w:eastAsia="Calibri" w:hAnsi="Calibri" w:cs="Calibri"/>
          <w:sz w:val="22"/>
          <w:szCs w:val="22"/>
        </w:rPr>
        <w:t xml:space="preserve"> and not gender studies. </w:t>
      </w:r>
      <w:r w:rsidR="22FF5B78" w:rsidRPr="00C84FC4">
        <w:rPr>
          <w:rFonts w:ascii="Calibri" w:eastAsia="Calibri" w:hAnsi="Calibri" w:cs="Calibri"/>
          <w:sz w:val="22"/>
          <w:szCs w:val="22"/>
        </w:rPr>
        <w:t xml:space="preserve">Writing about the gender perspective would be off topic and </w:t>
      </w:r>
      <w:r w:rsidR="001308D1">
        <w:rPr>
          <w:rFonts w:ascii="Calibri" w:eastAsia="Calibri" w:hAnsi="Calibri" w:cs="Calibri"/>
          <w:sz w:val="22"/>
          <w:szCs w:val="22"/>
        </w:rPr>
        <w:t xml:space="preserve">may </w:t>
      </w:r>
      <w:r w:rsidR="22FF5B78" w:rsidRPr="00C84FC4">
        <w:rPr>
          <w:rFonts w:ascii="Calibri" w:eastAsia="Calibri" w:hAnsi="Calibri" w:cs="Calibri"/>
          <w:sz w:val="22"/>
          <w:szCs w:val="22"/>
        </w:rPr>
        <w:t xml:space="preserve">not benefit </w:t>
      </w:r>
      <w:r w:rsidR="006F24F6" w:rsidRPr="00C84FC4">
        <w:rPr>
          <w:rFonts w:ascii="Calibri" w:eastAsia="Calibri" w:hAnsi="Calibri" w:cs="Calibri"/>
          <w:sz w:val="22"/>
          <w:szCs w:val="22"/>
        </w:rPr>
        <w:t>her</w:t>
      </w:r>
      <w:r w:rsidR="22FF5B78" w:rsidRPr="00C84FC4">
        <w:rPr>
          <w:rFonts w:ascii="Calibri" w:eastAsia="Calibri" w:hAnsi="Calibri" w:cs="Calibri"/>
          <w:sz w:val="22"/>
          <w:szCs w:val="22"/>
        </w:rPr>
        <w:t xml:space="preserve"> main thesis. </w:t>
      </w:r>
      <w:r w:rsidR="00DA74E3">
        <w:rPr>
          <w:rFonts w:ascii="Calibri" w:eastAsia="Calibri" w:hAnsi="Calibri" w:cs="Calibri"/>
          <w:sz w:val="22"/>
          <w:szCs w:val="22"/>
        </w:rPr>
        <w:t>In addition, t</w:t>
      </w:r>
      <w:r w:rsidR="76D6CBD7" w:rsidRPr="00C84FC4">
        <w:rPr>
          <w:rFonts w:ascii="Calibri" w:eastAsia="Calibri" w:hAnsi="Calibri" w:cs="Calibri"/>
          <w:sz w:val="22"/>
          <w:szCs w:val="22"/>
        </w:rPr>
        <w:t xml:space="preserve">he </w:t>
      </w:r>
      <w:r w:rsidR="00DC78EE" w:rsidRPr="00C84FC4">
        <w:rPr>
          <w:rFonts w:ascii="Calibri" w:eastAsia="Calibri" w:hAnsi="Calibri" w:cs="Calibri"/>
          <w:sz w:val="22"/>
          <w:szCs w:val="22"/>
        </w:rPr>
        <w:t>central</w:t>
      </w:r>
      <w:r w:rsidR="76D6CBD7" w:rsidRPr="00C84FC4">
        <w:rPr>
          <w:rFonts w:ascii="Calibri" w:eastAsia="Calibri" w:hAnsi="Calibri" w:cs="Calibri"/>
          <w:sz w:val="22"/>
          <w:szCs w:val="22"/>
        </w:rPr>
        <w:t xml:space="preserve"> reason </w:t>
      </w:r>
      <w:r w:rsidR="76620B3D" w:rsidRPr="00C84FC4">
        <w:rPr>
          <w:rFonts w:ascii="Calibri" w:eastAsia="Calibri" w:hAnsi="Calibri" w:cs="Calibri"/>
          <w:sz w:val="22"/>
          <w:szCs w:val="22"/>
        </w:rPr>
        <w:t>Siraisi’s</w:t>
      </w:r>
      <w:r w:rsidR="76D6CBD7" w:rsidRPr="00C84FC4">
        <w:rPr>
          <w:rFonts w:ascii="Calibri" w:eastAsia="Calibri" w:hAnsi="Calibri" w:cs="Calibri"/>
          <w:sz w:val="22"/>
          <w:szCs w:val="22"/>
        </w:rPr>
        <w:t xml:space="preserve"> evidence is </w:t>
      </w:r>
      <w:r w:rsidR="5A0CD935" w:rsidRPr="00C84FC4">
        <w:rPr>
          <w:rFonts w:ascii="Calibri" w:eastAsia="Calibri" w:hAnsi="Calibri" w:cs="Calibri"/>
          <w:sz w:val="22"/>
          <w:szCs w:val="22"/>
        </w:rPr>
        <w:t>primar</w:t>
      </w:r>
      <w:r w:rsidR="004D4B40">
        <w:rPr>
          <w:rFonts w:ascii="Calibri" w:eastAsia="Calibri" w:hAnsi="Calibri" w:cs="Calibri"/>
          <w:sz w:val="22"/>
          <w:szCs w:val="22"/>
        </w:rPr>
        <w:t>ily</w:t>
      </w:r>
      <w:r w:rsidR="76D6CBD7" w:rsidRPr="00C84FC4">
        <w:rPr>
          <w:rFonts w:ascii="Calibri" w:eastAsia="Calibri" w:hAnsi="Calibri" w:cs="Calibri"/>
          <w:sz w:val="22"/>
          <w:szCs w:val="22"/>
        </w:rPr>
        <w:t xml:space="preserve"> of male authorship is because medical and historical literature in the early modern period</w:t>
      </w:r>
      <w:r w:rsidR="004D4B40">
        <w:rPr>
          <w:rFonts w:ascii="Calibri" w:eastAsia="Calibri" w:hAnsi="Calibri" w:cs="Calibri"/>
          <w:sz w:val="22"/>
          <w:szCs w:val="22"/>
        </w:rPr>
        <w:t xml:space="preserve"> was</w:t>
      </w:r>
      <w:r w:rsidR="5921E512" w:rsidRPr="00C84FC4">
        <w:rPr>
          <w:rFonts w:ascii="Calibri" w:eastAsia="Calibri" w:hAnsi="Calibri" w:cs="Calibri"/>
          <w:sz w:val="22"/>
          <w:szCs w:val="22"/>
        </w:rPr>
        <w:t xml:space="preserve"> dominated</w:t>
      </w:r>
      <w:r w:rsidR="00A51A36">
        <w:rPr>
          <w:rFonts w:ascii="Calibri" w:eastAsia="Calibri" w:hAnsi="Calibri" w:cs="Calibri"/>
          <w:sz w:val="22"/>
          <w:szCs w:val="22"/>
        </w:rPr>
        <w:t xml:space="preserve"> due to social factors</w:t>
      </w:r>
      <w:r w:rsidR="5921E512" w:rsidRPr="00C84FC4">
        <w:rPr>
          <w:rFonts w:ascii="Calibri" w:eastAsia="Calibri" w:hAnsi="Calibri" w:cs="Calibri"/>
          <w:sz w:val="22"/>
          <w:szCs w:val="22"/>
        </w:rPr>
        <w:t xml:space="preserve"> by men.</w:t>
      </w:r>
      <w:r w:rsidR="53BF5F7F" w:rsidRPr="00C84FC4">
        <w:rPr>
          <w:rFonts w:ascii="Calibri" w:eastAsia="Calibri" w:hAnsi="Calibri" w:cs="Calibri"/>
          <w:sz w:val="22"/>
          <w:szCs w:val="22"/>
        </w:rPr>
        <w:t xml:space="preserve"> </w:t>
      </w:r>
      <w:r w:rsidR="72B70D92" w:rsidRPr="00C84FC4">
        <w:rPr>
          <w:rFonts w:ascii="Calibri" w:eastAsia="Calibri" w:hAnsi="Calibri" w:cs="Calibri"/>
          <w:sz w:val="22"/>
          <w:szCs w:val="22"/>
        </w:rPr>
        <w:t xml:space="preserve">Furthermore, as author Pamela H. Smith </w:t>
      </w:r>
      <w:r w:rsidR="0CB5CB7E" w:rsidRPr="00C84FC4">
        <w:rPr>
          <w:rFonts w:ascii="Calibri" w:eastAsia="Calibri" w:hAnsi="Calibri" w:cs="Calibri"/>
          <w:sz w:val="22"/>
          <w:szCs w:val="22"/>
        </w:rPr>
        <w:t>summarizes when considering the contribution of early modern women, ‘historians of science had not recognized these activities as part of scientific knowledge-making processes.’</w:t>
      </w:r>
      <w:r w:rsidR="00CD58EB" w:rsidRPr="00C84FC4">
        <w:rPr>
          <w:rStyle w:val="FootnoteReference"/>
          <w:rFonts w:ascii="Calibri" w:eastAsia="Calibri" w:hAnsi="Calibri" w:cs="Calibri"/>
          <w:sz w:val="22"/>
          <w:szCs w:val="22"/>
        </w:rPr>
        <w:footnoteReference w:id="24"/>
      </w:r>
      <w:r w:rsidR="099DDC0B" w:rsidRPr="00C84FC4">
        <w:rPr>
          <w:rFonts w:ascii="Calibri" w:eastAsia="Calibri" w:hAnsi="Calibri" w:cs="Calibri"/>
          <w:sz w:val="22"/>
          <w:szCs w:val="22"/>
        </w:rPr>
        <w:t xml:space="preserve"> </w:t>
      </w:r>
      <w:r w:rsidR="00B51CFE">
        <w:rPr>
          <w:rFonts w:ascii="Calibri" w:eastAsia="Calibri" w:hAnsi="Calibri" w:cs="Calibri"/>
          <w:sz w:val="22"/>
          <w:szCs w:val="22"/>
        </w:rPr>
        <w:t>It should be noted though</w:t>
      </w:r>
      <w:r w:rsidR="001B3237">
        <w:rPr>
          <w:rFonts w:ascii="Calibri" w:eastAsia="Calibri" w:hAnsi="Calibri" w:cs="Calibri"/>
          <w:sz w:val="22"/>
          <w:szCs w:val="22"/>
        </w:rPr>
        <w:t>,</w:t>
      </w:r>
      <w:r w:rsidR="00B51CFE">
        <w:rPr>
          <w:rFonts w:ascii="Calibri" w:eastAsia="Calibri" w:hAnsi="Calibri" w:cs="Calibri"/>
          <w:sz w:val="22"/>
          <w:szCs w:val="22"/>
        </w:rPr>
        <w:t xml:space="preserve"> that</w:t>
      </w:r>
      <w:r w:rsidR="53BF5F7F" w:rsidRPr="00C84FC4">
        <w:rPr>
          <w:rFonts w:ascii="Calibri" w:eastAsia="Calibri" w:hAnsi="Calibri" w:cs="Calibri"/>
          <w:sz w:val="22"/>
          <w:szCs w:val="22"/>
        </w:rPr>
        <w:t xml:space="preserve"> </w:t>
      </w:r>
      <w:r w:rsidR="5CB368FE" w:rsidRPr="00C84FC4">
        <w:rPr>
          <w:rFonts w:ascii="Calibri" w:eastAsia="Calibri" w:hAnsi="Calibri" w:cs="Calibri"/>
          <w:sz w:val="22"/>
          <w:szCs w:val="22"/>
        </w:rPr>
        <w:t xml:space="preserve">in her paper on ‘Women on </w:t>
      </w:r>
      <w:r w:rsidR="287706BA" w:rsidRPr="00C84FC4">
        <w:rPr>
          <w:rFonts w:ascii="Calibri" w:eastAsia="Calibri" w:hAnsi="Calibri" w:cs="Calibri"/>
          <w:sz w:val="22"/>
          <w:szCs w:val="22"/>
        </w:rPr>
        <w:t>t</w:t>
      </w:r>
      <w:r w:rsidR="5CB368FE" w:rsidRPr="00C84FC4">
        <w:rPr>
          <w:rFonts w:ascii="Calibri" w:eastAsia="Calibri" w:hAnsi="Calibri" w:cs="Calibri"/>
          <w:sz w:val="22"/>
          <w:szCs w:val="22"/>
        </w:rPr>
        <w:t xml:space="preserve">he </w:t>
      </w:r>
      <w:r w:rsidR="004779D4">
        <w:rPr>
          <w:rFonts w:ascii="Calibri" w:eastAsia="Calibri" w:hAnsi="Calibri" w:cs="Calibri"/>
          <w:sz w:val="22"/>
          <w:szCs w:val="22"/>
        </w:rPr>
        <w:t>M</w:t>
      </w:r>
      <w:r w:rsidR="5CB368FE" w:rsidRPr="00C84FC4">
        <w:rPr>
          <w:rFonts w:ascii="Calibri" w:eastAsia="Calibri" w:hAnsi="Calibri" w:cs="Calibri"/>
          <w:sz w:val="22"/>
          <w:szCs w:val="22"/>
        </w:rPr>
        <w:t>ove</w:t>
      </w:r>
      <w:r w:rsidR="56B7E720" w:rsidRPr="00C84FC4">
        <w:rPr>
          <w:rFonts w:ascii="Calibri" w:eastAsia="Calibri" w:hAnsi="Calibri" w:cs="Calibri"/>
          <w:sz w:val="22"/>
          <w:szCs w:val="22"/>
        </w:rPr>
        <w:t>’</w:t>
      </w:r>
      <w:r w:rsidR="5CB368FE" w:rsidRPr="00C84FC4">
        <w:rPr>
          <w:rFonts w:ascii="Calibri" w:eastAsia="Calibri" w:hAnsi="Calibri" w:cs="Calibri"/>
          <w:sz w:val="22"/>
          <w:szCs w:val="22"/>
        </w:rPr>
        <w:t xml:space="preserve"> </w:t>
      </w:r>
      <w:r w:rsidR="7AD069E0" w:rsidRPr="00C84FC4">
        <w:rPr>
          <w:rFonts w:ascii="Calibri" w:eastAsia="Calibri" w:hAnsi="Calibri" w:cs="Calibri"/>
          <w:sz w:val="22"/>
          <w:szCs w:val="22"/>
        </w:rPr>
        <w:t xml:space="preserve">scholar </w:t>
      </w:r>
      <w:r w:rsidR="23945921" w:rsidRPr="00C84FC4">
        <w:rPr>
          <w:rFonts w:ascii="Calibri" w:eastAsia="Calibri" w:hAnsi="Calibri" w:cs="Calibri"/>
          <w:sz w:val="22"/>
          <w:szCs w:val="22"/>
        </w:rPr>
        <w:t>Diana Robin</w:t>
      </w:r>
      <w:r w:rsidR="539A0504" w:rsidRPr="00C84FC4">
        <w:rPr>
          <w:rFonts w:ascii="Calibri" w:eastAsia="Calibri" w:hAnsi="Calibri" w:cs="Calibri"/>
          <w:sz w:val="22"/>
          <w:szCs w:val="22"/>
        </w:rPr>
        <w:t xml:space="preserve"> claims that from 1996 onwards </w:t>
      </w:r>
      <w:r w:rsidR="4D68D8F8" w:rsidRPr="00C84FC4">
        <w:rPr>
          <w:rFonts w:ascii="Calibri" w:eastAsia="Calibri" w:hAnsi="Calibri" w:cs="Calibri"/>
          <w:sz w:val="22"/>
          <w:szCs w:val="22"/>
        </w:rPr>
        <w:t xml:space="preserve">a series of texts </w:t>
      </w:r>
      <w:r w:rsidR="6610973F" w:rsidRPr="00C84FC4">
        <w:rPr>
          <w:rFonts w:ascii="Calibri" w:eastAsia="Calibri" w:hAnsi="Calibri" w:cs="Calibri"/>
          <w:sz w:val="22"/>
          <w:szCs w:val="22"/>
        </w:rPr>
        <w:t xml:space="preserve">were published </w:t>
      </w:r>
      <w:r w:rsidR="28E7733A" w:rsidRPr="00C84FC4">
        <w:rPr>
          <w:rFonts w:ascii="Calibri" w:eastAsia="Calibri" w:hAnsi="Calibri" w:cs="Calibri"/>
          <w:sz w:val="22"/>
          <w:szCs w:val="22"/>
        </w:rPr>
        <w:t>called</w:t>
      </w:r>
      <w:r w:rsidR="4D68D8F8" w:rsidRPr="00C84FC4">
        <w:rPr>
          <w:rFonts w:ascii="Calibri" w:eastAsia="Calibri" w:hAnsi="Calibri" w:cs="Calibri"/>
          <w:sz w:val="22"/>
          <w:szCs w:val="22"/>
        </w:rPr>
        <w:t xml:space="preserve"> </w:t>
      </w:r>
      <w:r w:rsidR="539A0504" w:rsidRPr="00C84FC4">
        <w:rPr>
          <w:rFonts w:ascii="Calibri" w:eastAsia="Calibri" w:hAnsi="Calibri" w:cs="Calibri"/>
          <w:sz w:val="22"/>
          <w:szCs w:val="22"/>
        </w:rPr>
        <w:t>‘The Other Voice in Early Modern Europe</w:t>
      </w:r>
      <w:r w:rsidR="559F2591" w:rsidRPr="00C84FC4">
        <w:rPr>
          <w:rFonts w:ascii="Calibri" w:eastAsia="Calibri" w:hAnsi="Calibri" w:cs="Calibri"/>
          <w:sz w:val="22"/>
          <w:szCs w:val="22"/>
        </w:rPr>
        <w:t>’</w:t>
      </w:r>
      <w:r w:rsidR="469BC7E5" w:rsidRPr="00C84FC4">
        <w:rPr>
          <w:rFonts w:ascii="Calibri" w:eastAsia="Calibri" w:hAnsi="Calibri" w:cs="Calibri"/>
          <w:sz w:val="22"/>
          <w:szCs w:val="22"/>
        </w:rPr>
        <w:t xml:space="preserve"> which were a series of translated texts and commentaries from </w:t>
      </w:r>
      <w:r w:rsidR="6AD4A2AD" w:rsidRPr="00C84FC4">
        <w:rPr>
          <w:rFonts w:ascii="Calibri" w:eastAsia="Calibri" w:hAnsi="Calibri" w:cs="Calibri"/>
          <w:sz w:val="22"/>
          <w:szCs w:val="22"/>
        </w:rPr>
        <w:t>mostly</w:t>
      </w:r>
      <w:r w:rsidR="21A3DE47" w:rsidRPr="00C84FC4">
        <w:rPr>
          <w:rFonts w:ascii="Calibri" w:eastAsia="Calibri" w:hAnsi="Calibri" w:cs="Calibri"/>
          <w:sz w:val="22"/>
          <w:szCs w:val="22"/>
        </w:rPr>
        <w:t xml:space="preserve"> </w:t>
      </w:r>
      <w:r w:rsidR="469BC7E5" w:rsidRPr="00C84FC4">
        <w:rPr>
          <w:rFonts w:ascii="Calibri" w:eastAsia="Calibri" w:hAnsi="Calibri" w:cs="Calibri"/>
          <w:sz w:val="22"/>
          <w:szCs w:val="22"/>
        </w:rPr>
        <w:t xml:space="preserve">unknown </w:t>
      </w:r>
      <w:r w:rsidR="5336FED4" w:rsidRPr="00C84FC4">
        <w:rPr>
          <w:rFonts w:ascii="Calibri" w:eastAsia="Calibri" w:hAnsi="Calibri" w:cs="Calibri"/>
          <w:sz w:val="22"/>
          <w:szCs w:val="22"/>
        </w:rPr>
        <w:t>women</w:t>
      </w:r>
      <w:r w:rsidR="52058FCA" w:rsidRPr="00C84FC4">
        <w:rPr>
          <w:rFonts w:ascii="Calibri" w:eastAsia="Calibri" w:hAnsi="Calibri" w:cs="Calibri"/>
          <w:sz w:val="22"/>
          <w:szCs w:val="22"/>
        </w:rPr>
        <w:t xml:space="preserve"> from the early modern period.</w:t>
      </w:r>
      <w:r w:rsidR="00393E2E" w:rsidRPr="00C84FC4">
        <w:rPr>
          <w:rStyle w:val="FootnoteReference"/>
          <w:rFonts w:ascii="Calibri" w:eastAsia="Calibri" w:hAnsi="Calibri" w:cs="Calibri"/>
          <w:sz w:val="22"/>
          <w:szCs w:val="22"/>
        </w:rPr>
        <w:footnoteReference w:id="25"/>
      </w:r>
      <w:r w:rsidR="539A0504" w:rsidRPr="00C84FC4">
        <w:rPr>
          <w:rFonts w:ascii="Calibri" w:eastAsia="Calibri" w:hAnsi="Calibri" w:cs="Calibri"/>
          <w:sz w:val="22"/>
          <w:szCs w:val="22"/>
        </w:rPr>
        <w:t xml:space="preserve"> </w:t>
      </w:r>
      <w:r w:rsidR="14FAD448" w:rsidRPr="00C84FC4">
        <w:rPr>
          <w:rFonts w:ascii="Calibri" w:eastAsia="Calibri" w:hAnsi="Calibri" w:cs="Calibri"/>
          <w:sz w:val="22"/>
          <w:szCs w:val="22"/>
        </w:rPr>
        <w:t>A</w:t>
      </w:r>
      <w:r w:rsidR="539A0504" w:rsidRPr="00C84FC4">
        <w:rPr>
          <w:rFonts w:ascii="Calibri" w:eastAsia="Calibri" w:hAnsi="Calibri" w:cs="Calibri"/>
          <w:sz w:val="22"/>
          <w:szCs w:val="22"/>
        </w:rPr>
        <w:t xml:space="preserve">mong the </w:t>
      </w:r>
      <w:r w:rsidR="100A5293" w:rsidRPr="00C84FC4">
        <w:rPr>
          <w:rFonts w:ascii="Calibri" w:eastAsia="Calibri" w:hAnsi="Calibri" w:cs="Calibri"/>
          <w:sz w:val="22"/>
          <w:szCs w:val="22"/>
        </w:rPr>
        <w:t xml:space="preserve">topics covered </w:t>
      </w:r>
      <w:r w:rsidR="52569C8F" w:rsidRPr="00C84FC4">
        <w:rPr>
          <w:rFonts w:ascii="Calibri" w:eastAsia="Calibri" w:hAnsi="Calibri" w:cs="Calibri"/>
          <w:sz w:val="22"/>
          <w:szCs w:val="22"/>
        </w:rPr>
        <w:t xml:space="preserve">in these </w:t>
      </w:r>
      <w:r w:rsidR="100A5293" w:rsidRPr="00C84FC4">
        <w:rPr>
          <w:rFonts w:ascii="Calibri" w:eastAsia="Calibri" w:hAnsi="Calibri" w:cs="Calibri"/>
          <w:sz w:val="22"/>
          <w:szCs w:val="22"/>
        </w:rPr>
        <w:t>were science, medicine, pharmacology and history</w:t>
      </w:r>
      <w:r w:rsidR="29267C42" w:rsidRPr="00C84FC4">
        <w:rPr>
          <w:rFonts w:ascii="Calibri" w:eastAsia="Calibri" w:hAnsi="Calibri" w:cs="Calibri"/>
          <w:sz w:val="22"/>
          <w:szCs w:val="22"/>
        </w:rPr>
        <w:t xml:space="preserve">, a </w:t>
      </w:r>
      <w:r w:rsidR="00EA1F80">
        <w:rPr>
          <w:rFonts w:ascii="Calibri" w:eastAsia="Calibri" w:hAnsi="Calibri" w:cs="Calibri"/>
          <w:sz w:val="22"/>
          <w:szCs w:val="22"/>
        </w:rPr>
        <w:t>detail</w:t>
      </w:r>
      <w:r w:rsidR="29267C42" w:rsidRPr="00C84FC4">
        <w:rPr>
          <w:rFonts w:ascii="Calibri" w:eastAsia="Calibri" w:hAnsi="Calibri" w:cs="Calibri"/>
          <w:sz w:val="22"/>
          <w:szCs w:val="22"/>
        </w:rPr>
        <w:t xml:space="preserve"> which was absent from Siraisi paper.</w:t>
      </w:r>
      <w:r w:rsidR="68F8CF5D" w:rsidRPr="00C84FC4">
        <w:rPr>
          <w:rFonts w:ascii="Calibri" w:eastAsia="Calibri" w:hAnsi="Calibri" w:cs="Calibri"/>
          <w:sz w:val="22"/>
          <w:szCs w:val="22"/>
        </w:rPr>
        <w:t xml:space="preserve"> However, Siraisi does make the statement that ‘authors who wrote in the genre of collected brief lives of the illustrious men (and occasionally women) of a particular city </w:t>
      </w:r>
      <w:bookmarkStart w:id="9" w:name="_Int_tPK1AD3H"/>
      <w:r w:rsidR="68F8CF5D" w:rsidRPr="00C84FC4">
        <w:rPr>
          <w:rFonts w:ascii="Calibri" w:eastAsia="Calibri" w:hAnsi="Calibri" w:cs="Calibri"/>
          <w:sz w:val="22"/>
          <w:szCs w:val="22"/>
        </w:rPr>
        <w:t>fairly often</w:t>
      </w:r>
      <w:bookmarkEnd w:id="9"/>
      <w:r w:rsidR="68F8CF5D" w:rsidRPr="00C84FC4">
        <w:rPr>
          <w:rFonts w:ascii="Calibri" w:eastAsia="Calibri" w:hAnsi="Calibri" w:cs="Calibri"/>
          <w:sz w:val="22"/>
          <w:szCs w:val="22"/>
        </w:rPr>
        <w:t xml:space="preserve"> included </w:t>
      </w:r>
      <w:bookmarkStart w:id="10" w:name="_Int_anN2XirV"/>
      <w:r w:rsidR="68F8CF5D" w:rsidRPr="00C84FC4">
        <w:rPr>
          <w:rFonts w:ascii="Calibri" w:eastAsia="Calibri" w:hAnsi="Calibri" w:cs="Calibri"/>
          <w:sz w:val="22"/>
          <w:szCs w:val="22"/>
        </w:rPr>
        <w:t>physicians’</w:t>
      </w:r>
      <w:bookmarkEnd w:id="10"/>
      <w:r w:rsidR="004155C4" w:rsidRPr="00C84FC4">
        <w:rPr>
          <w:rStyle w:val="FootnoteReference"/>
          <w:rFonts w:ascii="Calibri" w:eastAsia="Calibri" w:hAnsi="Calibri" w:cs="Calibri"/>
          <w:sz w:val="22"/>
          <w:szCs w:val="22"/>
        </w:rPr>
        <w:footnoteReference w:id="26"/>
      </w:r>
      <w:r w:rsidR="00DA52BD">
        <w:rPr>
          <w:rFonts w:ascii="Calibri" w:eastAsia="Calibri" w:hAnsi="Calibri" w:cs="Calibri"/>
          <w:sz w:val="22"/>
          <w:szCs w:val="22"/>
        </w:rPr>
        <w:t>, even though this statement</w:t>
      </w:r>
      <w:r w:rsidR="68F8CF5D" w:rsidRPr="00C84FC4">
        <w:rPr>
          <w:rFonts w:ascii="Calibri" w:eastAsia="Calibri" w:hAnsi="Calibri" w:cs="Calibri"/>
          <w:sz w:val="22"/>
          <w:szCs w:val="22"/>
        </w:rPr>
        <w:t xml:space="preserve"> focus</w:t>
      </w:r>
      <w:r w:rsidR="005A35BE" w:rsidRPr="00C84FC4">
        <w:rPr>
          <w:rFonts w:ascii="Calibri" w:eastAsia="Calibri" w:hAnsi="Calibri" w:cs="Calibri"/>
          <w:sz w:val="22"/>
          <w:szCs w:val="22"/>
        </w:rPr>
        <w:t>es</w:t>
      </w:r>
      <w:r w:rsidR="68F8CF5D" w:rsidRPr="00C84FC4">
        <w:rPr>
          <w:rFonts w:ascii="Calibri" w:eastAsia="Calibri" w:hAnsi="Calibri" w:cs="Calibri"/>
          <w:sz w:val="22"/>
          <w:szCs w:val="22"/>
        </w:rPr>
        <w:t xml:space="preserve"> on male commentators writing on the topic of women.</w:t>
      </w:r>
      <w:r w:rsidR="60C6DCD3" w:rsidRPr="00C84FC4">
        <w:rPr>
          <w:rFonts w:ascii="Calibri" w:eastAsia="Calibri" w:hAnsi="Calibri" w:cs="Calibri"/>
          <w:sz w:val="22"/>
          <w:szCs w:val="22"/>
        </w:rPr>
        <w:t xml:space="preserve"> </w:t>
      </w:r>
      <w:r w:rsidR="002D6073">
        <w:rPr>
          <w:rFonts w:ascii="Calibri" w:eastAsia="Calibri" w:hAnsi="Calibri" w:cs="Calibri"/>
          <w:sz w:val="22"/>
          <w:szCs w:val="22"/>
        </w:rPr>
        <w:t>The</w:t>
      </w:r>
      <w:r w:rsidR="00045948">
        <w:rPr>
          <w:rFonts w:ascii="Calibri" w:eastAsia="Calibri" w:hAnsi="Calibri" w:cs="Calibri"/>
          <w:sz w:val="22"/>
          <w:szCs w:val="22"/>
        </w:rPr>
        <w:t xml:space="preserve"> prevalence of male authorship</w:t>
      </w:r>
      <w:r w:rsidR="00662AF7">
        <w:rPr>
          <w:rFonts w:ascii="Calibri" w:eastAsia="Calibri" w:hAnsi="Calibri" w:cs="Calibri"/>
          <w:sz w:val="22"/>
          <w:szCs w:val="22"/>
        </w:rPr>
        <w:t xml:space="preserve"> may also </w:t>
      </w:r>
      <w:r w:rsidR="00662AF7" w:rsidRPr="00662AF7">
        <w:rPr>
          <w:rFonts w:ascii="Calibri" w:eastAsia="Calibri" w:hAnsi="Calibri" w:cs="Calibri"/>
          <w:sz w:val="22"/>
          <w:szCs w:val="22"/>
        </w:rPr>
        <w:t>relate to why Rankin’s paper only contains excepts from private correspondence as opposed to published materials.</w:t>
      </w:r>
      <w:r w:rsidR="00662AF7">
        <w:rPr>
          <w:rFonts w:ascii="Calibri" w:eastAsia="Calibri" w:hAnsi="Calibri" w:cs="Calibri"/>
          <w:sz w:val="22"/>
          <w:szCs w:val="22"/>
        </w:rPr>
        <w:t xml:space="preserve"> A major point in comparison though, is that both authors </w:t>
      </w:r>
      <w:r w:rsidR="0001686B" w:rsidRPr="00C84FC4">
        <w:rPr>
          <w:rFonts w:ascii="Calibri" w:eastAsia="Calibri" w:hAnsi="Calibri" w:cs="Calibri"/>
          <w:sz w:val="22"/>
          <w:szCs w:val="22"/>
        </w:rPr>
        <w:t>make extended reference to modern secondary sources from</w:t>
      </w:r>
      <w:r w:rsidR="0086096D">
        <w:rPr>
          <w:rFonts w:ascii="Calibri" w:eastAsia="Calibri" w:hAnsi="Calibri" w:cs="Calibri"/>
          <w:sz w:val="22"/>
          <w:szCs w:val="22"/>
        </w:rPr>
        <w:t xml:space="preserve"> male and female academics</w:t>
      </w:r>
      <w:r w:rsidR="00733615">
        <w:rPr>
          <w:rFonts w:ascii="Calibri" w:eastAsia="Calibri" w:hAnsi="Calibri" w:cs="Calibri"/>
          <w:sz w:val="22"/>
          <w:szCs w:val="22"/>
        </w:rPr>
        <w:t xml:space="preserve"> as can be demonstrated from a brief analysis of the associated bibliographies.</w:t>
      </w:r>
      <w:r w:rsidR="008F18F9" w:rsidRPr="00C84FC4">
        <w:rPr>
          <w:rStyle w:val="FootnoteReference"/>
          <w:rFonts w:ascii="Calibri" w:eastAsia="Calibri" w:hAnsi="Calibri" w:cs="Calibri"/>
          <w:sz w:val="22"/>
          <w:szCs w:val="22"/>
        </w:rPr>
        <w:footnoteReference w:id="27"/>
      </w:r>
      <w:r w:rsidR="19E891FC" w:rsidRPr="00C84FC4">
        <w:rPr>
          <w:rFonts w:ascii="Calibri" w:eastAsia="Calibri" w:hAnsi="Calibri" w:cs="Calibri"/>
          <w:sz w:val="22"/>
          <w:szCs w:val="22"/>
        </w:rPr>
        <w:t xml:space="preserve"> </w:t>
      </w:r>
    </w:p>
    <w:p w14:paraId="7722DA52" w14:textId="271A705B" w:rsidR="713D4BF9" w:rsidRDefault="70FA9ED3" w:rsidP="0089642C">
      <w:pPr>
        <w:spacing w:before="240" w:after="0" w:line="240" w:lineRule="auto"/>
        <w:ind w:firstLine="709"/>
        <w:jc w:val="both"/>
        <w:rPr>
          <w:rFonts w:ascii="Calibri" w:eastAsia="Calibri" w:hAnsi="Calibri" w:cs="Calibri"/>
          <w:sz w:val="22"/>
          <w:szCs w:val="22"/>
        </w:rPr>
      </w:pPr>
      <w:r w:rsidRPr="00C84FC4">
        <w:rPr>
          <w:rFonts w:ascii="Calibri" w:eastAsia="Calibri" w:hAnsi="Calibri" w:cs="Calibri"/>
          <w:sz w:val="22"/>
          <w:szCs w:val="22"/>
        </w:rPr>
        <w:t xml:space="preserve">Both papers, in exquisite detail, aim to demonstrate the importance of horology and chronology in medicine during the </w:t>
      </w:r>
      <w:r w:rsidR="002D29B2">
        <w:rPr>
          <w:rFonts w:ascii="Calibri" w:eastAsia="Calibri" w:hAnsi="Calibri" w:cs="Calibri"/>
          <w:sz w:val="22"/>
          <w:szCs w:val="22"/>
        </w:rPr>
        <w:t>Renaissance</w:t>
      </w:r>
      <w:r w:rsidRPr="00C84FC4">
        <w:rPr>
          <w:rFonts w:ascii="Calibri" w:eastAsia="Calibri" w:hAnsi="Calibri" w:cs="Calibri"/>
          <w:sz w:val="22"/>
          <w:szCs w:val="22"/>
        </w:rPr>
        <w:t>.</w:t>
      </w:r>
      <w:r w:rsidR="19E891FC" w:rsidRPr="00C84FC4">
        <w:rPr>
          <w:rFonts w:ascii="Calibri" w:eastAsia="Calibri" w:hAnsi="Calibri" w:cs="Calibri"/>
          <w:sz w:val="22"/>
          <w:szCs w:val="22"/>
        </w:rPr>
        <w:t xml:space="preserve"> This aim can be summed up by Rankin’s introductory statement ‘Then as now, medical practice was formulated around a series of questions that all had to do with time.’</w:t>
      </w:r>
      <w:r w:rsidR="00C767F3" w:rsidRPr="00C84FC4">
        <w:rPr>
          <w:rStyle w:val="FootnoteReference"/>
          <w:rFonts w:ascii="Calibri" w:eastAsia="Calibri" w:hAnsi="Calibri" w:cs="Calibri"/>
          <w:sz w:val="22"/>
          <w:szCs w:val="22"/>
        </w:rPr>
        <w:footnoteReference w:id="28"/>
      </w:r>
      <w:r w:rsidR="00D96269">
        <w:rPr>
          <w:rFonts w:ascii="Calibri" w:eastAsia="Calibri" w:hAnsi="Calibri" w:cs="Calibri"/>
          <w:sz w:val="22"/>
          <w:szCs w:val="22"/>
        </w:rPr>
        <w:t xml:space="preserve"> What is contrasting, however, </w:t>
      </w:r>
      <w:r w:rsidR="00262925">
        <w:rPr>
          <w:rFonts w:ascii="Calibri" w:eastAsia="Calibri" w:hAnsi="Calibri" w:cs="Calibri"/>
          <w:sz w:val="22"/>
          <w:szCs w:val="22"/>
        </w:rPr>
        <w:t>are</w:t>
      </w:r>
      <w:r w:rsidR="00D96269">
        <w:rPr>
          <w:rFonts w:ascii="Calibri" w:eastAsia="Calibri" w:hAnsi="Calibri" w:cs="Calibri"/>
          <w:sz w:val="22"/>
          <w:szCs w:val="22"/>
        </w:rPr>
        <w:t xml:space="preserve"> the temporal aspects considered.</w:t>
      </w:r>
      <w:r w:rsidR="00D4605A">
        <w:rPr>
          <w:rFonts w:ascii="Calibri" w:eastAsia="Calibri" w:hAnsi="Calibri" w:cs="Calibri"/>
          <w:sz w:val="22"/>
          <w:szCs w:val="22"/>
        </w:rPr>
        <w:t xml:space="preserve"> </w:t>
      </w:r>
      <w:r w:rsidR="00D4605A" w:rsidRPr="00C84FC4">
        <w:rPr>
          <w:rFonts w:ascii="Calibri" w:eastAsia="Calibri" w:hAnsi="Calibri" w:cs="Calibri"/>
          <w:sz w:val="22"/>
          <w:szCs w:val="22"/>
        </w:rPr>
        <w:t>Rankin highlights the importance of the female embodiment of time making the claim that medical ‘temporality relied on familiarity: with seasonal botanical patterns, with daily work rhythms, with their own bodies</w:t>
      </w:r>
      <w:bookmarkStart w:id="11" w:name="_Int_5w4DuM48"/>
      <w:r w:rsidR="00D4605A" w:rsidRPr="00C84FC4">
        <w:rPr>
          <w:rFonts w:ascii="Calibri" w:eastAsia="Calibri" w:hAnsi="Calibri" w:cs="Calibri"/>
          <w:sz w:val="22"/>
          <w:szCs w:val="22"/>
        </w:rPr>
        <w:t>’</w:t>
      </w:r>
      <w:r w:rsidR="00D4605A" w:rsidRPr="00C84FC4">
        <w:rPr>
          <w:rStyle w:val="FootnoteReference"/>
          <w:rFonts w:ascii="Calibri" w:eastAsia="Calibri" w:hAnsi="Calibri" w:cs="Calibri"/>
          <w:sz w:val="22"/>
          <w:szCs w:val="22"/>
        </w:rPr>
        <w:footnoteReference w:id="29"/>
      </w:r>
      <w:r w:rsidR="00D4605A" w:rsidRPr="00C84FC4">
        <w:rPr>
          <w:rFonts w:ascii="Calibri" w:eastAsia="Calibri" w:hAnsi="Calibri" w:cs="Calibri"/>
          <w:sz w:val="22"/>
          <w:szCs w:val="22"/>
        </w:rPr>
        <w:t>,</w:t>
      </w:r>
      <w:bookmarkEnd w:id="11"/>
      <w:r w:rsidR="00D4605A">
        <w:rPr>
          <w:rFonts w:ascii="Calibri" w:eastAsia="Calibri" w:hAnsi="Calibri" w:cs="Calibri"/>
          <w:sz w:val="22"/>
          <w:szCs w:val="22"/>
        </w:rPr>
        <w:t xml:space="preserve"> </w:t>
      </w:r>
      <w:r w:rsidR="00D4605A" w:rsidRPr="00C84FC4">
        <w:rPr>
          <w:rFonts w:ascii="Calibri" w:eastAsia="Calibri" w:hAnsi="Calibri" w:cs="Calibri"/>
          <w:sz w:val="22"/>
          <w:szCs w:val="22"/>
        </w:rPr>
        <w:t>in sharp contrast to the typically male dominated method</w:t>
      </w:r>
      <w:r w:rsidR="00B029CB">
        <w:rPr>
          <w:rFonts w:ascii="Calibri" w:eastAsia="Calibri" w:hAnsi="Calibri" w:cs="Calibri"/>
          <w:sz w:val="22"/>
          <w:szCs w:val="22"/>
        </w:rPr>
        <w:t>s of time keeping.</w:t>
      </w:r>
      <w:r w:rsidR="009D7CE8">
        <w:rPr>
          <w:rFonts w:ascii="Calibri" w:eastAsia="Calibri" w:hAnsi="Calibri" w:cs="Calibri"/>
          <w:sz w:val="22"/>
          <w:szCs w:val="22"/>
        </w:rPr>
        <w:t xml:space="preserve"> </w:t>
      </w:r>
      <w:r w:rsidR="009D7CE8" w:rsidRPr="00C84FC4">
        <w:rPr>
          <w:rFonts w:ascii="Calibri" w:eastAsia="Calibri" w:hAnsi="Calibri" w:cs="Calibri"/>
          <w:sz w:val="22"/>
          <w:szCs w:val="22"/>
        </w:rPr>
        <w:t xml:space="preserve">Throughout her paper, she relays several textual examples from her main primary source, the written letters between the two German </w:t>
      </w:r>
      <w:bookmarkStart w:id="12" w:name="_Int_4rjRGDis"/>
      <w:r w:rsidR="009D7CE8" w:rsidRPr="00C84FC4">
        <w:rPr>
          <w:rFonts w:ascii="Calibri" w:eastAsia="Calibri" w:hAnsi="Calibri" w:cs="Calibri"/>
          <w:sz w:val="22"/>
          <w:szCs w:val="22"/>
        </w:rPr>
        <w:t>noblewomen</w:t>
      </w:r>
      <w:bookmarkEnd w:id="12"/>
      <w:r w:rsidR="009D7CE8" w:rsidRPr="00C84FC4">
        <w:rPr>
          <w:rFonts w:ascii="Calibri" w:eastAsia="Calibri" w:hAnsi="Calibri" w:cs="Calibri"/>
          <w:sz w:val="22"/>
          <w:szCs w:val="22"/>
        </w:rPr>
        <w:t xml:space="preserve">, to emphasize the importance of female embodied time. For example, when </w:t>
      </w:r>
      <w:r w:rsidR="00262925">
        <w:rPr>
          <w:rFonts w:ascii="Calibri" w:eastAsia="Calibri" w:hAnsi="Calibri" w:cs="Calibri"/>
          <w:sz w:val="22"/>
          <w:szCs w:val="22"/>
        </w:rPr>
        <w:t>quoting</w:t>
      </w:r>
      <w:r w:rsidR="009D7CE8" w:rsidRPr="00C84FC4">
        <w:rPr>
          <w:rFonts w:ascii="Calibri" w:eastAsia="Calibri" w:hAnsi="Calibri" w:cs="Calibri"/>
          <w:sz w:val="22"/>
          <w:szCs w:val="22"/>
        </w:rPr>
        <w:t xml:space="preserve"> the uncertain timing</w:t>
      </w:r>
      <w:r w:rsidR="00262925">
        <w:rPr>
          <w:rFonts w:ascii="Calibri" w:eastAsia="Calibri" w:hAnsi="Calibri" w:cs="Calibri"/>
          <w:sz w:val="22"/>
          <w:szCs w:val="22"/>
        </w:rPr>
        <w:t xml:space="preserve"> description</w:t>
      </w:r>
      <w:r w:rsidR="009D7CE8" w:rsidRPr="00C84FC4">
        <w:rPr>
          <w:rFonts w:ascii="Calibri" w:eastAsia="Calibri" w:hAnsi="Calibri" w:cs="Calibri"/>
          <w:sz w:val="22"/>
          <w:szCs w:val="22"/>
        </w:rPr>
        <w:t xml:space="preserve"> around the birth of </w:t>
      </w:r>
      <w:r w:rsidR="00262925">
        <w:rPr>
          <w:rFonts w:ascii="Calibri" w:eastAsia="Calibri" w:hAnsi="Calibri" w:cs="Calibri"/>
          <w:sz w:val="22"/>
          <w:szCs w:val="22"/>
        </w:rPr>
        <w:t>Dorothea’s</w:t>
      </w:r>
      <w:r w:rsidR="009D7CE8" w:rsidRPr="00C84FC4">
        <w:rPr>
          <w:rFonts w:ascii="Calibri" w:eastAsia="Calibri" w:hAnsi="Calibri" w:cs="Calibri"/>
          <w:sz w:val="22"/>
          <w:szCs w:val="22"/>
        </w:rPr>
        <w:t xml:space="preserve"> granddaughter in the introductory paragraph, she says ‘Her first calculation was made after the conventions of our women, and according to that, I give her eight days.’</w:t>
      </w:r>
      <w:r w:rsidR="009D7CE8" w:rsidRPr="00C84FC4">
        <w:rPr>
          <w:rStyle w:val="FootnoteReference"/>
          <w:rFonts w:ascii="Calibri" w:eastAsia="Calibri" w:hAnsi="Calibri" w:cs="Calibri"/>
          <w:sz w:val="22"/>
          <w:szCs w:val="22"/>
        </w:rPr>
        <w:footnoteReference w:id="30"/>
      </w:r>
      <w:r w:rsidR="00FD0DE2">
        <w:rPr>
          <w:rFonts w:ascii="Calibri" w:eastAsia="Calibri" w:hAnsi="Calibri" w:cs="Calibri"/>
          <w:sz w:val="22"/>
          <w:szCs w:val="22"/>
        </w:rPr>
        <w:t xml:space="preserve"> She places her embodied temporal consideration</w:t>
      </w:r>
      <w:r w:rsidR="0038493C">
        <w:rPr>
          <w:rFonts w:ascii="Calibri" w:eastAsia="Calibri" w:hAnsi="Calibri" w:cs="Calibri"/>
          <w:sz w:val="22"/>
          <w:szCs w:val="22"/>
        </w:rPr>
        <w:t xml:space="preserve">s in </w:t>
      </w:r>
      <w:r w:rsidR="0038493C" w:rsidRPr="00C84FC4">
        <w:rPr>
          <w:rFonts w:ascii="Calibri" w:eastAsia="Calibri" w:hAnsi="Calibri" w:cs="Calibri"/>
          <w:sz w:val="22"/>
          <w:szCs w:val="22"/>
        </w:rPr>
        <w:t>general humoral theory and how paramount timing was in all bodily processes, especially when describing the seasonal influence on the four bodily humors, the four stages of disease, critical times and most importantly, the cyclical astrological influence on the body</w:t>
      </w:r>
      <w:r w:rsidR="00262925">
        <w:rPr>
          <w:rFonts w:ascii="Calibri" w:eastAsia="Calibri" w:hAnsi="Calibri" w:cs="Calibri"/>
          <w:sz w:val="22"/>
          <w:szCs w:val="22"/>
        </w:rPr>
        <w:t>.</w:t>
      </w:r>
      <w:r w:rsidR="0038493C" w:rsidRPr="00C84FC4">
        <w:rPr>
          <w:rStyle w:val="FootnoteReference"/>
          <w:rFonts w:ascii="Calibri" w:eastAsia="Calibri" w:hAnsi="Calibri" w:cs="Calibri"/>
          <w:sz w:val="22"/>
          <w:szCs w:val="22"/>
        </w:rPr>
        <w:footnoteReference w:id="31"/>
      </w:r>
      <w:r w:rsidR="006D2A87">
        <w:rPr>
          <w:rFonts w:ascii="Calibri" w:eastAsia="Calibri" w:hAnsi="Calibri" w:cs="Calibri"/>
          <w:sz w:val="22"/>
          <w:szCs w:val="22"/>
        </w:rPr>
        <w:t xml:space="preserve"> </w:t>
      </w:r>
      <w:r w:rsidR="19E891FC" w:rsidRPr="00C84FC4">
        <w:rPr>
          <w:rFonts w:ascii="Calibri" w:eastAsia="Calibri" w:hAnsi="Calibri" w:cs="Calibri"/>
          <w:sz w:val="22"/>
          <w:szCs w:val="22"/>
        </w:rPr>
        <w:t>In comparison, Siraisi</w:t>
      </w:r>
      <w:r w:rsidR="00262925">
        <w:rPr>
          <w:rFonts w:ascii="Calibri" w:eastAsia="Calibri" w:hAnsi="Calibri" w:cs="Calibri"/>
          <w:sz w:val="22"/>
          <w:szCs w:val="22"/>
        </w:rPr>
        <w:t>’s</w:t>
      </w:r>
      <w:r w:rsidR="19E891FC" w:rsidRPr="00C84FC4">
        <w:rPr>
          <w:rFonts w:ascii="Calibri" w:eastAsia="Calibri" w:hAnsi="Calibri" w:cs="Calibri"/>
          <w:sz w:val="22"/>
          <w:szCs w:val="22"/>
        </w:rPr>
        <w:t xml:space="preserve"> </w:t>
      </w:r>
      <w:r w:rsidR="510E6B8A" w:rsidRPr="00C84FC4">
        <w:rPr>
          <w:rFonts w:ascii="Calibri" w:eastAsia="Calibri" w:hAnsi="Calibri" w:cs="Calibri"/>
          <w:sz w:val="22"/>
          <w:szCs w:val="22"/>
        </w:rPr>
        <w:t>treatment</w:t>
      </w:r>
      <w:r w:rsidR="19E891FC" w:rsidRPr="00C84FC4">
        <w:rPr>
          <w:rFonts w:ascii="Calibri" w:eastAsia="Calibri" w:hAnsi="Calibri" w:cs="Calibri"/>
          <w:sz w:val="22"/>
          <w:szCs w:val="22"/>
        </w:rPr>
        <w:t xml:space="preserve"> of the importance of medical temporality involves </w:t>
      </w:r>
      <w:r w:rsidR="164B2F5D" w:rsidRPr="00C84FC4">
        <w:rPr>
          <w:rFonts w:ascii="Calibri" w:eastAsia="Calibri" w:hAnsi="Calibri" w:cs="Calibri"/>
          <w:sz w:val="22"/>
          <w:szCs w:val="22"/>
        </w:rPr>
        <w:t>comparing</w:t>
      </w:r>
      <w:r w:rsidR="19E891FC" w:rsidRPr="00C84FC4">
        <w:rPr>
          <w:rFonts w:ascii="Calibri" w:eastAsia="Calibri" w:hAnsi="Calibri" w:cs="Calibri"/>
          <w:sz w:val="22"/>
          <w:szCs w:val="22"/>
        </w:rPr>
        <w:t xml:space="preserve"> the consumption and output of medical historical literature from a wide variety of </w:t>
      </w:r>
      <w:r w:rsidR="00D55343" w:rsidRPr="00C84FC4">
        <w:rPr>
          <w:rFonts w:ascii="Calibri" w:eastAsia="Calibri" w:hAnsi="Calibri" w:cs="Calibri"/>
          <w:sz w:val="22"/>
          <w:szCs w:val="22"/>
        </w:rPr>
        <w:t>Renaissance</w:t>
      </w:r>
      <w:r w:rsidR="19E891FC" w:rsidRPr="00C84FC4">
        <w:rPr>
          <w:rFonts w:ascii="Calibri" w:eastAsia="Calibri" w:hAnsi="Calibri" w:cs="Calibri"/>
          <w:sz w:val="22"/>
          <w:szCs w:val="22"/>
        </w:rPr>
        <w:t xml:space="preserve"> figures. She makes the claim that Physicians ‘were full participants in a culture where history had come to be valued</w:t>
      </w:r>
      <w:bookmarkStart w:id="13" w:name="_Int_M6U9y4Gb"/>
      <w:r w:rsidR="19E891FC" w:rsidRPr="00C84FC4">
        <w:rPr>
          <w:rFonts w:ascii="Calibri" w:eastAsia="Calibri" w:hAnsi="Calibri" w:cs="Calibri"/>
          <w:sz w:val="22"/>
          <w:szCs w:val="22"/>
        </w:rPr>
        <w:t>’.</w:t>
      </w:r>
      <w:bookmarkEnd w:id="13"/>
      <w:r w:rsidR="00DB7E51" w:rsidRPr="00C84FC4">
        <w:rPr>
          <w:rStyle w:val="FootnoteReference"/>
          <w:rFonts w:ascii="Calibri" w:eastAsia="Calibri" w:hAnsi="Calibri" w:cs="Calibri"/>
          <w:sz w:val="22"/>
          <w:szCs w:val="22"/>
        </w:rPr>
        <w:footnoteReference w:id="32"/>
      </w:r>
      <w:r w:rsidR="19E891FC" w:rsidRPr="00C84FC4">
        <w:rPr>
          <w:rFonts w:ascii="Calibri" w:eastAsia="Calibri" w:hAnsi="Calibri" w:cs="Calibri"/>
          <w:sz w:val="22"/>
          <w:szCs w:val="22"/>
        </w:rPr>
        <w:t xml:space="preserve"> </w:t>
      </w:r>
      <w:r w:rsidR="1E068C12" w:rsidRPr="00C84FC4">
        <w:rPr>
          <w:rFonts w:ascii="Calibri" w:eastAsia="Calibri" w:hAnsi="Calibri" w:cs="Calibri"/>
          <w:sz w:val="22"/>
          <w:szCs w:val="22"/>
        </w:rPr>
        <w:t>Throughout</w:t>
      </w:r>
      <w:r w:rsidR="19E891FC" w:rsidRPr="00C84FC4">
        <w:rPr>
          <w:rFonts w:ascii="Calibri" w:eastAsia="Calibri" w:hAnsi="Calibri" w:cs="Calibri"/>
          <w:sz w:val="22"/>
          <w:szCs w:val="22"/>
        </w:rPr>
        <w:t xml:space="preserve"> her paper, time is presented in a horological fashion with slight reference to </w:t>
      </w:r>
      <w:r w:rsidR="19E891FC" w:rsidRPr="00C84FC4">
        <w:rPr>
          <w:rFonts w:ascii="Calibri" w:eastAsia="Calibri" w:hAnsi="Calibri" w:cs="Calibri"/>
          <w:sz w:val="22"/>
          <w:szCs w:val="22"/>
        </w:rPr>
        <w:lastRenderedPageBreak/>
        <w:t xml:space="preserve">astrological considerations. </w:t>
      </w:r>
      <w:r w:rsidR="005A40D5" w:rsidRPr="00C84FC4">
        <w:rPr>
          <w:rFonts w:ascii="Calibri" w:eastAsia="Calibri" w:hAnsi="Calibri" w:cs="Calibri"/>
          <w:sz w:val="22"/>
          <w:szCs w:val="22"/>
        </w:rPr>
        <w:t>However, she neglects to consider the complex interplay of contemporary timing methods evident in Rankin’s paper and extant in other literature, for example, the importance on liturgical time keeping described by Étienne Bourdon</w:t>
      </w:r>
      <w:r w:rsidR="00262925">
        <w:rPr>
          <w:rFonts w:ascii="Calibri" w:eastAsia="Calibri" w:hAnsi="Calibri" w:cs="Calibri"/>
          <w:sz w:val="22"/>
          <w:szCs w:val="22"/>
        </w:rPr>
        <w:t>.</w:t>
      </w:r>
      <w:r w:rsidR="005A40D5" w:rsidRPr="00C84FC4">
        <w:rPr>
          <w:rStyle w:val="FootnoteReference"/>
          <w:rFonts w:ascii="Calibri" w:eastAsia="Calibri" w:hAnsi="Calibri" w:cs="Calibri"/>
          <w:sz w:val="22"/>
          <w:szCs w:val="22"/>
        </w:rPr>
        <w:footnoteReference w:id="33"/>
      </w:r>
      <w:r w:rsidR="0024027C">
        <w:rPr>
          <w:rFonts w:ascii="Calibri" w:eastAsia="Calibri" w:hAnsi="Calibri" w:cs="Calibri"/>
          <w:sz w:val="22"/>
          <w:szCs w:val="22"/>
        </w:rPr>
        <w:t xml:space="preserve"> </w:t>
      </w:r>
      <w:r w:rsidR="0024027C" w:rsidRPr="00C84FC4">
        <w:rPr>
          <w:rFonts w:ascii="Calibri" w:eastAsia="Calibri" w:hAnsi="Calibri" w:cs="Calibri"/>
          <w:sz w:val="22"/>
          <w:szCs w:val="22"/>
        </w:rPr>
        <w:t>The main strength of Rankin’s depiction of temporal medicine is that i</w:t>
      </w:r>
      <w:r w:rsidR="00250674">
        <w:rPr>
          <w:rFonts w:ascii="Calibri" w:eastAsia="Calibri" w:hAnsi="Calibri" w:cs="Calibri"/>
          <w:sz w:val="22"/>
          <w:szCs w:val="22"/>
        </w:rPr>
        <w:t>t</w:t>
      </w:r>
      <w:r w:rsidR="0024027C" w:rsidRPr="00C84FC4">
        <w:rPr>
          <w:rFonts w:ascii="Calibri" w:eastAsia="Calibri" w:hAnsi="Calibri" w:cs="Calibri"/>
          <w:sz w:val="22"/>
          <w:szCs w:val="22"/>
        </w:rPr>
        <w:t xml:space="preserve"> allows the reader to gain a deep understanding of how these women embody time medically. She even relates this concept to modern medical time with ‘the slow passage of time while waiting nervously for test results</w:t>
      </w:r>
      <w:bookmarkStart w:id="14" w:name="_Int_VBYLxIgV"/>
      <w:r w:rsidR="0024027C" w:rsidRPr="00C84FC4">
        <w:rPr>
          <w:rFonts w:ascii="Calibri" w:eastAsia="Calibri" w:hAnsi="Calibri" w:cs="Calibri"/>
          <w:sz w:val="22"/>
          <w:szCs w:val="22"/>
        </w:rPr>
        <w:t>’</w:t>
      </w:r>
      <w:r w:rsidR="0024027C" w:rsidRPr="00C84FC4">
        <w:rPr>
          <w:rStyle w:val="FootnoteReference"/>
          <w:rFonts w:ascii="Calibri" w:eastAsia="Calibri" w:hAnsi="Calibri" w:cs="Calibri"/>
          <w:sz w:val="22"/>
          <w:szCs w:val="22"/>
        </w:rPr>
        <w:footnoteReference w:id="34"/>
      </w:r>
      <w:r w:rsidR="0024027C" w:rsidRPr="00C84FC4">
        <w:rPr>
          <w:rFonts w:ascii="Calibri" w:eastAsia="Calibri" w:hAnsi="Calibri" w:cs="Calibri"/>
          <w:sz w:val="22"/>
          <w:szCs w:val="22"/>
        </w:rPr>
        <w:t>,</w:t>
      </w:r>
      <w:bookmarkEnd w:id="14"/>
      <w:r w:rsidR="0024027C" w:rsidRPr="00C84FC4">
        <w:rPr>
          <w:rFonts w:ascii="Calibri" w:eastAsia="Calibri" w:hAnsi="Calibri" w:cs="Calibri"/>
          <w:sz w:val="22"/>
          <w:szCs w:val="22"/>
        </w:rPr>
        <w:t xml:space="preserve"> evoking sympathy in the reader.</w:t>
      </w:r>
      <w:r w:rsidR="00250674">
        <w:rPr>
          <w:rFonts w:ascii="Calibri" w:eastAsia="Calibri" w:hAnsi="Calibri" w:cs="Calibri"/>
          <w:sz w:val="22"/>
          <w:szCs w:val="22"/>
        </w:rPr>
        <w:t xml:space="preserve"> </w:t>
      </w:r>
      <w:r w:rsidR="00250674" w:rsidRPr="00C84FC4">
        <w:rPr>
          <w:rFonts w:ascii="Calibri" w:eastAsia="Calibri" w:hAnsi="Calibri" w:cs="Calibri"/>
          <w:sz w:val="22"/>
          <w:szCs w:val="22"/>
        </w:rPr>
        <w:t>However, focusing on one example, no matter how in depth, does not provide the reader with a statistically sound overview</w:t>
      </w:r>
      <w:r w:rsidR="00250674">
        <w:rPr>
          <w:rFonts w:ascii="Calibri" w:eastAsia="Calibri" w:hAnsi="Calibri" w:cs="Calibri"/>
          <w:sz w:val="22"/>
          <w:szCs w:val="22"/>
        </w:rPr>
        <w:t xml:space="preserve"> </w:t>
      </w:r>
      <w:r w:rsidR="00F27F3E">
        <w:rPr>
          <w:rFonts w:ascii="Calibri" w:eastAsia="Calibri" w:hAnsi="Calibri" w:cs="Calibri"/>
          <w:sz w:val="22"/>
          <w:szCs w:val="22"/>
        </w:rPr>
        <w:t>of</w:t>
      </w:r>
      <w:r w:rsidR="00250674">
        <w:rPr>
          <w:rFonts w:ascii="Calibri" w:eastAsia="Calibri" w:hAnsi="Calibri" w:cs="Calibri"/>
          <w:sz w:val="22"/>
          <w:szCs w:val="22"/>
        </w:rPr>
        <w:t xml:space="preserve"> the general prac</w:t>
      </w:r>
      <w:r w:rsidR="00F27F3E">
        <w:rPr>
          <w:rFonts w:ascii="Calibri" w:eastAsia="Calibri" w:hAnsi="Calibri" w:cs="Calibri"/>
          <w:sz w:val="22"/>
          <w:szCs w:val="22"/>
        </w:rPr>
        <w:t>tice throughout the period</w:t>
      </w:r>
      <w:r w:rsidR="00250674" w:rsidRPr="00C84FC4">
        <w:rPr>
          <w:rFonts w:ascii="Calibri" w:eastAsia="Calibri" w:hAnsi="Calibri" w:cs="Calibri"/>
          <w:sz w:val="22"/>
          <w:szCs w:val="22"/>
        </w:rPr>
        <w:t>.</w:t>
      </w:r>
      <w:r w:rsidR="00F27F3E">
        <w:rPr>
          <w:rFonts w:ascii="Calibri" w:eastAsia="Calibri" w:hAnsi="Calibri" w:cs="Calibri"/>
          <w:sz w:val="22"/>
          <w:szCs w:val="22"/>
        </w:rPr>
        <w:t xml:space="preserve"> </w:t>
      </w:r>
      <w:r w:rsidR="00F27F3E" w:rsidRPr="00C84FC4">
        <w:rPr>
          <w:rFonts w:ascii="Calibri" w:eastAsia="Calibri" w:hAnsi="Calibri" w:cs="Calibri"/>
          <w:sz w:val="22"/>
          <w:szCs w:val="22"/>
        </w:rPr>
        <w:t>To address this, Rankin states that ’these two highly aristocratic women cannot be taken as “average” cases’</w:t>
      </w:r>
      <w:r w:rsidR="00F27F3E">
        <w:rPr>
          <w:rStyle w:val="FootnoteReference"/>
          <w:rFonts w:ascii="Calibri" w:eastAsia="Calibri" w:hAnsi="Calibri" w:cs="Calibri"/>
          <w:sz w:val="22"/>
          <w:szCs w:val="22"/>
        </w:rPr>
        <w:footnoteReference w:id="35"/>
      </w:r>
      <w:r w:rsidR="00F27F3E" w:rsidRPr="00C84FC4">
        <w:rPr>
          <w:rFonts w:ascii="Calibri" w:eastAsia="Calibri" w:hAnsi="Calibri" w:cs="Calibri"/>
          <w:sz w:val="22"/>
          <w:szCs w:val="22"/>
        </w:rPr>
        <w:t xml:space="preserve"> and does recommend her book on the subject for further reading.</w:t>
      </w:r>
      <w:r w:rsidR="00F27F3E" w:rsidRPr="00C84FC4">
        <w:rPr>
          <w:rStyle w:val="FootnoteReference"/>
          <w:rFonts w:ascii="Calibri" w:eastAsia="Calibri" w:hAnsi="Calibri" w:cs="Calibri"/>
          <w:sz w:val="22"/>
          <w:szCs w:val="22"/>
        </w:rPr>
        <w:footnoteReference w:id="36"/>
      </w:r>
      <w:r w:rsidR="00C34E5C">
        <w:rPr>
          <w:rFonts w:ascii="Calibri" w:eastAsia="Calibri" w:hAnsi="Calibri" w:cs="Calibri"/>
          <w:sz w:val="22"/>
          <w:szCs w:val="22"/>
        </w:rPr>
        <w:t xml:space="preserve"> </w:t>
      </w:r>
      <w:r w:rsidR="00C34E5C" w:rsidRPr="00C84FC4">
        <w:rPr>
          <w:rFonts w:ascii="Calibri" w:eastAsia="Calibri" w:hAnsi="Calibri" w:cs="Calibri"/>
          <w:sz w:val="22"/>
          <w:szCs w:val="22"/>
        </w:rPr>
        <w:t>Conversely, Siraisi’s main strength is that her paper provides a much larger scope on her thesis, allowing the reader a more complete chronology of the historical literary output</w:t>
      </w:r>
      <w:r w:rsidR="00083C27">
        <w:rPr>
          <w:rFonts w:ascii="Calibri" w:eastAsia="Calibri" w:hAnsi="Calibri" w:cs="Calibri"/>
          <w:sz w:val="22"/>
          <w:szCs w:val="22"/>
        </w:rPr>
        <w:t xml:space="preserve">, albeit, dense and </w:t>
      </w:r>
      <w:r w:rsidR="006A1B3A">
        <w:rPr>
          <w:rFonts w:ascii="Calibri" w:eastAsia="Calibri" w:hAnsi="Calibri" w:cs="Calibri"/>
          <w:sz w:val="22"/>
          <w:szCs w:val="22"/>
        </w:rPr>
        <w:t xml:space="preserve">requiring familiarity on the reader’s part </w:t>
      </w:r>
      <w:r w:rsidR="00083C27">
        <w:rPr>
          <w:rFonts w:ascii="Calibri" w:eastAsia="Calibri" w:hAnsi="Calibri" w:cs="Calibri"/>
          <w:sz w:val="22"/>
          <w:szCs w:val="22"/>
        </w:rPr>
        <w:t>as described earlier</w:t>
      </w:r>
      <w:r w:rsidR="00C34E5C" w:rsidRPr="00C84FC4">
        <w:rPr>
          <w:rFonts w:ascii="Calibri" w:eastAsia="Calibri" w:hAnsi="Calibri" w:cs="Calibri"/>
          <w:sz w:val="22"/>
          <w:szCs w:val="22"/>
        </w:rPr>
        <w:t xml:space="preserve">. </w:t>
      </w:r>
      <w:r w:rsidR="00945347">
        <w:rPr>
          <w:rFonts w:ascii="Calibri" w:eastAsia="Calibri" w:hAnsi="Calibri" w:cs="Calibri"/>
          <w:sz w:val="22"/>
          <w:szCs w:val="22"/>
        </w:rPr>
        <w:t>She</w:t>
      </w:r>
      <w:r w:rsidR="00945347" w:rsidRPr="00C84FC4">
        <w:rPr>
          <w:rFonts w:ascii="Calibri" w:eastAsia="Calibri" w:hAnsi="Calibri" w:cs="Calibri"/>
          <w:sz w:val="22"/>
          <w:szCs w:val="22"/>
        </w:rPr>
        <w:t xml:space="preserve"> humorously opens her paper with a quote from Bodin, claiming that reading history could ‘cure all illnesses of the body and the mind</w:t>
      </w:r>
      <w:bookmarkStart w:id="15" w:name="_Int_s4rjBMmV"/>
      <w:r w:rsidR="00945347" w:rsidRPr="00C84FC4">
        <w:rPr>
          <w:rFonts w:ascii="Calibri" w:eastAsia="Calibri" w:hAnsi="Calibri" w:cs="Calibri"/>
          <w:sz w:val="22"/>
          <w:szCs w:val="22"/>
        </w:rPr>
        <w:t>’.</w:t>
      </w:r>
      <w:bookmarkEnd w:id="15"/>
      <w:r w:rsidR="00945347" w:rsidRPr="00C84FC4">
        <w:rPr>
          <w:rStyle w:val="FootnoteReference"/>
          <w:rFonts w:ascii="Calibri" w:eastAsia="Calibri" w:hAnsi="Calibri" w:cs="Calibri"/>
          <w:sz w:val="22"/>
          <w:szCs w:val="22"/>
        </w:rPr>
        <w:footnoteReference w:id="37"/>
      </w:r>
      <w:r w:rsidR="00945347" w:rsidRPr="00C84FC4">
        <w:rPr>
          <w:rFonts w:ascii="Calibri" w:eastAsia="Calibri" w:hAnsi="Calibri" w:cs="Calibri"/>
          <w:sz w:val="22"/>
          <w:szCs w:val="22"/>
        </w:rPr>
        <w:t xml:space="preserve"> However ridiculous this statement may sound</w:t>
      </w:r>
      <w:r w:rsidR="002E4DC6">
        <w:rPr>
          <w:rFonts w:ascii="Calibri" w:eastAsia="Calibri" w:hAnsi="Calibri" w:cs="Calibri"/>
          <w:sz w:val="22"/>
          <w:szCs w:val="22"/>
        </w:rPr>
        <w:t>,</w:t>
      </w:r>
      <w:r w:rsidR="00945347" w:rsidRPr="00C84FC4">
        <w:rPr>
          <w:rFonts w:ascii="Calibri" w:eastAsia="Calibri" w:hAnsi="Calibri" w:cs="Calibri"/>
          <w:sz w:val="22"/>
          <w:szCs w:val="22"/>
        </w:rPr>
        <w:t xml:space="preserve"> it does highlight an affinity between history and medicine and provides the reader with a memorable image</w:t>
      </w:r>
      <w:r w:rsidR="00834227">
        <w:rPr>
          <w:rFonts w:ascii="Calibri" w:eastAsia="Calibri" w:hAnsi="Calibri" w:cs="Calibri"/>
          <w:sz w:val="22"/>
          <w:szCs w:val="22"/>
        </w:rPr>
        <w:t xml:space="preserve"> from the start</w:t>
      </w:r>
      <w:r w:rsidR="00945347" w:rsidRPr="00C84FC4">
        <w:rPr>
          <w:rFonts w:ascii="Calibri" w:eastAsia="Calibri" w:hAnsi="Calibri" w:cs="Calibri"/>
          <w:sz w:val="22"/>
          <w:szCs w:val="22"/>
        </w:rPr>
        <w:t xml:space="preserve">. </w:t>
      </w:r>
      <w:r w:rsidR="00F2404C">
        <w:rPr>
          <w:rFonts w:ascii="Calibri" w:eastAsia="Calibri" w:hAnsi="Calibri" w:cs="Calibri"/>
          <w:sz w:val="22"/>
          <w:szCs w:val="22"/>
        </w:rPr>
        <w:t>Furthermore, she does provide</w:t>
      </w:r>
      <w:r w:rsidR="001154D2">
        <w:rPr>
          <w:rFonts w:ascii="Calibri" w:eastAsia="Calibri" w:hAnsi="Calibri" w:cs="Calibri"/>
          <w:sz w:val="22"/>
          <w:szCs w:val="22"/>
        </w:rPr>
        <w:t xml:space="preserve"> more detailed </w:t>
      </w:r>
      <w:r w:rsidR="00824A85">
        <w:rPr>
          <w:rFonts w:ascii="Calibri" w:eastAsia="Calibri" w:hAnsi="Calibri" w:cs="Calibri"/>
          <w:sz w:val="22"/>
          <w:szCs w:val="22"/>
        </w:rPr>
        <w:t>accounts</w:t>
      </w:r>
      <w:r w:rsidR="001154D2">
        <w:rPr>
          <w:rFonts w:ascii="Calibri" w:eastAsia="Calibri" w:hAnsi="Calibri" w:cs="Calibri"/>
          <w:sz w:val="22"/>
          <w:szCs w:val="22"/>
        </w:rPr>
        <w:t xml:space="preserve"> of the historical outputs of </w:t>
      </w:r>
      <w:r w:rsidR="001154D2" w:rsidRPr="00C84FC4">
        <w:rPr>
          <w:rFonts w:ascii="Calibri" w:eastAsia="Calibri" w:hAnsi="Calibri" w:cs="Calibri"/>
          <w:sz w:val="22"/>
          <w:szCs w:val="22"/>
        </w:rPr>
        <w:t>Girolamo Cardano and Gabriel Naud</w:t>
      </w:r>
      <w:r w:rsidR="00275937" w:rsidRPr="00275937">
        <w:rPr>
          <w:rFonts w:ascii="Calibri" w:eastAsia="Calibri" w:hAnsi="Calibri" w:cs="Calibri"/>
          <w:sz w:val="22"/>
          <w:szCs w:val="22"/>
        </w:rPr>
        <w:t>è</w:t>
      </w:r>
      <w:r w:rsidR="006D69B8">
        <w:rPr>
          <w:rFonts w:ascii="Calibri" w:eastAsia="Calibri" w:hAnsi="Calibri" w:cs="Calibri"/>
          <w:sz w:val="22"/>
          <w:szCs w:val="22"/>
        </w:rPr>
        <w:t>, however</w:t>
      </w:r>
      <w:r w:rsidR="0089642C">
        <w:rPr>
          <w:rFonts w:ascii="Calibri" w:eastAsia="Calibri" w:hAnsi="Calibri" w:cs="Calibri"/>
          <w:sz w:val="22"/>
          <w:szCs w:val="22"/>
        </w:rPr>
        <w:t xml:space="preserve">, these accounts already </w:t>
      </w:r>
      <w:r w:rsidR="000965D6">
        <w:rPr>
          <w:rFonts w:ascii="Calibri" w:eastAsia="Calibri" w:hAnsi="Calibri" w:cs="Calibri"/>
          <w:sz w:val="22"/>
          <w:szCs w:val="22"/>
        </w:rPr>
        <w:t>assume</w:t>
      </w:r>
      <w:r w:rsidR="0089642C">
        <w:rPr>
          <w:rFonts w:ascii="Calibri" w:eastAsia="Calibri" w:hAnsi="Calibri" w:cs="Calibri"/>
          <w:sz w:val="22"/>
          <w:szCs w:val="22"/>
        </w:rPr>
        <w:t xml:space="preserve"> the reader knows who these individuals are.</w:t>
      </w:r>
      <w:r w:rsidR="004842CE" w:rsidRPr="00C84FC4">
        <w:rPr>
          <w:rStyle w:val="FootnoteReference"/>
          <w:rFonts w:ascii="Calibri" w:eastAsia="Calibri" w:hAnsi="Calibri" w:cs="Calibri"/>
          <w:sz w:val="22"/>
          <w:szCs w:val="22"/>
        </w:rPr>
        <w:footnoteReference w:id="38"/>
      </w:r>
      <w:r w:rsidR="0088515D">
        <w:rPr>
          <w:rFonts w:ascii="Calibri" w:eastAsia="Calibri" w:hAnsi="Calibri" w:cs="Calibri"/>
          <w:sz w:val="22"/>
          <w:szCs w:val="22"/>
        </w:rPr>
        <w:t xml:space="preserve"> </w:t>
      </w:r>
    </w:p>
    <w:p w14:paraId="7EFD45C9" w14:textId="49030960" w:rsidR="00B539C1" w:rsidRPr="00C84FC4" w:rsidRDefault="00AB409F" w:rsidP="00C84FC4">
      <w:pPr>
        <w:spacing w:before="240" w:after="0" w:line="240" w:lineRule="auto"/>
        <w:ind w:firstLine="709"/>
        <w:jc w:val="both"/>
        <w:rPr>
          <w:rFonts w:ascii="Calibri" w:eastAsia="Calibri" w:hAnsi="Calibri" w:cs="Calibri"/>
          <w:sz w:val="22"/>
          <w:szCs w:val="22"/>
        </w:rPr>
      </w:pPr>
      <w:r w:rsidRPr="00C84FC4">
        <w:rPr>
          <w:rFonts w:ascii="Calibri" w:eastAsia="Calibri" w:hAnsi="Calibri" w:cs="Calibri"/>
          <w:sz w:val="22"/>
          <w:szCs w:val="22"/>
        </w:rPr>
        <w:t xml:space="preserve">This essay aimed to compare and contrast Nancy Siraisi’s paper on ‘Anatomizing the Past’ and Alishe Rankin’s paper on ‘Telling Time Through Medicine’. </w:t>
      </w:r>
      <w:r w:rsidR="00FC7998" w:rsidRPr="00C84FC4">
        <w:rPr>
          <w:rFonts w:ascii="Calibri" w:eastAsia="Calibri" w:hAnsi="Calibri" w:cs="Calibri"/>
          <w:sz w:val="22"/>
          <w:szCs w:val="22"/>
        </w:rPr>
        <w:t>Both essays present highly detailed account</w:t>
      </w:r>
      <w:r w:rsidR="00F1479B" w:rsidRPr="00C84FC4">
        <w:rPr>
          <w:rFonts w:ascii="Calibri" w:eastAsia="Calibri" w:hAnsi="Calibri" w:cs="Calibri"/>
          <w:sz w:val="22"/>
          <w:szCs w:val="22"/>
        </w:rPr>
        <w:t>s</w:t>
      </w:r>
      <w:r w:rsidR="00FC7998" w:rsidRPr="00C84FC4">
        <w:rPr>
          <w:rFonts w:ascii="Calibri" w:eastAsia="Calibri" w:hAnsi="Calibri" w:cs="Calibri"/>
          <w:sz w:val="22"/>
          <w:szCs w:val="22"/>
        </w:rPr>
        <w:t xml:space="preserve"> of temporal consideration</w:t>
      </w:r>
      <w:r w:rsidR="00F1479B" w:rsidRPr="00C84FC4">
        <w:rPr>
          <w:rFonts w:ascii="Calibri" w:eastAsia="Calibri" w:hAnsi="Calibri" w:cs="Calibri"/>
          <w:sz w:val="22"/>
          <w:szCs w:val="22"/>
        </w:rPr>
        <w:t xml:space="preserve">s in the Renaissance period from two </w:t>
      </w:r>
      <w:r w:rsidR="00220C3C" w:rsidRPr="00C84FC4">
        <w:rPr>
          <w:rFonts w:ascii="Calibri" w:eastAsia="Calibri" w:hAnsi="Calibri" w:cs="Calibri"/>
          <w:sz w:val="22"/>
          <w:szCs w:val="22"/>
        </w:rPr>
        <w:t xml:space="preserve">different perspectives. </w:t>
      </w:r>
      <w:r w:rsidR="00B539C1" w:rsidRPr="00C84FC4">
        <w:rPr>
          <w:rFonts w:ascii="Calibri" w:eastAsia="Calibri" w:hAnsi="Calibri" w:cs="Calibri"/>
          <w:sz w:val="22"/>
          <w:szCs w:val="22"/>
        </w:rPr>
        <w:t>Siraisi’s paper provides chronologically complete scope of historical considerations in contemporary medical practice</w:t>
      </w:r>
      <w:r w:rsidR="009E62FA" w:rsidRPr="00C84FC4">
        <w:rPr>
          <w:rFonts w:ascii="Calibri" w:eastAsia="Calibri" w:hAnsi="Calibri" w:cs="Calibri"/>
          <w:sz w:val="22"/>
          <w:szCs w:val="22"/>
        </w:rPr>
        <w:t xml:space="preserve"> covering a wide range of</w:t>
      </w:r>
      <w:r w:rsidR="00E74721">
        <w:rPr>
          <w:rFonts w:ascii="Calibri" w:eastAsia="Calibri" w:hAnsi="Calibri" w:cs="Calibri"/>
          <w:sz w:val="22"/>
          <w:szCs w:val="22"/>
        </w:rPr>
        <w:t xml:space="preserve"> published</w:t>
      </w:r>
      <w:r w:rsidR="009E62FA" w:rsidRPr="00C84FC4">
        <w:rPr>
          <w:rFonts w:ascii="Calibri" w:eastAsia="Calibri" w:hAnsi="Calibri" w:cs="Calibri"/>
          <w:sz w:val="22"/>
          <w:szCs w:val="22"/>
        </w:rPr>
        <w:t xml:space="preserve"> </w:t>
      </w:r>
      <w:r w:rsidR="004224BF" w:rsidRPr="00C84FC4">
        <w:rPr>
          <w:rFonts w:ascii="Calibri" w:eastAsia="Calibri" w:hAnsi="Calibri" w:cs="Calibri"/>
          <w:sz w:val="22"/>
          <w:szCs w:val="22"/>
        </w:rPr>
        <w:t xml:space="preserve">primary </w:t>
      </w:r>
      <w:r w:rsidR="009E62FA" w:rsidRPr="00C84FC4">
        <w:rPr>
          <w:rFonts w:ascii="Calibri" w:eastAsia="Calibri" w:hAnsi="Calibri" w:cs="Calibri"/>
          <w:sz w:val="22"/>
          <w:szCs w:val="22"/>
        </w:rPr>
        <w:t>sources</w:t>
      </w:r>
      <w:r w:rsidR="00CB0A0B">
        <w:rPr>
          <w:rFonts w:ascii="Calibri" w:eastAsia="Calibri" w:hAnsi="Calibri" w:cs="Calibri"/>
          <w:sz w:val="22"/>
          <w:szCs w:val="22"/>
        </w:rPr>
        <w:t xml:space="preserve"> in a manner similar to that of a comprehensive review.</w:t>
      </w:r>
      <w:r w:rsidR="009E62FA" w:rsidRPr="00C84FC4">
        <w:rPr>
          <w:rFonts w:ascii="Calibri" w:eastAsia="Calibri" w:hAnsi="Calibri" w:cs="Calibri"/>
          <w:sz w:val="22"/>
          <w:szCs w:val="22"/>
        </w:rPr>
        <w:t xml:space="preserve"> </w:t>
      </w:r>
      <w:r w:rsidR="00574DCB" w:rsidRPr="00C84FC4">
        <w:rPr>
          <w:rFonts w:ascii="Calibri" w:eastAsia="Calibri" w:hAnsi="Calibri" w:cs="Calibri"/>
          <w:sz w:val="22"/>
          <w:szCs w:val="22"/>
        </w:rPr>
        <w:t xml:space="preserve">Rankin’s paper </w:t>
      </w:r>
      <w:r w:rsidR="00BC2349" w:rsidRPr="00C84FC4">
        <w:rPr>
          <w:rFonts w:ascii="Calibri" w:eastAsia="Calibri" w:hAnsi="Calibri" w:cs="Calibri"/>
          <w:sz w:val="22"/>
          <w:szCs w:val="22"/>
        </w:rPr>
        <w:t xml:space="preserve">on female embodied time </w:t>
      </w:r>
      <w:r w:rsidR="004224BF" w:rsidRPr="00C84FC4">
        <w:rPr>
          <w:rFonts w:ascii="Calibri" w:eastAsia="Calibri" w:hAnsi="Calibri" w:cs="Calibri"/>
          <w:sz w:val="22"/>
          <w:szCs w:val="22"/>
        </w:rPr>
        <w:t>covers a m</w:t>
      </w:r>
      <w:r w:rsidR="0084361E" w:rsidRPr="00C84FC4">
        <w:rPr>
          <w:rFonts w:ascii="Calibri" w:eastAsia="Calibri" w:hAnsi="Calibri" w:cs="Calibri"/>
          <w:sz w:val="22"/>
          <w:szCs w:val="22"/>
        </w:rPr>
        <w:t xml:space="preserve">ore limited </w:t>
      </w:r>
      <w:r w:rsidR="00F62563" w:rsidRPr="00C84FC4">
        <w:rPr>
          <w:rFonts w:ascii="Calibri" w:eastAsia="Calibri" w:hAnsi="Calibri" w:cs="Calibri"/>
          <w:sz w:val="22"/>
          <w:szCs w:val="22"/>
        </w:rPr>
        <w:t>period</w:t>
      </w:r>
      <w:r w:rsidR="0084361E" w:rsidRPr="00C84FC4">
        <w:rPr>
          <w:rFonts w:ascii="Calibri" w:eastAsia="Calibri" w:hAnsi="Calibri" w:cs="Calibri"/>
          <w:sz w:val="22"/>
          <w:szCs w:val="22"/>
        </w:rPr>
        <w:t xml:space="preserve"> </w:t>
      </w:r>
      <w:r w:rsidR="00577D52" w:rsidRPr="00C84FC4">
        <w:rPr>
          <w:rFonts w:ascii="Calibri" w:eastAsia="Calibri" w:hAnsi="Calibri" w:cs="Calibri"/>
          <w:sz w:val="22"/>
          <w:szCs w:val="22"/>
        </w:rPr>
        <w:t>focusing</w:t>
      </w:r>
      <w:r w:rsidR="0084361E" w:rsidRPr="00C84FC4">
        <w:rPr>
          <w:rFonts w:ascii="Calibri" w:eastAsia="Calibri" w:hAnsi="Calibri" w:cs="Calibri"/>
          <w:sz w:val="22"/>
          <w:szCs w:val="22"/>
        </w:rPr>
        <w:t xml:space="preserve"> on </w:t>
      </w:r>
      <w:r w:rsidR="00F62563" w:rsidRPr="00C84FC4">
        <w:rPr>
          <w:rFonts w:ascii="Calibri" w:eastAsia="Calibri" w:hAnsi="Calibri" w:cs="Calibri"/>
          <w:sz w:val="22"/>
          <w:szCs w:val="22"/>
        </w:rPr>
        <w:t xml:space="preserve">a singular set of </w:t>
      </w:r>
      <w:r w:rsidR="00E74721">
        <w:rPr>
          <w:rFonts w:ascii="Calibri" w:eastAsia="Calibri" w:hAnsi="Calibri" w:cs="Calibri"/>
          <w:sz w:val="22"/>
          <w:szCs w:val="22"/>
        </w:rPr>
        <w:t xml:space="preserve">non-published </w:t>
      </w:r>
      <w:r w:rsidR="00F62563" w:rsidRPr="00C84FC4">
        <w:rPr>
          <w:rFonts w:ascii="Calibri" w:eastAsia="Calibri" w:hAnsi="Calibri" w:cs="Calibri"/>
          <w:sz w:val="22"/>
          <w:szCs w:val="22"/>
        </w:rPr>
        <w:t>primary sources</w:t>
      </w:r>
      <w:r w:rsidR="000B334D">
        <w:rPr>
          <w:rFonts w:ascii="Calibri" w:eastAsia="Calibri" w:hAnsi="Calibri" w:cs="Calibri"/>
          <w:sz w:val="22"/>
          <w:szCs w:val="22"/>
        </w:rPr>
        <w:t xml:space="preserve"> </w:t>
      </w:r>
      <w:r w:rsidR="002E4DC6">
        <w:rPr>
          <w:rFonts w:ascii="Calibri" w:eastAsia="Calibri" w:hAnsi="Calibri" w:cs="Calibri"/>
          <w:sz w:val="22"/>
          <w:szCs w:val="22"/>
        </w:rPr>
        <w:t xml:space="preserve">presented </w:t>
      </w:r>
      <w:r w:rsidR="000B334D">
        <w:rPr>
          <w:rFonts w:ascii="Calibri" w:eastAsia="Calibri" w:hAnsi="Calibri" w:cs="Calibri"/>
          <w:sz w:val="22"/>
          <w:szCs w:val="22"/>
        </w:rPr>
        <w:t>in a funneled structure</w:t>
      </w:r>
      <w:r w:rsidR="00F62563" w:rsidRPr="00C84FC4">
        <w:rPr>
          <w:rFonts w:ascii="Calibri" w:eastAsia="Calibri" w:hAnsi="Calibri" w:cs="Calibri"/>
          <w:sz w:val="22"/>
          <w:szCs w:val="22"/>
        </w:rPr>
        <w:t>.</w:t>
      </w:r>
      <w:r w:rsidR="00BC2349" w:rsidRPr="00C84FC4">
        <w:rPr>
          <w:rFonts w:ascii="Calibri" w:eastAsia="Calibri" w:hAnsi="Calibri" w:cs="Calibri"/>
          <w:sz w:val="22"/>
          <w:szCs w:val="22"/>
        </w:rPr>
        <w:t xml:space="preserve"> </w:t>
      </w:r>
      <w:r w:rsidR="00B42176" w:rsidRPr="00C84FC4">
        <w:rPr>
          <w:rFonts w:ascii="Calibri" w:eastAsia="Calibri" w:hAnsi="Calibri" w:cs="Calibri"/>
          <w:sz w:val="22"/>
          <w:szCs w:val="22"/>
        </w:rPr>
        <w:t>Siraisi writes primary for an audience already versed in Renaissance history</w:t>
      </w:r>
      <w:r w:rsidR="000B334D">
        <w:rPr>
          <w:rFonts w:ascii="Calibri" w:eastAsia="Calibri" w:hAnsi="Calibri" w:cs="Calibri"/>
          <w:sz w:val="22"/>
          <w:szCs w:val="22"/>
        </w:rPr>
        <w:t xml:space="preserve"> and characters</w:t>
      </w:r>
      <w:r w:rsidR="00B42176" w:rsidRPr="00C84FC4">
        <w:rPr>
          <w:rFonts w:ascii="Calibri" w:eastAsia="Calibri" w:hAnsi="Calibri" w:cs="Calibri"/>
          <w:sz w:val="22"/>
          <w:szCs w:val="22"/>
        </w:rPr>
        <w:t xml:space="preserve"> while Rankin’s approach is suited more for those coming from </w:t>
      </w:r>
      <w:r w:rsidR="003132A2">
        <w:rPr>
          <w:rFonts w:ascii="Calibri" w:eastAsia="Calibri" w:hAnsi="Calibri" w:cs="Calibri"/>
          <w:sz w:val="22"/>
          <w:szCs w:val="22"/>
        </w:rPr>
        <w:t>adjacent</w:t>
      </w:r>
      <w:r w:rsidR="00B42176" w:rsidRPr="00C84FC4">
        <w:rPr>
          <w:rFonts w:ascii="Calibri" w:eastAsia="Calibri" w:hAnsi="Calibri" w:cs="Calibri"/>
          <w:sz w:val="22"/>
          <w:szCs w:val="22"/>
        </w:rPr>
        <w:t xml:space="preserve"> </w:t>
      </w:r>
      <w:r w:rsidR="003132A2">
        <w:rPr>
          <w:rFonts w:ascii="Calibri" w:eastAsia="Calibri" w:hAnsi="Calibri" w:cs="Calibri"/>
          <w:sz w:val="22"/>
          <w:szCs w:val="22"/>
        </w:rPr>
        <w:t xml:space="preserve">or even non-academic </w:t>
      </w:r>
      <w:r w:rsidR="00577D52" w:rsidRPr="00C84FC4">
        <w:rPr>
          <w:rFonts w:ascii="Calibri" w:eastAsia="Calibri" w:hAnsi="Calibri" w:cs="Calibri"/>
          <w:sz w:val="22"/>
          <w:szCs w:val="22"/>
        </w:rPr>
        <w:t>fields. Siraisi’s pap</w:t>
      </w:r>
      <w:r w:rsidR="00551F39" w:rsidRPr="00C84FC4">
        <w:rPr>
          <w:rFonts w:ascii="Calibri" w:eastAsia="Calibri" w:hAnsi="Calibri" w:cs="Calibri"/>
          <w:sz w:val="22"/>
          <w:szCs w:val="22"/>
        </w:rPr>
        <w:t>er contains</w:t>
      </w:r>
      <w:r w:rsidR="007154A4" w:rsidRPr="00C84FC4">
        <w:rPr>
          <w:rFonts w:ascii="Calibri" w:eastAsia="Calibri" w:hAnsi="Calibri" w:cs="Calibri"/>
          <w:sz w:val="22"/>
          <w:szCs w:val="22"/>
        </w:rPr>
        <w:t xml:space="preserve"> little to</w:t>
      </w:r>
      <w:r w:rsidR="00551F39" w:rsidRPr="00C84FC4">
        <w:rPr>
          <w:rFonts w:ascii="Calibri" w:eastAsia="Calibri" w:hAnsi="Calibri" w:cs="Calibri"/>
          <w:sz w:val="22"/>
          <w:szCs w:val="22"/>
        </w:rPr>
        <w:t xml:space="preserve"> no reference to gender consideration due </w:t>
      </w:r>
      <w:r w:rsidR="007154A4" w:rsidRPr="00C84FC4">
        <w:rPr>
          <w:rFonts w:ascii="Calibri" w:eastAsia="Calibri" w:hAnsi="Calibri" w:cs="Calibri"/>
          <w:sz w:val="22"/>
          <w:szCs w:val="22"/>
        </w:rPr>
        <w:t xml:space="preserve">the male dominated literature </w:t>
      </w:r>
      <w:r w:rsidR="007A21D6" w:rsidRPr="00C84FC4">
        <w:rPr>
          <w:rFonts w:ascii="Calibri" w:eastAsia="Calibri" w:hAnsi="Calibri" w:cs="Calibri"/>
          <w:sz w:val="22"/>
          <w:szCs w:val="22"/>
        </w:rPr>
        <w:t>output</w:t>
      </w:r>
      <w:r w:rsidR="007154A4" w:rsidRPr="00C84FC4">
        <w:rPr>
          <w:rFonts w:ascii="Calibri" w:eastAsia="Calibri" w:hAnsi="Calibri" w:cs="Calibri"/>
          <w:sz w:val="22"/>
          <w:szCs w:val="22"/>
        </w:rPr>
        <w:t xml:space="preserve"> of the Ren</w:t>
      </w:r>
      <w:r w:rsidR="0046230C" w:rsidRPr="00C84FC4">
        <w:rPr>
          <w:rFonts w:ascii="Calibri" w:eastAsia="Calibri" w:hAnsi="Calibri" w:cs="Calibri"/>
          <w:sz w:val="22"/>
          <w:szCs w:val="22"/>
        </w:rPr>
        <w:t xml:space="preserve">aissance. Rankin’s paper is specifically gender focused </w:t>
      </w:r>
      <w:r w:rsidR="00D40D7D" w:rsidRPr="00C84FC4">
        <w:rPr>
          <w:rFonts w:ascii="Calibri" w:eastAsia="Calibri" w:hAnsi="Calibri" w:cs="Calibri"/>
          <w:sz w:val="22"/>
          <w:szCs w:val="22"/>
        </w:rPr>
        <w:t xml:space="preserve">providing a </w:t>
      </w:r>
      <w:r w:rsidR="002D2E65" w:rsidRPr="00C84FC4">
        <w:rPr>
          <w:rFonts w:ascii="Calibri" w:eastAsia="Calibri" w:hAnsi="Calibri" w:cs="Calibri"/>
          <w:sz w:val="22"/>
          <w:szCs w:val="22"/>
        </w:rPr>
        <w:t>less common female perspective in medical timing in the Renaissance.</w:t>
      </w:r>
      <w:r w:rsidR="00D617CB" w:rsidRPr="00C84FC4">
        <w:rPr>
          <w:rFonts w:ascii="Calibri" w:eastAsia="Calibri" w:hAnsi="Calibri" w:cs="Calibri"/>
          <w:sz w:val="22"/>
          <w:szCs w:val="22"/>
        </w:rPr>
        <w:t xml:space="preserve"> Overall, </w:t>
      </w:r>
      <w:r w:rsidR="00B249FE" w:rsidRPr="00C84FC4">
        <w:rPr>
          <w:rFonts w:ascii="Calibri" w:eastAsia="Calibri" w:hAnsi="Calibri" w:cs="Calibri"/>
          <w:sz w:val="22"/>
          <w:szCs w:val="22"/>
        </w:rPr>
        <w:t xml:space="preserve">both papers are thorough and captivating </w:t>
      </w:r>
      <w:r w:rsidR="00461FFF" w:rsidRPr="00C84FC4">
        <w:rPr>
          <w:rFonts w:ascii="Calibri" w:eastAsia="Calibri" w:hAnsi="Calibri" w:cs="Calibri"/>
          <w:sz w:val="22"/>
          <w:szCs w:val="22"/>
        </w:rPr>
        <w:t xml:space="preserve">reads for their appropriate target audiences, providing </w:t>
      </w:r>
      <w:r w:rsidR="00DA5CE3" w:rsidRPr="00C84FC4">
        <w:rPr>
          <w:rFonts w:ascii="Calibri" w:eastAsia="Calibri" w:hAnsi="Calibri" w:cs="Calibri"/>
          <w:sz w:val="22"/>
          <w:szCs w:val="22"/>
        </w:rPr>
        <w:t>different but engaging approaches to their subject matters.</w:t>
      </w:r>
    </w:p>
    <w:p w14:paraId="0BF20EC9" w14:textId="77777777" w:rsidR="00B539C1" w:rsidRDefault="00B539C1" w:rsidP="00AB409F">
      <w:pPr>
        <w:spacing w:before="240" w:after="0" w:line="276" w:lineRule="auto"/>
        <w:ind w:firstLine="709"/>
        <w:jc w:val="both"/>
        <w:rPr>
          <w:rFonts w:ascii="Calibri" w:eastAsia="Calibri" w:hAnsi="Calibri" w:cs="Calibri"/>
        </w:rPr>
      </w:pPr>
    </w:p>
    <w:sectPr w:rsidR="00B539C1">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3B821890" w14:textId="77777777" w:rsidR="00504278" w:rsidRDefault="00504278">
      <w:pPr>
        <w:spacing w:after="0" w:line="240" w:lineRule="auto"/>
      </w:pPr>
      <w:r>
        <w:separator/>
      </w:r>
    </w:p>
  </w:endnote>
  <w:endnote w:type="continuationSeparator" w:id="0">
    <w:p w14:paraId="3F219F36" w14:textId="77777777" w:rsidR="00504278" w:rsidRDefault="00504278">
      <w:pPr>
        <w:spacing w:after="0" w:line="240" w:lineRule="auto"/>
      </w:pPr>
      <w:r>
        <w:continuationSeparator/>
      </w:r>
    </w:p>
  </w:endnote>
  <w:endnote w:type="continuationNotice" w:id="1">
    <w:p w14:paraId="12EC96CF" w14:textId="77777777" w:rsidR="00504278" w:rsidRDefault="00504278">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29B5A8CE" w14:textId="77777777" w:rsidR="00504278" w:rsidRDefault="00504278">
      <w:pPr>
        <w:spacing w:after="0" w:line="240" w:lineRule="auto"/>
      </w:pPr>
      <w:r>
        <w:separator/>
      </w:r>
    </w:p>
  </w:footnote>
  <w:footnote w:type="continuationSeparator" w:id="0">
    <w:p w14:paraId="2B7A6499" w14:textId="77777777" w:rsidR="00504278" w:rsidRDefault="00504278">
      <w:pPr>
        <w:spacing w:after="0" w:line="240" w:lineRule="auto"/>
      </w:pPr>
      <w:r>
        <w:continuationSeparator/>
      </w:r>
    </w:p>
  </w:footnote>
  <w:footnote w:type="continuationNotice" w:id="1">
    <w:p w14:paraId="61C96D73" w14:textId="77777777" w:rsidR="00504278" w:rsidRDefault="00504278">
      <w:pPr>
        <w:spacing w:after="0" w:line="240" w:lineRule="auto"/>
      </w:pPr>
    </w:p>
  </w:footnote>
  <w:footnote w:id="2">
    <w:p w14:paraId="415971EE" w14:textId="7854232F" w:rsidR="713D4BF9" w:rsidRDefault="713D4BF9" w:rsidP="007020C7">
      <w:pPr>
        <w:pStyle w:val="FootnoteText"/>
        <w:jc w:val="both"/>
      </w:pPr>
      <w:r w:rsidRPr="713D4BF9">
        <w:rPr>
          <w:rStyle w:val="FootnoteReference"/>
        </w:rPr>
        <w:footnoteRef/>
      </w:r>
      <w:r>
        <w:t xml:space="preserve"> </w:t>
      </w:r>
      <w:r w:rsidR="006C0EAD">
        <w:t>Nancy Siraisi</w:t>
      </w:r>
      <w:r w:rsidR="00B40DE7">
        <w:t xml:space="preserve">, </w:t>
      </w:r>
      <w:r w:rsidR="002C1627">
        <w:t>‘</w:t>
      </w:r>
      <w:r w:rsidR="00B40DE7">
        <w:t xml:space="preserve">Anatomizing the </w:t>
      </w:r>
      <w:r w:rsidR="008D1B83">
        <w:t>P</w:t>
      </w:r>
      <w:r w:rsidR="00B40DE7">
        <w:t>ast</w:t>
      </w:r>
      <w:r w:rsidR="008D1B83">
        <w:t>: Physicians and History in Renaissance Culture</w:t>
      </w:r>
      <w:r w:rsidR="002C1627">
        <w:t>’</w:t>
      </w:r>
      <w:r w:rsidR="00025414">
        <w:t xml:space="preserve">, </w:t>
      </w:r>
      <w:r w:rsidR="00025414" w:rsidRPr="00025414">
        <w:rPr>
          <w:i/>
          <w:iCs/>
        </w:rPr>
        <w:t>Renaissance Quarterly</w:t>
      </w:r>
      <w:r w:rsidR="00025414">
        <w:t xml:space="preserve">, </w:t>
      </w:r>
      <w:r w:rsidR="00622776">
        <w:t>53.1 (</w:t>
      </w:r>
      <w:r w:rsidR="00FB0E0E">
        <w:t>2000)</w:t>
      </w:r>
      <w:r w:rsidR="007020C7">
        <w:t>,</w:t>
      </w:r>
      <w:r w:rsidR="00FB0E0E">
        <w:t xml:space="preserve"> </w:t>
      </w:r>
      <w:r w:rsidR="002D6073">
        <w:t xml:space="preserve">pp. </w:t>
      </w:r>
      <w:r w:rsidR="00FB0E0E">
        <w:t xml:space="preserve">1 </w:t>
      </w:r>
      <w:r w:rsidR="007020C7">
        <w:t>–</w:t>
      </w:r>
      <w:r w:rsidR="00FB0E0E">
        <w:t xml:space="preserve"> 30</w:t>
      </w:r>
      <w:r w:rsidR="007020C7">
        <w:t>.</w:t>
      </w:r>
    </w:p>
  </w:footnote>
  <w:footnote w:id="3">
    <w:p w14:paraId="15EC68BA" w14:textId="3486375F" w:rsidR="713D4BF9" w:rsidRPr="00DA2360" w:rsidRDefault="713D4BF9" w:rsidP="000E35DF">
      <w:pPr>
        <w:pStyle w:val="FootnoteText"/>
        <w:jc w:val="both"/>
      </w:pPr>
      <w:r w:rsidRPr="713D4BF9">
        <w:rPr>
          <w:rStyle w:val="FootnoteReference"/>
        </w:rPr>
        <w:footnoteRef/>
      </w:r>
      <w:r>
        <w:t xml:space="preserve"> </w:t>
      </w:r>
      <w:r w:rsidR="004A0C99">
        <w:t>Alisha Rankin, ‘</w:t>
      </w:r>
      <w:r w:rsidR="004A0C99" w:rsidRPr="004A0C99">
        <w:t xml:space="preserve">Telling </w:t>
      </w:r>
      <w:r w:rsidR="004A0C99">
        <w:t>T</w:t>
      </w:r>
      <w:r w:rsidR="004A0C99" w:rsidRPr="004A0C99">
        <w:t xml:space="preserve">ime </w:t>
      </w:r>
      <w:r w:rsidR="004A0C99">
        <w:t>T</w:t>
      </w:r>
      <w:r w:rsidR="004A0C99" w:rsidRPr="004A0C99">
        <w:t xml:space="preserve">hrough </w:t>
      </w:r>
      <w:r w:rsidR="004A0C99">
        <w:t>M</w:t>
      </w:r>
      <w:r w:rsidR="004A0C99" w:rsidRPr="004A0C99">
        <w:t>edicine</w:t>
      </w:r>
      <w:r w:rsidR="004A1282">
        <w:t>:</w:t>
      </w:r>
      <w:r w:rsidR="004A0C99" w:rsidRPr="004A0C99">
        <w:t xml:space="preserve"> A </w:t>
      </w:r>
      <w:r w:rsidR="004A0C99">
        <w:t>G</w:t>
      </w:r>
      <w:r w:rsidR="004A0C99" w:rsidRPr="004A0C99">
        <w:t xml:space="preserve">endered </w:t>
      </w:r>
      <w:r w:rsidR="004A0C99">
        <w:t>P</w:t>
      </w:r>
      <w:r w:rsidR="004A0C99" w:rsidRPr="004A0C99">
        <w:t>erspective</w:t>
      </w:r>
      <w:r w:rsidR="004A0C99">
        <w:t>’</w:t>
      </w:r>
      <w:r w:rsidR="00DA2360">
        <w:t xml:space="preserve">, in </w:t>
      </w:r>
      <w:r w:rsidR="00DA2360" w:rsidRPr="00DA2360">
        <w:rPr>
          <w:i/>
          <w:iCs/>
        </w:rPr>
        <w:t>Gendered Temporalities in the Early Modern World</w:t>
      </w:r>
      <w:r w:rsidR="00DA2360">
        <w:t>,</w:t>
      </w:r>
      <w:r w:rsidR="007F69CD">
        <w:t xml:space="preserve"> ed. by </w:t>
      </w:r>
      <w:r w:rsidR="007F69CD" w:rsidRPr="007F69CD">
        <w:t>Merry E. Wiesner-Hanks</w:t>
      </w:r>
      <w:r w:rsidR="007F69CD">
        <w:t xml:space="preserve"> (</w:t>
      </w:r>
      <w:r w:rsidR="001623A7">
        <w:t>Amsterdam University Press, 2018), pp. 95</w:t>
      </w:r>
      <w:r w:rsidR="00766444">
        <w:t>-</w:t>
      </w:r>
      <w:r w:rsidR="002A5D4E">
        <w:t>114.</w:t>
      </w:r>
    </w:p>
  </w:footnote>
  <w:footnote w:id="4">
    <w:p w14:paraId="2AE2CB85" w14:textId="4F4722EE" w:rsidR="713D4BF9" w:rsidRPr="00FE7B7E" w:rsidRDefault="713D4BF9" w:rsidP="000E35DF">
      <w:pPr>
        <w:pStyle w:val="FootnoteText"/>
        <w:jc w:val="both"/>
      </w:pPr>
      <w:r w:rsidRPr="713D4BF9">
        <w:rPr>
          <w:rStyle w:val="FootnoteReference"/>
        </w:rPr>
        <w:footnoteRef/>
      </w:r>
      <w:r>
        <w:t xml:space="preserve"> </w:t>
      </w:r>
      <w:r w:rsidR="002A5D4E" w:rsidRPr="007F69CD">
        <w:t>Merry E. Wiesner-Hanks</w:t>
      </w:r>
      <w:r w:rsidR="002A5D4E">
        <w:t xml:space="preserve"> and others</w:t>
      </w:r>
      <w:r w:rsidR="00FE7B7E">
        <w:t xml:space="preserve">, </w:t>
      </w:r>
      <w:r w:rsidR="00FE7B7E" w:rsidRPr="00DA2360">
        <w:rPr>
          <w:i/>
          <w:iCs/>
        </w:rPr>
        <w:t>Gendered Temporalities in the Early Modern World</w:t>
      </w:r>
      <w:r w:rsidR="00FE7B7E">
        <w:rPr>
          <w:i/>
          <w:iCs/>
        </w:rPr>
        <w:t xml:space="preserve">, </w:t>
      </w:r>
      <w:r w:rsidR="00FE7B7E" w:rsidRPr="001A1AAB">
        <w:t>(Amsterdam University Press, 2018).</w:t>
      </w:r>
    </w:p>
  </w:footnote>
  <w:footnote w:id="5">
    <w:p w14:paraId="32CD7C57" w14:textId="6A08B8AD" w:rsidR="713D4BF9" w:rsidRDefault="713D4BF9" w:rsidP="000E35DF">
      <w:pPr>
        <w:pStyle w:val="FootnoteText"/>
        <w:jc w:val="both"/>
      </w:pPr>
      <w:r w:rsidRPr="713D4BF9">
        <w:rPr>
          <w:rStyle w:val="FootnoteReference"/>
        </w:rPr>
        <w:footnoteRef/>
      </w:r>
      <w:r>
        <w:t xml:space="preserve"> </w:t>
      </w:r>
      <w:r w:rsidR="00D50B5C">
        <w:t>Siraisi, ‘Anatomizing the Past’</w:t>
      </w:r>
      <w:r w:rsidR="004A1282">
        <w:t>,</w:t>
      </w:r>
      <w:r>
        <w:t xml:space="preserve"> p</w:t>
      </w:r>
      <w:r w:rsidR="004A1282">
        <w:t xml:space="preserve">. </w:t>
      </w:r>
      <w:r>
        <w:t>4</w:t>
      </w:r>
      <w:r w:rsidR="004A1282">
        <w:t>.</w:t>
      </w:r>
    </w:p>
  </w:footnote>
  <w:footnote w:id="6">
    <w:p w14:paraId="79B2B1DA" w14:textId="36B7D67D" w:rsidR="713D4BF9" w:rsidRDefault="713D4BF9" w:rsidP="000E35DF">
      <w:pPr>
        <w:pStyle w:val="FootnoteText"/>
        <w:jc w:val="both"/>
      </w:pPr>
      <w:r w:rsidRPr="713D4BF9">
        <w:rPr>
          <w:rStyle w:val="FootnoteReference"/>
        </w:rPr>
        <w:footnoteRef/>
      </w:r>
      <w:r>
        <w:t xml:space="preserve"> Rankin</w:t>
      </w:r>
      <w:r w:rsidR="004A1282">
        <w:t>, ‘</w:t>
      </w:r>
      <w:r w:rsidR="004A1282" w:rsidRPr="004A0C99">
        <w:t xml:space="preserve">Telling </w:t>
      </w:r>
      <w:r w:rsidR="004A1282">
        <w:t>T</w:t>
      </w:r>
      <w:r w:rsidR="004A1282" w:rsidRPr="004A0C99">
        <w:t xml:space="preserve">ime </w:t>
      </w:r>
      <w:r w:rsidR="004A1282">
        <w:t>T</w:t>
      </w:r>
      <w:r w:rsidR="004A1282" w:rsidRPr="004A0C99">
        <w:t xml:space="preserve">hrough </w:t>
      </w:r>
      <w:r w:rsidR="004A1282">
        <w:t>M</w:t>
      </w:r>
      <w:r w:rsidR="004A1282" w:rsidRPr="004A0C99">
        <w:t>edicine</w:t>
      </w:r>
      <w:r w:rsidR="00925829">
        <w:t>’, p.</w:t>
      </w:r>
      <w:r w:rsidR="004A1282">
        <w:t xml:space="preserve"> </w:t>
      </w:r>
      <w:r>
        <w:t>98</w:t>
      </w:r>
      <w:r w:rsidR="004A1282">
        <w:t>.</w:t>
      </w:r>
    </w:p>
  </w:footnote>
  <w:footnote w:id="7">
    <w:p w14:paraId="7171E1FF" w14:textId="462EAED5" w:rsidR="713D4BF9" w:rsidRDefault="713D4BF9" w:rsidP="000E35DF">
      <w:pPr>
        <w:pStyle w:val="FootnoteText"/>
        <w:jc w:val="both"/>
      </w:pPr>
      <w:r w:rsidRPr="713D4BF9">
        <w:rPr>
          <w:rStyle w:val="FootnoteReference"/>
        </w:rPr>
        <w:footnoteRef/>
      </w:r>
      <w:r>
        <w:t xml:space="preserve"> </w:t>
      </w:r>
      <w:r w:rsidR="004A1282">
        <w:t>Rankin, ‘</w:t>
      </w:r>
      <w:r w:rsidR="004A1282" w:rsidRPr="004A0C99">
        <w:t xml:space="preserve">Telling </w:t>
      </w:r>
      <w:r w:rsidR="004A1282">
        <w:t>T</w:t>
      </w:r>
      <w:r w:rsidR="004A1282" w:rsidRPr="004A0C99">
        <w:t xml:space="preserve">ime </w:t>
      </w:r>
      <w:r w:rsidR="004A1282">
        <w:t>T</w:t>
      </w:r>
      <w:r w:rsidR="004A1282" w:rsidRPr="004A0C99">
        <w:t xml:space="preserve">hrough </w:t>
      </w:r>
      <w:r w:rsidR="004A1282">
        <w:t>M</w:t>
      </w:r>
      <w:r w:rsidR="004A1282" w:rsidRPr="004A0C99">
        <w:t>edicine</w:t>
      </w:r>
      <w:r w:rsidR="00925829">
        <w:t>’, p.</w:t>
      </w:r>
      <w:r w:rsidR="004A1282">
        <w:t xml:space="preserve"> </w:t>
      </w:r>
      <w:r>
        <w:t>102</w:t>
      </w:r>
      <w:r w:rsidR="00C456EB">
        <w:t>.</w:t>
      </w:r>
    </w:p>
  </w:footnote>
  <w:footnote w:id="8">
    <w:p w14:paraId="744B2C6B" w14:textId="77777777" w:rsidR="00A748E3" w:rsidRDefault="00A748E3" w:rsidP="00A748E3">
      <w:pPr>
        <w:pStyle w:val="FootnoteText"/>
        <w:jc w:val="both"/>
      </w:pPr>
      <w:r w:rsidRPr="713D4BF9">
        <w:rPr>
          <w:rStyle w:val="FootnoteReference"/>
        </w:rPr>
        <w:footnoteRef/>
      </w:r>
      <w:bookmarkStart w:id="2" w:name="_Hlk181091912"/>
      <w:r>
        <w:t xml:space="preserve">Renaissance Society of America, </w:t>
      </w:r>
      <w:r w:rsidRPr="00706A64">
        <w:rPr>
          <w:i/>
          <w:iCs/>
        </w:rPr>
        <w:t>About the Renaissance Society of America</w:t>
      </w:r>
      <w:r w:rsidRPr="00706A64">
        <w:t xml:space="preserve"> </w:t>
      </w:r>
      <w:r>
        <w:t>&lt;</w:t>
      </w:r>
      <w:r w:rsidRPr="00F2534C">
        <w:t xml:space="preserve"> https://www.rsa.org/page/aboutus</w:t>
      </w:r>
      <w:r>
        <w:t>&gt; [accessed 29 October 2024]</w:t>
      </w:r>
      <w:bookmarkEnd w:id="2"/>
    </w:p>
  </w:footnote>
  <w:footnote w:id="9">
    <w:p w14:paraId="63334997" w14:textId="7D3E4963" w:rsidR="713D4BF9" w:rsidRDefault="713D4BF9" w:rsidP="00706A64">
      <w:pPr>
        <w:pStyle w:val="FootnoteText"/>
        <w:jc w:val="both"/>
      </w:pPr>
      <w:r w:rsidRPr="713D4BF9">
        <w:rPr>
          <w:rStyle w:val="FootnoteReference"/>
        </w:rPr>
        <w:footnoteRef/>
      </w:r>
      <w:r>
        <w:t xml:space="preserve"> </w:t>
      </w:r>
      <w:r w:rsidR="00B955E0" w:rsidRPr="00B955E0">
        <w:t>Merry E. Wiesner-Hanks, ‘</w:t>
      </w:r>
      <w:r w:rsidR="006E0B95">
        <w:t>Introduction’</w:t>
      </w:r>
      <w:r w:rsidR="00B955E0" w:rsidRPr="00B955E0">
        <w:t xml:space="preserve">, in Gendered Temporalities in the Early Modern World, ed. by Merry E. Wiesner-Hanks (Amsterdam University Press, 2018), pp. </w:t>
      </w:r>
      <w:r w:rsidR="006E0B95">
        <w:t>7</w:t>
      </w:r>
      <w:r w:rsidR="00B955E0" w:rsidRPr="00B955E0">
        <w:t>-1</w:t>
      </w:r>
      <w:r w:rsidR="006E0B95">
        <w:t>6, p. 7</w:t>
      </w:r>
      <w:r w:rsidR="00B955E0" w:rsidRPr="00B955E0">
        <w:t>.</w:t>
      </w:r>
    </w:p>
  </w:footnote>
  <w:footnote w:id="10">
    <w:p w14:paraId="5D3B0F96" w14:textId="34C2B2CB" w:rsidR="713D4BF9" w:rsidRDefault="713D4BF9" w:rsidP="00F67CDA">
      <w:pPr>
        <w:pStyle w:val="FootnoteText"/>
        <w:jc w:val="both"/>
      </w:pPr>
      <w:r w:rsidRPr="713D4BF9">
        <w:rPr>
          <w:rStyle w:val="FootnoteReference"/>
        </w:rPr>
        <w:footnoteRef/>
      </w:r>
      <w:r>
        <w:t xml:space="preserve"> </w:t>
      </w:r>
      <w:r w:rsidR="004A1282">
        <w:t>Siraisi, ‘Anatomizing the Past’,</w:t>
      </w:r>
      <w:r>
        <w:t xml:space="preserve"> </w:t>
      </w:r>
      <w:r w:rsidR="004A1282">
        <w:t xml:space="preserve">p. </w:t>
      </w:r>
      <w:r>
        <w:t>1</w:t>
      </w:r>
      <w:r w:rsidR="00C456EB">
        <w:t>.</w:t>
      </w:r>
    </w:p>
  </w:footnote>
  <w:footnote w:id="11">
    <w:p w14:paraId="43F3128D" w14:textId="50E9BEA8" w:rsidR="713D4BF9" w:rsidRDefault="713D4BF9" w:rsidP="00F67CDA">
      <w:pPr>
        <w:pStyle w:val="FootnoteText"/>
        <w:jc w:val="both"/>
      </w:pPr>
      <w:r w:rsidRPr="713D4BF9">
        <w:rPr>
          <w:rStyle w:val="FootnoteReference"/>
        </w:rPr>
        <w:footnoteRef/>
      </w:r>
      <w:r>
        <w:t xml:space="preserve"> </w:t>
      </w:r>
      <w:r w:rsidR="004A1282">
        <w:t>Rankin, ‘</w:t>
      </w:r>
      <w:r w:rsidR="004A1282" w:rsidRPr="004A0C99">
        <w:t xml:space="preserve">Telling </w:t>
      </w:r>
      <w:r w:rsidR="004A1282">
        <w:t>T</w:t>
      </w:r>
      <w:r w:rsidR="004A1282" w:rsidRPr="004A0C99">
        <w:t xml:space="preserve">ime </w:t>
      </w:r>
      <w:r w:rsidR="004A1282">
        <w:t>T</w:t>
      </w:r>
      <w:r w:rsidR="004A1282" w:rsidRPr="004A0C99">
        <w:t xml:space="preserve">hrough </w:t>
      </w:r>
      <w:r w:rsidR="004A1282">
        <w:t>M</w:t>
      </w:r>
      <w:r w:rsidR="004A1282" w:rsidRPr="004A0C99">
        <w:t>edicine</w:t>
      </w:r>
      <w:r w:rsidR="004A1282">
        <w:t xml:space="preserve">’, </w:t>
      </w:r>
      <w:r>
        <w:t>p</w:t>
      </w:r>
      <w:r w:rsidR="004A1282">
        <w:t xml:space="preserve">. </w:t>
      </w:r>
      <w:r>
        <w:t>95</w:t>
      </w:r>
      <w:r w:rsidR="00C456EB">
        <w:t>.</w:t>
      </w:r>
    </w:p>
  </w:footnote>
  <w:footnote w:id="12">
    <w:p w14:paraId="1D96CBF1" w14:textId="32441FFA" w:rsidR="713D4BF9" w:rsidRDefault="713D4BF9" w:rsidP="00F67CDA">
      <w:pPr>
        <w:pStyle w:val="FootnoteText"/>
        <w:jc w:val="both"/>
      </w:pPr>
      <w:r w:rsidRPr="713D4BF9">
        <w:rPr>
          <w:rStyle w:val="FootnoteReference"/>
        </w:rPr>
        <w:footnoteRef/>
      </w:r>
      <w:r>
        <w:t xml:space="preserve"> </w:t>
      </w:r>
      <w:r w:rsidR="004A1282">
        <w:t>Rankin, ‘</w:t>
      </w:r>
      <w:r w:rsidR="004A1282" w:rsidRPr="004A0C99">
        <w:t xml:space="preserve">Telling </w:t>
      </w:r>
      <w:r w:rsidR="004A1282">
        <w:t>T</w:t>
      </w:r>
      <w:r w:rsidR="004A1282" w:rsidRPr="004A0C99">
        <w:t xml:space="preserve">ime </w:t>
      </w:r>
      <w:r w:rsidR="004A1282">
        <w:t>T</w:t>
      </w:r>
      <w:r w:rsidR="004A1282" w:rsidRPr="004A0C99">
        <w:t xml:space="preserve">hrough </w:t>
      </w:r>
      <w:r w:rsidR="004A1282">
        <w:t>M</w:t>
      </w:r>
      <w:r w:rsidR="004A1282" w:rsidRPr="004A0C99">
        <w:t>edicine</w:t>
      </w:r>
      <w:r w:rsidR="004A1282">
        <w:t xml:space="preserve">’, </w:t>
      </w:r>
      <w:r>
        <w:t>p</w:t>
      </w:r>
      <w:r w:rsidR="004A1282">
        <w:t xml:space="preserve">. </w:t>
      </w:r>
      <w:r>
        <w:t>109</w:t>
      </w:r>
      <w:r w:rsidR="00C456EB">
        <w:t>.</w:t>
      </w:r>
    </w:p>
  </w:footnote>
  <w:footnote w:id="13">
    <w:p w14:paraId="10E3D6EE" w14:textId="7A8B97B4" w:rsidR="713D4BF9" w:rsidRDefault="713D4BF9" w:rsidP="00F67CDA">
      <w:pPr>
        <w:pStyle w:val="FootnoteText"/>
        <w:jc w:val="both"/>
      </w:pPr>
      <w:r w:rsidRPr="713D4BF9">
        <w:rPr>
          <w:rStyle w:val="FootnoteReference"/>
        </w:rPr>
        <w:footnoteRef/>
      </w:r>
      <w:r>
        <w:t xml:space="preserve"> </w:t>
      </w:r>
      <w:r w:rsidR="004A1282">
        <w:t>Rankin, ‘</w:t>
      </w:r>
      <w:r w:rsidR="004A1282" w:rsidRPr="004A0C99">
        <w:t xml:space="preserve">Telling </w:t>
      </w:r>
      <w:r w:rsidR="004A1282">
        <w:t>T</w:t>
      </w:r>
      <w:r w:rsidR="004A1282" w:rsidRPr="004A0C99">
        <w:t xml:space="preserve">ime </w:t>
      </w:r>
      <w:r w:rsidR="004A1282">
        <w:t>T</w:t>
      </w:r>
      <w:r w:rsidR="004A1282" w:rsidRPr="004A0C99">
        <w:t xml:space="preserve">hrough </w:t>
      </w:r>
      <w:r w:rsidR="004A1282">
        <w:t>M</w:t>
      </w:r>
      <w:r w:rsidR="004A1282" w:rsidRPr="004A0C99">
        <w:t>edicine</w:t>
      </w:r>
      <w:r w:rsidR="004A1282">
        <w:t xml:space="preserve">’, </w:t>
      </w:r>
      <w:r>
        <w:t>p</w:t>
      </w:r>
      <w:r w:rsidR="004A1282">
        <w:t xml:space="preserve">. </w:t>
      </w:r>
      <w:r>
        <w:t>98</w:t>
      </w:r>
      <w:r w:rsidR="00C456EB">
        <w:t>.</w:t>
      </w:r>
    </w:p>
  </w:footnote>
  <w:footnote w:id="14">
    <w:p w14:paraId="34D00702" w14:textId="308EDB84" w:rsidR="713D4BF9" w:rsidRDefault="713D4BF9" w:rsidP="00F67CDA">
      <w:pPr>
        <w:pStyle w:val="FootnoteText"/>
        <w:jc w:val="both"/>
      </w:pPr>
      <w:r w:rsidRPr="713D4BF9">
        <w:rPr>
          <w:rStyle w:val="FootnoteReference"/>
        </w:rPr>
        <w:footnoteRef/>
      </w:r>
      <w:r>
        <w:t xml:space="preserve"> </w:t>
      </w:r>
      <w:r w:rsidR="0005649F">
        <w:t xml:space="preserve">Siraisi, ‘Anatomizing the Past’, p. </w:t>
      </w:r>
      <w:r w:rsidR="0005649F">
        <w:t xml:space="preserve">4, </w:t>
      </w:r>
      <w:r w:rsidR="00D83BFE">
        <w:t>11</w:t>
      </w:r>
      <w:r w:rsidR="0005649F">
        <w:t>.</w:t>
      </w:r>
    </w:p>
  </w:footnote>
  <w:footnote w:id="15">
    <w:p w14:paraId="6FB9A556" w14:textId="2DE18548" w:rsidR="008C2297" w:rsidRPr="008C2297" w:rsidRDefault="008C2297" w:rsidP="00F67CDA">
      <w:pPr>
        <w:pStyle w:val="FootnoteText"/>
        <w:jc w:val="both"/>
        <w:rPr>
          <w:lang w:val="en-IE"/>
        </w:rPr>
      </w:pPr>
      <w:r>
        <w:rPr>
          <w:rStyle w:val="FootnoteReference"/>
        </w:rPr>
        <w:footnoteRef/>
      </w:r>
      <w:r>
        <w:t xml:space="preserve"> Siraisi, ‘Anatomizing the Past’</w:t>
      </w:r>
      <w:r w:rsidR="00D724AF">
        <w:t>, p. 3.</w:t>
      </w:r>
      <w:r>
        <w:t xml:space="preserve"> </w:t>
      </w:r>
    </w:p>
  </w:footnote>
  <w:footnote w:id="16">
    <w:p w14:paraId="46C8FAFD" w14:textId="5847C515" w:rsidR="713D4BF9" w:rsidRDefault="713D4BF9" w:rsidP="00F67CDA">
      <w:pPr>
        <w:pStyle w:val="FootnoteText"/>
        <w:jc w:val="both"/>
      </w:pPr>
      <w:r w:rsidRPr="713D4BF9">
        <w:rPr>
          <w:rStyle w:val="FootnoteReference"/>
        </w:rPr>
        <w:footnoteRef/>
      </w:r>
      <w:r>
        <w:t xml:space="preserve"> </w:t>
      </w:r>
      <w:r w:rsidR="004A1282">
        <w:t>Siraisi, ‘Anatomizing the Past’,</w:t>
      </w:r>
      <w:r>
        <w:t xml:space="preserve"> p</w:t>
      </w:r>
      <w:r w:rsidR="004A1282">
        <w:t xml:space="preserve">. </w:t>
      </w:r>
      <w:r>
        <w:t>3</w:t>
      </w:r>
      <w:r w:rsidR="00C456EB">
        <w:t>.</w:t>
      </w:r>
    </w:p>
  </w:footnote>
  <w:footnote w:id="17">
    <w:p w14:paraId="6C32BF5F" w14:textId="649B4C17" w:rsidR="713D4BF9" w:rsidRDefault="713D4BF9" w:rsidP="00F67CDA">
      <w:pPr>
        <w:pStyle w:val="FootnoteText"/>
        <w:jc w:val="both"/>
      </w:pPr>
      <w:r w:rsidRPr="713D4BF9">
        <w:rPr>
          <w:rStyle w:val="FootnoteReference"/>
        </w:rPr>
        <w:footnoteRef/>
      </w:r>
      <w:r>
        <w:t xml:space="preserve"> </w:t>
      </w:r>
      <w:r w:rsidR="004A1282">
        <w:t>Siraisi, ‘Anatomizing the Past’,</w:t>
      </w:r>
      <w:r>
        <w:t xml:space="preserve"> p</w:t>
      </w:r>
      <w:r w:rsidR="004A1282">
        <w:t xml:space="preserve">. </w:t>
      </w:r>
      <w:r>
        <w:t>3</w:t>
      </w:r>
      <w:r w:rsidR="00C456EB">
        <w:t>.</w:t>
      </w:r>
    </w:p>
  </w:footnote>
  <w:footnote w:id="18">
    <w:p w14:paraId="01EF9A52" w14:textId="34C2EB1E" w:rsidR="713D4BF9" w:rsidRDefault="713D4BF9" w:rsidP="00F67CDA">
      <w:pPr>
        <w:pStyle w:val="FootnoteText"/>
        <w:jc w:val="both"/>
      </w:pPr>
      <w:r w:rsidRPr="713D4BF9">
        <w:rPr>
          <w:rStyle w:val="FootnoteReference"/>
        </w:rPr>
        <w:footnoteRef/>
      </w:r>
      <w:r>
        <w:t xml:space="preserve"> </w:t>
      </w:r>
      <w:r w:rsidR="004A1282">
        <w:t>Siraisi, ‘Anatomizing the Past’,</w:t>
      </w:r>
      <w:r>
        <w:t xml:space="preserve"> p</w:t>
      </w:r>
      <w:r w:rsidR="004A1282">
        <w:t xml:space="preserve">. </w:t>
      </w:r>
      <w:r>
        <w:t>4</w:t>
      </w:r>
      <w:r w:rsidR="00C456EB">
        <w:t>.</w:t>
      </w:r>
    </w:p>
  </w:footnote>
  <w:footnote w:id="19">
    <w:p w14:paraId="2B8CCE95" w14:textId="5C3E4898" w:rsidR="713D4BF9" w:rsidRDefault="713D4BF9" w:rsidP="00F67CDA">
      <w:pPr>
        <w:pStyle w:val="FootnoteText"/>
        <w:jc w:val="both"/>
      </w:pPr>
      <w:r w:rsidRPr="713D4BF9">
        <w:rPr>
          <w:rStyle w:val="FootnoteReference"/>
        </w:rPr>
        <w:footnoteRef/>
      </w:r>
      <w:r>
        <w:t xml:space="preserve"> </w:t>
      </w:r>
      <w:r w:rsidR="004A1282">
        <w:t>Siraisi, ‘Anatomizing the Past’,</w:t>
      </w:r>
      <w:r>
        <w:t xml:space="preserve"> p</w:t>
      </w:r>
      <w:r w:rsidR="004A1282">
        <w:t xml:space="preserve">. </w:t>
      </w:r>
      <w:r>
        <w:t>4</w:t>
      </w:r>
      <w:r w:rsidR="00C456EB">
        <w:t>.</w:t>
      </w:r>
    </w:p>
  </w:footnote>
  <w:footnote w:id="20">
    <w:p w14:paraId="07B8A87D" w14:textId="5C73E168" w:rsidR="713D4BF9" w:rsidRDefault="713D4BF9" w:rsidP="00F67CDA">
      <w:pPr>
        <w:pStyle w:val="FootnoteText"/>
        <w:jc w:val="both"/>
      </w:pPr>
      <w:r w:rsidRPr="713D4BF9">
        <w:rPr>
          <w:rStyle w:val="FootnoteReference"/>
        </w:rPr>
        <w:footnoteRef/>
      </w:r>
      <w:r>
        <w:t xml:space="preserve"> </w:t>
      </w:r>
      <w:r w:rsidR="004A1282">
        <w:t>Siraisi, ‘Anatomizing the Past’,</w:t>
      </w:r>
      <w:r>
        <w:t xml:space="preserve"> p</w:t>
      </w:r>
      <w:r w:rsidR="004A1282">
        <w:t xml:space="preserve">. </w:t>
      </w:r>
      <w:r>
        <w:t>4</w:t>
      </w:r>
      <w:r w:rsidR="00C456EB">
        <w:t>.</w:t>
      </w:r>
    </w:p>
  </w:footnote>
  <w:footnote w:id="21">
    <w:p w14:paraId="618A93EF" w14:textId="288387EB" w:rsidR="00B1431D" w:rsidRPr="00B1431D" w:rsidRDefault="00B1431D" w:rsidP="00F67CDA">
      <w:pPr>
        <w:pStyle w:val="FootnoteText"/>
        <w:jc w:val="both"/>
        <w:rPr>
          <w:lang w:val="en-IE"/>
        </w:rPr>
      </w:pPr>
      <w:r>
        <w:rPr>
          <w:rStyle w:val="FootnoteReference"/>
        </w:rPr>
        <w:footnoteRef/>
      </w:r>
      <w:r>
        <w:t xml:space="preserve"> Rankin, ‘</w:t>
      </w:r>
      <w:r w:rsidRPr="004A0C99">
        <w:t xml:space="preserve">Telling </w:t>
      </w:r>
      <w:r>
        <w:t>T</w:t>
      </w:r>
      <w:r w:rsidRPr="004A0C99">
        <w:t xml:space="preserve">ime </w:t>
      </w:r>
      <w:r>
        <w:t>T</w:t>
      </w:r>
      <w:r w:rsidRPr="004A0C99">
        <w:t xml:space="preserve">hrough </w:t>
      </w:r>
      <w:r>
        <w:t>M</w:t>
      </w:r>
      <w:r w:rsidRPr="004A0C99">
        <w:t>edicine</w:t>
      </w:r>
      <w:r>
        <w:t>’, p. 98.</w:t>
      </w:r>
    </w:p>
  </w:footnote>
  <w:footnote w:id="22">
    <w:p w14:paraId="21005DBF" w14:textId="74AE90B6" w:rsidR="00D514CC" w:rsidRPr="00D514CC" w:rsidRDefault="00D514CC" w:rsidP="00F67CDA">
      <w:pPr>
        <w:pStyle w:val="FootnoteText"/>
        <w:jc w:val="both"/>
        <w:rPr>
          <w:lang w:val="en-IE"/>
        </w:rPr>
      </w:pPr>
      <w:r>
        <w:rPr>
          <w:rStyle w:val="FootnoteReference"/>
        </w:rPr>
        <w:footnoteRef/>
      </w:r>
      <w:r>
        <w:t xml:space="preserve"> </w:t>
      </w:r>
      <w:r w:rsidRPr="00B955E0">
        <w:t>Wiesner-Hanks</w:t>
      </w:r>
      <w:r>
        <w:t>, ‘Introduction’, p. 7.</w:t>
      </w:r>
    </w:p>
  </w:footnote>
  <w:footnote w:id="23">
    <w:p w14:paraId="6A3359E9" w14:textId="3D500159" w:rsidR="001817F4" w:rsidRPr="001817F4" w:rsidRDefault="001817F4" w:rsidP="00F67CDA">
      <w:pPr>
        <w:pStyle w:val="FootnoteText"/>
        <w:jc w:val="both"/>
        <w:rPr>
          <w:lang w:val="en-IE"/>
        </w:rPr>
      </w:pPr>
      <w:r>
        <w:rPr>
          <w:rStyle w:val="FootnoteReference"/>
        </w:rPr>
        <w:footnoteRef/>
      </w:r>
      <w:r>
        <w:t xml:space="preserve"> </w:t>
      </w:r>
      <w:r w:rsidR="00F25674">
        <w:t>Tufts University</w:t>
      </w:r>
      <w:r w:rsidRPr="001817F4">
        <w:t xml:space="preserve">, </w:t>
      </w:r>
      <w:r w:rsidR="00F25674" w:rsidRPr="00F25674">
        <w:t>Alisha Rankin</w:t>
      </w:r>
      <w:r w:rsidR="00F25674">
        <w:t xml:space="preserve"> </w:t>
      </w:r>
      <w:r w:rsidRPr="001817F4">
        <w:t xml:space="preserve">&lt; </w:t>
      </w:r>
      <w:r w:rsidR="00540ACD" w:rsidRPr="00540ACD">
        <w:t>https://as.tufts.edu/history/people/faculty/alisha-rankin</w:t>
      </w:r>
      <w:r w:rsidRPr="001817F4">
        <w:t>&gt; [accessed 2</w:t>
      </w:r>
      <w:r w:rsidR="00540ACD">
        <w:t>9</w:t>
      </w:r>
      <w:r w:rsidRPr="001817F4">
        <w:t xml:space="preserve"> October 2024]</w:t>
      </w:r>
    </w:p>
  </w:footnote>
  <w:footnote w:id="24">
    <w:p w14:paraId="467B2BED" w14:textId="373BAC67" w:rsidR="00CD58EB" w:rsidRPr="00BD2F82" w:rsidRDefault="00CD58EB" w:rsidP="00F67CDA">
      <w:pPr>
        <w:pStyle w:val="FootnoteText"/>
        <w:jc w:val="both"/>
      </w:pPr>
      <w:r>
        <w:rPr>
          <w:rStyle w:val="FootnoteReference"/>
        </w:rPr>
        <w:footnoteRef/>
      </w:r>
      <w:r>
        <w:t xml:space="preserve"> </w:t>
      </w:r>
      <w:r w:rsidR="00BD2F82">
        <w:t>Pamela H. Smith</w:t>
      </w:r>
      <w:r w:rsidR="00BD2F82">
        <w:t>, ‘</w:t>
      </w:r>
      <w:r w:rsidR="00BD2F82" w:rsidRPr="00BD2F82">
        <w:t>Science on the Move: Recent Trends in the History of Early Modern Science</w:t>
      </w:r>
      <w:r w:rsidR="002D6073">
        <w:t>’</w:t>
      </w:r>
      <w:r w:rsidR="00BD2F82">
        <w:t xml:space="preserve">, </w:t>
      </w:r>
      <w:r w:rsidR="00BD2F82" w:rsidRPr="00025414">
        <w:rPr>
          <w:i/>
          <w:iCs/>
        </w:rPr>
        <w:t>Renaissance Quarterly</w:t>
      </w:r>
      <w:r w:rsidR="00BD2F82">
        <w:t xml:space="preserve">, </w:t>
      </w:r>
      <w:r w:rsidR="00BD2F82">
        <w:t>62</w:t>
      </w:r>
      <w:r w:rsidR="00BD2F82">
        <w:t>.</w:t>
      </w:r>
      <w:r w:rsidR="00BD2F82">
        <w:t>2</w:t>
      </w:r>
      <w:r w:rsidR="00BD2F82">
        <w:t xml:space="preserve"> (200</w:t>
      </w:r>
      <w:r w:rsidR="00BD2F82">
        <w:t>9</w:t>
      </w:r>
      <w:r w:rsidR="00BD2F82">
        <w:t xml:space="preserve">), </w:t>
      </w:r>
      <w:r w:rsidR="002D6073">
        <w:t xml:space="preserve">pp. </w:t>
      </w:r>
      <w:r w:rsidR="002D6073" w:rsidRPr="002D6073">
        <w:t>345-375</w:t>
      </w:r>
      <w:r w:rsidR="002D6073">
        <w:t>, p. 359</w:t>
      </w:r>
      <w:r w:rsidR="00BD2F82">
        <w:t>.</w:t>
      </w:r>
    </w:p>
  </w:footnote>
  <w:footnote w:id="25">
    <w:p w14:paraId="2C0B5674" w14:textId="3E63C35F" w:rsidR="00393E2E" w:rsidRPr="00393E2E" w:rsidRDefault="00393E2E" w:rsidP="00F67CDA">
      <w:pPr>
        <w:pStyle w:val="FootnoteText"/>
        <w:jc w:val="both"/>
        <w:rPr>
          <w:lang w:val="en-IE"/>
        </w:rPr>
      </w:pPr>
      <w:r>
        <w:rPr>
          <w:rStyle w:val="FootnoteReference"/>
        </w:rPr>
        <w:footnoteRef/>
      </w:r>
      <w:r>
        <w:t xml:space="preserve"> </w:t>
      </w:r>
      <w:r w:rsidR="002D6073">
        <w:t>Diana Robin</w:t>
      </w:r>
      <w:r w:rsidR="002D6073">
        <w:t>, ‘</w:t>
      </w:r>
      <w:r w:rsidR="002D6073" w:rsidRPr="002D6073">
        <w:t>Women on the Move: Trends in Anglophone Studies of Women in the Italian Renaissance</w:t>
      </w:r>
      <w:r w:rsidR="002D6073">
        <w:t>’</w:t>
      </w:r>
      <w:r w:rsidR="002D6073">
        <w:t xml:space="preserve">, </w:t>
      </w:r>
      <w:r w:rsidR="002D6073" w:rsidRPr="002D6073">
        <w:rPr>
          <w:i/>
          <w:iCs/>
        </w:rPr>
        <w:t>I Tatti Studies</w:t>
      </w:r>
      <w:r w:rsidR="002D6073">
        <w:t xml:space="preserve">, </w:t>
      </w:r>
      <w:r w:rsidR="002D6073">
        <w:t>1</w:t>
      </w:r>
      <w:r w:rsidR="002D6073">
        <w:t>6.</w:t>
      </w:r>
      <w:r w:rsidR="002D6073">
        <w:t>1/</w:t>
      </w:r>
      <w:r w:rsidR="002D6073">
        <w:t>2 (20</w:t>
      </w:r>
      <w:r w:rsidR="002D6073">
        <w:t>13</w:t>
      </w:r>
      <w:r w:rsidR="002D6073">
        <w:t xml:space="preserve">), pp. </w:t>
      </w:r>
      <w:r w:rsidR="002D6073">
        <w:t>13-25, p. 13</w:t>
      </w:r>
      <w:r w:rsidR="002D6073">
        <w:t>.</w:t>
      </w:r>
    </w:p>
  </w:footnote>
  <w:footnote w:id="26">
    <w:p w14:paraId="74482464" w14:textId="7799A74F" w:rsidR="004155C4" w:rsidRPr="004155C4" w:rsidRDefault="004155C4" w:rsidP="00F67CDA">
      <w:pPr>
        <w:pStyle w:val="FootnoteText"/>
        <w:jc w:val="both"/>
        <w:rPr>
          <w:lang w:val="en-IE"/>
        </w:rPr>
      </w:pPr>
      <w:r>
        <w:rPr>
          <w:rStyle w:val="FootnoteReference"/>
        </w:rPr>
        <w:footnoteRef/>
      </w:r>
      <w:r>
        <w:t xml:space="preserve"> Siraisi, ‘Anatomizing the Past’, p. </w:t>
      </w:r>
      <w:r w:rsidR="00A95098">
        <w:t>16</w:t>
      </w:r>
      <w:r>
        <w:t>.</w:t>
      </w:r>
    </w:p>
  </w:footnote>
  <w:footnote w:id="27">
    <w:p w14:paraId="5A87F664" w14:textId="35CA958A" w:rsidR="008F18F9" w:rsidRPr="008F18F9" w:rsidRDefault="008F18F9" w:rsidP="00F67CDA">
      <w:pPr>
        <w:pStyle w:val="FootnoteText"/>
        <w:jc w:val="both"/>
        <w:rPr>
          <w:lang w:val="en-IE"/>
        </w:rPr>
      </w:pPr>
      <w:r>
        <w:rPr>
          <w:rStyle w:val="FootnoteReference"/>
        </w:rPr>
        <w:footnoteRef/>
      </w:r>
      <w:r>
        <w:t xml:space="preserve"> </w:t>
      </w:r>
      <w:r w:rsidR="00897861">
        <w:t>Siraisi, ‘Anatomizing the Past’, pp. 27-30</w:t>
      </w:r>
      <w:r w:rsidR="002D6073">
        <w:t xml:space="preserve">.; </w:t>
      </w:r>
      <w:r w:rsidR="00925829">
        <w:t>Rankin</w:t>
      </w:r>
      <w:r>
        <w:t>, ‘</w:t>
      </w:r>
      <w:r w:rsidRPr="004A0C99">
        <w:t xml:space="preserve">Telling </w:t>
      </w:r>
      <w:r>
        <w:t>T</w:t>
      </w:r>
      <w:r w:rsidRPr="004A0C99">
        <w:t xml:space="preserve">ime </w:t>
      </w:r>
      <w:r>
        <w:t>T</w:t>
      </w:r>
      <w:r w:rsidRPr="004A0C99">
        <w:t xml:space="preserve">hrough </w:t>
      </w:r>
      <w:r>
        <w:t>M</w:t>
      </w:r>
      <w:r w:rsidRPr="004A0C99">
        <w:t>edicine</w:t>
      </w:r>
      <w:r>
        <w:t>’, p</w:t>
      </w:r>
      <w:r w:rsidR="00897861">
        <w:t>p</w:t>
      </w:r>
      <w:r>
        <w:t xml:space="preserve">. </w:t>
      </w:r>
      <w:r w:rsidR="00F83A2E">
        <w:t>111</w:t>
      </w:r>
      <w:r w:rsidR="00897861">
        <w:t>-</w:t>
      </w:r>
      <w:r w:rsidR="00F83A2E">
        <w:t>11</w:t>
      </w:r>
      <w:r w:rsidR="00897861">
        <w:t>3</w:t>
      </w:r>
      <w:r w:rsidR="002D6073">
        <w:t>.</w:t>
      </w:r>
    </w:p>
  </w:footnote>
  <w:footnote w:id="28">
    <w:p w14:paraId="0B80380E" w14:textId="45F2B695" w:rsidR="00C767F3" w:rsidRPr="00C767F3" w:rsidRDefault="00C767F3" w:rsidP="00F67CDA">
      <w:pPr>
        <w:pStyle w:val="FootnoteText"/>
        <w:jc w:val="both"/>
        <w:rPr>
          <w:lang w:val="en-IE"/>
        </w:rPr>
      </w:pPr>
      <w:r>
        <w:rPr>
          <w:rStyle w:val="FootnoteReference"/>
        </w:rPr>
        <w:footnoteRef/>
      </w:r>
      <w:r>
        <w:t xml:space="preserve"> Rankin, ‘</w:t>
      </w:r>
      <w:r w:rsidRPr="004A0C99">
        <w:t xml:space="preserve">Telling </w:t>
      </w:r>
      <w:r>
        <w:t>T</w:t>
      </w:r>
      <w:r w:rsidRPr="004A0C99">
        <w:t xml:space="preserve">ime </w:t>
      </w:r>
      <w:r>
        <w:t>T</w:t>
      </w:r>
      <w:r w:rsidRPr="004A0C99">
        <w:t xml:space="preserve">hrough </w:t>
      </w:r>
      <w:r>
        <w:t>M</w:t>
      </w:r>
      <w:r w:rsidRPr="004A0C99">
        <w:t>edicine</w:t>
      </w:r>
      <w:r>
        <w:t>’, p. 9</w:t>
      </w:r>
      <w:r w:rsidR="006814DB">
        <w:t>6</w:t>
      </w:r>
      <w:r>
        <w:t>.</w:t>
      </w:r>
    </w:p>
  </w:footnote>
  <w:footnote w:id="29">
    <w:p w14:paraId="03CCF08A" w14:textId="77777777" w:rsidR="00D4605A" w:rsidRPr="00DE5122" w:rsidRDefault="00D4605A" w:rsidP="00F67CDA">
      <w:pPr>
        <w:pStyle w:val="FootnoteText"/>
        <w:jc w:val="both"/>
        <w:rPr>
          <w:lang w:val="en-IE"/>
        </w:rPr>
      </w:pPr>
      <w:r>
        <w:rPr>
          <w:rStyle w:val="FootnoteReference"/>
        </w:rPr>
        <w:footnoteRef/>
      </w:r>
      <w:r>
        <w:t xml:space="preserve"> Rankin, ‘</w:t>
      </w:r>
      <w:r w:rsidRPr="004A0C99">
        <w:t xml:space="preserve">Telling </w:t>
      </w:r>
      <w:r>
        <w:t>T</w:t>
      </w:r>
      <w:r w:rsidRPr="004A0C99">
        <w:t xml:space="preserve">ime </w:t>
      </w:r>
      <w:r>
        <w:t>T</w:t>
      </w:r>
      <w:r w:rsidRPr="004A0C99">
        <w:t xml:space="preserve">hrough </w:t>
      </w:r>
      <w:r>
        <w:t>M</w:t>
      </w:r>
      <w:r w:rsidRPr="004A0C99">
        <w:t>edicine</w:t>
      </w:r>
      <w:r>
        <w:t>’, p. 110.</w:t>
      </w:r>
    </w:p>
  </w:footnote>
  <w:footnote w:id="30">
    <w:p w14:paraId="2413A2BD" w14:textId="77777777" w:rsidR="009D7CE8" w:rsidRPr="00DE5122" w:rsidRDefault="009D7CE8" w:rsidP="00F67CDA">
      <w:pPr>
        <w:pStyle w:val="FootnoteText"/>
        <w:jc w:val="both"/>
        <w:rPr>
          <w:lang w:val="en-IE"/>
        </w:rPr>
      </w:pPr>
      <w:r>
        <w:rPr>
          <w:rStyle w:val="FootnoteReference"/>
        </w:rPr>
        <w:footnoteRef/>
      </w:r>
      <w:r>
        <w:t xml:space="preserve"> Rankin, ‘</w:t>
      </w:r>
      <w:r w:rsidRPr="004A0C99">
        <w:t xml:space="preserve">Telling </w:t>
      </w:r>
      <w:r>
        <w:t>T</w:t>
      </w:r>
      <w:r w:rsidRPr="004A0C99">
        <w:t xml:space="preserve">ime </w:t>
      </w:r>
      <w:r>
        <w:t>T</w:t>
      </w:r>
      <w:r w:rsidRPr="004A0C99">
        <w:t xml:space="preserve">hrough </w:t>
      </w:r>
      <w:r>
        <w:t>M</w:t>
      </w:r>
      <w:r w:rsidRPr="004A0C99">
        <w:t>edicine</w:t>
      </w:r>
      <w:r>
        <w:t>’, p. 95.</w:t>
      </w:r>
    </w:p>
  </w:footnote>
  <w:footnote w:id="31">
    <w:p w14:paraId="00791364" w14:textId="77777777" w:rsidR="0038493C" w:rsidRPr="00F139F1" w:rsidRDefault="0038493C" w:rsidP="00F67CDA">
      <w:pPr>
        <w:pStyle w:val="FootnoteText"/>
        <w:jc w:val="both"/>
        <w:rPr>
          <w:lang w:val="en-IE"/>
        </w:rPr>
      </w:pPr>
      <w:r>
        <w:rPr>
          <w:rStyle w:val="FootnoteReference"/>
        </w:rPr>
        <w:footnoteRef/>
      </w:r>
      <w:r>
        <w:t xml:space="preserve"> Rankin, ‘</w:t>
      </w:r>
      <w:r w:rsidRPr="004A0C99">
        <w:t xml:space="preserve">Telling </w:t>
      </w:r>
      <w:r>
        <w:t>T</w:t>
      </w:r>
      <w:r w:rsidRPr="004A0C99">
        <w:t xml:space="preserve">ime </w:t>
      </w:r>
      <w:r>
        <w:t>T</w:t>
      </w:r>
      <w:r w:rsidRPr="004A0C99">
        <w:t xml:space="preserve">hrough </w:t>
      </w:r>
      <w:r>
        <w:t>M</w:t>
      </w:r>
      <w:r w:rsidRPr="004A0C99">
        <w:t>edicine</w:t>
      </w:r>
      <w:r>
        <w:t>’, pp. 98-102.</w:t>
      </w:r>
    </w:p>
  </w:footnote>
  <w:footnote w:id="32">
    <w:p w14:paraId="6F884348" w14:textId="4525850B" w:rsidR="00DB7E51" w:rsidRPr="00DB7E51" w:rsidRDefault="00DB7E51" w:rsidP="00F67CDA">
      <w:pPr>
        <w:pStyle w:val="FootnoteText"/>
        <w:jc w:val="both"/>
        <w:rPr>
          <w:lang w:val="en-IE"/>
        </w:rPr>
      </w:pPr>
      <w:r>
        <w:rPr>
          <w:rStyle w:val="FootnoteReference"/>
        </w:rPr>
        <w:footnoteRef/>
      </w:r>
      <w:r>
        <w:t xml:space="preserve"> </w:t>
      </w:r>
      <w:r w:rsidR="0005558A">
        <w:t>Siraisi, ‘Anatomizing the Past’, p. 3.</w:t>
      </w:r>
    </w:p>
  </w:footnote>
  <w:footnote w:id="33">
    <w:p w14:paraId="6B859017" w14:textId="77777777" w:rsidR="005A40D5" w:rsidRPr="0005558A" w:rsidRDefault="005A40D5" w:rsidP="00F67CDA">
      <w:pPr>
        <w:pStyle w:val="FootnoteText"/>
        <w:jc w:val="both"/>
        <w:rPr>
          <w:lang w:val="en-IE"/>
        </w:rPr>
      </w:pPr>
      <w:r>
        <w:rPr>
          <w:rStyle w:val="FootnoteReference"/>
        </w:rPr>
        <w:footnoteRef/>
      </w:r>
      <w:r>
        <w:t xml:space="preserve"> </w:t>
      </w:r>
      <w:r>
        <w:rPr>
          <w:lang w:val="en-IE"/>
        </w:rPr>
        <w:t>Ref Bourdon’s paper here</w:t>
      </w:r>
    </w:p>
  </w:footnote>
  <w:footnote w:id="34">
    <w:p w14:paraId="0E43627C" w14:textId="77777777" w:rsidR="0024027C" w:rsidRPr="009E2CF6" w:rsidRDefault="0024027C" w:rsidP="00F67CDA">
      <w:pPr>
        <w:pStyle w:val="FootnoteText"/>
        <w:jc w:val="both"/>
        <w:rPr>
          <w:lang w:val="en-IE"/>
        </w:rPr>
      </w:pPr>
      <w:r>
        <w:rPr>
          <w:rStyle w:val="FootnoteReference"/>
        </w:rPr>
        <w:footnoteRef/>
      </w:r>
      <w:r>
        <w:t xml:space="preserve"> Rankin, ‘</w:t>
      </w:r>
      <w:r w:rsidRPr="004A0C99">
        <w:t xml:space="preserve">Telling </w:t>
      </w:r>
      <w:r>
        <w:t>T</w:t>
      </w:r>
      <w:r w:rsidRPr="004A0C99">
        <w:t xml:space="preserve">ime </w:t>
      </w:r>
      <w:r>
        <w:t>T</w:t>
      </w:r>
      <w:r w:rsidRPr="004A0C99">
        <w:t xml:space="preserve">hrough </w:t>
      </w:r>
      <w:r>
        <w:t>M</w:t>
      </w:r>
      <w:r w:rsidRPr="004A0C99">
        <w:t>edicine</w:t>
      </w:r>
      <w:r>
        <w:t>’, p. 96.</w:t>
      </w:r>
    </w:p>
  </w:footnote>
  <w:footnote w:id="35">
    <w:p w14:paraId="3BCA5020" w14:textId="13F3FB61" w:rsidR="00F27F3E" w:rsidRPr="00F27F3E" w:rsidRDefault="00F27F3E" w:rsidP="00F67CDA">
      <w:pPr>
        <w:pStyle w:val="FootnoteText"/>
        <w:jc w:val="both"/>
        <w:rPr>
          <w:lang w:val="en-IE"/>
        </w:rPr>
      </w:pPr>
      <w:r>
        <w:rPr>
          <w:rStyle w:val="FootnoteReference"/>
        </w:rPr>
        <w:footnoteRef/>
      </w:r>
      <w:r>
        <w:t xml:space="preserve"> Rankin, ‘</w:t>
      </w:r>
      <w:r w:rsidRPr="004A0C99">
        <w:t xml:space="preserve">Telling </w:t>
      </w:r>
      <w:r>
        <w:t>T</w:t>
      </w:r>
      <w:r w:rsidRPr="004A0C99">
        <w:t xml:space="preserve">ime </w:t>
      </w:r>
      <w:r>
        <w:t>T</w:t>
      </w:r>
      <w:r w:rsidRPr="004A0C99">
        <w:t xml:space="preserve">hrough </w:t>
      </w:r>
      <w:r>
        <w:t>M</w:t>
      </w:r>
      <w:r w:rsidRPr="004A0C99">
        <w:t>edicine</w:t>
      </w:r>
      <w:r>
        <w:t>’, p. 104.</w:t>
      </w:r>
    </w:p>
  </w:footnote>
  <w:footnote w:id="36">
    <w:p w14:paraId="66FDF9D3" w14:textId="34E62AE0" w:rsidR="00F27F3E" w:rsidRPr="0058750F" w:rsidRDefault="00F27F3E" w:rsidP="00F67CDA">
      <w:pPr>
        <w:pStyle w:val="FootnoteText"/>
        <w:jc w:val="both"/>
        <w:rPr>
          <w:lang w:val="en-IE"/>
        </w:rPr>
      </w:pPr>
      <w:r>
        <w:rPr>
          <w:rStyle w:val="FootnoteReference"/>
        </w:rPr>
        <w:footnoteRef/>
      </w:r>
      <w:r>
        <w:t xml:space="preserve"> </w:t>
      </w:r>
      <w:r w:rsidR="002E4DC6">
        <w:t>Alisha Rankin</w:t>
      </w:r>
      <w:r w:rsidR="002E4DC6">
        <w:t xml:space="preserve">, </w:t>
      </w:r>
      <w:r w:rsidR="002E4DC6" w:rsidRPr="002E4DC6">
        <w:rPr>
          <w:i/>
          <w:iCs/>
        </w:rPr>
        <w:t>Panaceia’s Daughters</w:t>
      </w:r>
      <w:r w:rsidR="002E4DC6">
        <w:rPr>
          <w:i/>
          <w:iCs/>
        </w:rPr>
        <w:t>:</w:t>
      </w:r>
      <w:r w:rsidR="002E4DC6" w:rsidRPr="002E4DC6">
        <w:t xml:space="preserve"> </w:t>
      </w:r>
      <w:r w:rsidR="002E4DC6" w:rsidRPr="002E4DC6">
        <w:rPr>
          <w:i/>
          <w:iCs/>
        </w:rPr>
        <w:t>Noblewomen as Healers in Early Modern Germany</w:t>
      </w:r>
      <w:r w:rsidR="002E4DC6">
        <w:rPr>
          <w:i/>
          <w:iCs/>
        </w:rPr>
        <w:t xml:space="preserve">, </w:t>
      </w:r>
      <w:r w:rsidR="002E4DC6" w:rsidRPr="001A1AAB">
        <w:t>(</w:t>
      </w:r>
      <w:r w:rsidR="002E4DC6">
        <w:t>The University of Chicago Press, Chicago and London</w:t>
      </w:r>
      <w:r w:rsidR="002E4DC6" w:rsidRPr="001A1AAB">
        <w:t>, 201</w:t>
      </w:r>
      <w:r w:rsidR="002E4DC6">
        <w:t>3</w:t>
      </w:r>
      <w:r w:rsidR="002E4DC6" w:rsidRPr="001A1AAB">
        <w:t>).</w:t>
      </w:r>
    </w:p>
  </w:footnote>
  <w:footnote w:id="37">
    <w:p w14:paraId="6B025C99" w14:textId="77777777" w:rsidR="00945347" w:rsidRPr="0005558A" w:rsidRDefault="00945347" w:rsidP="00F67CDA">
      <w:pPr>
        <w:pStyle w:val="FootnoteText"/>
        <w:jc w:val="both"/>
        <w:rPr>
          <w:lang w:val="en-IE"/>
        </w:rPr>
      </w:pPr>
      <w:r>
        <w:rPr>
          <w:rStyle w:val="FootnoteReference"/>
        </w:rPr>
        <w:footnoteRef/>
      </w:r>
      <w:r>
        <w:t xml:space="preserve"> Siraisi, ‘Anatomizing the Past’, p. 1.</w:t>
      </w:r>
    </w:p>
  </w:footnote>
  <w:footnote w:id="38">
    <w:p w14:paraId="58899861" w14:textId="54200506" w:rsidR="004842CE" w:rsidRPr="004842CE" w:rsidRDefault="004842CE" w:rsidP="00F67CDA">
      <w:pPr>
        <w:pStyle w:val="FootnoteText"/>
        <w:jc w:val="both"/>
        <w:rPr>
          <w:lang w:val="en-IE"/>
        </w:rPr>
      </w:pPr>
      <w:r>
        <w:rPr>
          <w:rStyle w:val="FootnoteReference"/>
        </w:rPr>
        <w:footnoteRef/>
      </w:r>
      <w:r>
        <w:t xml:space="preserve"> Siraisi, ‘Anatomizing the Past’, pp. 21</w:t>
      </w:r>
      <w:r w:rsidR="003C472D">
        <w:t>-26</w:t>
      </w:r>
      <w:r>
        <w:t>.</w:t>
      </w:r>
    </w:p>
  </w:footnote>
</w:footnotes>
</file>

<file path=word/intelligence2.xml><?xml version="1.0" encoding="utf-8"?>
<int2:intelligence xmlns:int2="http://schemas.microsoft.com/office/intelligence/2020/intelligence" xmlns:oel="http://schemas.microsoft.com/office/2019/extlst">
  <int2:observations>
    <int2:textHash int2:hashCode="ulkwC/0IUGcbve" int2:id="9CVCc9va">
      <int2:state int2:value="Rejected" int2:type="AugLoop_Text_Critique"/>
    </int2:textHash>
    <int2:textHash int2:hashCode="Qw7SOzdBKdai38" int2:id="D2pr5kIE">
      <int2:state int2:value="Rejected" int2:type="AugLoop_Text_Critique"/>
    </int2:textHash>
    <int2:textHash int2:hashCode="+wJIV5EKSgNrOn" int2:id="MTp0fimG">
      <int2:state int2:value="Rejected" int2:type="AugLoop_Text_Critique"/>
    </int2:textHash>
    <int2:textHash int2:hashCode="TLjibHlVAIU766" int2:id="N3QsE0rP">
      <int2:state int2:value="Rejected" int2:type="AugLoop_Text_Critique"/>
    </int2:textHash>
    <int2:textHash int2:hashCode="ZMK42c40vclRak" int2:id="PDR3FCq1">
      <int2:state int2:value="Rejected" int2:type="AugLoop_Text_Critique"/>
    </int2:textHash>
    <int2:textHash int2:hashCode="nCmW2vgxKU2vo+" int2:id="RwNhdiJ5">
      <int2:state int2:value="Rejected" int2:type="AugLoop_Text_Critique"/>
    </int2:textHash>
    <int2:textHash int2:hashCode="Hxr1oQjhz+UfCZ" int2:id="gr0TtfGb">
      <int2:state int2:value="Rejected" int2:type="AugLoop_Text_Critique"/>
    </int2:textHash>
    <int2:textHash int2:hashCode="7PYlW8RclfNN7z" int2:id="kcFYNm0N">
      <int2:state int2:value="Rejected" int2:type="AugLoop_Text_Critique"/>
    </int2:textHash>
    <int2:textHash int2:hashCode="8QgrXuyYp617ur" int2:id="nDExvovF">
      <int2:state int2:value="Rejected" int2:type="AugLoop_Text_Critique"/>
    </int2:textHash>
    <int2:textHash int2:hashCode="fGc3lyu22TMGVq" int2:id="rCBaLQNP">
      <int2:state int2:value="Rejected" int2:type="AugLoop_Text_Critique"/>
    </int2:textHash>
    <int2:bookmark int2:bookmarkName="_Int_5w4DuM48" int2:invalidationBookmarkName="" int2:hashCode="NkPdJ9i9g1wpGP" int2:id="0huzF89q">
      <int2:state int2:value="Rejected" int2:type="AugLoop_Text_Critique"/>
    </int2:bookmark>
    <int2:bookmark int2:bookmarkName="_Int_jPaC3YWk" int2:invalidationBookmarkName="" int2:hashCode="nIW7+H08i60cJB" int2:id="3mmwuyOy">
      <int2:state int2:value="Reviewed" int2:type="WordDesignerPullQuotesAnnotation"/>
    </int2:bookmark>
    <int2:bookmark int2:bookmarkName="_Int_vBl7MuCQ" int2:invalidationBookmarkName="" int2:hashCode="hUuu2ZWXASnqjo" int2:id="BXAzUaDD">
      <int2:state int2:value="Rejected" int2:type="AugLoop_Text_Critique"/>
    </int2:bookmark>
    <int2:bookmark int2:bookmarkName="_Int_PGlj3mlZ" int2:invalidationBookmarkName="" int2:hashCode="hUuu2ZWXASnqjo" int2:id="DAxD37ay">
      <int2:state int2:value="Rejected" int2:type="AugLoop_Text_Critique"/>
    </int2:bookmark>
    <int2:bookmark int2:bookmarkName="_Int_GlwwV3pa" int2:invalidationBookmarkName="" int2:hashCode="xJgIieYEb7+/a+" int2:id="FVQd9eO7">
      <int2:state int2:value="Rejected" int2:type="AugLoop_Text_Critique"/>
    </int2:bookmark>
    <int2:bookmark int2:bookmarkName="_Int_tPK1AD3H" int2:invalidationBookmarkName="" int2:hashCode="XsCqJIGTgnka/2" int2:id="JjDMreOs">
      <int2:state int2:value="Rejected" int2:type="AugLoop_Text_Critique"/>
    </int2:bookmark>
    <int2:bookmark int2:bookmarkName="_Int_s4rjBMmV" int2:invalidationBookmarkName="" int2:hashCode="xgDzA50uAYUN6A" int2:id="M5c3a5ad">
      <int2:state int2:value="Rejected" int2:type="AugLoop_Text_Critique"/>
    </int2:bookmark>
    <int2:bookmark int2:bookmarkName="_Int_4rjRGDis" int2:invalidationBookmarkName="" int2:hashCode="hUuu2ZWXASnqjo" int2:id="O0xpUIXH">
      <int2:state int2:value="Rejected" int2:type="AugLoop_Text_Critique"/>
    </int2:bookmark>
    <int2:bookmark int2:bookmarkName="_Int_RNUcnBU2" int2:invalidationBookmarkName="" int2:hashCode="NkPdJ9i9g1wpGP" int2:id="TTtUE1zB">
      <int2:state int2:value="Rejected" int2:type="AugLoop_Text_Critique"/>
    </int2:bookmark>
    <int2:bookmark int2:bookmarkName="_Int_uUGuWOGf" int2:invalidationBookmarkName="" int2:hashCode="NkPdJ9i9g1wpGP" int2:id="Vv7GK46b">
      <int2:state int2:value="Rejected" int2:type="AugLoop_Text_Critique"/>
    </int2:bookmark>
    <int2:bookmark int2:bookmarkName="_Int_IYmZh5v8" int2:invalidationBookmarkName="" int2:hashCode="xgDzA50uAYUN6A" int2:id="XvKgyu0U">
      <int2:state int2:value="Rejected" int2:type="AugLoop_Text_Critique"/>
    </int2:bookmark>
    <int2:bookmark int2:bookmarkName="_Int_M6U9y4Gb" int2:invalidationBookmarkName="" int2:hashCode="xgDzA50uAYUN6A" int2:id="ZLXLexHj">
      <int2:state int2:value="Rejected" int2:type="AugLoop_Text_Critique"/>
    </int2:bookmark>
    <int2:bookmark int2:bookmarkName="_Int_dyso5CJW" int2:invalidationBookmarkName="" int2:hashCode="NkPdJ9i9g1wpGP" int2:id="mfnFvMYJ">
      <int2:state int2:value="Rejected" int2:type="AugLoop_Text_Critique"/>
    </int2:bookmark>
    <int2:bookmark int2:bookmarkName="_Int_anN2XirV" int2:invalidationBookmarkName="" int2:hashCode="LAtBopWESZYVg1" int2:id="r16UqLqF">
      <int2:state int2:value="Rejected" int2:type="AugLoop_Text_Critique"/>
    </int2:bookmark>
    <int2:bookmark int2:bookmarkName="_Int_VBYLxIgV" int2:invalidationBookmarkName="" int2:hashCode="NkPdJ9i9g1wpGP" int2:id="uIEU8XAV">
      <int2:state int2:value="Rejected" int2:type="AugLoop_Text_Critique"/>
    </int2:bookmark>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7385C77E"/>
    <w:multiLevelType w:val="hybridMultilevel"/>
    <w:tmpl w:val="7D0A6520"/>
    <w:lvl w:ilvl="0" w:tplc="DE842CFC">
      <w:start w:val="1"/>
      <w:numFmt w:val="bullet"/>
      <w:lvlText w:val=""/>
      <w:lvlJc w:val="left"/>
      <w:pPr>
        <w:ind w:left="1069" w:hanging="360"/>
      </w:pPr>
      <w:rPr>
        <w:rFonts w:ascii="Symbol" w:hAnsi="Symbol" w:hint="default"/>
      </w:rPr>
    </w:lvl>
    <w:lvl w:ilvl="1" w:tplc="353A64A4">
      <w:start w:val="1"/>
      <w:numFmt w:val="bullet"/>
      <w:lvlText w:val="o"/>
      <w:lvlJc w:val="left"/>
      <w:pPr>
        <w:ind w:left="1789" w:hanging="360"/>
      </w:pPr>
      <w:rPr>
        <w:rFonts w:ascii="Courier New" w:hAnsi="Courier New" w:hint="default"/>
      </w:rPr>
    </w:lvl>
    <w:lvl w:ilvl="2" w:tplc="72442796">
      <w:start w:val="1"/>
      <w:numFmt w:val="bullet"/>
      <w:lvlText w:val=""/>
      <w:lvlJc w:val="left"/>
      <w:pPr>
        <w:ind w:left="2509" w:hanging="360"/>
      </w:pPr>
      <w:rPr>
        <w:rFonts w:ascii="Wingdings" w:hAnsi="Wingdings" w:hint="default"/>
      </w:rPr>
    </w:lvl>
    <w:lvl w:ilvl="3" w:tplc="2CDC67AE">
      <w:start w:val="1"/>
      <w:numFmt w:val="bullet"/>
      <w:lvlText w:val=""/>
      <w:lvlJc w:val="left"/>
      <w:pPr>
        <w:ind w:left="3229" w:hanging="360"/>
      </w:pPr>
      <w:rPr>
        <w:rFonts w:ascii="Symbol" w:hAnsi="Symbol" w:hint="default"/>
      </w:rPr>
    </w:lvl>
    <w:lvl w:ilvl="4" w:tplc="FB14DE68">
      <w:start w:val="1"/>
      <w:numFmt w:val="bullet"/>
      <w:lvlText w:val="o"/>
      <w:lvlJc w:val="left"/>
      <w:pPr>
        <w:ind w:left="3949" w:hanging="360"/>
      </w:pPr>
      <w:rPr>
        <w:rFonts w:ascii="Courier New" w:hAnsi="Courier New" w:hint="default"/>
      </w:rPr>
    </w:lvl>
    <w:lvl w:ilvl="5" w:tplc="C29422E4">
      <w:start w:val="1"/>
      <w:numFmt w:val="bullet"/>
      <w:lvlText w:val=""/>
      <w:lvlJc w:val="left"/>
      <w:pPr>
        <w:ind w:left="4669" w:hanging="360"/>
      </w:pPr>
      <w:rPr>
        <w:rFonts w:ascii="Wingdings" w:hAnsi="Wingdings" w:hint="default"/>
      </w:rPr>
    </w:lvl>
    <w:lvl w:ilvl="6" w:tplc="CE787B1E">
      <w:start w:val="1"/>
      <w:numFmt w:val="bullet"/>
      <w:lvlText w:val=""/>
      <w:lvlJc w:val="left"/>
      <w:pPr>
        <w:ind w:left="5389" w:hanging="360"/>
      </w:pPr>
      <w:rPr>
        <w:rFonts w:ascii="Symbol" w:hAnsi="Symbol" w:hint="default"/>
      </w:rPr>
    </w:lvl>
    <w:lvl w:ilvl="7" w:tplc="D1789540">
      <w:start w:val="1"/>
      <w:numFmt w:val="bullet"/>
      <w:lvlText w:val="o"/>
      <w:lvlJc w:val="left"/>
      <w:pPr>
        <w:ind w:left="6109" w:hanging="360"/>
      </w:pPr>
      <w:rPr>
        <w:rFonts w:ascii="Courier New" w:hAnsi="Courier New" w:hint="default"/>
      </w:rPr>
    </w:lvl>
    <w:lvl w:ilvl="8" w:tplc="4874EECE">
      <w:start w:val="1"/>
      <w:numFmt w:val="bullet"/>
      <w:lvlText w:val=""/>
      <w:lvlJc w:val="left"/>
      <w:pPr>
        <w:ind w:left="6829" w:hanging="360"/>
      </w:pPr>
      <w:rPr>
        <w:rFonts w:ascii="Wingdings" w:hAnsi="Wingdings" w:hint="default"/>
      </w:rPr>
    </w:lvl>
  </w:abstractNum>
  <w:num w:numId="1" w16cid:durableId="168389863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footnotePr>
    <w:footnote w:id="-1"/>
    <w:footnote w:id="0"/>
    <w:footnote w:id="1"/>
  </w:footnotePr>
  <w:endnotePr>
    <w:endnote w:id="-1"/>
    <w:endnote w:id="0"/>
    <w:endnote w:id="1"/>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54646A43"/>
    <w:rsid w:val="0001686B"/>
    <w:rsid w:val="00025414"/>
    <w:rsid w:val="00045948"/>
    <w:rsid w:val="0005558A"/>
    <w:rsid w:val="0005649F"/>
    <w:rsid w:val="00061D2A"/>
    <w:rsid w:val="00062107"/>
    <w:rsid w:val="0007120A"/>
    <w:rsid w:val="00083C27"/>
    <w:rsid w:val="000847C6"/>
    <w:rsid w:val="000965D6"/>
    <w:rsid w:val="000B334D"/>
    <w:rsid w:val="000B78BE"/>
    <w:rsid w:val="000DB769"/>
    <w:rsid w:val="000E35DF"/>
    <w:rsid w:val="000E4CA8"/>
    <w:rsid w:val="000E580F"/>
    <w:rsid w:val="001154D2"/>
    <w:rsid w:val="001308D1"/>
    <w:rsid w:val="00141DE4"/>
    <w:rsid w:val="001623A7"/>
    <w:rsid w:val="00172EAE"/>
    <w:rsid w:val="001817F4"/>
    <w:rsid w:val="00187B1C"/>
    <w:rsid w:val="001A1AAB"/>
    <w:rsid w:val="001A4FA6"/>
    <w:rsid w:val="001B3237"/>
    <w:rsid w:val="001C3C79"/>
    <w:rsid w:val="00203E76"/>
    <w:rsid w:val="002139E9"/>
    <w:rsid w:val="00220C3C"/>
    <w:rsid w:val="00226419"/>
    <w:rsid w:val="00230ADB"/>
    <w:rsid w:val="0024027C"/>
    <w:rsid w:val="00250674"/>
    <w:rsid w:val="00262925"/>
    <w:rsid w:val="00275937"/>
    <w:rsid w:val="00294C4C"/>
    <w:rsid w:val="002A4FA3"/>
    <w:rsid w:val="002A5D4E"/>
    <w:rsid w:val="002C1627"/>
    <w:rsid w:val="002C1BF4"/>
    <w:rsid w:val="002D29B2"/>
    <w:rsid w:val="002D2E65"/>
    <w:rsid w:val="002D6073"/>
    <w:rsid w:val="002E4DC6"/>
    <w:rsid w:val="00301FBA"/>
    <w:rsid w:val="003132A2"/>
    <w:rsid w:val="00316377"/>
    <w:rsid w:val="00322105"/>
    <w:rsid w:val="0033632E"/>
    <w:rsid w:val="00357C9A"/>
    <w:rsid w:val="0038493C"/>
    <w:rsid w:val="00393E2E"/>
    <w:rsid w:val="003C472D"/>
    <w:rsid w:val="004155C4"/>
    <w:rsid w:val="004224BF"/>
    <w:rsid w:val="00423283"/>
    <w:rsid w:val="00426B2B"/>
    <w:rsid w:val="004339D8"/>
    <w:rsid w:val="00461FFF"/>
    <w:rsid w:val="0046230C"/>
    <w:rsid w:val="004779D4"/>
    <w:rsid w:val="004842CE"/>
    <w:rsid w:val="00491BC8"/>
    <w:rsid w:val="004A0C99"/>
    <w:rsid w:val="004A1282"/>
    <w:rsid w:val="004D4B40"/>
    <w:rsid w:val="004F784E"/>
    <w:rsid w:val="00504278"/>
    <w:rsid w:val="005341D2"/>
    <w:rsid w:val="00540ACD"/>
    <w:rsid w:val="00551F39"/>
    <w:rsid w:val="00574DCB"/>
    <w:rsid w:val="00577D52"/>
    <w:rsid w:val="0058750F"/>
    <w:rsid w:val="005A35BE"/>
    <w:rsid w:val="005A40D5"/>
    <w:rsid w:val="00622776"/>
    <w:rsid w:val="006617FC"/>
    <w:rsid w:val="00662AF7"/>
    <w:rsid w:val="0066735E"/>
    <w:rsid w:val="006814DB"/>
    <w:rsid w:val="006A1B3A"/>
    <w:rsid w:val="006A523B"/>
    <w:rsid w:val="006B2BC0"/>
    <w:rsid w:val="006C0EAD"/>
    <w:rsid w:val="006C645B"/>
    <w:rsid w:val="006D2A87"/>
    <w:rsid w:val="006D69B8"/>
    <w:rsid w:val="006E0B95"/>
    <w:rsid w:val="006F24F6"/>
    <w:rsid w:val="007020C7"/>
    <w:rsid w:val="00703546"/>
    <w:rsid w:val="00706A64"/>
    <w:rsid w:val="00713DA1"/>
    <w:rsid w:val="007154A4"/>
    <w:rsid w:val="00733615"/>
    <w:rsid w:val="00751FF1"/>
    <w:rsid w:val="0076124D"/>
    <w:rsid w:val="00766444"/>
    <w:rsid w:val="007A21D6"/>
    <w:rsid w:val="007A2BB9"/>
    <w:rsid w:val="007C1302"/>
    <w:rsid w:val="007E7480"/>
    <w:rsid w:val="007F4211"/>
    <w:rsid w:val="007F69CD"/>
    <w:rsid w:val="00824A85"/>
    <w:rsid w:val="00834227"/>
    <w:rsid w:val="008417FE"/>
    <w:rsid w:val="00841EC7"/>
    <w:rsid w:val="0084361E"/>
    <w:rsid w:val="00845113"/>
    <w:rsid w:val="0085618D"/>
    <w:rsid w:val="0086096D"/>
    <w:rsid w:val="0086123C"/>
    <w:rsid w:val="00864CCA"/>
    <w:rsid w:val="008751B8"/>
    <w:rsid w:val="00882184"/>
    <w:rsid w:val="0088515D"/>
    <w:rsid w:val="0089642C"/>
    <w:rsid w:val="00897861"/>
    <w:rsid w:val="008A0FB1"/>
    <w:rsid w:val="008C2297"/>
    <w:rsid w:val="008D1B83"/>
    <w:rsid w:val="008F18F9"/>
    <w:rsid w:val="009014D7"/>
    <w:rsid w:val="009154D7"/>
    <w:rsid w:val="00923369"/>
    <w:rsid w:val="00925829"/>
    <w:rsid w:val="00930B5F"/>
    <w:rsid w:val="00935A2E"/>
    <w:rsid w:val="00937E79"/>
    <w:rsid w:val="00945347"/>
    <w:rsid w:val="009718EF"/>
    <w:rsid w:val="00972AF1"/>
    <w:rsid w:val="009D59D9"/>
    <w:rsid w:val="009D7CE8"/>
    <w:rsid w:val="009E0186"/>
    <w:rsid w:val="009E2CF6"/>
    <w:rsid w:val="009E62FA"/>
    <w:rsid w:val="009F7BAC"/>
    <w:rsid w:val="00A2166B"/>
    <w:rsid w:val="00A23F93"/>
    <w:rsid w:val="00A24FFB"/>
    <w:rsid w:val="00A269DB"/>
    <w:rsid w:val="00A27567"/>
    <w:rsid w:val="00A35A69"/>
    <w:rsid w:val="00A51A36"/>
    <w:rsid w:val="00A748E3"/>
    <w:rsid w:val="00A75326"/>
    <w:rsid w:val="00A95098"/>
    <w:rsid w:val="00AB1094"/>
    <w:rsid w:val="00AB409F"/>
    <w:rsid w:val="00AB4652"/>
    <w:rsid w:val="00AD137C"/>
    <w:rsid w:val="00AE6062"/>
    <w:rsid w:val="00AF2D1F"/>
    <w:rsid w:val="00B029CB"/>
    <w:rsid w:val="00B1431D"/>
    <w:rsid w:val="00B23740"/>
    <w:rsid w:val="00B249FE"/>
    <w:rsid w:val="00B27752"/>
    <w:rsid w:val="00B33A18"/>
    <w:rsid w:val="00B40DE7"/>
    <w:rsid w:val="00B42176"/>
    <w:rsid w:val="00B4A9CF"/>
    <w:rsid w:val="00B51CFE"/>
    <w:rsid w:val="00B539C1"/>
    <w:rsid w:val="00B6260D"/>
    <w:rsid w:val="00B876A8"/>
    <w:rsid w:val="00B955E0"/>
    <w:rsid w:val="00BA661C"/>
    <w:rsid w:val="00BA67EA"/>
    <w:rsid w:val="00BC2349"/>
    <w:rsid w:val="00BD2F82"/>
    <w:rsid w:val="00BE4B43"/>
    <w:rsid w:val="00C216B1"/>
    <w:rsid w:val="00C270EA"/>
    <w:rsid w:val="00C31035"/>
    <w:rsid w:val="00C34E5C"/>
    <w:rsid w:val="00C456EB"/>
    <w:rsid w:val="00C51AFF"/>
    <w:rsid w:val="00C52439"/>
    <w:rsid w:val="00C67EB1"/>
    <w:rsid w:val="00C74319"/>
    <w:rsid w:val="00C767F3"/>
    <w:rsid w:val="00C84FC4"/>
    <w:rsid w:val="00CB0A0B"/>
    <w:rsid w:val="00CC22CA"/>
    <w:rsid w:val="00CD1FA9"/>
    <w:rsid w:val="00CD411C"/>
    <w:rsid w:val="00CD58EB"/>
    <w:rsid w:val="00D24591"/>
    <w:rsid w:val="00D40D7D"/>
    <w:rsid w:val="00D4605A"/>
    <w:rsid w:val="00D50B5C"/>
    <w:rsid w:val="00D514CC"/>
    <w:rsid w:val="00D55343"/>
    <w:rsid w:val="00D617CB"/>
    <w:rsid w:val="00D61F35"/>
    <w:rsid w:val="00D65503"/>
    <w:rsid w:val="00D724AF"/>
    <w:rsid w:val="00D83BFE"/>
    <w:rsid w:val="00D87432"/>
    <w:rsid w:val="00D917D0"/>
    <w:rsid w:val="00D96269"/>
    <w:rsid w:val="00DA2360"/>
    <w:rsid w:val="00DA33C1"/>
    <w:rsid w:val="00DA52BD"/>
    <w:rsid w:val="00DA5CE3"/>
    <w:rsid w:val="00DA74E3"/>
    <w:rsid w:val="00DB7E51"/>
    <w:rsid w:val="00DC2FAC"/>
    <w:rsid w:val="00DC78EE"/>
    <w:rsid w:val="00DE5122"/>
    <w:rsid w:val="00E27478"/>
    <w:rsid w:val="00E66A93"/>
    <w:rsid w:val="00E71D3B"/>
    <w:rsid w:val="00E74721"/>
    <w:rsid w:val="00EA1F80"/>
    <w:rsid w:val="00EC1AF6"/>
    <w:rsid w:val="00ED0281"/>
    <w:rsid w:val="00EF1606"/>
    <w:rsid w:val="00F03043"/>
    <w:rsid w:val="00F139F1"/>
    <w:rsid w:val="00F1479B"/>
    <w:rsid w:val="00F2404C"/>
    <w:rsid w:val="00F2534C"/>
    <w:rsid w:val="00F25674"/>
    <w:rsid w:val="00F27F3E"/>
    <w:rsid w:val="00F471CB"/>
    <w:rsid w:val="00F62563"/>
    <w:rsid w:val="00F67CDA"/>
    <w:rsid w:val="00F83A2E"/>
    <w:rsid w:val="00F96891"/>
    <w:rsid w:val="00FB0E0E"/>
    <w:rsid w:val="00FB3EF7"/>
    <w:rsid w:val="00FC7998"/>
    <w:rsid w:val="00FD0DE2"/>
    <w:rsid w:val="00FE7B7E"/>
    <w:rsid w:val="010D0B1D"/>
    <w:rsid w:val="0143E01B"/>
    <w:rsid w:val="0166F709"/>
    <w:rsid w:val="01F0AD41"/>
    <w:rsid w:val="0255A06C"/>
    <w:rsid w:val="02B3A873"/>
    <w:rsid w:val="02B57FFB"/>
    <w:rsid w:val="02F8DEAC"/>
    <w:rsid w:val="02FBCCC6"/>
    <w:rsid w:val="034542A2"/>
    <w:rsid w:val="03F8E892"/>
    <w:rsid w:val="04129A6F"/>
    <w:rsid w:val="049CDE15"/>
    <w:rsid w:val="04E81486"/>
    <w:rsid w:val="05322D83"/>
    <w:rsid w:val="053532DC"/>
    <w:rsid w:val="0584BC6B"/>
    <w:rsid w:val="0666439C"/>
    <w:rsid w:val="06A3DB0D"/>
    <w:rsid w:val="06E76713"/>
    <w:rsid w:val="079BB976"/>
    <w:rsid w:val="07AC179A"/>
    <w:rsid w:val="07BF5B22"/>
    <w:rsid w:val="07FAC0AB"/>
    <w:rsid w:val="085AFB53"/>
    <w:rsid w:val="08848044"/>
    <w:rsid w:val="095B7212"/>
    <w:rsid w:val="095C62AF"/>
    <w:rsid w:val="0984BD99"/>
    <w:rsid w:val="099DDC0B"/>
    <w:rsid w:val="09DBD587"/>
    <w:rsid w:val="0A055AAA"/>
    <w:rsid w:val="0A30ADAD"/>
    <w:rsid w:val="0AC0B587"/>
    <w:rsid w:val="0B7DB48D"/>
    <w:rsid w:val="0B879F4B"/>
    <w:rsid w:val="0C032929"/>
    <w:rsid w:val="0C3A6643"/>
    <w:rsid w:val="0C7C0DF8"/>
    <w:rsid w:val="0CB5CB7E"/>
    <w:rsid w:val="0CF904B6"/>
    <w:rsid w:val="0CFDD6A4"/>
    <w:rsid w:val="0D4EECD6"/>
    <w:rsid w:val="0F22EB50"/>
    <w:rsid w:val="0F4D02D2"/>
    <w:rsid w:val="0F5CDB8F"/>
    <w:rsid w:val="0F69802C"/>
    <w:rsid w:val="0F991457"/>
    <w:rsid w:val="0FC587FE"/>
    <w:rsid w:val="0FD2676D"/>
    <w:rsid w:val="1000194A"/>
    <w:rsid w:val="10076D43"/>
    <w:rsid w:val="100A5293"/>
    <w:rsid w:val="10881461"/>
    <w:rsid w:val="10971C2B"/>
    <w:rsid w:val="10C2FD52"/>
    <w:rsid w:val="10DED233"/>
    <w:rsid w:val="10F2A699"/>
    <w:rsid w:val="11966C18"/>
    <w:rsid w:val="11A219B7"/>
    <w:rsid w:val="11E0C753"/>
    <w:rsid w:val="12288982"/>
    <w:rsid w:val="1229019C"/>
    <w:rsid w:val="127A214E"/>
    <w:rsid w:val="12B5780D"/>
    <w:rsid w:val="12F33ED8"/>
    <w:rsid w:val="13109D66"/>
    <w:rsid w:val="13E97997"/>
    <w:rsid w:val="13F3E6E6"/>
    <w:rsid w:val="144107B2"/>
    <w:rsid w:val="14C1D9F2"/>
    <w:rsid w:val="14FAD448"/>
    <w:rsid w:val="155C5F2E"/>
    <w:rsid w:val="156F9F68"/>
    <w:rsid w:val="16033BB7"/>
    <w:rsid w:val="1616BBAA"/>
    <w:rsid w:val="164B2F5D"/>
    <w:rsid w:val="16AAB847"/>
    <w:rsid w:val="1790054E"/>
    <w:rsid w:val="179F2A90"/>
    <w:rsid w:val="18E0E056"/>
    <w:rsid w:val="19367480"/>
    <w:rsid w:val="1942C0EC"/>
    <w:rsid w:val="197418C6"/>
    <w:rsid w:val="19783D08"/>
    <w:rsid w:val="19874180"/>
    <w:rsid w:val="19E891FC"/>
    <w:rsid w:val="1A73D63A"/>
    <w:rsid w:val="1A9A4A3C"/>
    <w:rsid w:val="1B1D6FB9"/>
    <w:rsid w:val="1B2573A7"/>
    <w:rsid w:val="1B33D0A9"/>
    <w:rsid w:val="1B7C90CE"/>
    <w:rsid w:val="1CED977C"/>
    <w:rsid w:val="1D1D2DD1"/>
    <w:rsid w:val="1D8BD742"/>
    <w:rsid w:val="1DE7391F"/>
    <w:rsid w:val="1DF17BA8"/>
    <w:rsid w:val="1E068C12"/>
    <w:rsid w:val="1E6FB1C3"/>
    <w:rsid w:val="1E73E7AE"/>
    <w:rsid w:val="1EB346C0"/>
    <w:rsid w:val="1F00079C"/>
    <w:rsid w:val="1F2691E8"/>
    <w:rsid w:val="1F526738"/>
    <w:rsid w:val="1F5697E4"/>
    <w:rsid w:val="1FB08D2A"/>
    <w:rsid w:val="1FD7D8DC"/>
    <w:rsid w:val="201AABCE"/>
    <w:rsid w:val="20578E39"/>
    <w:rsid w:val="20611909"/>
    <w:rsid w:val="2091BD7B"/>
    <w:rsid w:val="20D5B164"/>
    <w:rsid w:val="21A3DE47"/>
    <w:rsid w:val="22009D43"/>
    <w:rsid w:val="22464405"/>
    <w:rsid w:val="22A143D2"/>
    <w:rsid w:val="22E4300C"/>
    <w:rsid w:val="22E6542A"/>
    <w:rsid w:val="22FF5B78"/>
    <w:rsid w:val="233D3519"/>
    <w:rsid w:val="23945921"/>
    <w:rsid w:val="23FC8AEB"/>
    <w:rsid w:val="246C1F69"/>
    <w:rsid w:val="255E4339"/>
    <w:rsid w:val="255FFA07"/>
    <w:rsid w:val="2587EABB"/>
    <w:rsid w:val="25F4C5E1"/>
    <w:rsid w:val="26103FA3"/>
    <w:rsid w:val="26A0F9D4"/>
    <w:rsid w:val="26AC3636"/>
    <w:rsid w:val="26B0DEF3"/>
    <w:rsid w:val="2736E884"/>
    <w:rsid w:val="276DCA4D"/>
    <w:rsid w:val="27F0AF88"/>
    <w:rsid w:val="2841D42A"/>
    <w:rsid w:val="287706BA"/>
    <w:rsid w:val="2893EADC"/>
    <w:rsid w:val="28E7733A"/>
    <w:rsid w:val="2920AB85"/>
    <w:rsid w:val="29267C42"/>
    <w:rsid w:val="29E889AD"/>
    <w:rsid w:val="29E89CED"/>
    <w:rsid w:val="2A0C3DBA"/>
    <w:rsid w:val="2A686EE5"/>
    <w:rsid w:val="2A73C1EE"/>
    <w:rsid w:val="2B0504CB"/>
    <w:rsid w:val="2C642170"/>
    <w:rsid w:val="2C7C3F65"/>
    <w:rsid w:val="2C883977"/>
    <w:rsid w:val="2D051121"/>
    <w:rsid w:val="2D0F412D"/>
    <w:rsid w:val="2DECD1A6"/>
    <w:rsid w:val="2E8BC3A4"/>
    <w:rsid w:val="2EB248C0"/>
    <w:rsid w:val="2F1024A7"/>
    <w:rsid w:val="2F428A49"/>
    <w:rsid w:val="2FB503B6"/>
    <w:rsid w:val="2FC63CF1"/>
    <w:rsid w:val="2FF9F152"/>
    <w:rsid w:val="301FB5BA"/>
    <w:rsid w:val="304569E3"/>
    <w:rsid w:val="30AA72EC"/>
    <w:rsid w:val="316EBB13"/>
    <w:rsid w:val="31EA0AAB"/>
    <w:rsid w:val="32844ED0"/>
    <w:rsid w:val="32E57F0A"/>
    <w:rsid w:val="332ACD30"/>
    <w:rsid w:val="3367070F"/>
    <w:rsid w:val="33D94242"/>
    <w:rsid w:val="33EE7FD9"/>
    <w:rsid w:val="343C6277"/>
    <w:rsid w:val="3468D610"/>
    <w:rsid w:val="34859E2A"/>
    <w:rsid w:val="34B1943D"/>
    <w:rsid w:val="3545B36F"/>
    <w:rsid w:val="36BBF820"/>
    <w:rsid w:val="36C58317"/>
    <w:rsid w:val="36FFFE56"/>
    <w:rsid w:val="372AD3BB"/>
    <w:rsid w:val="37518B36"/>
    <w:rsid w:val="37A5446D"/>
    <w:rsid w:val="37AA6727"/>
    <w:rsid w:val="37EAFC02"/>
    <w:rsid w:val="37F810BC"/>
    <w:rsid w:val="37FBD304"/>
    <w:rsid w:val="38A0E7CF"/>
    <w:rsid w:val="38B2C0DA"/>
    <w:rsid w:val="38E941C6"/>
    <w:rsid w:val="3A1F3FAC"/>
    <w:rsid w:val="3A2E0389"/>
    <w:rsid w:val="3AEEBDAA"/>
    <w:rsid w:val="3B048EA9"/>
    <w:rsid w:val="3B5BA20B"/>
    <w:rsid w:val="3B6267D6"/>
    <w:rsid w:val="3B8113B7"/>
    <w:rsid w:val="3BBDD779"/>
    <w:rsid w:val="3C10D47D"/>
    <w:rsid w:val="3D23FA5F"/>
    <w:rsid w:val="3D8F8853"/>
    <w:rsid w:val="3D9F4DF0"/>
    <w:rsid w:val="3E0A696B"/>
    <w:rsid w:val="3E7D33BC"/>
    <w:rsid w:val="3EB02F55"/>
    <w:rsid w:val="3F9CAA7E"/>
    <w:rsid w:val="3FE9479D"/>
    <w:rsid w:val="3FFD7E6A"/>
    <w:rsid w:val="404DD969"/>
    <w:rsid w:val="406DF909"/>
    <w:rsid w:val="40EE7ABC"/>
    <w:rsid w:val="41309CDA"/>
    <w:rsid w:val="421A88C8"/>
    <w:rsid w:val="437265F0"/>
    <w:rsid w:val="437F9B75"/>
    <w:rsid w:val="4409E9E6"/>
    <w:rsid w:val="444D3AFA"/>
    <w:rsid w:val="44CF6446"/>
    <w:rsid w:val="4542B4C0"/>
    <w:rsid w:val="4569776D"/>
    <w:rsid w:val="469BC7E5"/>
    <w:rsid w:val="46CFFD97"/>
    <w:rsid w:val="480BA022"/>
    <w:rsid w:val="481B16D0"/>
    <w:rsid w:val="48983B28"/>
    <w:rsid w:val="48D22D6D"/>
    <w:rsid w:val="48F23A99"/>
    <w:rsid w:val="49414D5B"/>
    <w:rsid w:val="4972F262"/>
    <w:rsid w:val="4A19897F"/>
    <w:rsid w:val="4A471BB9"/>
    <w:rsid w:val="4B1D0F16"/>
    <w:rsid w:val="4B7455C8"/>
    <w:rsid w:val="4BC76C73"/>
    <w:rsid w:val="4C47EBF0"/>
    <w:rsid w:val="4C9C025F"/>
    <w:rsid w:val="4D093B25"/>
    <w:rsid w:val="4D09A54A"/>
    <w:rsid w:val="4D68D8F8"/>
    <w:rsid w:val="4D69B357"/>
    <w:rsid w:val="4D730A34"/>
    <w:rsid w:val="4E6A3F34"/>
    <w:rsid w:val="4E74D33E"/>
    <w:rsid w:val="4E7B50D2"/>
    <w:rsid w:val="4F3CB856"/>
    <w:rsid w:val="4F7EA479"/>
    <w:rsid w:val="4F95BBAB"/>
    <w:rsid w:val="4FDF7156"/>
    <w:rsid w:val="4FEEE762"/>
    <w:rsid w:val="4FF5A94F"/>
    <w:rsid w:val="5069BEEC"/>
    <w:rsid w:val="508918BF"/>
    <w:rsid w:val="50DEAB7D"/>
    <w:rsid w:val="510E6B8A"/>
    <w:rsid w:val="516F286B"/>
    <w:rsid w:val="5170A98C"/>
    <w:rsid w:val="52058FCA"/>
    <w:rsid w:val="52569C8F"/>
    <w:rsid w:val="5276E784"/>
    <w:rsid w:val="52FD0CD3"/>
    <w:rsid w:val="5336FED4"/>
    <w:rsid w:val="5355E16B"/>
    <w:rsid w:val="5356E1A0"/>
    <w:rsid w:val="539A0504"/>
    <w:rsid w:val="53BF5F7F"/>
    <w:rsid w:val="53F49CF6"/>
    <w:rsid w:val="54646A43"/>
    <w:rsid w:val="552E0C4D"/>
    <w:rsid w:val="559F2591"/>
    <w:rsid w:val="55CF0717"/>
    <w:rsid w:val="5660D9BC"/>
    <w:rsid w:val="568E7C64"/>
    <w:rsid w:val="56B7E720"/>
    <w:rsid w:val="56C9CE3E"/>
    <w:rsid w:val="57273EE9"/>
    <w:rsid w:val="5772C7EB"/>
    <w:rsid w:val="578E0E27"/>
    <w:rsid w:val="58B1BF2E"/>
    <w:rsid w:val="5921E512"/>
    <w:rsid w:val="59443751"/>
    <w:rsid w:val="59782932"/>
    <w:rsid w:val="59DDC049"/>
    <w:rsid w:val="5A0CD935"/>
    <w:rsid w:val="5A3405EA"/>
    <w:rsid w:val="5A824FA4"/>
    <w:rsid w:val="5AAB4992"/>
    <w:rsid w:val="5AD9100D"/>
    <w:rsid w:val="5B541DC5"/>
    <w:rsid w:val="5C474990"/>
    <w:rsid w:val="5CB368FE"/>
    <w:rsid w:val="5CC7B179"/>
    <w:rsid w:val="5CD714D5"/>
    <w:rsid w:val="5CDC5448"/>
    <w:rsid w:val="5CFCE9A0"/>
    <w:rsid w:val="5D018DFA"/>
    <w:rsid w:val="5D51CBFC"/>
    <w:rsid w:val="5DAD018E"/>
    <w:rsid w:val="5DE191DE"/>
    <w:rsid w:val="5DFD23B4"/>
    <w:rsid w:val="5E38A18F"/>
    <w:rsid w:val="5EA9D4FC"/>
    <w:rsid w:val="5F3704EE"/>
    <w:rsid w:val="5F86402B"/>
    <w:rsid w:val="6010D240"/>
    <w:rsid w:val="60170F67"/>
    <w:rsid w:val="60558077"/>
    <w:rsid w:val="606DE4D7"/>
    <w:rsid w:val="60A599C3"/>
    <w:rsid w:val="60C3C803"/>
    <w:rsid w:val="60C6DCD3"/>
    <w:rsid w:val="616A8003"/>
    <w:rsid w:val="61B8102C"/>
    <w:rsid w:val="61D8E76A"/>
    <w:rsid w:val="62045F01"/>
    <w:rsid w:val="6211C0E3"/>
    <w:rsid w:val="62240B51"/>
    <w:rsid w:val="62851231"/>
    <w:rsid w:val="628EE3EE"/>
    <w:rsid w:val="628FF5CB"/>
    <w:rsid w:val="62AE728A"/>
    <w:rsid w:val="62CDF3C1"/>
    <w:rsid w:val="62CFBE8D"/>
    <w:rsid w:val="637A86DB"/>
    <w:rsid w:val="63E36143"/>
    <w:rsid w:val="64110F66"/>
    <w:rsid w:val="656798A2"/>
    <w:rsid w:val="656CD654"/>
    <w:rsid w:val="656E254C"/>
    <w:rsid w:val="657EFBA4"/>
    <w:rsid w:val="659C4675"/>
    <w:rsid w:val="65EB7AC8"/>
    <w:rsid w:val="6610973F"/>
    <w:rsid w:val="662059BB"/>
    <w:rsid w:val="6672EEED"/>
    <w:rsid w:val="667E447B"/>
    <w:rsid w:val="67130DC5"/>
    <w:rsid w:val="6815BC1F"/>
    <w:rsid w:val="68308BE1"/>
    <w:rsid w:val="68D8EFB7"/>
    <w:rsid w:val="68F8CF5D"/>
    <w:rsid w:val="693A976B"/>
    <w:rsid w:val="69A4A846"/>
    <w:rsid w:val="69E5135F"/>
    <w:rsid w:val="6A2B3386"/>
    <w:rsid w:val="6A476748"/>
    <w:rsid w:val="6A53B345"/>
    <w:rsid w:val="6AC1062F"/>
    <w:rsid w:val="6AD4A2AD"/>
    <w:rsid w:val="6AFF36BC"/>
    <w:rsid w:val="6BDFFB20"/>
    <w:rsid w:val="6CBD8422"/>
    <w:rsid w:val="6CFAFB4F"/>
    <w:rsid w:val="6D6409CE"/>
    <w:rsid w:val="6D81881C"/>
    <w:rsid w:val="6DB7542A"/>
    <w:rsid w:val="6DE06B4B"/>
    <w:rsid w:val="6E289E1D"/>
    <w:rsid w:val="6E306CE2"/>
    <w:rsid w:val="6E438D6F"/>
    <w:rsid w:val="6E48DD8B"/>
    <w:rsid w:val="6E4C0266"/>
    <w:rsid w:val="6EC74487"/>
    <w:rsid w:val="6F107B81"/>
    <w:rsid w:val="703BF4C3"/>
    <w:rsid w:val="705DD014"/>
    <w:rsid w:val="70FA9ED3"/>
    <w:rsid w:val="712D1F6C"/>
    <w:rsid w:val="713D4BF9"/>
    <w:rsid w:val="7162D493"/>
    <w:rsid w:val="716E85AE"/>
    <w:rsid w:val="71E0761E"/>
    <w:rsid w:val="721C51AB"/>
    <w:rsid w:val="726F4961"/>
    <w:rsid w:val="72B70D92"/>
    <w:rsid w:val="72C6369A"/>
    <w:rsid w:val="730351BC"/>
    <w:rsid w:val="730AC60E"/>
    <w:rsid w:val="7397C0A1"/>
    <w:rsid w:val="74559442"/>
    <w:rsid w:val="748E01AD"/>
    <w:rsid w:val="75813304"/>
    <w:rsid w:val="75A59FA9"/>
    <w:rsid w:val="75F8C952"/>
    <w:rsid w:val="760D37D3"/>
    <w:rsid w:val="764EEA4F"/>
    <w:rsid w:val="76620B3D"/>
    <w:rsid w:val="76D6CBD7"/>
    <w:rsid w:val="76E505C8"/>
    <w:rsid w:val="76FFEA73"/>
    <w:rsid w:val="7703EC15"/>
    <w:rsid w:val="77056083"/>
    <w:rsid w:val="77057B38"/>
    <w:rsid w:val="77C4CDF0"/>
    <w:rsid w:val="78C705E1"/>
    <w:rsid w:val="78F20B7F"/>
    <w:rsid w:val="79720A18"/>
    <w:rsid w:val="79F45442"/>
    <w:rsid w:val="7A806BC5"/>
    <w:rsid w:val="7AB6B087"/>
    <w:rsid w:val="7AC9323B"/>
    <w:rsid w:val="7AD069E0"/>
    <w:rsid w:val="7B5602FA"/>
    <w:rsid w:val="7C66D66D"/>
    <w:rsid w:val="7C871B25"/>
    <w:rsid w:val="7C9B237D"/>
    <w:rsid w:val="7CE37392"/>
    <w:rsid w:val="7D4FB34B"/>
    <w:rsid w:val="7DAC3694"/>
    <w:rsid w:val="7E2A4519"/>
    <w:rsid w:val="7E8C6A49"/>
    <w:rsid w:val="7F9A8932"/>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54646A43"/>
  <w15:chartTrackingRefBased/>
  <w15:docId w15:val="{156A81D5-133B-4785-A9B8-438003EAC3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rPr>
      <w:rFonts w:eastAsiaTheme="majorEastAsia" w:cstheme="majorBidi"/>
      <w:color w:val="0F4761" w:themeColor="accent1" w:themeShade="BF"/>
    </w:rPr>
  </w:style>
  <w:style w:type="character" w:customStyle="1" w:styleId="Heading6Char">
    <w:name w:val="Heading 6 Char"/>
    <w:basedOn w:val="DefaultParagraphFont"/>
    <w:link w:val="Heading6"/>
    <w:uiPriority w:val="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rPr>
      <w:rFonts w:eastAsiaTheme="majorEastAsia" w:cstheme="majorBidi"/>
      <w:color w:val="595959" w:themeColor="text1" w:themeTint="A6"/>
    </w:rPr>
  </w:style>
  <w:style w:type="character" w:customStyle="1" w:styleId="Heading8Char">
    <w:name w:val="Heading 8 Char"/>
    <w:basedOn w:val="DefaultParagraphFont"/>
    <w:link w:val="Heading8"/>
    <w:uiPriority w:val="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rPr>
      <w:rFonts w:eastAsiaTheme="majorEastAsia" w:cstheme="majorBidi"/>
      <w:color w:val="272727" w:themeColor="text1" w:themeTint="D8"/>
    </w:rPr>
  </w:style>
  <w:style w:type="character" w:customStyle="1" w:styleId="TitleChar">
    <w:name w:val="Title Char"/>
    <w:basedOn w:val="DefaultParagraphFont"/>
    <w:link w:val="Title"/>
    <w:uiPriority w:val="10"/>
    <w:rPr>
      <w:rFonts w:asciiTheme="majorHAnsi" w:eastAsiaTheme="majorEastAsia" w:hAnsiTheme="majorHAnsi"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SubtitleChar">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customStyle="1" w:styleId="QuoteChar">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customStyle="1" w:styleId="IntenseQuoteChar">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character" w:styleId="FootnoteReference">
    <w:name w:val="footnote reference"/>
    <w:basedOn w:val="DefaultParagraphFont"/>
    <w:uiPriority w:val="99"/>
    <w:semiHidden/>
    <w:unhideWhenUsed/>
    <w:rPr>
      <w:vertAlign w:val="superscript"/>
    </w:rPr>
  </w:style>
  <w:style w:type="character" w:customStyle="1" w:styleId="FootnoteTextChar">
    <w:name w:val="Footnote Text Char"/>
    <w:basedOn w:val="DefaultParagraphFont"/>
    <w:link w:val="FootnoteText"/>
    <w:uiPriority w:val="99"/>
    <w:rPr>
      <w:sz w:val="20"/>
      <w:szCs w:val="20"/>
    </w:rPr>
  </w:style>
  <w:style w:type="paragraph" w:styleId="FootnoteText">
    <w:name w:val="footnote text"/>
    <w:basedOn w:val="Normal"/>
    <w:link w:val="FootnoteTextChar"/>
    <w:uiPriority w:val="99"/>
    <w:unhideWhenUsed/>
    <w:pPr>
      <w:spacing w:after="0" w:line="240" w:lineRule="auto"/>
    </w:pPr>
    <w:rPr>
      <w:sz w:val="20"/>
      <w:szCs w:val="20"/>
    </w:rPr>
  </w:style>
  <w:style w:type="paragraph" w:styleId="EndnoteText">
    <w:name w:val="endnote text"/>
    <w:basedOn w:val="Normal"/>
    <w:link w:val="EndnoteTextChar"/>
    <w:uiPriority w:val="99"/>
    <w:semiHidden/>
    <w:unhideWhenUsed/>
    <w:rsid w:val="0005558A"/>
    <w:pPr>
      <w:spacing w:after="0" w:line="240" w:lineRule="auto"/>
    </w:pPr>
    <w:rPr>
      <w:sz w:val="20"/>
      <w:szCs w:val="20"/>
    </w:rPr>
  </w:style>
  <w:style w:type="character" w:customStyle="1" w:styleId="EndnoteTextChar">
    <w:name w:val="Endnote Text Char"/>
    <w:basedOn w:val="DefaultParagraphFont"/>
    <w:link w:val="EndnoteText"/>
    <w:uiPriority w:val="99"/>
    <w:semiHidden/>
    <w:rsid w:val="0005558A"/>
    <w:rPr>
      <w:sz w:val="20"/>
      <w:szCs w:val="20"/>
    </w:rPr>
  </w:style>
  <w:style w:type="character" w:styleId="EndnoteReference">
    <w:name w:val="endnote reference"/>
    <w:basedOn w:val="DefaultParagraphFont"/>
    <w:uiPriority w:val="99"/>
    <w:semiHidden/>
    <w:unhideWhenUsed/>
    <w:rsid w:val="0005558A"/>
    <w:rPr>
      <w:vertAlign w:val="superscript"/>
    </w:rPr>
  </w:style>
  <w:style w:type="paragraph" w:styleId="Header">
    <w:name w:val="header"/>
    <w:basedOn w:val="Normal"/>
    <w:link w:val="HeaderChar"/>
    <w:uiPriority w:val="99"/>
    <w:semiHidden/>
    <w:unhideWhenUsed/>
    <w:rsid w:val="001C3C79"/>
    <w:pPr>
      <w:tabs>
        <w:tab w:val="center" w:pos="4513"/>
        <w:tab w:val="right" w:pos="9026"/>
      </w:tabs>
      <w:spacing w:after="0" w:line="240" w:lineRule="auto"/>
    </w:pPr>
  </w:style>
  <w:style w:type="character" w:customStyle="1" w:styleId="HeaderChar">
    <w:name w:val="Header Char"/>
    <w:basedOn w:val="DefaultParagraphFont"/>
    <w:link w:val="Header"/>
    <w:uiPriority w:val="99"/>
    <w:semiHidden/>
    <w:rsid w:val="001C3C79"/>
  </w:style>
  <w:style w:type="paragraph" w:styleId="Footer">
    <w:name w:val="footer"/>
    <w:basedOn w:val="Normal"/>
    <w:link w:val="FooterChar"/>
    <w:uiPriority w:val="99"/>
    <w:semiHidden/>
    <w:unhideWhenUsed/>
    <w:rsid w:val="001C3C79"/>
    <w:pPr>
      <w:tabs>
        <w:tab w:val="center" w:pos="4513"/>
        <w:tab w:val="right" w:pos="9026"/>
      </w:tabs>
      <w:spacing w:after="0" w:line="240" w:lineRule="auto"/>
    </w:pPr>
  </w:style>
  <w:style w:type="character" w:customStyle="1" w:styleId="FooterChar">
    <w:name w:val="Footer Char"/>
    <w:basedOn w:val="DefaultParagraphFont"/>
    <w:link w:val="Footer"/>
    <w:uiPriority w:val="99"/>
    <w:semiHidden/>
    <w:rsid w:val="001C3C7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microsoft.com/office/2020/10/relationships/intelligence" Target="intelligence2.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theme" Target="theme/theme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fontTable" Target="fontTable.xml"/><Relationship Id="rId5" Type="http://schemas.openxmlformats.org/officeDocument/2006/relationships/numbering" Target="numbering.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86E4C94D3791F742BF2CEB284273B86F" ma:contentTypeVersion="5" ma:contentTypeDescription="Create a new document." ma:contentTypeScope="" ma:versionID="95c80f00c53ed7df0ede396187e6fb00">
  <xsd:schema xmlns:xsd="http://www.w3.org/2001/XMLSchema" xmlns:xs="http://www.w3.org/2001/XMLSchema" xmlns:p="http://schemas.microsoft.com/office/2006/metadata/properties" xmlns:ns3="0085e1a2-9cbf-4b92-866b-21f3c89040b6" targetNamespace="http://schemas.microsoft.com/office/2006/metadata/properties" ma:root="true" ma:fieldsID="1da3593a7deacc1e117be7cdce9eeaf7" ns3:_="">
    <xsd:import namespace="0085e1a2-9cbf-4b92-866b-21f3c89040b6"/>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085e1a2-9cbf-4b92-866b-21f3c89040b6"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MediaServiceObjectDetectorVersions" ma:index="12" nillable="true" ma:displayName="MediaServiceObjectDetectorVersions" ma:hidden="true" ma:indexed="true" ma:internalName="MediaServiceObjectDetectorVersions"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D4EF23A-2653-4FE3-AD36-1A2E8FCBEF30}">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085e1a2-9cbf-4b92-866b-21f3c89040b6"/>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E96220EB-4BCA-4D55-8A16-B4E1F1320E99}">
  <ds:schemaRefs>
    <ds:schemaRef ds:uri="http://schemas.microsoft.com/sharepoint/v3/contenttype/forms"/>
  </ds:schemaRefs>
</ds:datastoreItem>
</file>

<file path=customXml/itemProps3.xml><?xml version="1.0" encoding="utf-8"?>
<ds:datastoreItem xmlns:ds="http://schemas.openxmlformats.org/officeDocument/2006/customXml" ds:itemID="{6857E500-6DB4-49B7-8F38-4F7B5EE8709F}">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58B137D7-3DB5-4718-BD85-3A2D6FF77CA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89</TotalTime>
  <Pages>4</Pages>
  <Words>1977</Words>
  <Characters>11272</Characters>
  <Application>Microsoft Office Word</Application>
  <DocSecurity>0</DocSecurity>
  <Lines>93</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13223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Shane O'Brien (2414570)</dc:creator>
  <cp:keywords/>
  <dc:description/>
  <cp:lastModifiedBy>O'Brien, SeanX</cp:lastModifiedBy>
  <cp:revision>6</cp:revision>
  <dcterms:created xsi:type="dcterms:W3CDTF">2024-11-01T08:57:00Z</dcterms:created>
  <dcterms:modified xsi:type="dcterms:W3CDTF">2024-11-01T10:26:00Z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0x01010086E4C94D3791F742BF2CEB284273B86F</vt:lpwstr>
  </property>
</Properties>
</file>