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EA06236" w14:textId="3B4F2C37" w:rsidR="00C76B16" w:rsidRDefault="00E82AD6" w:rsidP="00C76B16">
      <w:pPr>
        <w:jc w:val="center"/>
        <w:rPr>
          <w:u w:val="single"/>
        </w:rPr>
      </w:pPr>
      <w:r w:rsidRPr="00E82AD6">
        <w:rPr>
          <w:u w:val="single"/>
        </w:rPr>
        <w:t>Understanding the Enlightenment</w:t>
      </w:r>
    </w:p>
    <w:p w14:paraId="248CD70A" w14:textId="43C3EE79" w:rsidR="00E82AD6" w:rsidRDefault="00E82AD6" w:rsidP="00C76B16">
      <w:pPr>
        <w:jc w:val="center"/>
        <w:rPr>
          <w:u w:val="single"/>
        </w:rPr>
      </w:pPr>
      <w:r>
        <w:rPr>
          <w:u w:val="single"/>
        </w:rPr>
        <w:t>A Primary and Secondary Source Analysis</w:t>
      </w:r>
    </w:p>
    <w:p w14:paraId="4E73B246" w14:textId="1BD55002" w:rsidR="00E82AD6" w:rsidRDefault="00E82AD6" w:rsidP="00E82AD6">
      <w:pPr>
        <w:jc w:val="center"/>
        <w:rPr>
          <w:u w:val="single"/>
        </w:rPr>
      </w:pPr>
    </w:p>
    <w:p w14:paraId="616B18AB" w14:textId="2C0ADE5A" w:rsidR="00D04523" w:rsidRDefault="00D04523" w:rsidP="00D04523">
      <w:pPr>
        <w:rPr>
          <w:u w:val="single"/>
        </w:rPr>
      </w:pPr>
      <w:r>
        <w:rPr>
          <w:u w:val="single"/>
        </w:rPr>
        <w:t>Primary Source</w:t>
      </w:r>
    </w:p>
    <w:p w14:paraId="3B2F8091" w14:textId="0047B115" w:rsidR="00E82AD6" w:rsidRDefault="00C76B16" w:rsidP="00E82AD6">
      <w:r>
        <w:t>Th</w:t>
      </w:r>
      <w:r w:rsidR="00D04523">
        <w:t xml:space="preserve">is </w:t>
      </w:r>
      <w:r>
        <w:t xml:space="preserve">source that will be analysed is Letter 13 from Voltaire’s </w:t>
      </w:r>
      <w:r w:rsidRPr="00C76B16">
        <w:rPr>
          <w:i/>
        </w:rPr>
        <w:t>Letters on England</w:t>
      </w:r>
      <w:r>
        <w:t xml:space="preserve">, ‘On Mr Locke’. It sees Voltaire </w:t>
      </w:r>
      <w:r w:rsidR="00CD5748">
        <w:t xml:space="preserve">discuss his admiration for Locke as a philosopher, but also offers an insight into science, religion and the soul. </w:t>
      </w:r>
      <w:r w:rsidR="00206DDA">
        <w:t xml:space="preserve">The book is itself of great interest when looking at this period because as </w:t>
      </w:r>
      <w:r w:rsidR="009D026D">
        <w:t>Lanson</w:t>
      </w:r>
      <w:r w:rsidR="00206DDA">
        <w:t xml:space="preserve"> points out, most people more familiar with Voltaire’s </w:t>
      </w:r>
      <w:r w:rsidR="00206DDA" w:rsidRPr="0003777E">
        <w:rPr>
          <w:i/>
        </w:rPr>
        <w:t>Candide</w:t>
      </w:r>
      <w:r w:rsidR="00206DDA">
        <w:t>. Lanson describes the book as ‘a great event in the intellectual life of the eighteenth century.’</w:t>
      </w:r>
      <w:r w:rsidR="0030081D">
        <w:rPr>
          <w:rStyle w:val="FootnoteReference"/>
        </w:rPr>
        <w:footnoteReference w:id="1"/>
      </w:r>
      <w:r w:rsidR="00094A07">
        <w:t xml:space="preserve"> Even though</w:t>
      </w:r>
      <w:r w:rsidR="00206DDA">
        <w:t xml:space="preserve"> </w:t>
      </w:r>
      <w:r w:rsidR="00094A07">
        <w:t xml:space="preserve">Voltaire moved to England out of necessity he had long admired the country, and this comes out during the </w:t>
      </w:r>
      <w:r w:rsidR="00094A07">
        <w:rPr>
          <w:i/>
        </w:rPr>
        <w:t>L</w:t>
      </w:r>
      <w:r w:rsidR="00094A07" w:rsidRPr="00094A07">
        <w:rPr>
          <w:i/>
        </w:rPr>
        <w:t>etters</w:t>
      </w:r>
      <w:r w:rsidR="00094A07">
        <w:t xml:space="preserve">. </w:t>
      </w:r>
      <w:r w:rsidR="00AB02F7">
        <w:t>Tancock views the book as ‘the seed of so much of Voltaire’s later thought and was one of the most influential books of the century upon social, economic and political thinking’.</w:t>
      </w:r>
      <w:r w:rsidR="0030081D">
        <w:rPr>
          <w:rStyle w:val="FootnoteReference"/>
        </w:rPr>
        <w:footnoteReference w:id="2"/>
      </w:r>
      <w:r w:rsidR="00AB02F7">
        <w:t xml:space="preserve"> </w:t>
      </w:r>
    </w:p>
    <w:p w14:paraId="36F6BEBF" w14:textId="23688477" w:rsidR="00B72750" w:rsidRDefault="00B221C1" w:rsidP="00E82AD6">
      <w:r>
        <w:t>Voltaire begins the chapter with immediate and glowing praise for Locke, choosing to highlight both his ‘methodical</w:t>
      </w:r>
      <w:r w:rsidR="00965B3B">
        <w:t xml:space="preserve"> </w:t>
      </w:r>
      <w:r>
        <w:t>mind</w:t>
      </w:r>
      <w:r w:rsidR="00965B3B">
        <w:t>’</w:t>
      </w:r>
      <w:r>
        <w:t>.</w:t>
      </w:r>
      <w:r w:rsidR="0030081D">
        <w:rPr>
          <w:rStyle w:val="FootnoteReference"/>
        </w:rPr>
        <w:footnoteReference w:id="3"/>
      </w:r>
      <w:r>
        <w:t xml:space="preserve"> Tancock states in his introduction to </w:t>
      </w:r>
      <w:r w:rsidRPr="00B221C1">
        <w:rPr>
          <w:i/>
        </w:rPr>
        <w:t>Letter</w:t>
      </w:r>
      <w:r>
        <w:rPr>
          <w:i/>
        </w:rPr>
        <w:t xml:space="preserve">s </w:t>
      </w:r>
      <w:r>
        <w:t xml:space="preserve">that Voltaire </w:t>
      </w:r>
      <w:r w:rsidR="006012AD">
        <w:t xml:space="preserve">was determined that any theories should be experimented and proved, otherwise they </w:t>
      </w:r>
      <w:r w:rsidR="004B2E0C">
        <w:t>cannot be considered true</w:t>
      </w:r>
      <w:r w:rsidR="00D94AFA">
        <w:t>, and this is a confirmation early on his respect for Locke’s work</w:t>
      </w:r>
      <w:r w:rsidR="004B2E0C">
        <w:t xml:space="preserve">. </w:t>
      </w:r>
      <w:r w:rsidR="00A653A2">
        <w:t xml:space="preserve">Voltaire takes the reader through </w:t>
      </w:r>
      <w:r w:rsidR="00A62135">
        <w:t>Greek philosophers including</w:t>
      </w:r>
      <w:r w:rsidR="00F75CD7">
        <w:t xml:space="preserve"> Aristotle</w:t>
      </w:r>
      <w:r w:rsidR="00A62135">
        <w:t>,</w:t>
      </w:r>
      <w:r w:rsidR="00F75CD7">
        <w:t xml:space="preserve"> Plato and Socrates</w:t>
      </w:r>
      <w:r w:rsidR="00A62135">
        <w:t xml:space="preserve"> </w:t>
      </w:r>
      <w:r w:rsidR="00F75CD7">
        <w:t>and many modern thinkers in relation to how they saw the body and the soul. This concludes with Voltaire stating that while these men have ‘written the novel of the soul</w:t>
      </w:r>
      <w:r w:rsidR="00655C5D">
        <w:t>’</w:t>
      </w:r>
      <w:r w:rsidR="00F75CD7">
        <w:t>, it is Locke who ‘has modestly written its history’</w:t>
      </w:r>
      <w:r w:rsidR="0030081D">
        <w:rPr>
          <w:rStyle w:val="FootnoteReference"/>
        </w:rPr>
        <w:footnoteReference w:id="4"/>
      </w:r>
      <w:r w:rsidR="00F75CD7">
        <w:t xml:space="preserve">. </w:t>
      </w:r>
      <w:r w:rsidR="00DF6676">
        <w:t xml:space="preserve">He saw those other men as having declared what they thought the human soul was with total confidence, despite not knowing at all. Voltaire compares Locke’s </w:t>
      </w:r>
      <w:r w:rsidR="00FD40C6">
        <w:t xml:space="preserve">teachings to that a master on Anatomy explaining a human body. This is an analogy </w:t>
      </w:r>
      <w:r w:rsidR="00705B19">
        <w:t xml:space="preserve">that allies writings about the spiritual with the scientific and </w:t>
      </w:r>
      <w:r w:rsidR="002D1354">
        <w:t>factual and present</w:t>
      </w:r>
      <w:r w:rsidR="00B72750">
        <w:t>s</w:t>
      </w:r>
      <w:r w:rsidR="002D1354">
        <w:t xml:space="preserve"> a </w:t>
      </w:r>
      <w:r w:rsidR="00B72750">
        <w:t>strong</w:t>
      </w:r>
      <w:r w:rsidR="002D1354">
        <w:t xml:space="preserve"> portrayal of his subject</w:t>
      </w:r>
      <w:r w:rsidR="00705B19">
        <w:t>. He also speaks of Locke</w:t>
      </w:r>
      <w:r w:rsidR="0068758B">
        <w:t xml:space="preserve"> as someone who </w:t>
      </w:r>
      <w:r w:rsidR="00C51E43">
        <w:t>dare</w:t>
      </w:r>
      <w:r w:rsidR="00AE074D">
        <w:t>d</w:t>
      </w:r>
      <w:r w:rsidR="00C51E43">
        <w:t xml:space="preserve"> to doubt</w:t>
      </w:r>
      <w:r w:rsidR="00AE074D">
        <w:t xml:space="preserve"> things</w:t>
      </w:r>
      <w:r w:rsidR="00C51E43">
        <w:t xml:space="preserve">, which Torrey picks up on as a reason for Voltaire’s admiration, as Locke was able to demonstrate to him </w:t>
      </w:r>
      <w:r w:rsidR="0003777E">
        <w:t>the limitations of what humanity was able to understand.</w:t>
      </w:r>
      <w:r w:rsidR="0030081D">
        <w:rPr>
          <w:rStyle w:val="FootnoteReference"/>
        </w:rPr>
        <w:footnoteReference w:id="5"/>
      </w:r>
      <w:r w:rsidR="0003777E">
        <w:t xml:space="preserve"> This is prevalent through the chapter</w:t>
      </w:r>
      <w:r w:rsidR="00B204BB">
        <w:t>,</w:t>
      </w:r>
      <w:r w:rsidR="0003777E">
        <w:t xml:space="preserve"> </w:t>
      </w:r>
      <w:r w:rsidR="00B204BB">
        <w:t>with</w:t>
      </w:r>
      <w:r w:rsidR="0003777E">
        <w:t xml:space="preserve"> Voltaire prais</w:t>
      </w:r>
      <w:r w:rsidR="00B204BB">
        <w:t>ing</w:t>
      </w:r>
      <w:r w:rsidR="0003777E">
        <w:t xml:space="preserve"> Locke’s statement that he is not thinking </w:t>
      </w:r>
      <w:r w:rsidR="009903AC">
        <w:t>all</w:t>
      </w:r>
      <w:r w:rsidR="0003777E">
        <w:t xml:space="preserve"> the time</w:t>
      </w:r>
      <w:r w:rsidR="007F5F7E">
        <w:t xml:space="preserve">, or more than is possible. Voltaire </w:t>
      </w:r>
      <w:r w:rsidR="00AD3B57">
        <w:t>share</w:t>
      </w:r>
      <w:r w:rsidR="00E92C45">
        <w:t>s</w:t>
      </w:r>
      <w:r w:rsidR="007F5F7E">
        <w:t xml:space="preserve"> th</w:t>
      </w:r>
      <w:r w:rsidR="00AD3B57">
        <w:t>is</w:t>
      </w:r>
      <w:r w:rsidR="007F5F7E">
        <w:t xml:space="preserve"> opinion and praises Locke for being able to change this way of thinking, </w:t>
      </w:r>
      <w:r w:rsidR="00CA0BA5">
        <w:t xml:space="preserve">and for putting forward that the extent of the knowledge human being possess is ultimately in doubt. This </w:t>
      </w:r>
      <w:r w:rsidR="00F70412">
        <w:t>marks a change in the focus of the chapter as Voltaire takes aim at the</w:t>
      </w:r>
      <w:r w:rsidR="00EE05A6">
        <w:t xml:space="preserve"> relationship between man and the</w:t>
      </w:r>
      <w:r w:rsidR="00F70412">
        <w:t xml:space="preserve"> s</w:t>
      </w:r>
      <w:r w:rsidR="00616966">
        <w:t>piritual</w:t>
      </w:r>
      <w:r w:rsidR="00EE05A6">
        <w:t xml:space="preserve">. </w:t>
      </w:r>
    </w:p>
    <w:p w14:paraId="7DC7D293" w14:textId="3D5E5D48" w:rsidR="00A62135" w:rsidRDefault="00F70412" w:rsidP="00E82AD6">
      <w:r>
        <w:t xml:space="preserve"> </w:t>
      </w:r>
      <w:r w:rsidR="008908A5">
        <w:t xml:space="preserve">Voltaire tackles the </w:t>
      </w:r>
      <w:r w:rsidR="00E15111">
        <w:t>spiritual by stating ‘</w:t>
      </w:r>
      <w:r w:rsidR="00E92C45">
        <w:t>The superstitious in society are what cowards are in an army’.</w:t>
      </w:r>
      <w:r w:rsidR="006F71BC">
        <w:rPr>
          <w:rStyle w:val="FootnoteReference"/>
        </w:rPr>
        <w:footnoteReference w:id="6"/>
      </w:r>
      <w:r w:rsidR="00E92C45">
        <w:t xml:space="preserve"> He defends Locke as having no intention in destroying religion but merely offering his philosophical perspective, and this is another example of what Voltaire is praising throughout. To him Locke is merely someone who has put forward a considered and logical argument concerning the nature of thought and whether God can play a part in this. </w:t>
      </w:r>
      <w:r w:rsidR="005D3942">
        <w:t>The next few paragraphs concerning immortality and the body are perhaps the most compelling section of the chapter</w:t>
      </w:r>
      <w:r w:rsidR="00AA7FF1">
        <w:t>,</w:t>
      </w:r>
      <w:r w:rsidR="005D3942">
        <w:t xml:space="preserve"> as he asserts that immortality is something that </w:t>
      </w:r>
      <w:r w:rsidR="00167E2E">
        <w:t>has been</w:t>
      </w:r>
      <w:r w:rsidR="005D3942">
        <w:t xml:space="preserve"> assumed and taken as given </w:t>
      </w:r>
      <w:r w:rsidR="00167E2E">
        <w:t xml:space="preserve">without any </w:t>
      </w:r>
      <w:r w:rsidR="005D3942">
        <w:t xml:space="preserve">proof, once again applying the logic he admires so much in Locke. </w:t>
      </w:r>
      <w:r w:rsidR="00167E2E">
        <w:t xml:space="preserve">He </w:t>
      </w:r>
      <w:r w:rsidR="009F4957">
        <w:t xml:space="preserve">takes issue </w:t>
      </w:r>
      <w:r w:rsidR="00616966">
        <w:t xml:space="preserve">with the view of the ‘philosophers of </w:t>
      </w:r>
      <w:r w:rsidR="00616966">
        <w:lastRenderedPageBreak/>
        <w:t>the School’ on the soul, in th</w:t>
      </w:r>
      <w:r w:rsidR="00214B85">
        <w:t>eir argument that</w:t>
      </w:r>
      <w:r w:rsidR="00616966">
        <w:t xml:space="preserve"> the body is matter and the soul cannot be.</w:t>
      </w:r>
      <w:r w:rsidR="006F71BC">
        <w:rPr>
          <w:rStyle w:val="FootnoteReference"/>
        </w:rPr>
        <w:footnoteReference w:id="7"/>
      </w:r>
      <w:r w:rsidR="00616966">
        <w:t xml:space="preserve"> Voltaire uses an interesting analogy of an animal, something which </w:t>
      </w:r>
      <w:r w:rsidR="002A3008">
        <w:t>has the same organs as a human so therefore it must have a soul, otherwise it is a machine. He leads into crediting the ‘immense power of the creator’ and claims that Locke’s ideas prove the idea of religion as this thinking proves the idea of a spiritual soul.</w:t>
      </w:r>
      <w:r w:rsidR="006F71BC">
        <w:rPr>
          <w:rStyle w:val="FootnoteReference"/>
        </w:rPr>
        <w:footnoteReference w:id="8"/>
      </w:r>
      <w:r w:rsidR="002A3008">
        <w:t xml:space="preserve"> Even if the reader does not agree with Voltaire’s sentiment</w:t>
      </w:r>
      <w:r w:rsidR="00BA0741">
        <w:t xml:space="preserve">, this passage is a thought provoking read and follows a logical and rational argument. This is the theme of the chapter in general, in allying himself to Locke’s ideas Voltaire presents his ideas in this lucid manner which make them compelling to read, but a modern reader will inevitably dismiss the idea of a soul based on a scientific examination of animals. </w:t>
      </w:r>
      <w:r w:rsidR="00B90572">
        <w:t xml:space="preserve">Voltaire concludes </w:t>
      </w:r>
      <w:r w:rsidR="00EE05A6">
        <w:t xml:space="preserve">the chapter by explaining that philosophers cannot be accused of trying to hurt religion because their writings are not from emotion. He makes an analogy of dividing humanity into </w:t>
      </w:r>
      <w:r w:rsidR="00064E0D">
        <w:t>twenty</w:t>
      </w:r>
      <w:r w:rsidR="00655C5D">
        <w:t xml:space="preserve"> pieces</w:t>
      </w:r>
      <w:r w:rsidR="00064E0D">
        <w:t xml:space="preserve"> and</w:t>
      </w:r>
      <w:r w:rsidR="00EE05A6">
        <w:t xml:space="preserve"> claims that nineteen wouldn’t even be aware of someone like Locke and</w:t>
      </w:r>
      <w:r w:rsidR="00655C5D">
        <w:t xml:space="preserve"> simply</w:t>
      </w:r>
      <w:r w:rsidR="00EE05A6">
        <w:t xml:space="preserve"> don’t have any intention of causing a </w:t>
      </w:r>
      <w:r w:rsidR="00064E0D">
        <w:t>major storm. Th</w:t>
      </w:r>
      <w:r w:rsidR="00655C5D">
        <w:t>is</w:t>
      </w:r>
      <w:r w:rsidR="00064E0D">
        <w:t xml:space="preserve"> ending </w:t>
      </w:r>
      <w:r w:rsidR="00655C5D">
        <w:t>t</w:t>
      </w:r>
      <w:r w:rsidR="00064E0D">
        <w:t>o the chapter of course gives the writing an esoteric feeling, that Voltaire is speaking to this small audience about these complex matters. That his disagreements with his fellow philosophers and veneration of Locke fill much of this chapter support this view. While the book may not have been intended for a mass audience, it stirred enough feeling in France because of its clear criticism of the country</w:t>
      </w:r>
      <w:r w:rsidR="00340F09">
        <w:t xml:space="preserve"> for</w:t>
      </w:r>
      <w:r w:rsidR="00064E0D">
        <w:t xml:space="preserve"> its printing</w:t>
      </w:r>
      <w:r w:rsidR="00340F09">
        <w:t xml:space="preserve"> to</w:t>
      </w:r>
      <w:r w:rsidR="00064E0D">
        <w:t xml:space="preserve"> bec</w:t>
      </w:r>
      <w:r w:rsidR="00340F09">
        <w:t>o</w:t>
      </w:r>
      <w:r w:rsidR="00064E0D">
        <w:t>me forbidden</w:t>
      </w:r>
      <w:r w:rsidR="00CB6254">
        <w:t xml:space="preserve">. This potentially suggests a greater reach and </w:t>
      </w:r>
      <w:r w:rsidR="007E2105">
        <w:t xml:space="preserve">potential than Voltaire appears to suggest towards the end of the chapter. </w:t>
      </w:r>
    </w:p>
    <w:p w14:paraId="322A7367" w14:textId="7E5DB579" w:rsidR="00826299" w:rsidRPr="00855945" w:rsidRDefault="00826299" w:rsidP="00E82AD6">
      <w:r>
        <w:t>The debate surrounding the soul that Voltaire discusses, was one of the most controversial of this time.</w:t>
      </w:r>
      <w:r w:rsidR="0096212D">
        <w:t xml:space="preserve"> Mornet describes </w:t>
      </w:r>
      <w:r w:rsidR="00AE7F2E">
        <w:t>how Diderot for instance, did not believe in the existence of the soul</w:t>
      </w:r>
      <w:r w:rsidR="00BD35D9">
        <w:t>,</w:t>
      </w:r>
      <w:r w:rsidR="00AE7F2E">
        <w:t xml:space="preserve"> </w:t>
      </w:r>
      <w:r w:rsidR="00BD35D9">
        <w:t>and</w:t>
      </w:r>
      <w:r w:rsidR="00AE7F2E">
        <w:t xml:space="preserve"> includes a quote from Diderot concerning </w:t>
      </w:r>
      <w:r w:rsidR="00F559DE">
        <w:t xml:space="preserve">a peasant who associates a watch with spirits, </w:t>
      </w:r>
      <w:r w:rsidR="00655C5D">
        <w:t>claiming they are</w:t>
      </w:r>
      <w:r w:rsidR="00F559DE">
        <w:t xml:space="preserve"> no less ignorant than a spiritualist.</w:t>
      </w:r>
      <w:r w:rsidR="006F71BC">
        <w:rPr>
          <w:rStyle w:val="FootnoteReference"/>
        </w:rPr>
        <w:footnoteReference w:id="9"/>
      </w:r>
      <w:r w:rsidR="00F559DE">
        <w:t xml:space="preserve"> </w:t>
      </w:r>
      <w:r w:rsidR="00BD35D9" w:rsidRPr="00BD35D9">
        <w:t>He was another philosopher who valued experiments and proof. He saw the moral as an extension of the physical, if someone is feeling ill or sick then they are inevitably going to think from a darker place.</w:t>
      </w:r>
      <w:r w:rsidR="00BD35D9">
        <w:t xml:space="preserve"> </w:t>
      </w:r>
      <w:r w:rsidR="002D43DF">
        <w:t xml:space="preserve">This is a contrast to Voltaire’s argument, that the idea that there is thinking in matter, which proves the existence of the creator, while Diderot sees matter and the body being the </w:t>
      </w:r>
      <w:r w:rsidR="00655C5D">
        <w:t xml:space="preserve">same but </w:t>
      </w:r>
      <w:r w:rsidR="002D43DF">
        <w:t>reject</w:t>
      </w:r>
      <w:r w:rsidR="00655C5D">
        <w:t>s</w:t>
      </w:r>
      <w:r w:rsidR="002D43DF">
        <w:t xml:space="preserve"> the spiritual. In the seventeenth century, Margaret Cavendish would address these themes</w:t>
      </w:r>
      <w:r w:rsidR="00855945">
        <w:t xml:space="preserve"> through her poetry</w:t>
      </w:r>
      <w:r w:rsidR="007B04D8">
        <w:t xml:space="preserve"> and writing.</w:t>
      </w:r>
      <w:r w:rsidR="00855945">
        <w:t xml:space="preserve"> </w:t>
      </w:r>
      <w:r w:rsidR="00A01D2C">
        <w:t>Nelson cit</w:t>
      </w:r>
      <w:r w:rsidR="007B04D8">
        <w:t>es</w:t>
      </w:r>
      <w:r w:rsidR="00A01D2C">
        <w:t xml:space="preserve"> one of </w:t>
      </w:r>
      <w:r w:rsidR="00655C5D">
        <w:t>Cavendish’s</w:t>
      </w:r>
      <w:r w:rsidR="00A01D2C">
        <w:t xml:space="preserve"> works, </w:t>
      </w:r>
      <w:r w:rsidR="00A01D2C" w:rsidRPr="00A01D2C">
        <w:rPr>
          <w:i/>
        </w:rPr>
        <w:t>Philosophical Letters</w:t>
      </w:r>
      <w:r w:rsidR="003F7FD5">
        <w:t>, in which she sets out her view on the idea of the ‘supernatural soul’, if it were to exist, stating it would be given to humanity by God, and its location and origin cannot be understood.</w:t>
      </w:r>
      <w:r w:rsidR="006F71BC">
        <w:rPr>
          <w:rStyle w:val="FootnoteReference"/>
        </w:rPr>
        <w:footnoteReference w:id="10"/>
      </w:r>
      <w:r w:rsidR="003F7FD5">
        <w:t xml:space="preserve"> Nelson notes that she was sceptical about the idea of a soul from the supernatural at all, despite the fact Cavendish was a Christian and did believe in God. In comparing these three writers </w:t>
      </w:r>
      <w:r w:rsidR="00655C5D">
        <w:t>this</w:t>
      </w:r>
      <w:r w:rsidR="003F7FD5">
        <w:t xml:space="preserve"> debate is extremely complex, the idea of the body being made of matter, and whether this enables the spiritual is an argument that ultimately has no </w:t>
      </w:r>
      <w:r w:rsidR="00655C5D">
        <w:t>proof,</w:t>
      </w:r>
      <w:r w:rsidR="003F7FD5">
        <w:t xml:space="preserve"> but it is fascinating to see the way that the philosophers both explained and debated it. </w:t>
      </w:r>
      <w:r w:rsidR="007B04D8">
        <w:t>What we can see from Voltaire that differs from the other writers discussed, is he uses the debate as proof of the existence of a supreme creator</w:t>
      </w:r>
      <w:r w:rsidR="0068020A">
        <w:t xml:space="preserve">, while Diderot and Cavendish offer a less concrete explanation. Even a religious individual like Cavendish was unable to have the same certainty that Voltaire had, and much of his confidence on the issue appears to come from Locke’s work. </w:t>
      </w:r>
    </w:p>
    <w:p w14:paraId="08E6FDE1" w14:textId="039953E0" w:rsidR="00172295" w:rsidRDefault="00172295" w:rsidP="00E82AD6">
      <w:r>
        <w:t xml:space="preserve">This chapter from Voltaire gives an insight into the enlightenment in a few, key areas. His admiration for Locke is a window into a major aspect of this movement; the experimental and the scientific. </w:t>
      </w:r>
      <w:r w:rsidR="00360E63">
        <w:t>During</w:t>
      </w:r>
      <w:r>
        <w:t xml:space="preserve"> the chapter Voltaire makes repeated mention to</w:t>
      </w:r>
      <w:r w:rsidR="004538DB">
        <w:t xml:space="preserve"> the need to</w:t>
      </w:r>
      <w:r>
        <w:t xml:space="preserve"> </w:t>
      </w:r>
      <w:r w:rsidR="004538DB">
        <w:t xml:space="preserve">prove certain ideas, and how </w:t>
      </w:r>
      <w:r w:rsidR="004538DB">
        <w:lastRenderedPageBreak/>
        <w:t xml:space="preserve">Locke was able to do this. </w:t>
      </w:r>
      <w:r w:rsidR="00C95437">
        <w:t>This is especially interesting considering Voltaire allies this desire for reason and logic with his belief in a supreme being, showing that during the enlightenment religion and the sciences could co-exist without a major issue.</w:t>
      </w:r>
      <w:r w:rsidR="0051691E">
        <w:t xml:space="preserve"> What is also enlightening is to read a writer who has the reputation that Voltaire possesses speaking so eloquently about his admiration for Locke and seeing how much he was able to take from him. This even takes the form of admitting his own ignorance on certain subjects. </w:t>
      </w:r>
      <w:r w:rsidR="00C95437">
        <w:t xml:space="preserve"> </w:t>
      </w:r>
      <w:r w:rsidR="002F3D48">
        <w:t xml:space="preserve">While Voltaire feels the work of a philosopher has such a small and harmless range, it is also important to accept Tancock’s condition in his introduction that the book is still a work of propaganda. Voltaire had been exiled from France and clearly had his criticisms of his home country. We know of his intense dislike of the Catholic Church also, and </w:t>
      </w:r>
      <w:r w:rsidR="0051691E">
        <w:t>there is a clear Deist agenda in the text, accusing some of ignorance in not recognising the Creator’s power. The chapter is a fascinating read even without an in-depth exploration of Voltaire’s work, and is written in a compelling and lucid way. It is an insight into</w:t>
      </w:r>
      <w:r w:rsidR="00B76FF2">
        <w:t xml:space="preserve"> not only</w:t>
      </w:r>
      <w:r w:rsidR="0051691E">
        <w:t xml:space="preserve"> one of the greatest enlightenment thinkers</w:t>
      </w:r>
      <w:r w:rsidR="00B76FF2">
        <w:t xml:space="preserve">, but two, and specifically the influence of Locke and his work. </w:t>
      </w:r>
    </w:p>
    <w:p w14:paraId="47B876E9" w14:textId="534388CA" w:rsidR="00A62135" w:rsidRPr="00D04523" w:rsidRDefault="00D04523" w:rsidP="00E82AD6">
      <w:pPr>
        <w:rPr>
          <w:u w:val="single"/>
        </w:rPr>
      </w:pPr>
      <w:r w:rsidRPr="00D04523">
        <w:rPr>
          <w:u w:val="single"/>
        </w:rPr>
        <w:t>Secondary Source</w:t>
      </w:r>
    </w:p>
    <w:p w14:paraId="53FD6A96" w14:textId="2C337C30" w:rsidR="00213E03" w:rsidRDefault="00A62135" w:rsidP="00E82AD6">
      <w:r>
        <w:t xml:space="preserve">The secondary source that will be analysed is from the 1972 book </w:t>
      </w:r>
      <w:r w:rsidRPr="00A62135">
        <w:rPr>
          <w:i/>
        </w:rPr>
        <w:t xml:space="preserve">The </w:t>
      </w:r>
      <w:r w:rsidR="003F6250" w:rsidRPr="00A62135">
        <w:rPr>
          <w:i/>
        </w:rPr>
        <w:t>Enlightenment</w:t>
      </w:r>
      <w:r w:rsidR="003F6250">
        <w:t xml:space="preserve"> and</w:t>
      </w:r>
      <w:r>
        <w:t xml:space="preserve"> was written by Lester G. Crocker in 1959. </w:t>
      </w:r>
      <w:r w:rsidR="003F6250">
        <w:t xml:space="preserve">The </w:t>
      </w:r>
      <w:r w:rsidR="00C41200">
        <w:t xml:space="preserve">excerpt </w:t>
      </w:r>
      <w:r w:rsidR="003F6250">
        <w:t xml:space="preserve">is titled ‘An Age of Crisis: </w:t>
      </w:r>
      <w:proofErr w:type="gramStart"/>
      <w:r w:rsidR="003F6250">
        <w:t>Man</w:t>
      </w:r>
      <w:proofErr w:type="gramEnd"/>
      <w:r w:rsidR="003F6250">
        <w:t xml:space="preserve"> and World in Eighteenth-Century French Thought’. </w:t>
      </w:r>
      <w:r w:rsidR="00FC58C6">
        <w:t xml:space="preserve">In introducing the </w:t>
      </w:r>
      <w:r w:rsidR="00C41200">
        <w:t xml:space="preserve">excerpt </w:t>
      </w:r>
      <w:r w:rsidR="00FC58C6">
        <w:t xml:space="preserve">Marsak states that there are criticisms to be levelled at his argument but that it is presented well, and it is reasonable that it would not have been included in the book had the editor not deemed it compelling and thought provoking enough. The </w:t>
      </w:r>
      <w:r w:rsidR="00C41200">
        <w:t xml:space="preserve">excerpt </w:t>
      </w:r>
      <w:r w:rsidR="00FC58C6">
        <w:t xml:space="preserve">touches on many significant considerations when looking at the Enlightenment, such as the relationship between man and the morality, reason, pessimism and self-interest of individuals. </w:t>
      </w:r>
    </w:p>
    <w:p w14:paraId="1333283D" w14:textId="0B101B4E" w:rsidR="00D35FF3" w:rsidRDefault="00144B18" w:rsidP="00E82AD6">
      <w:r>
        <w:t xml:space="preserve">The </w:t>
      </w:r>
      <w:r w:rsidR="00C43D92">
        <w:t>main body</w:t>
      </w:r>
      <w:r>
        <w:t xml:space="preserve"> of Crocker’s </w:t>
      </w:r>
      <w:r w:rsidR="00C41200">
        <w:t xml:space="preserve">excerpt </w:t>
      </w:r>
      <w:r>
        <w:t xml:space="preserve">concerns the idea of optimism during the Enlightenment. He argues that the optimism during this time was due to what human beings could achieve through enlightenment ideas rather than coming from human nature itself. He claims it was the idea of society that </w:t>
      </w:r>
      <w:r w:rsidR="00215AD2">
        <w:t>caused the pessimism</w:t>
      </w:r>
      <w:r w:rsidR="00AB2A65">
        <w:t xml:space="preserve"> amongst philosophers. He uses the example of Rousseau, deeming his idea of his ‘solution’ to this question of society an illusion and a detriment.</w:t>
      </w:r>
      <w:r w:rsidR="006F71BC">
        <w:rPr>
          <w:rStyle w:val="FootnoteReference"/>
        </w:rPr>
        <w:footnoteReference w:id="11"/>
      </w:r>
      <w:r w:rsidR="00AB2A65">
        <w:t xml:space="preserve"> </w:t>
      </w:r>
      <w:r w:rsidR="00AB2A65" w:rsidRPr="00AB2A65">
        <w:t>Deneys-Tunney</w:t>
      </w:r>
      <w:r w:rsidR="00AB2A65">
        <w:t xml:space="preserve"> see Rousseau’s theory concerning the ‘general will’ as the only way that man can truly be free, because the only way someone can fit into </w:t>
      </w:r>
      <w:r w:rsidR="00A01E40">
        <w:t>the organisation of society is if they understand their individual will comes after the will of the majority.</w:t>
      </w:r>
      <w:r w:rsidR="006F71BC">
        <w:rPr>
          <w:rStyle w:val="FootnoteReference"/>
        </w:rPr>
        <w:footnoteReference w:id="12"/>
      </w:r>
      <w:r w:rsidR="00A01E40">
        <w:t xml:space="preserve"> In reading Rousseau’s work, </w:t>
      </w:r>
      <w:r w:rsidR="00655C5D">
        <w:t>he</w:t>
      </w:r>
      <w:r w:rsidR="00A01E40">
        <w:t xml:space="preserve"> sees the progress that society has made as a negative and a limit to true humanity, which is of course a pessimistic viewpoint.</w:t>
      </w:r>
      <w:r w:rsidR="006F71BC">
        <w:rPr>
          <w:rStyle w:val="FootnoteReference"/>
        </w:rPr>
        <w:footnoteReference w:id="13"/>
      </w:r>
      <w:r w:rsidR="00A01E40">
        <w:t xml:space="preserve"> </w:t>
      </w:r>
      <w:r w:rsidR="00826299">
        <w:t>Mornet sees the philosophers first as having been ‘carefully reasoned optimism’</w:t>
      </w:r>
      <w:r w:rsidR="00AF16A7">
        <w:t>, meaning life is indeed good if arranged ‘rationally’.</w:t>
      </w:r>
      <w:r w:rsidR="006F71BC">
        <w:rPr>
          <w:rStyle w:val="FootnoteReference"/>
        </w:rPr>
        <w:footnoteReference w:id="14"/>
      </w:r>
      <w:r w:rsidR="00AF16A7">
        <w:t xml:space="preserve"> He cites Voltaire as someone who saw the world optimistically, that even if today has been full of difficulty then tomorrow could and will be better. He also cites Candide as reflecting this, </w:t>
      </w:r>
      <w:r w:rsidR="009D4AC7">
        <w:t xml:space="preserve">stating that the character after enduring so much still </w:t>
      </w:r>
      <w:r w:rsidR="003D4321">
        <w:t>has the strength to ‘tend to his garden’</w:t>
      </w:r>
      <w:r w:rsidR="009D4AC7">
        <w:t>.</w:t>
      </w:r>
      <w:r w:rsidR="006F71BC">
        <w:rPr>
          <w:rStyle w:val="FootnoteReference"/>
        </w:rPr>
        <w:footnoteReference w:id="15"/>
      </w:r>
      <w:r w:rsidR="009D4AC7">
        <w:t xml:space="preserve"> Optimism surrounding morality would go through a change during this time due to the debates surrounding religion and faith, going back to</w:t>
      </w:r>
      <w:r w:rsidR="00655C5D">
        <w:t xml:space="preserve"> an</w:t>
      </w:r>
      <w:r w:rsidR="009D4AC7">
        <w:t xml:space="preserve"> earlier observation</w:t>
      </w:r>
      <w:r w:rsidR="00655C5D">
        <w:t xml:space="preserve"> by Crocker</w:t>
      </w:r>
      <w:r w:rsidR="009D4AC7">
        <w:t xml:space="preserve"> that man had achieved much more morally if</w:t>
      </w:r>
      <w:r w:rsidR="001D4143">
        <w:t xml:space="preserve"> you believe that</w:t>
      </w:r>
      <w:r w:rsidR="009D4AC7">
        <w:t xml:space="preserve"> it </w:t>
      </w:r>
      <w:r w:rsidR="001D4143">
        <w:lastRenderedPageBreak/>
        <w:t>was not</w:t>
      </w:r>
      <w:r w:rsidR="009D4AC7">
        <w:t xml:space="preserve"> be</w:t>
      </w:r>
      <w:r w:rsidR="001D4143">
        <w:t>ing</w:t>
      </w:r>
      <w:r w:rsidR="009D4AC7">
        <w:t xml:space="preserve"> guided by God</w:t>
      </w:r>
      <w:r w:rsidR="001D4143">
        <w:t>, as the good and rejection</w:t>
      </w:r>
      <w:r w:rsidR="003C743B">
        <w:t xml:space="preserve"> of evil had</w:t>
      </w:r>
      <w:r w:rsidR="001D4143">
        <w:t xml:space="preserve"> therefore </w:t>
      </w:r>
      <w:r w:rsidR="00231B41">
        <w:t>come</w:t>
      </w:r>
      <w:r w:rsidR="001D4143">
        <w:t xml:space="preserve"> from within</w:t>
      </w:r>
      <w:r w:rsidR="009D4AC7">
        <w:t xml:space="preserve">. </w:t>
      </w:r>
      <w:r w:rsidR="00231B41">
        <w:t xml:space="preserve">Crocker sums this up by asserting that the Philosophers were aware of the dangers of man and self-interest but were unaware of how difficult it is to control this. </w:t>
      </w:r>
    </w:p>
    <w:p w14:paraId="322A9800" w14:textId="0296CBB8" w:rsidR="00D35FF3" w:rsidRDefault="009D4AC7" w:rsidP="00E82AD6">
      <w:r>
        <w:t xml:space="preserve">Crocker </w:t>
      </w:r>
      <w:r w:rsidR="00231B41">
        <w:t>then</w:t>
      </w:r>
      <w:r>
        <w:t xml:space="preserve"> delves into debate surrounding the French Revolution, when discussing the </w:t>
      </w:r>
      <w:r w:rsidR="003D4321">
        <w:t xml:space="preserve">idea of the </w:t>
      </w:r>
      <w:r>
        <w:t xml:space="preserve">general will. </w:t>
      </w:r>
      <w:r w:rsidR="007035B5">
        <w:t>He argues that Robespierre saw himself at the outset of the revolution as a moralist, and who campaigned for the end of the death penalty. He argues that Robespierre’s change to a totalitarian figure is because his morality was based in ‘social unity’ and not ‘ethical principle’.</w:t>
      </w:r>
      <w:r w:rsidR="006F71BC">
        <w:rPr>
          <w:rStyle w:val="FootnoteReference"/>
        </w:rPr>
        <w:footnoteReference w:id="16"/>
      </w:r>
      <w:r w:rsidR="007035B5">
        <w:t xml:space="preserve"> </w:t>
      </w:r>
      <w:r w:rsidR="0024483A">
        <w:t>Crocker sees this as proof that all those</w:t>
      </w:r>
      <w:r w:rsidR="009216FF">
        <w:t xml:space="preserve"> totalitarian leaders or governments in</w:t>
      </w:r>
      <w:r w:rsidR="0024483A">
        <w:t xml:space="preserve"> history </w:t>
      </w:r>
      <w:r w:rsidR="009216FF">
        <w:t xml:space="preserve">considered themselves the one who understands the collective will of the people. </w:t>
      </w:r>
      <w:r w:rsidR="00B27A7E">
        <w:t xml:space="preserve">This reputation </w:t>
      </w:r>
      <w:r w:rsidR="00DB30FF">
        <w:t>as a corrupted hypocrite is disputed in part by Linton. She sees him as a figure who saw the execution as Louis XVI as a necessary evil despite his opposition to the death penalty, and that it was for the greater good.</w:t>
      </w:r>
      <w:r w:rsidR="006F71BC">
        <w:rPr>
          <w:rStyle w:val="FootnoteReference"/>
        </w:rPr>
        <w:footnoteReference w:id="17"/>
      </w:r>
      <w:r w:rsidR="00DB30FF">
        <w:t xml:space="preserve"> Crocker describes the execution in cutting terms stating, ‘It was God was guillotined on January 21, 1793.’</w:t>
      </w:r>
      <w:r w:rsidR="006F71BC">
        <w:rPr>
          <w:rStyle w:val="FootnoteReference"/>
        </w:rPr>
        <w:footnoteReference w:id="18"/>
      </w:r>
      <w:r w:rsidR="00DB30FF">
        <w:t xml:space="preserve"> </w:t>
      </w:r>
      <w:r w:rsidR="00B909A2">
        <w:t xml:space="preserve">Linton </w:t>
      </w:r>
      <w:r w:rsidR="00C97CD4">
        <w:t>also views the power that Robespierre gained</w:t>
      </w:r>
      <w:r w:rsidR="001D4143">
        <w:t xml:space="preserve"> as having</w:t>
      </w:r>
      <w:r w:rsidR="00C97CD4">
        <w:t xml:space="preserve"> changed his attitude in the way it does to all politicians who make the change from opposition to government.</w:t>
      </w:r>
      <w:r w:rsidR="006F71BC">
        <w:rPr>
          <w:rStyle w:val="FootnoteReference"/>
        </w:rPr>
        <w:footnoteReference w:id="19"/>
      </w:r>
      <w:r w:rsidR="00C97CD4">
        <w:t xml:space="preserve"> She also describes the way that he genuinely thought the actions of the Terror would </w:t>
      </w:r>
      <w:r w:rsidR="0048713A">
        <w:t xml:space="preserve">bring about the society he wanted, and his moral convictions were still in effect, especially in his personal life. While this may be </w:t>
      </w:r>
      <w:r w:rsidR="001D4143">
        <w:t>true,</w:t>
      </w:r>
      <w:r w:rsidR="00655C5D">
        <w:t xml:space="preserve"> and</w:t>
      </w:r>
      <w:r w:rsidR="0048713A">
        <w:t xml:space="preserve"> it is difficult to justify someone having a </w:t>
      </w:r>
      <w:r w:rsidR="00DF580E">
        <w:t>deep-rooted</w:t>
      </w:r>
      <w:r w:rsidR="0048713A">
        <w:t xml:space="preserve"> virtue while overseeing so many executions, it is a fair point that so many people in the past have sacrificed their beliefs when they come to power, and Linton reminds the reader of the difficult political climate that Robespierre entered. </w:t>
      </w:r>
      <w:r w:rsidR="00806574">
        <w:t>She also mentions that he created the ‘festival of the supreme being’, an event based in enlightenment and deist thought.</w:t>
      </w:r>
      <w:r w:rsidR="006F71BC">
        <w:rPr>
          <w:rStyle w:val="FootnoteReference"/>
        </w:rPr>
        <w:footnoteReference w:id="20"/>
      </w:r>
      <w:r w:rsidR="00806574">
        <w:t xml:space="preserve"> Her study of Robespierre is more nuanced than that of Crocker, the example of Napoleon for instance as someone who still maintains a heroic reputation despite sending many men to war for his own gain, whilst Robespierre remains a hated figure is a compelling one. It is in this instance that it is fair to question Crocker’s assertion that </w:t>
      </w:r>
      <w:r w:rsidR="00637E82">
        <w:t xml:space="preserve">Robespierre’s morality did not have an ethical basis, because prior to gaining power we can </w:t>
      </w:r>
      <w:r w:rsidR="001D4143">
        <w:t>argue</w:t>
      </w:r>
      <w:r w:rsidR="00637E82">
        <w:t xml:space="preserve"> that it did. </w:t>
      </w:r>
    </w:p>
    <w:p w14:paraId="03281E2B" w14:textId="5721BB11" w:rsidR="00637E82" w:rsidRDefault="00637E82" w:rsidP="00E82AD6">
      <w:r>
        <w:t xml:space="preserve">The final part of the </w:t>
      </w:r>
      <w:r w:rsidR="00C41200">
        <w:t xml:space="preserve">excerpt </w:t>
      </w:r>
      <w:r>
        <w:t xml:space="preserve">relates to the </w:t>
      </w:r>
      <w:r w:rsidRPr="00637E82">
        <w:rPr>
          <w:i/>
        </w:rPr>
        <w:t>philosophes</w:t>
      </w:r>
      <w:r>
        <w:t xml:space="preserve"> themselves. In the introduction to the piece Marsak claims that it is Crocker’s intention to lay </w:t>
      </w:r>
      <w:r w:rsidR="00FC613C">
        <w:t xml:space="preserve">blame on them for their ideas helping to break down religion during the eighteenth century, giving us the world and the problems that have been experienced since.  This is perhaps not completely fair however as Crocker does clarify that it would be ‘absurd’ to lay the blame at the </w:t>
      </w:r>
      <w:r w:rsidR="00FC613C" w:rsidRPr="00FC613C">
        <w:rPr>
          <w:i/>
        </w:rPr>
        <w:t>phil</w:t>
      </w:r>
      <w:r w:rsidR="00FC613C">
        <w:rPr>
          <w:i/>
        </w:rPr>
        <w:t>o</w:t>
      </w:r>
      <w:r w:rsidR="00FC613C" w:rsidRPr="00FC613C">
        <w:rPr>
          <w:i/>
        </w:rPr>
        <w:t>sophes</w:t>
      </w:r>
      <w:r w:rsidR="00FC613C">
        <w:t xml:space="preserve">, explaining that the legacy they left presented the world with new opportunities, even if they were not fully realised. It is since the French revolution, he claims, that this hope for humanity has been lost. </w:t>
      </w:r>
      <w:r w:rsidR="008822A7">
        <w:t xml:space="preserve">It is a fair point that there have been many difficult moments from humanity since then, but it seems odd to bemoan the fact a perfect social situation </w:t>
      </w:r>
      <w:r w:rsidR="000E5816">
        <w:t>had never</w:t>
      </w:r>
      <w:r w:rsidR="008822A7">
        <w:t xml:space="preserve"> not realised.</w:t>
      </w:r>
      <w:r w:rsidR="000E5816">
        <w:t xml:space="preserve"> </w:t>
      </w:r>
      <w:r w:rsidR="008822A7">
        <w:t>The philosophers themselves did not have a consensus on what the idea</w:t>
      </w:r>
      <w:r w:rsidR="001D4143">
        <w:t>l</w:t>
      </w:r>
      <w:r w:rsidR="008822A7">
        <w:t xml:space="preserve"> social order was, Voltaire and Rousseau for instance would have very different views on what that constituted. Rather than seeing the revolution as a moment of something ending, you can, as Wilder states, see the legacy it left.</w:t>
      </w:r>
      <w:r w:rsidR="006F71BC">
        <w:rPr>
          <w:rStyle w:val="FootnoteReference"/>
        </w:rPr>
        <w:footnoteReference w:id="21"/>
      </w:r>
      <w:r w:rsidR="008822A7">
        <w:t xml:space="preserve"> This includes a democracies that represent its people, social equality among those people as well as the church and state becoming separate entities. It appears </w:t>
      </w:r>
      <w:r w:rsidR="008822A7">
        <w:lastRenderedPageBreak/>
        <w:t>that th</w:t>
      </w:r>
      <w:r w:rsidR="00C41200">
        <w:t>e</w:t>
      </w:r>
      <w:r w:rsidR="008822A7">
        <w:t xml:space="preserve"> ending </w:t>
      </w:r>
      <w:r w:rsidR="00C41200">
        <w:t>to this passage from</w:t>
      </w:r>
      <w:r w:rsidR="008822A7">
        <w:t xml:space="preserve"> Crocker is itself rather pessimistic and without the hope for tomorrow someone like Voltaire would have. </w:t>
      </w:r>
    </w:p>
    <w:p w14:paraId="2728D16E" w14:textId="0742672D" w:rsidR="008822A7" w:rsidRDefault="008822A7" w:rsidP="00E82AD6">
      <w:r>
        <w:t xml:space="preserve">This </w:t>
      </w:r>
      <w:r w:rsidR="00C41200">
        <w:t>excerpt is</w:t>
      </w:r>
      <w:r>
        <w:t xml:space="preserve"> valuable to understanding the enlightenment </w:t>
      </w:r>
      <w:r w:rsidR="00C41200">
        <w:t xml:space="preserve">as it takes on key themes from the time, namely morality and human nature. Naturally it is important to keep in mind this is a piece of text taken from a book which the editor describes as rather lengthy, so we do not have more of Crocker’s work to analyse, and this text </w:t>
      </w:r>
      <w:r w:rsidR="001D4143">
        <w:t xml:space="preserve">will have </w:t>
      </w:r>
      <w:r w:rsidR="00C41200">
        <w:t>been picked a certain reason. This is probably down to its thought-provoking nature and the fact Marsak does not completely agree with all its sentiments, giving his book a more rounded perspective. The text itself deals with the complex nature of</w:t>
      </w:r>
      <w:r w:rsidR="001D4143">
        <w:t xml:space="preserve"> human</w:t>
      </w:r>
      <w:r w:rsidR="00C41200">
        <w:t xml:space="preserve"> nature in a readable and manageable way that presents plenty to debate on. The aim of the text appears to be to join the historical debate surrounding this period</w:t>
      </w:r>
      <w:r w:rsidR="004D05FB">
        <w:t>,</w:t>
      </w:r>
      <w:r w:rsidR="00C41200">
        <w:t xml:space="preserve"> specifically around the French enlightenment. </w:t>
      </w:r>
      <w:r w:rsidR="004D05FB">
        <w:t xml:space="preserve">The arguments surrounding religion and optimism were the most agreeable parts of the text, particularly the parts that discussed mans basic state and the corruption of self-interest. The arguments concerning Robespierre and the revolution may have benefited from being more in depth, and on another occasion, it would be interesting to read more from this author and others on the nature on the historiography on the Terror. Overall, the text was a valuable insight into enlightenment thought, and dealt with the complex nature of humanity and society in a compelling manner. </w:t>
      </w:r>
    </w:p>
    <w:p w14:paraId="197CE897" w14:textId="67F3A805" w:rsidR="00C718A4" w:rsidRDefault="00C718A4" w:rsidP="00E82AD6"/>
    <w:p w14:paraId="0981A661" w14:textId="4DD8938E" w:rsidR="00C718A4" w:rsidRDefault="00C718A4" w:rsidP="00E82AD6"/>
    <w:p w14:paraId="08A190E5" w14:textId="394060A8" w:rsidR="00C718A4" w:rsidRDefault="00C718A4" w:rsidP="00E82AD6"/>
    <w:p w14:paraId="75C8E119" w14:textId="367074A4" w:rsidR="00C718A4" w:rsidRDefault="00C718A4" w:rsidP="00E82AD6"/>
    <w:p w14:paraId="0F44CF81" w14:textId="5DD92E86" w:rsidR="00C718A4" w:rsidRDefault="00C718A4" w:rsidP="00E82AD6"/>
    <w:p w14:paraId="5E827CBE" w14:textId="77777777" w:rsidR="006F71BC" w:rsidRDefault="006F71BC" w:rsidP="00E82AD6">
      <w:pPr>
        <w:rPr>
          <w:u w:val="single"/>
        </w:rPr>
      </w:pPr>
    </w:p>
    <w:p w14:paraId="2CF6CC72" w14:textId="77777777" w:rsidR="006F71BC" w:rsidRDefault="006F71BC" w:rsidP="00E82AD6">
      <w:pPr>
        <w:rPr>
          <w:u w:val="single"/>
        </w:rPr>
      </w:pPr>
    </w:p>
    <w:p w14:paraId="19FB4F02" w14:textId="77777777" w:rsidR="006F71BC" w:rsidRDefault="006F71BC" w:rsidP="00E82AD6">
      <w:pPr>
        <w:rPr>
          <w:u w:val="single"/>
        </w:rPr>
      </w:pPr>
    </w:p>
    <w:p w14:paraId="3E65F892" w14:textId="77777777" w:rsidR="006F71BC" w:rsidRDefault="006F71BC" w:rsidP="00E82AD6">
      <w:pPr>
        <w:rPr>
          <w:u w:val="single"/>
        </w:rPr>
      </w:pPr>
    </w:p>
    <w:p w14:paraId="6BBDFCD9" w14:textId="77777777" w:rsidR="006F71BC" w:rsidRDefault="006F71BC" w:rsidP="00E82AD6">
      <w:pPr>
        <w:rPr>
          <w:u w:val="single"/>
        </w:rPr>
      </w:pPr>
    </w:p>
    <w:p w14:paraId="1A924332" w14:textId="77777777" w:rsidR="006F71BC" w:rsidRDefault="006F71BC" w:rsidP="00E82AD6">
      <w:pPr>
        <w:rPr>
          <w:u w:val="single"/>
        </w:rPr>
      </w:pPr>
    </w:p>
    <w:p w14:paraId="47FD3701" w14:textId="77777777" w:rsidR="006F71BC" w:rsidRDefault="006F71BC" w:rsidP="00E82AD6">
      <w:pPr>
        <w:rPr>
          <w:u w:val="single"/>
        </w:rPr>
      </w:pPr>
    </w:p>
    <w:p w14:paraId="602FA96B" w14:textId="77777777" w:rsidR="006F71BC" w:rsidRDefault="006F71BC" w:rsidP="00E82AD6">
      <w:pPr>
        <w:rPr>
          <w:u w:val="single"/>
        </w:rPr>
      </w:pPr>
    </w:p>
    <w:p w14:paraId="0E007926" w14:textId="77777777" w:rsidR="006F71BC" w:rsidRDefault="006F71BC" w:rsidP="00E82AD6">
      <w:pPr>
        <w:rPr>
          <w:u w:val="single"/>
        </w:rPr>
      </w:pPr>
    </w:p>
    <w:p w14:paraId="4CC2B372" w14:textId="77777777" w:rsidR="006F71BC" w:rsidRDefault="006F71BC" w:rsidP="00E82AD6">
      <w:pPr>
        <w:rPr>
          <w:u w:val="single"/>
        </w:rPr>
      </w:pPr>
    </w:p>
    <w:p w14:paraId="76E3285E" w14:textId="77777777" w:rsidR="006F71BC" w:rsidRDefault="006F71BC" w:rsidP="00E82AD6">
      <w:pPr>
        <w:rPr>
          <w:u w:val="single"/>
        </w:rPr>
      </w:pPr>
    </w:p>
    <w:p w14:paraId="05C85FDB" w14:textId="77777777" w:rsidR="00AC03D9" w:rsidRDefault="00AC03D9" w:rsidP="00E82AD6">
      <w:pPr>
        <w:rPr>
          <w:u w:val="single"/>
        </w:rPr>
      </w:pPr>
    </w:p>
    <w:p w14:paraId="14BCDF1A" w14:textId="77777777" w:rsidR="00AC03D9" w:rsidRDefault="00AC03D9" w:rsidP="00E82AD6">
      <w:pPr>
        <w:rPr>
          <w:u w:val="single"/>
        </w:rPr>
      </w:pPr>
    </w:p>
    <w:p w14:paraId="44A84FFB" w14:textId="77777777" w:rsidR="00D673BE" w:rsidRDefault="00D673BE" w:rsidP="00E82AD6">
      <w:pPr>
        <w:rPr>
          <w:u w:val="single"/>
        </w:rPr>
      </w:pPr>
    </w:p>
    <w:p w14:paraId="6FDAC064" w14:textId="260FBBE7" w:rsidR="00C718A4" w:rsidRDefault="00C718A4" w:rsidP="00E82AD6">
      <w:pPr>
        <w:rPr>
          <w:u w:val="single"/>
        </w:rPr>
      </w:pPr>
      <w:bookmarkStart w:id="0" w:name="_GoBack"/>
      <w:bookmarkEnd w:id="0"/>
      <w:r w:rsidRPr="00C718A4">
        <w:rPr>
          <w:u w:val="single"/>
        </w:rPr>
        <w:lastRenderedPageBreak/>
        <w:t>Bibliography</w:t>
      </w:r>
    </w:p>
    <w:p w14:paraId="17D5584D" w14:textId="02DDF7E4" w:rsidR="00C718A4" w:rsidRDefault="00C718A4" w:rsidP="00E82AD6">
      <w:pPr>
        <w:rPr>
          <w:u w:val="single"/>
        </w:rPr>
      </w:pPr>
      <w:r>
        <w:rPr>
          <w:u w:val="single"/>
        </w:rPr>
        <w:t xml:space="preserve">Primary Sources </w:t>
      </w:r>
    </w:p>
    <w:p w14:paraId="187BA66B" w14:textId="0C68EDD5" w:rsidR="00913125" w:rsidRPr="00913125" w:rsidRDefault="00913125" w:rsidP="00E82AD6">
      <w:r>
        <w:t xml:space="preserve">Rousseau, Jean-Jacques, Ed by Brumfitt, J. H. and Hall, J. C. </w:t>
      </w:r>
      <w:r w:rsidRPr="00913125">
        <w:rPr>
          <w:i/>
        </w:rPr>
        <w:t>The Social Contract and Discourses</w:t>
      </w:r>
      <w:r>
        <w:t xml:space="preserve"> (London, David Campbell Publishers, 1973). </w:t>
      </w:r>
    </w:p>
    <w:p w14:paraId="3199FF5A" w14:textId="370D5645" w:rsidR="00C718A4" w:rsidRDefault="00C718A4" w:rsidP="00E82AD6">
      <w:r>
        <w:t>Voltaire</w:t>
      </w:r>
      <w:r w:rsidR="00BD35D9">
        <w:t>,</w:t>
      </w:r>
      <w:r>
        <w:t xml:space="preserve"> </w:t>
      </w:r>
      <w:r w:rsidR="00BD35D9">
        <w:t>(</w:t>
      </w:r>
      <w:r>
        <w:t>Ed by Tancock</w:t>
      </w:r>
      <w:r w:rsidR="00BD35D9">
        <w:t>)</w:t>
      </w:r>
      <w:r>
        <w:t xml:space="preserve"> Leonard. </w:t>
      </w:r>
      <w:r w:rsidRPr="00C718A4">
        <w:rPr>
          <w:i/>
        </w:rPr>
        <w:t>Letters on England</w:t>
      </w:r>
      <w:r>
        <w:rPr>
          <w:i/>
        </w:rPr>
        <w:t xml:space="preserve"> </w:t>
      </w:r>
      <w:r>
        <w:t>(London, Penguin Books, 1980)</w:t>
      </w:r>
      <w:r w:rsidR="00913125">
        <w:t xml:space="preserve">. </w:t>
      </w:r>
    </w:p>
    <w:p w14:paraId="4D5649A4" w14:textId="51E590C5" w:rsidR="00913125" w:rsidRDefault="00913125" w:rsidP="00E82AD6">
      <w:pPr>
        <w:rPr>
          <w:u w:val="single"/>
        </w:rPr>
      </w:pPr>
      <w:r w:rsidRPr="00913125">
        <w:rPr>
          <w:u w:val="single"/>
        </w:rPr>
        <w:t>Secondary Sources</w:t>
      </w:r>
    </w:p>
    <w:p w14:paraId="6EEFC32F" w14:textId="74E5EFF7" w:rsidR="000E5816" w:rsidRPr="000E5816" w:rsidRDefault="000E5816" w:rsidP="00E82AD6">
      <w:r>
        <w:t xml:space="preserve">Deneys-Tunney, Anne. </w:t>
      </w:r>
      <w:r w:rsidRPr="000E5816">
        <w:rPr>
          <w:i/>
        </w:rPr>
        <w:t>Rousseau shows us that there is a way to break the chains – from within</w:t>
      </w:r>
      <w:r w:rsidRPr="000E5816">
        <w:rPr>
          <w:i/>
        </w:rPr>
        <w:t xml:space="preserve"> </w:t>
      </w:r>
      <w:r>
        <w:t>(15</w:t>
      </w:r>
      <w:r w:rsidRPr="000E5816">
        <w:rPr>
          <w:vertAlign w:val="superscript"/>
        </w:rPr>
        <w:t>th</w:t>
      </w:r>
      <w:r>
        <w:t xml:space="preserve"> July 2012) </w:t>
      </w:r>
      <w:hyperlink r:id="rId7" w:history="1">
        <w:r w:rsidRPr="004D3713">
          <w:rPr>
            <w:rStyle w:val="Hyperlink"/>
          </w:rPr>
          <w:t>https://www.theguardian.com/commentisfree/2012/jul/15/rousseau-shows-us-way-break-chains</w:t>
        </w:r>
      </w:hyperlink>
      <w:r>
        <w:t xml:space="preserve"> [Last Accessed: 9</w:t>
      </w:r>
      <w:r w:rsidRPr="000E5816">
        <w:rPr>
          <w:vertAlign w:val="superscript"/>
        </w:rPr>
        <w:t>th</w:t>
      </w:r>
      <w:r>
        <w:t xml:space="preserve"> October 2018] </w:t>
      </w:r>
    </w:p>
    <w:p w14:paraId="56948A6F" w14:textId="04D87D3D" w:rsidR="00913125" w:rsidRDefault="00913125" w:rsidP="00E82AD6">
      <w:r>
        <w:t>Lanson, Gustave.</w:t>
      </w:r>
      <w:r w:rsidRPr="00913125">
        <w:rPr>
          <w:i/>
        </w:rPr>
        <w:t xml:space="preserve"> Voltaire</w:t>
      </w:r>
      <w:r>
        <w:rPr>
          <w:i/>
        </w:rPr>
        <w:t xml:space="preserve"> </w:t>
      </w:r>
      <w:r>
        <w:t xml:space="preserve">(Paris, John Wiley &amp; Sons, 1966). </w:t>
      </w:r>
    </w:p>
    <w:p w14:paraId="00493EB1" w14:textId="384C436C" w:rsidR="00F34D4F" w:rsidRDefault="00F34D4F" w:rsidP="00E82AD6">
      <w:r w:rsidRPr="00F34D4F">
        <w:t xml:space="preserve">Linton, Marisa. </w:t>
      </w:r>
      <w:r w:rsidRPr="00AC03D9">
        <w:rPr>
          <w:i/>
        </w:rPr>
        <w:t>Robespierre and the Terror</w:t>
      </w:r>
      <w:r w:rsidRPr="00F34D4F">
        <w:t xml:space="preserve"> Vol. 56, 2006.</w:t>
      </w:r>
      <w:r>
        <w:t xml:space="preserve"> pp. 23-30. </w:t>
      </w:r>
    </w:p>
    <w:p w14:paraId="778DE1E3" w14:textId="10A580D6" w:rsidR="00AC03D9" w:rsidRDefault="00AC03D9" w:rsidP="00E82AD6">
      <w:r w:rsidRPr="00AC03D9">
        <w:t xml:space="preserve">Marsak, Leonard M. </w:t>
      </w:r>
      <w:r w:rsidRPr="00AC03D9">
        <w:rPr>
          <w:i/>
        </w:rPr>
        <w:t>The Enlightenment</w:t>
      </w:r>
      <w:r w:rsidRPr="00AC03D9">
        <w:t xml:space="preserve"> (London, John Wiley &amp; Sons, 1972).</w:t>
      </w:r>
    </w:p>
    <w:p w14:paraId="7F068148" w14:textId="4368A0E2" w:rsidR="00983BB5" w:rsidRDefault="00983BB5" w:rsidP="00E82AD6">
      <w:r w:rsidRPr="00983BB5">
        <w:t xml:space="preserve">Mornet, Daniel. </w:t>
      </w:r>
      <w:r w:rsidRPr="00AC03D9">
        <w:rPr>
          <w:i/>
        </w:rPr>
        <w:t>French Thought in the Eighteenth Century</w:t>
      </w:r>
      <w:r w:rsidRPr="00983BB5">
        <w:t xml:space="preserve"> (Archon Books, 1969).</w:t>
      </w:r>
    </w:p>
    <w:p w14:paraId="1FF0C4C3" w14:textId="7999FFEF" w:rsidR="00F34D4F" w:rsidRDefault="00F34D4F" w:rsidP="00F34D4F">
      <w:r>
        <w:t>Nelson, Holly Faith. “</w:t>
      </w:r>
      <w:r w:rsidRPr="00F34D4F">
        <w:rPr>
          <w:i/>
        </w:rPr>
        <w:t>A Good Christian, and a Good Natural Philosophe</w:t>
      </w:r>
      <w:r>
        <w:rPr>
          <w:i/>
        </w:rPr>
        <w:t>r,</w:t>
      </w:r>
      <w:r w:rsidRPr="00F34D4F">
        <w:rPr>
          <w:i/>
        </w:rPr>
        <w:t xml:space="preserve"> Margaret Cavendish's Theory of the Soul(s) in the Early Enlightenment</w:t>
      </w:r>
      <w:r>
        <w:t>.” Studies in Philology, Vol. 113, No. 4, 2016, pp. 947–969.</w:t>
      </w:r>
    </w:p>
    <w:p w14:paraId="6CB543ED" w14:textId="03909AC2" w:rsidR="00913125" w:rsidRDefault="00913125" w:rsidP="00E82AD6">
      <w:r>
        <w:t xml:space="preserve">Torrey, Norman L. </w:t>
      </w:r>
      <w:r w:rsidRPr="00913125">
        <w:rPr>
          <w:i/>
        </w:rPr>
        <w:t>The Spirit of Voltaire</w:t>
      </w:r>
      <w:r>
        <w:rPr>
          <w:i/>
        </w:rPr>
        <w:t xml:space="preserve"> </w:t>
      </w:r>
      <w:r>
        <w:t xml:space="preserve">(Oxford, The Marston Press, 1963). </w:t>
      </w:r>
    </w:p>
    <w:p w14:paraId="5D8DBAA6" w14:textId="4090659D" w:rsidR="006F71BC" w:rsidRPr="006F71BC" w:rsidRDefault="006F71BC" w:rsidP="00E82AD6">
      <w:r>
        <w:t xml:space="preserve">Wilde, Robert. </w:t>
      </w:r>
      <w:r w:rsidRPr="006F71BC">
        <w:rPr>
          <w:i/>
        </w:rPr>
        <w:t>The French Revolution, Its Outcome, and Legacy</w:t>
      </w:r>
      <w:r>
        <w:rPr>
          <w:i/>
        </w:rPr>
        <w:t xml:space="preserve"> </w:t>
      </w:r>
      <w:r>
        <w:t>(3</w:t>
      </w:r>
      <w:r w:rsidRPr="006F71BC">
        <w:rPr>
          <w:vertAlign w:val="superscript"/>
        </w:rPr>
        <w:t>rd</w:t>
      </w:r>
      <w:r>
        <w:t xml:space="preserve"> May 2018) </w:t>
      </w:r>
      <w:hyperlink r:id="rId8" w:history="1">
        <w:r w:rsidRPr="00416D21">
          <w:rPr>
            <w:rStyle w:val="Hyperlink"/>
          </w:rPr>
          <w:t>https://www.thoughtco.com/consequences-of-the-french-revolution-1221872</w:t>
        </w:r>
      </w:hyperlink>
      <w:r>
        <w:t xml:space="preserve"> [Last Accessed: 8</w:t>
      </w:r>
      <w:r w:rsidRPr="006F71BC">
        <w:rPr>
          <w:vertAlign w:val="superscript"/>
        </w:rPr>
        <w:t>th</w:t>
      </w:r>
      <w:r>
        <w:t xml:space="preserve"> </w:t>
      </w:r>
      <w:r w:rsidR="000E5816">
        <w:t>October</w:t>
      </w:r>
      <w:r>
        <w:t xml:space="preserve"> 2018]. </w:t>
      </w:r>
    </w:p>
    <w:sectPr w:rsidR="006F71BC" w:rsidRPr="006F71B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D99E8C0" w14:textId="77777777" w:rsidR="002505E8" w:rsidRDefault="002505E8" w:rsidP="00B909A2">
      <w:pPr>
        <w:spacing w:after="0" w:line="240" w:lineRule="auto"/>
      </w:pPr>
      <w:r>
        <w:separator/>
      </w:r>
    </w:p>
  </w:endnote>
  <w:endnote w:type="continuationSeparator" w:id="0">
    <w:p w14:paraId="71736A21" w14:textId="77777777" w:rsidR="002505E8" w:rsidRDefault="002505E8" w:rsidP="00B909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3DEE070" w14:textId="77777777" w:rsidR="002505E8" w:rsidRDefault="002505E8" w:rsidP="00B909A2">
      <w:pPr>
        <w:spacing w:after="0" w:line="240" w:lineRule="auto"/>
      </w:pPr>
      <w:r>
        <w:separator/>
      </w:r>
    </w:p>
  </w:footnote>
  <w:footnote w:type="continuationSeparator" w:id="0">
    <w:p w14:paraId="50C78148" w14:textId="77777777" w:rsidR="002505E8" w:rsidRDefault="002505E8" w:rsidP="00B909A2">
      <w:pPr>
        <w:spacing w:after="0" w:line="240" w:lineRule="auto"/>
      </w:pPr>
      <w:r>
        <w:continuationSeparator/>
      </w:r>
    </w:p>
  </w:footnote>
  <w:footnote w:id="1">
    <w:p w14:paraId="44A626B4" w14:textId="6EB570E7" w:rsidR="0030081D" w:rsidRDefault="0030081D">
      <w:pPr>
        <w:pStyle w:val="FootnoteText"/>
      </w:pPr>
      <w:r>
        <w:rPr>
          <w:rStyle w:val="FootnoteReference"/>
        </w:rPr>
        <w:footnoteRef/>
      </w:r>
      <w:r>
        <w:t xml:space="preserve"> </w:t>
      </w:r>
      <w:r w:rsidR="00BD35D9">
        <w:t xml:space="preserve">G. </w:t>
      </w:r>
      <w:r w:rsidR="00BD35D9" w:rsidRPr="00BD35D9">
        <w:t xml:space="preserve">Lanson, </w:t>
      </w:r>
      <w:r w:rsidR="00BD35D9" w:rsidRPr="00BD35D9">
        <w:rPr>
          <w:i/>
        </w:rPr>
        <w:t>Voltaire</w:t>
      </w:r>
      <w:r w:rsidR="00BD35D9" w:rsidRPr="00BD35D9">
        <w:t xml:space="preserve"> (Paris, John Wiley &amp; Sons, 1966).</w:t>
      </w:r>
      <w:r w:rsidR="00273482">
        <w:t xml:space="preserve"> p. </w:t>
      </w:r>
      <w:r w:rsidR="009D026D">
        <w:t xml:space="preserve">47. </w:t>
      </w:r>
    </w:p>
  </w:footnote>
  <w:footnote w:id="2">
    <w:p w14:paraId="68EACC73" w14:textId="303A879F" w:rsidR="0030081D" w:rsidRDefault="0030081D">
      <w:pPr>
        <w:pStyle w:val="FootnoteText"/>
      </w:pPr>
      <w:r>
        <w:rPr>
          <w:rStyle w:val="FootnoteReference"/>
        </w:rPr>
        <w:footnoteRef/>
      </w:r>
      <w:r>
        <w:t xml:space="preserve"> </w:t>
      </w:r>
      <w:r w:rsidR="00BD35D9" w:rsidRPr="00BD35D9">
        <w:t>Voltaire, (Ed by</w:t>
      </w:r>
      <w:r w:rsidR="00BD35D9">
        <w:t xml:space="preserve"> L.</w:t>
      </w:r>
      <w:r w:rsidR="00BD35D9" w:rsidRPr="00BD35D9">
        <w:t xml:space="preserve"> Tancock) </w:t>
      </w:r>
      <w:r w:rsidR="00BD35D9" w:rsidRPr="00BD35D9">
        <w:rPr>
          <w:i/>
        </w:rPr>
        <w:t>Letters on England</w:t>
      </w:r>
      <w:r w:rsidR="00BD35D9" w:rsidRPr="00BD35D9">
        <w:t xml:space="preserve"> (London, Penguin Books, 1980).</w:t>
      </w:r>
      <w:r w:rsidR="00BD35D9">
        <w:t xml:space="preserve"> p. 18. </w:t>
      </w:r>
    </w:p>
  </w:footnote>
  <w:footnote w:id="3">
    <w:p w14:paraId="333E48D2" w14:textId="4D60E5C6" w:rsidR="0030081D" w:rsidRDefault="0030081D">
      <w:pPr>
        <w:pStyle w:val="FootnoteText"/>
      </w:pPr>
      <w:r>
        <w:rPr>
          <w:rStyle w:val="FootnoteReference"/>
        </w:rPr>
        <w:footnoteRef/>
      </w:r>
      <w:r>
        <w:t xml:space="preserve"> </w:t>
      </w:r>
      <w:r w:rsidR="00965B3B">
        <w:t xml:space="preserve">Voltaire, p. 62. </w:t>
      </w:r>
    </w:p>
  </w:footnote>
  <w:footnote w:id="4">
    <w:p w14:paraId="0F122897" w14:textId="70C44D11" w:rsidR="0030081D" w:rsidRDefault="0030081D">
      <w:pPr>
        <w:pStyle w:val="FootnoteText"/>
      </w:pPr>
      <w:r>
        <w:rPr>
          <w:rStyle w:val="FootnoteReference"/>
        </w:rPr>
        <w:footnoteRef/>
      </w:r>
      <w:r>
        <w:t xml:space="preserve"> </w:t>
      </w:r>
      <w:r w:rsidR="00965B3B">
        <w:t xml:space="preserve">Voltaire, p. 63. </w:t>
      </w:r>
    </w:p>
  </w:footnote>
  <w:footnote w:id="5">
    <w:p w14:paraId="5AB8E6DB" w14:textId="5887C9E6" w:rsidR="0030081D" w:rsidRDefault="0030081D">
      <w:pPr>
        <w:pStyle w:val="FootnoteText"/>
      </w:pPr>
      <w:r>
        <w:rPr>
          <w:rStyle w:val="FootnoteReference"/>
        </w:rPr>
        <w:footnoteRef/>
      </w:r>
      <w:r w:rsidR="00965B3B">
        <w:t xml:space="preserve"> N. L.</w:t>
      </w:r>
      <w:r>
        <w:t xml:space="preserve"> </w:t>
      </w:r>
      <w:r w:rsidR="00965B3B" w:rsidRPr="00965B3B">
        <w:t xml:space="preserve">Torrey, </w:t>
      </w:r>
      <w:r w:rsidR="00965B3B" w:rsidRPr="00965B3B">
        <w:rPr>
          <w:i/>
        </w:rPr>
        <w:t>The Spirit of Voltaire</w:t>
      </w:r>
      <w:r w:rsidR="00965B3B" w:rsidRPr="00965B3B">
        <w:t xml:space="preserve"> (Oxford, The Marston Press, 1963).</w:t>
      </w:r>
      <w:r w:rsidR="00965B3B">
        <w:t xml:space="preserve"> p. 259. </w:t>
      </w:r>
    </w:p>
  </w:footnote>
  <w:footnote w:id="6">
    <w:p w14:paraId="68FDD293" w14:textId="36A2BB8B" w:rsidR="006F71BC" w:rsidRDefault="006F71BC">
      <w:pPr>
        <w:pStyle w:val="FootnoteText"/>
      </w:pPr>
      <w:r>
        <w:rPr>
          <w:rStyle w:val="FootnoteReference"/>
        </w:rPr>
        <w:footnoteRef/>
      </w:r>
      <w:r>
        <w:t xml:space="preserve"> </w:t>
      </w:r>
      <w:r w:rsidR="00965B3B">
        <w:t xml:space="preserve">Voltaire, p. 64. </w:t>
      </w:r>
    </w:p>
  </w:footnote>
  <w:footnote w:id="7">
    <w:p w14:paraId="2161E72D" w14:textId="5974DF8C" w:rsidR="006F71BC" w:rsidRDefault="006F71BC">
      <w:pPr>
        <w:pStyle w:val="FootnoteText"/>
      </w:pPr>
      <w:r>
        <w:rPr>
          <w:rStyle w:val="FootnoteReference"/>
        </w:rPr>
        <w:footnoteRef/>
      </w:r>
      <w:r>
        <w:t xml:space="preserve"> </w:t>
      </w:r>
      <w:r w:rsidR="000B2AC8">
        <w:t xml:space="preserve">Voltaire, p. 65. </w:t>
      </w:r>
    </w:p>
  </w:footnote>
  <w:footnote w:id="8">
    <w:p w14:paraId="7C5CE3CF" w14:textId="66D2CC89" w:rsidR="006F71BC" w:rsidRDefault="006F71BC">
      <w:pPr>
        <w:pStyle w:val="FootnoteText"/>
      </w:pPr>
      <w:r>
        <w:rPr>
          <w:rStyle w:val="FootnoteReference"/>
        </w:rPr>
        <w:footnoteRef/>
      </w:r>
      <w:r>
        <w:t xml:space="preserve"> </w:t>
      </w:r>
      <w:r w:rsidR="000B2AC8">
        <w:t xml:space="preserve">Ibid,. </w:t>
      </w:r>
    </w:p>
  </w:footnote>
  <w:footnote w:id="9">
    <w:p w14:paraId="62644516" w14:textId="2E82C84F" w:rsidR="006F71BC" w:rsidRDefault="006F71BC">
      <w:pPr>
        <w:pStyle w:val="FootnoteText"/>
      </w:pPr>
      <w:r>
        <w:rPr>
          <w:rStyle w:val="FootnoteReference"/>
        </w:rPr>
        <w:footnoteRef/>
      </w:r>
      <w:r w:rsidR="007B04D8">
        <w:t xml:space="preserve"> D.</w:t>
      </w:r>
      <w:r>
        <w:t xml:space="preserve"> </w:t>
      </w:r>
      <w:r w:rsidR="007B04D8" w:rsidRPr="007B04D8">
        <w:t xml:space="preserve">Mornet, </w:t>
      </w:r>
      <w:r w:rsidR="007B04D8" w:rsidRPr="007B04D8">
        <w:rPr>
          <w:i/>
        </w:rPr>
        <w:t>French Thought in the Eighteenth Century</w:t>
      </w:r>
      <w:r w:rsidR="007B04D8" w:rsidRPr="007B04D8">
        <w:t xml:space="preserve"> (Archon Books, 1969).</w:t>
      </w:r>
      <w:r w:rsidR="007B04D8">
        <w:t xml:space="preserve"> p. 64. </w:t>
      </w:r>
    </w:p>
  </w:footnote>
  <w:footnote w:id="10">
    <w:p w14:paraId="6DCB5C17" w14:textId="5163496D" w:rsidR="006F71BC" w:rsidRDefault="006F71BC">
      <w:pPr>
        <w:pStyle w:val="FootnoteText"/>
      </w:pPr>
      <w:r>
        <w:rPr>
          <w:rStyle w:val="FootnoteReference"/>
        </w:rPr>
        <w:footnoteRef/>
      </w:r>
      <w:r w:rsidR="0068020A">
        <w:t xml:space="preserve"> H. F.</w:t>
      </w:r>
      <w:r>
        <w:t xml:space="preserve"> </w:t>
      </w:r>
      <w:r w:rsidR="0068020A" w:rsidRPr="0068020A">
        <w:t>Nelson,</w:t>
      </w:r>
      <w:r w:rsidR="0068020A" w:rsidRPr="0068020A">
        <w:rPr>
          <w:i/>
        </w:rPr>
        <w:t xml:space="preserve"> “A Good Christian, and a Good Natural Philosopher, Margaret Cavendish's Theory of the Soul(s) in the Early Enlightenment.”</w:t>
      </w:r>
      <w:r w:rsidR="0068020A" w:rsidRPr="0068020A">
        <w:t xml:space="preserve"> Studies in Philology, Vol. 113, No. 4, 2016, p</w:t>
      </w:r>
      <w:r w:rsidR="0068020A">
        <w:t xml:space="preserve">. 960. </w:t>
      </w:r>
    </w:p>
  </w:footnote>
  <w:footnote w:id="11">
    <w:p w14:paraId="3BE74FC8" w14:textId="7ADDB257" w:rsidR="006F71BC" w:rsidRDefault="006F71BC">
      <w:pPr>
        <w:pStyle w:val="FootnoteText"/>
      </w:pPr>
      <w:r>
        <w:rPr>
          <w:rStyle w:val="FootnoteReference"/>
        </w:rPr>
        <w:footnoteRef/>
      </w:r>
      <w:r>
        <w:t xml:space="preserve"> </w:t>
      </w:r>
      <w:r w:rsidR="00D673BE" w:rsidRPr="00D673BE">
        <w:t xml:space="preserve">L. G. Crocker. </w:t>
      </w:r>
      <w:r w:rsidR="00D673BE" w:rsidRPr="00D673BE">
        <w:rPr>
          <w:i/>
        </w:rPr>
        <w:t>The Enlightenment</w:t>
      </w:r>
      <w:r w:rsidR="00D673BE" w:rsidRPr="00D673BE">
        <w:t xml:space="preserve"> (London, John Wiley &amp; Sons, 1972)</w:t>
      </w:r>
      <w:r w:rsidR="00D673BE">
        <w:t xml:space="preserve"> p. 181.</w:t>
      </w:r>
    </w:p>
  </w:footnote>
  <w:footnote w:id="12">
    <w:p w14:paraId="420441B0" w14:textId="1C209619" w:rsidR="006F71BC" w:rsidRDefault="006F71BC">
      <w:pPr>
        <w:pStyle w:val="FootnoteText"/>
      </w:pPr>
      <w:r>
        <w:rPr>
          <w:rStyle w:val="FootnoteReference"/>
        </w:rPr>
        <w:footnoteRef/>
      </w:r>
      <w:r w:rsidR="00B52677">
        <w:t xml:space="preserve"> A. </w:t>
      </w:r>
      <w:r w:rsidR="00B52677" w:rsidRPr="00B52677">
        <w:t xml:space="preserve">Deneys-Tunney, </w:t>
      </w:r>
      <w:r w:rsidR="00B52677" w:rsidRPr="00B52677">
        <w:rPr>
          <w:i/>
        </w:rPr>
        <w:t>Rousseau shows us that there is a way to break the chains – from within</w:t>
      </w:r>
      <w:r w:rsidR="00B52677" w:rsidRPr="00B52677">
        <w:t xml:space="preserve"> (15th July 2012) </w:t>
      </w:r>
      <w:hyperlink r:id="rId1" w:history="1">
        <w:r w:rsidR="00B52677" w:rsidRPr="004D3713">
          <w:rPr>
            <w:rStyle w:val="Hyperlink"/>
          </w:rPr>
          <w:t>https://www.theguardian.com/commentisfree/2012/jul/15/rousseau-shows-us-way-break-chains</w:t>
        </w:r>
      </w:hyperlink>
      <w:r w:rsidR="00B52677">
        <w:t xml:space="preserve"> </w:t>
      </w:r>
      <w:r w:rsidR="00B52677" w:rsidRPr="00B52677">
        <w:t>[Last Accessed: 9th October 2018]</w:t>
      </w:r>
      <w:r w:rsidR="00B52677">
        <w:t xml:space="preserve">. </w:t>
      </w:r>
    </w:p>
  </w:footnote>
  <w:footnote w:id="13">
    <w:p w14:paraId="18C44637" w14:textId="580799EE" w:rsidR="006F71BC" w:rsidRDefault="006F71BC">
      <w:pPr>
        <w:pStyle w:val="FootnoteText"/>
      </w:pPr>
      <w:r>
        <w:rPr>
          <w:rStyle w:val="FootnoteReference"/>
        </w:rPr>
        <w:footnoteRef/>
      </w:r>
      <w:r>
        <w:t xml:space="preserve"> </w:t>
      </w:r>
      <w:r w:rsidR="00B52677" w:rsidRPr="00B52677">
        <w:t xml:space="preserve">J.J Rousseau, (Ed by Brumfitt, J. H. and Hall, J. C.) </w:t>
      </w:r>
      <w:r w:rsidR="00B52677" w:rsidRPr="00D673BE">
        <w:rPr>
          <w:i/>
        </w:rPr>
        <w:t>The Social Contract and Discourses</w:t>
      </w:r>
      <w:r w:rsidR="00B52677" w:rsidRPr="00B52677">
        <w:t xml:space="preserve"> (London, David Campbell Publishers, 1973).</w:t>
      </w:r>
      <w:r w:rsidR="00B52677">
        <w:t xml:space="preserve"> p. 171. </w:t>
      </w:r>
    </w:p>
  </w:footnote>
  <w:footnote w:id="14">
    <w:p w14:paraId="39E89FB6" w14:textId="02EA4400" w:rsidR="006F71BC" w:rsidRDefault="006F71BC">
      <w:pPr>
        <w:pStyle w:val="FootnoteText"/>
      </w:pPr>
      <w:r>
        <w:rPr>
          <w:rStyle w:val="FootnoteReference"/>
        </w:rPr>
        <w:footnoteRef/>
      </w:r>
      <w:r>
        <w:t xml:space="preserve"> </w:t>
      </w:r>
      <w:r w:rsidR="00B52677">
        <w:t xml:space="preserve">Mornet, p. 54. </w:t>
      </w:r>
    </w:p>
  </w:footnote>
  <w:footnote w:id="15">
    <w:p w14:paraId="648D1E8C" w14:textId="7D7CDC00" w:rsidR="006F71BC" w:rsidRDefault="006F71BC">
      <w:pPr>
        <w:pStyle w:val="FootnoteText"/>
      </w:pPr>
      <w:r>
        <w:rPr>
          <w:rStyle w:val="FootnoteReference"/>
        </w:rPr>
        <w:footnoteRef/>
      </w:r>
      <w:r>
        <w:t xml:space="preserve"> </w:t>
      </w:r>
      <w:r w:rsidR="00B52677">
        <w:t xml:space="preserve">Mornet, p. 56. </w:t>
      </w:r>
    </w:p>
  </w:footnote>
  <w:footnote w:id="16">
    <w:p w14:paraId="641142C0" w14:textId="2CC625A3" w:rsidR="006F71BC" w:rsidRDefault="006F71BC">
      <w:pPr>
        <w:pStyle w:val="FootnoteText"/>
      </w:pPr>
      <w:r>
        <w:rPr>
          <w:rStyle w:val="FootnoteReference"/>
        </w:rPr>
        <w:footnoteRef/>
      </w:r>
      <w:r>
        <w:t xml:space="preserve"> </w:t>
      </w:r>
      <w:r w:rsidR="00D673BE">
        <w:t xml:space="preserve">Crocker, p. 180. </w:t>
      </w:r>
    </w:p>
  </w:footnote>
  <w:footnote w:id="17">
    <w:p w14:paraId="2C3D0E57" w14:textId="2027B32F" w:rsidR="006F71BC" w:rsidRDefault="006F71BC">
      <w:pPr>
        <w:pStyle w:val="FootnoteText"/>
      </w:pPr>
      <w:r>
        <w:rPr>
          <w:rStyle w:val="FootnoteReference"/>
        </w:rPr>
        <w:footnoteRef/>
      </w:r>
      <w:r>
        <w:t xml:space="preserve"> </w:t>
      </w:r>
      <w:r w:rsidR="0046252A">
        <w:t xml:space="preserve">M. </w:t>
      </w:r>
      <w:r w:rsidR="0046252A" w:rsidRPr="0046252A">
        <w:t xml:space="preserve">Linton, </w:t>
      </w:r>
      <w:r w:rsidR="0046252A" w:rsidRPr="0046252A">
        <w:rPr>
          <w:i/>
        </w:rPr>
        <w:t>Robespierre and the Terror</w:t>
      </w:r>
      <w:r w:rsidR="0046252A" w:rsidRPr="0046252A">
        <w:t xml:space="preserve"> Vol. 56, 2006.</w:t>
      </w:r>
      <w:r w:rsidR="0046252A">
        <w:t xml:space="preserve"> p. 25.</w:t>
      </w:r>
    </w:p>
  </w:footnote>
  <w:footnote w:id="18">
    <w:p w14:paraId="2CEC2027" w14:textId="3C2874BD" w:rsidR="006F71BC" w:rsidRDefault="006F71BC">
      <w:pPr>
        <w:pStyle w:val="FootnoteText"/>
      </w:pPr>
      <w:r>
        <w:rPr>
          <w:rStyle w:val="FootnoteReference"/>
        </w:rPr>
        <w:footnoteRef/>
      </w:r>
      <w:r>
        <w:t xml:space="preserve"> </w:t>
      </w:r>
      <w:r w:rsidR="00230CF0">
        <w:t xml:space="preserve">Crocker p. 181. </w:t>
      </w:r>
    </w:p>
  </w:footnote>
  <w:footnote w:id="19">
    <w:p w14:paraId="10C76E0A" w14:textId="02982756" w:rsidR="006F71BC" w:rsidRDefault="006F71BC">
      <w:pPr>
        <w:pStyle w:val="FootnoteText"/>
      </w:pPr>
      <w:r>
        <w:rPr>
          <w:rStyle w:val="FootnoteReference"/>
        </w:rPr>
        <w:footnoteRef/>
      </w:r>
      <w:r>
        <w:t xml:space="preserve"> </w:t>
      </w:r>
      <w:r w:rsidR="00230CF0">
        <w:t xml:space="preserve">Linton, p. 25. </w:t>
      </w:r>
    </w:p>
  </w:footnote>
  <w:footnote w:id="20">
    <w:p w14:paraId="7697572E" w14:textId="613F5EB9" w:rsidR="006F71BC" w:rsidRDefault="006F71BC">
      <w:pPr>
        <w:pStyle w:val="FootnoteText"/>
      </w:pPr>
      <w:r>
        <w:rPr>
          <w:rStyle w:val="FootnoteReference"/>
        </w:rPr>
        <w:footnoteRef/>
      </w:r>
      <w:r>
        <w:t xml:space="preserve"> </w:t>
      </w:r>
      <w:r w:rsidR="00230CF0">
        <w:t xml:space="preserve">Linton, p. 28. </w:t>
      </w:r>
    </w:p>
  </w:footnote>
  <w:footnote w:id="21">
    <w:p w14:paraId="2D85F6C4" w14:textId="1623CAAD" w:rsidR="006F71BC" w:rsidRDefault="006F71BC">
      <w:pPr>
        <w:pStyle w:val="FootnoteText"/>
      </w:pPr>
      <w:r>
        <w:rPr>
          <w:rStyle w:val="FootnoteReference"/>
        </w:rPr>
        <w:footnoteRef/>
      </w:r>
      <w:r w:rsidR="00230CF0">
        <w:t xml:space="preserve"> R.</w:t>
      </w:r>
      <w:r>
        <w:t xml:space="preserve"> </w:t>
      </w:r>
      <w:r w:rsidR="00230CF0" w:rsidRPr="00230CF0">
        <w:t xml:space="preserve">Wilde, </w:t>
      </w:r>
      <w:r w:rsidR="00230CF0" w:rsidRPr="00230CF0">
        <w:rPr>
          <w:i/>
        </w:rPr>
        <w:t>The French Revolution, Its Outcome, and Legacy</w:t>
      </w:r>
      <w:r w:rsidR="00230CF0" w:rsidRPr="00230CF0">
        <w:t xml:space="preserve"> (3rd May 2018)</w:t>
      </w:r>
      <w:r w:rsidR="00D673BE">
        <w:t xml:space="preserve"> </w:t>
      </w:r>
      <w:hyperlink r:id="rId2" w:history="1">
        <w:r w:rsidR="00230CF0" w:rsidRPr="004D3713">
          <w:rPr>
            <w:rStyle w:val="Hyperlink"/>
          </w:rPr>
          <w:t>https://www.thoughtco.com/consequences-of-the-french-revolution-1221872</w:t>
        </w:r>
      </w:hyperlink>
      <w:r w:rsidR="00230CF0">
        <w:t xml:space="preserve"> </w:t>
      </w:r>
      <w:r w:rsidR="00230CF0" w:rsidRPr="00230CF0">
        <w:t>[Last Accessed: 8th October 2018].</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4937"/>
    <w:rsid w:val="0003777E"/>
    <w:rsid w:val="00064E0D"/>
    <w:rsid w:val="00081167"/>
    <w:rsid w:val="00083FC9"/>
    <w:rsid w:val="00094A07"/>
    <w:rsid w:val="000B2AC8"/>
    <w:rsid w:val="000D6DAA"/>
    <w:rsid w:val="000E5816"/>
    <w:rsid w:val="000F6E0E"/>
    <w:rsid w:val="00114FD3"/>
    <w:rsid w:val="00133814"/>
    <w:rsid w:val="00144B18"/>
    <w:rsid w:val="00167E2E"/>
    <w:rsid w:val="00172295"/>
    <w:rsid w:val="001D4143"/>
    <w:rsid w:val="00203B23"/>
    <w:rsid w:val="00206DDA"/>
    <w:rsid w:val="00211118"/>
    <w:rsid w:val="00213E03"/>
    <w:rsid w:val="00214B85"/>
    <w:rsid w:val="00215AD2"/>
    <w:rsid w:val="00230CF0"/>
    <w:rsid w:val="00231B41"/>
    <w:rsid w:val="0024483A"/>
    <w:rsid w:val="002505E8"/>
    <w:rsid w:val="00273482"/>
    <w:rsid w:val="002A3008"/>
    <w:rsid w:val="002D1354"/>
    <w:rsid w:val="002D43DF"/>
    <w:rsid w:val="002F3D48"/>
    <w:rsid w:val="0030081D"/>
    <w:rsid w:val="00340F09"/>
    <w:rsid w:val="00360E63"/>
    <w:rsid w:val="003C743B"/>
    <w:rsid w:val="003D4321"/>
    <w:rsid w:val="003F1923"/>
    <w:rsid w:val="003F6250"/>
    <w:rsid w:val="003F7FD5"/>
    <w:rsid w:val="0040108C"/>
    <w:rsid w:val="004325A6"/>
    <w:rsid w:val="004538DB"/>
    <w:rsid w:val="0046252A"/>
    <w:rsid w:val="0048713A"/>
    <w:rsid w:val="004B2E0C"/>
    <w:rsid w:val="004D05FB"/>
    <w:rsid w:val="004D40B4"/>
    <w:rsid w:val="0051691E"/>
    <w:rsid w:val="005906B4"/>
    <w:rsid w:val="005D3942"/>
    <w:rsid w:val="005E4C15"/>
    <w:rsid w:val="006012AD"/>
    <w:rsid w:val="00616966"/>
    <w:rsid w:val="00637E82"/>
    <w:rsid w:val="00644544"/>
    <w:rsid w:val="00655C5D"/>
    <w:rsid w:val="0068020A"/>
    <w:rsid w:val="0068758B"/>
    <w:rsid w:val="006C4937"/>
    <w:rsid w:val="006F71BC"/>
    <w:rsid w:val="007035B5"/>
    <w:rsid w:val="00705B19"/>
    <w:rsid w:val="007B04D8"/>
    <w:rsid w:val="007E2105"/>
    <w:rsid w:val="007F5F7E"/>
    <w:rsid w:val="00806574"/>
    <w:rsid w:val="00826299"/>
    <w:rsid w:val="008407AE"/>
    <w:rsid w:val="00855945"/>
    <w:rsid w:val="008822A7"/>
    <w:rsid w:val="008908A5"/>
    <w:rsid w:val="00913125"/>
    <w:rsid w:val="009216FF"/>
    <w:rsid w:val="009462AE"/>
    <w:rsid w:val="0096212D"/>
    <w:rsid w:val="00964545"/>
    <w:rsid w:val="00965B3B"/>
    <w:rsid w:val="009837BD"/>
    <w:rsid w:val="00983BB5"/>
    <w:rsid w:val="009903AC"/>
    <w:rsid w:val="009D026D"/>
    <w:rsid w:val="009D4AC7"/>
    <w:rsid w:val="009D710F"/>
    <w:rsid w:val="009F4957"/>
    <w:rsid w:val="00A01D2C"/>
    <w:rsid w:val="00A01E40"/>
    <w:rsid w:val="00A20D55"/>
    <w:rsid w:val="00A61375"/>
    <w:rsid w:val="00A62135"/>
    <w:rsid w:val="00A653A2"/>
    <w:rsid w:val="00A91CF9"/>
    <w:rsid w:val="00AA7FF1"/>
    <w:rsid w:val="00AB02F7"/>
    <w:rsid w:val="00AB2A65"/>
    <w:rsid w:val="00AC03D9"/>
    <w:rsid w:val="00AD3B57"/>
    <w:rsid w:val="00AE074D"/>
    <w:rsid w:val="00AE2CE2"/>
    <w:rsid w:val="00AE7F2E"/>
    <w:rsid w:val="00AF16A7"/>
    <w:rsid w:val="00B204BB"/>
    <w:rsid w:val="00B221C1"/>
    <w:rsid w:val="00B27A7E"/>
    <w:rsid w:val="00B52677"/>
    <w:rsid w:val="00B72750"/>
    <w:rsid w:val="00B76FF2"/>
    <w:rsid w:val="00B87D10"/>
    <w:rsid w:val="00B90572"/>
    <w:rsid w:val="00B909A2"/>
    <w:rsid w:val="00BA0741"/>
    <w:rsid w:val="00BA6F99"/>
    <w:rsid w:val="00BD35D9"/>
    <w:rsid w:val="00C00C36"/>
    <w:rsid w:val="00C21A1D"/>
    <w:rsid w:val="00C21FB4"/>
    <w:rsid w:val="00C27499"/>
    <w:rsid w:val="00C339C1"/>
    <w:rsid w:val="00C41200"/>
    <w:rsid w:val="00C43D92"/>
    <w:rsid w:val="00C51E43"/>
    <w:rsid w:val="00C718A4"/>
    <w:rsid w:val="00C76B16"/>
    <w:rsid w:val="00C95437"/>
    <w:rsid w:val="00C97CD4"/>
    <w:rsid w:val="00CA0BA5"/>
    <w:rsid w:val="00CB6254"/>
    <w:rsid w:val="00CB6FEE"/>
    <w:rsid w:val="00CD5748"/>
    <w:rsid w:val="00CF5C36"/>
    <w:rsid w:val="00D04523"/>
    <w:rsid w:val="00D35FF3"/>
    <w:rsid w:val="00D60C92"/>
    <w:rsid w:val="00D673BE"/>
    <w:rsid w:val="00D815A3"/>
    <w:rsid w:val="00D91A37"/>
    <w:rsid w:val="00D94AFA"/>
    <w:rsid w:val="00DB30FF"/>
    <w:rsid w:val="00DC26DE"/>
    <w:rsid w:val="00DF580E"/>
    <w:rsid w:val="00DF6676"/>
    <w:rsid w:val="00E15111"/>
    <w:rsid w:val="00E63832"/>
    <w:rsid w:val="00E82AD6"/>
    <w:rsid w:val="00E92C45"/>
    <w:rsid w:val="00EE05A6"/>
    <w:rsid w:val="00F34D4F"/>
    <w:rsid w:val="00F559DE"/>
    <w:rsid w:val="00F70412"/>
    <w:rsid w:val="00F75CD7"/>
    <w:rsid w:val="00FC58C6"/>
    <w:rsid w:val="00FC613C"/>
    <w:rsid w:val="00FD40C6"/>
    <w:rsid w:val="00FD45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AEBF492"/>
  <w15:chartTrackingRefBased/>
  <w15:docId w15:val="{487B2EFB-A3EC-4012-B97F-4ED9F99B62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909A2"/>
    <w:pPr>
      <w:tabs>
        <w:tab w:val="center" w:pos="4513"/>
        <w:tab w:val="right" w:pos="9026"/>
      </w:tabs>
      <w:spacing w:after="0" w:line="240" w:lineRule="auto"/>
    </w:pPr>
  </w:style>
  <w:style w:type="character" w:customStyle="1" w:styleId="HeaderChar">
    <w:name w:val="Header Char"/>
    <w:basedOn w:val="DefaultParagraphFont"/>
    <w:link w:val="Header"/>
    <w:uiPriority w:val="99"/>
    <w:rsid w:val="00B909A2"/>
  </w:style>
  <w:style w:type="paragraph" w:styleId="Footer">
    <w:name w:val="footer"/>
    <w:basedOn w:val="Normal"/>
    <w:link w:val="FooterChar"/>
    <w:uiPriority w:val="99"/>
    <w:unhideWhenUsed/>
    <w:rsid w:val="00B909A2"/>
    <w:pPr>
      <w:tabs>
        <w:tab w:val="center" w:pos="4513"/>
        <w:tab w:val="right" w:pos="9026"/>
      </w:tabs>
      <w:spacing w:after="0" w:line="240" w:lineRule="auto"/>
    </w:pPr>
  </w:style>
  <w:style w:type="character" w:customStyle="1" w:styleId="FooterChar">
    <w:name w:val="Footer Char"/>
    <w:basedOn w:val="DefaultParagraphFont"/>
    <w:link w:val="Footer"/>
    <w:uiPriority w:val="99"/>
    <w:rsid w:val="00B909A2"/>
  </w:style>
  <w:style w:type="paragraph" w:styleId="FootnoteText">
    <w:name w:val="footnote text"/>
    <w:basedOn w:val="Normal"/>
    <w:link w:val="FootnoteTextChar"/>
    <w:uiPriority w:val="99"/>
    <w:semiHidden/>
    <w:unhideWhenUsed/>
    <w:rsid w:val="0030081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0081D"/>
    <w:rPr>
      <w:sz w:val="20"/>
      <w:szCs w:val="20"/>
    </w:rPr>
  </w:style>
  <w:style w:type="character" w:styleId="FootnoteReference">
    <w:name w:val="footnote reference"/>
    <w:basedOn w:val="DefaultParagraphFont"/>
    <w:uiPriority w:val="99"/>
    <w:semiHidden/>
    <w:unhideWhenUsed/>
    <w:rsid w:val="0030081D"/>
    <w:rPr>
      <w:vertAlign w:val="superscript"/>
    </w:rPr>
  </w:style>
  <w:style w:type="character" w:styleId="Hyperlink">
    <w:name w:val="Hyperlink"/>
    <w:basedOn w:val="DefaultParagraphFont"/>
    <w:uiPriority w:val="99"/>
    <w:unhideWhenUsed/>
    <w:rsid w:val="006F71BC"/>
    <w:rPr>
      <w:color w:val="0563C1" w:themeColor="hyperlink"/>
      <w:u w:val="single"/>
    </w:rPr>
  </w:style>
  <w:style w:type="character" w:styleId="UnresolvedMention">
    <w:name w:val="Unresolved Mention"/>
    <w:basedOn w:val="DefaultParagraphFont"/>
    <w:uiPriority w:val="99"/>
    <w:semiHidden/>
    <w:unhideWhenUsed/>
    <w:rsid w:val="006F71B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oughtco.com/consequences-of-the-french-revolution-1221872" TargetMode="External"/><Relationship Id="rId3" Type="http://schemas.openxmlformats.org/officeDocument/2006/relationships/settings" Target="settings.xml"/><Relationship Id="rId7" Type="http://schemas.openxmlformats.org/officeDocument/2006/relationships/hyperlink" Target="https://www.theguardian.com/commentisfree/2012/jul/15/rousseau-shows-us-way-break-chains"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2" Type="http://schemas.openxmlformats.org/officeDocument/2006/relationships/hyperlink" Target="https://www.thoughtco.com/consequences-of-the-french-revolution-1221872" TargetMode="External"/><Relationship Id="rId1" Type="http://schemas.openxmlformats.org/officeDocument/2006/relationships/hyperlink" Target="https://www.theguardian.com/commentisfree/2012/jul/15/rousseau-shows-us-way-break-chai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A538C2-C38A-4C0D-A303-1C81F84CF8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1652</TotalTime>
  <Pages>6</Pages>
  <Words>2633</Words>
  <Characters>15012</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 Woodgate</dc:creator>
  <cp:keywords/>
  <dc:description/>
  <cp:lastModifiedBy>Martin Woodgate</cp:lastModifiedBy>
  <cp:revision>61</cp:revision>
  <dcterms:created xsi:type="dcterms:W3CDTF">2018-10-07T19:22:00Z</dcterms:created>
  <dcterms:modified xsi:type="dcterms:W3CDTF">2018-10-11T18:00:00Z</dcterms:modified>
</cp:coreProperties>
</file>