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E036F7" w:rsidRPr="00CD33A8" w:rsidRDefault="00074402" w:rsidP="00D741D5">
      <w:pPr>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6E48AAE"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4129B7">
        <w:rPr>
          <w:rFonts w:ascii="Arial" w:hAnsi="Arial" w:cs="Arial"/>
          <w:sz w:val="28"/>
          <w:szCs w:val="28"/>
          <w:lang w:val="nl-NL"/>
        </w:rPr>
        <w:t xml:space="preserve">Introduction to Health and Social Care </w:t>
      </w:r>
    </w:p>
    <w:p w14:paraId="537571AF" w14:textId="1A914918"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4129B7" w:rsidRPr="004129B7">
        <w:t xml:space="preserve"> </w:t>
      </w:r>
      <w:r w:rsidR="004129B7" w:rsidRPr="004129B7">
        <w:rPr>
          <w:rFonts w:ascii="Arial" w:hAnsi="Arial" w:cs="Arial"/>
          <w:sz w:val="28"/>
          <w:szCs w:val="28"/>
        </w:rPr>
        <w:t>LCHS4003_LON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2930706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4129B7">
        <w:rPr>
          <w:rFonts w:ascii="Arial" w:hAnsi="Arial" w:cs="Arial"/>
          <w:sz w:val="28"/>
          <w:szCs w:val="28"/>
          <w:lang w:val="nl-NL"/>
        </w:rPr>
        <w:t>Sonya Kaur</w:t>
      </w:r>
    </w:p>
    <w:p w14:paraId="39AA4413" w14:textId="16FDCB3E"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129B7">
        <w:rPr>
          <w:rFonts w:ascii="Arial" w:hAnsi="Arial" w:cs="Arial"/>
          <w:sz w:val="28"/>
          <w:szCs w:val="28"/>
          <w:lang w:val="nl-NL"/>
        </w:rPr>
        <w:t>2436902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389CB974" w14:textId="1F4D4D79" w:rsidR="00091D3D" w:rsidRPr="00091D3D" w:rsidRDefault="008E3943" w:rsidP="00091D3D">
      <w:pPr>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091D3D" w:rsidRPr="00091D3D">
        <w:t xml:space="preserve"> </w:t>
      </w:r>
      <w:r w:rsidR="00091D3D" w:rsidRPr="00091D3D">
        <w:rPr>
          <w:rFonts w:ascii="Arial" w:hAnsi="Arial" w:cs="Arial"/>
          <w:sz w:val="28"/>
          <w:szCs w:val="28"/>
        </w:rPr>
        <w:t>Oluwadamilola Tayo</w:t>
      </w:r>
    </w:p>
    <w:p w14:paraId="4EF6B36D" w14:textId="6F836883" w:rsidR="00091D3D" w:rsidRPr="00091D3D" w:rsidRDefault="00091D3D" w:rsidP="00091D3D">
      <w:pPr>
        <w:rPr>
          <w:rFonts w:ascii="Arial" w:hAnsi="Arial" w:cs="Arial"/>
          <w:sz w:val="28"/>
          <w:szCs w:val="28"/>
        </w:rPr>
      </w:pPr>
    </w:p>
    <w:p w14:paraId="1A0B2D2B" w14:textId="694E4678" w:rsidR="00074402" w:rsidRPr="00CD33A8" w:rsidRDefault="00074402"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6EBEB449" w14:textId="77777777"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lastRenderedPageBreak/>
        <w:t>Table of Contents</w:t>
      </w:r>
    </w:p>
    <w:p w14:paraId="25175074" w14:textId="77777777"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Introduction Pg 3</w:t>
      </w:r>
    </w:p>
    <w:p w14:paraId="7411D319" w14:textId="77777777"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Effective Communication Pg 3-4</w:t>
      </w:r>
    </w:p>
    <w:p w14:paraId="23DF952F" w14:textId="77777777"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Effective Administration Pg 4-5</w:t>
      </w:r>
    </w:p>
    <w:p w14:paraId="4784A515" w14:textId="77777777"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Effective Collaboration Pg 5-6</w:t>
      </w:r>
    </w:p>
    <w:p w14:paraId="683DDA07" w14:textId="77777777" w:rsid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Conclusion Pg 6</w:t>
      </w:r>
    </w:p>
    <w:p w14:paraId="163C7074" w14:textId="6C934152"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References Pg 7 </w:t>
      </w:r>
    </w:p>
    <w:p w14:paraId="27B2E0F8" w14:textId="77777777" w:rsidR="00040F03" w:rsidRPr="00040F03" w:rsidRDefault="00040F03" w:rsidP="00040F03">
      <w:pPr>
        <w:tabs>
          <w:tab w:val="left" w:pos="6540"/>
        </w:tabs>
        <w:spacing w:line="360" w:lineRule="auto"/>
        <w:rPr>
          <w:rFonts w:asciiTheme="minorBidi" w:hAnsiTheme="minorBidi"/>
          <w:sz w:val="22"/>
        </w:rPr>
      </w:pPr>
    </w:p>
    <w:p w14:paraId="146D40DF" w14:textId="77777777" w:rsidR="00040F03" w:rsidRPr="00040F03" w:rsidRDefault="00040F03" w:rsidP="00040F03">
      <w:pPr>
        <w:tabs>
          <w:tab w:val="left" w:pos="6540"/>
        </w:tabs>
        <w:spacing w:line="360" w:lineRule="auto"/>
        <w:rPr>
          <w:rFonts w:asciiTheme="minorBidi" w:hAnsiTheme="minorBidi"/>
          <w:sz w:val="22"/>
        </w:rPr>
      </w:pPr>
    </w:p>
    <w:p w14:paraId="3E5E5605" w14:textId="77777777" w:rsidR="00040F03" w:rsidRPr="00040F03" w:rsidRDefault="00040F03" w:rsidP="00040F03">
      <w:pPr>
        <w:tabs>
          <w:tab w:val="left" w:pos="6540"/>
        </w:tabs>
        <w:spacing w:line="360" w:lineRule="auto"/>
        <w:rPr>
          <w:rFonts w:asciiTheme="minorBidi" w:hAnsiTheme="minorBidi"/>
          <w:sz w:val="22"/>
        </w:rPr>
      </w:pPr>
    </w:p>
    <w:p w14:paraId="4416E1B2" w14:textId="77777777" w:rsidR="00040F03" w:rsidRPr="00040F03" w:rsidRDefault="00040F03" w:rsidP="00040F03">
      <w:pPr>
        <w:tabs>
          <w:tab w:val="left" w:pos="6540"/>
        </w:tabs>
        <w:spacing w:line="360" w:lineRule="auto"/>
        <w:rPr>
          <w:rFonts w:asciiTheme="minorBidi" w:hAnsiTheme="minorBidi"/>
          <w:sz w:val="22"/>
        </w:rPr>
      </w:pPr>
    </w:p>
    <w:p w14:paraId="3CDD4860" w14:textId="77777777" w:rsidR="00040F03" w:rsidRPr="00040F03" w:rsidRDefault="00040F03" w:rsidP="00040F03">
      <w:pPr>
        <w:tabs>
          <w:tab w:val="left" w:pos="6540"/>
        </w:tabs>
        <w:spacing w:line="360" w:lineRule="auto"/>
        <w:rPr>
          <w:rFonts w:asciiTheme="minorBidi" w:hAnsiTheme="minorBidi"/>
          <w:sz w:val="22"/>
        </w:rPr>
      </w:pPr>
    </w:p>
    <w:p w14:paraId="5171E2B9" w14:textId="77777777" w:rsidR="00031066" w:rsidRDefault="00031066" w:rsidP="00040F03">
      <w:pPr>
        <w:tabs>
          <w:tab w:val="left" w:pos="6540"/>
        </w:tabs>
        <w:spacing w:line="360" w:lineRule="auto"/>
        <w:rPr>
          <w:rFonts w:asciiTheme="minorBidi" w:hAnsiTheme="minorBidi"/>
          <w:sz w:val="22"/>
        </w:rPr>
      </w:pPr>
    </w:p>
    <w:p w14:paraId="23C2ACF2" w14:textId="77777777" w:rsidR="00031066" w:rsidRDefault="00031066" w:rsidP="00040F03">
      <w:pPr>
        <w:tabs>
          <w:tab w:val="left" w:pos="6540"/>
        </w:tabs>
        <w:spacing w:line="360" w:lineRule="auto"/>
        <w:rPr>
          <w:rFonts w:asciiTheme="minorBidi" w:hAnsiTheme="minorBidi"/>
          <w:sz w:val="22"/>
        </w:rPr>
      </w:pPr>
    </w:p>
    <w:p w14:paraId="64E56CA6" w14:textId="77777777" w:rsidR="00031066" w:rsidRDefault="00031066" w:rsidP="00040F03">
      <w:pPr>
        <w:tabs>
          <w:tab w:val="left" w:pos="6540"/>
        </w:tabs>
        <w:spacing w:line="360" w:lineRule="auto"/>
        <w:rPr>
          <w:rFonts w:asciiTheme="minorBidi" w:hAnsiTheme="minorBidi"/>
          <w:sz w:val="22"/>
        </w:rPr>
      </w:pPr>
    </w:p>
    <w:p w14:paraId="40FE1B8F" w14:textId="77777777" w:rsidR="00031066" w:rsidRDefault="00031066" w:rsidP="00040F03">
      <w:pPr>
        <w:tabs>
          <w:tab w:val="left" w:pos="6540"/>
        </w:tabs>
        <w:spacing w:line="360" w:lineRule="auto"/>
        <w:rPr>
          <w:rFonts w:asciiTheme="minorBidi" w:hAnsiTheme="minorBidi"/>
          <w:sz w:val="22"/>
        </w:rPr>
      </w:pPr>
    </w:p>
    <w:p w14:paraId="525363CC" w14:textId="77777777" w:rsidR="00031066" w:rsidRDefault="00031066" w:rsidP="00040F03">
      <w:pPr>
        <w:tabs>
          <w:tab w:val="left" w:pos="6540"/>
        </w:tabs>
        <w:spacing w:line="360" w:lineRule="auto"/>
        <w:rPr>
          <w:rFonts w:asciiTheme="minorBidi" w:hAnsiTheme="minorBidi"/>
          <w:sz w:val="22"/>
        </w:rPr>
      </w:pPr>
    </w:p>
    <w:p w14:paraId="7DC1C66D" w14:textId="77777777" w:rsidR="00031066" w:rsidRDefault="00031066" w:rsidP="00040F03">
      <w:pPr>
        <w:tabs>
          <w:tab w:val="left" w:pos="6540"/>
        </w:tabs>
        <w:spacing w:line="360" w:lineRule="auto"/>
        <w:rPr>
          <w:rFonts w:asciiTheme="minorBidi" w:hAnsiTheme="minorBidi"/>
          <w:sz w:val="22"/>
        </w:rPr>
      </w:pPr>
    </w:p>
    <w:p w14:paraId="56539AC1" w14:textId="77777777" w:rsidR="00031066" w:rsidRDefault="00031066" w:rsidP="00040F03">
      <w:pPr>
        <w:tabs>
          <w:tab w:val="left" w:pos="6540"/>
        </w:tabs>
        <w:spacing w:line="360" w:lineRule="auto"/>
        <w:rPr>
          <w:rFonts w:asciiTheme="minorBidi" w:hAnsiTheme="minorBidi"/>
          <w:sz w:val="22"/>
        </w:rPr>
      </w:pPr>
    </w:p>
    <w:p w14:paraId="11C9CAA3" w14:textId="77777777" w:rsidR="00031066" w:rsidRDefault="00031066" w:rsidP="00040F03">
      <w:pPr>
        <w:tabs>
          <w:tab w:val="left" w:pos="6540"/>
        </w:tabs>
        <w:spacing w:line="360" w:lineRule="auto"/>
        <w:rPr>
          <w:rFonts w:asciiTheme="minorBidi" w:hAnsiTheme="minorBidi"/>
          <w:sz w:val="22"/>
        </w:rPr>
      </w:pPr>
    </w:p>
    <w:p w14:paraId="22432E7C" w14:textId="77777777" w:rsidR="00031066" w:rsidRDefault="00031066" w:rsidP="00040F03">
      <w:pPr>
        <w:tabs>
          <w:tab w:val="left" w:pos="6540"/>
        </w:tabs>
        <w:spacing w:line="360" w:lineRule="auto"/>
        <w:rPr>
          <w:rFonts w:asciiTheme="minorBidi" w:hAnsiTheme="minorBidi"/>
          <w:sz w:val="22"/>
        </w:rPr>
      </w:pPr>
    </w:p>
    <w:p w14:paraId="6C648688" w14:textId="77777777" w:rsidR="00031066" w:rsidRDefault="00031066" w:rsidP="00040F03">
      <w:pPr>
        <w:tabs>
          <w:tab w:val="left" w:pos="6540"/>
        </w:tabs>
        <w:spacing w:line="360" w:lineRule="auto"/>
        <w:rPr>
          <w:rFonts w:asciiTheme="minorBidi" w:hAnsiTheme="minorBidi"/>
          <w:sz w:val="22"/>
        </w:rPr>
      </w:pPr>
    </w:p>
    <w:p w14:paraId="31A8FD7E" w14:textId="77777777" w:rsidR="00031066" w:rsidRDefault="00031066" w:rsidP="00040F03">
      <w:pPr>
        <w:tabs>
          <w:tab w:val="left" w:pos="6540"/>
        </w:tabs>
        <w:spacing w:line="360" w:lineRule="auto"/>
        <w:rPr>
          <w:rFonts w:asciiTheme="minorBidi" w:hAnsiTheme="minorBidi"/>
          <w:sz w:val="22"/>
        </w:rPr>
      </w:pPr>
    </w:p>
    <w:p w14:paraId="2E1E95A2" w14:textId="77777777" w:rsidR="00031066" w:rsidRDefault="00031066" w:rsidP="00040F03">
      <w:pPr>
        <w:tabs>
          <w:tab w:val="left" w:pos="6540"/>
        </w:tabs>
        <w:spacing w:line="360" w:lineRule="auto"/>
        <w:rPr>
          <w:rFonts w:asciiTheme="minorBidi" w:hAnsiTheme="minorBidi"/>
          <w:sz w:val="22"/>
        </w:rPr>
      </w:pPr>
    </w:p>
    <w:p w14:paraId="6BF57CAC" w14:textId="77777777" w:rsidR="00031066" w:rsidRDefault="00031066" w:rsidP="00040F03">
      <w:pPr>
        <w:tabs>
          <w:tab w:val="left" w:pos="6540"/>
        </w:tabs>
        <w:spacing w:line="360" w:lineRule="auto"/>
        <w:rPr>
          <w:rFonts w:asciiTheme="minorBidi" w:hAnsiTheme="minorBidi"/>
          <w:sz w:val="22"/>
        </w:rPr>
      </w:pPr>
    </w:p>
    <w:p w14:paraId="6F1AEC20" w14:textId="77777777" w:rsidR="00031066" w:rsidRDefault="00031066" w:rsidP="00040F03">
      <w:pPr>
        <w:tabs>
          <w:tab w:val="left" w:pos="6540"/>
        </w:tabs>
        <w:spacing w:line="360" w:lineRule="auto"/>
        <w:rPr>
          <w:rFonts w:asciiTheme="minorBidi" w:hAnsiTheme="minorBidi"/>
          <w:sz w:val="22"/>
        </w:rPr>
      </w:pPr>
    </w:p>
    <w:p w14:paraId="102E5522" w14:textId="60B3DC65"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lastRenderedPageBreak/>
        <w:t>1. Introduction</w:t>
      </w:r>
    </w:p>
    <w:p w14:paraId="5C84AD0D"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In this assignment I will focus on effective communication and collaboration on Mr Ahmed's case study.  Mr Ahmed is an elderly service user who has a language barrier because English is not his first language. Mr Ahmed is in the process of transitioning from the hospital to his home.</w:t>
      </w:r>
    </w:p>
    <w:p w14:paraId="4E980100"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Mr Ahmed is 68 years old and following a stroke he requires support including physical rehabilitation; support with his medication and assistance with his communication following his stroke. </w:t>
      </w:r>
    </w:p>
    <w:p w14:paraId="029139E3"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This assignment will assess the requirements of Mr Ahmed as he recovers. The focus of the assignment is to assess the importance of effective communication within the health and social care sector. In the case of Mr Ahmed effective communication is vital because he will be supported by lots of different services including his GP, speech and language therapist and his personal assistant. </w:t>
      </w:r>
    </w:p>
    <w:p w14:paraId="2C96696A"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The assignment is also going to look at the Equality Act 2010 and the data protection act of 2018. Both are in place to protect and safeguard patients like Mr Ahmed. </w:t>
      </w:r>
    </w:p>
    <w:p w14:paraId="1D8B7F72"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Stroke Audit (2025) states that there are approximately 95,000 people who are admitted to hospital for stroke each year. In 2024/2025 only 26% of stroke patients stayed in hospital for their entire treatment. </w:t>
      </w:r>
    </w:p>
    <w:p w14:paraId="5319A30E"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The NHS (2022) states that many people who survive a stroke in each year will need long term rehabilitation. Approximately 1/3 of these people will be left with a long-term disability; mobility issues; sight issues and communication problems. The NHS argues that community stroke rehabilitation is the most positive way of supporting patients as it provides them with inclusive and responsive care. </w:t>
      </w:r>
    </w:p>
    <w:p w14:paraId="1991443A" w14:textId="77777777" w:rsidR="00040F03" w:rsidRPr="00FC2B51" w:rsidRDefault="00040F03" w:rsidP="00040F03">
      <w:pPr>
        <w:tabs>
          <w:tab w:val="left" w:pos="6540"/>
        </w:tabs>
        <w:spacing w:line="360" w:lineRule="auto"/>
        <w:rPr>
          <w:rFonts w:ascii="Arial" w:hAnsi="Arial" w:cs="Arial"/>
          <w:sz w:val="22"/>
        </w:rPr>
      </w:pPr>
    </w:p>
    <w:p w14:paraId="74F32D60"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2. Importance of effective communication</w:t>
      </w:r>
    </w:p>
    <w:p w14:paraId="3020A094"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Effective communication is defined as ensuring that patients receive good communication from the first point of contact with the NHS. In the context of Health and Social care effective communication should be personalised; take account of reasonable adjustments; make use of clear language; should involve patients being communicated with to have a say in their own care and there should be clear points of contact when the patients want to communicate with the NHS. (NHS 2023) </w:t>
      </w:r>
    </w:p>
    <w:p w14:paraId="6EBD2C66" w14:textId="77777777" w:rsidR="00040F03" w:rsidRPr="00FC2B51" w:rsidRDefault="00040F03" w:rsidP="00040F03">
      <w:pPr>
        <w:tabs>
          <w:tab w:val="left" w:pos="6540"/>
        </w:tabs>
        <w:spacing w:line="360" w:lineRule="auto"/>
        <w:rPr>
          <w:rFonts w:ascii="Arial" w:hAnsi="Arial" w:cs="Arial"/>
          <w:sz w:val="22"/>
        </w:rPr>
      </w:pPr>
    </w:p>
    <w:p w14:paraId="6018E321" w14:textId="77777777" w:rsidR="00E17DAA" w:rsidRPr="00FC2B51" w:rsidRDefault="00040F03" w:rsidP="00040F03">
      <w:pPr>
        <w:tabs>
          <w:tab w:val="left" w:pos="6540"/>
        </w:tabs>
        <w:spacing w:line="360" w:lineRule="auto"/>
        <w:rPr>
          <w:rFonts w:ascii="Arial" w:hAnsi="Arial" w:cs="Arial"/>
          <w:sz w:val="22"/>
        </w:rPr>
      </w:pPr>
      <w:r w:rsidRPr="00FC2B51">
        <w:rPr>
          <w:rFonts w:ascii="Arial" w:hAnsi="Arial" w:cs="Arial"/>
          <w:sz w:val="22"/>
        </w:rPr>
        <w:lastRenderedPageBreak/>
        <w:t>The Equality Act 2010 places a legal duty on care providers to make reasonable adjustments so that people with ‘protected characteristics’ such as a disability or speaking a different language are not disadvantaged. (NHS 2020) Mr Ahmed has both a disability and he speaks Bengali therefore his practitioners must provide him with additional support. While Mr Ahmed has a wife who is his advocate The Equality Act states that any complex clinical information must be provided in Mr Ahmed’s preferred language. (NHS 2021)</w:t>
      </w:r>
    </w:p>
    <w:p w14:paraId="35C7E2DF" w14:textId="77777777" w:rsidR="00E17DAA" w:rsidRPr="00FC2B51" w:rsidRDefault="00040F03" w:rsidP="00040F03">
      <w:pPr>
        <w:tabs>
          <w:tab w:val="left" w:pos="6540"/>
        </w:tabs>
        <w:spacing w:line="360" w:lineRule="auto"/>
        <w:rPr>
          <w:rFonts w:ascii="Arial" w:hAnsi="Arial" w:cs="Arial"/>
          <w:sz w:val="22"/>
        </w:rPr>
      </w:pPr>
      <w:r w:rsidRPr="00FC2B51">
        <w:rPr>
          <w:rFonts w:ascii="Arial" w:hAnsi="Arial" w:cs="Arial"/>
          <w:sz w:val="22"/>
        </w:rPr>
        <w:t>The Berlo’s SMCR Model (Source, Message, Channel, Receiver) provides a framework for understanding communication.  In Mr Ahmed’s case, the "Source" (the care worker) must carefully encode the "Message" into a "Channel" that transcends language barriers, such as visual aids or simplified English.</w:t>
      </w:r>
    </w:p>
    <w:p w14:paraId="3212CDEC" w14:textId="199CF74C"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The model highlights how the "Receiver’s" culture and communication skills influence their decoding of information, necessitating that staff assess Mr Ahmed’s understanding through non-verbal cues and "teach-back" methods.</w:t>
      </w:r>
    </w:p>
    <w:p w14:paraId="475A5B2E" w14:textId="121DB374"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3. Importance of good administrative skills </w:t>
      </w:r>
    </w:p>
    <w:p w14:paraId="7068CE99"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It is important that high quality administrative skills and data protection appropriately is a necessity when delivering care to a patient like Mr Ahmed. In the case study it mentions that there was recently a missed home visit and following these errors in medication provided to Mr Ahmed; this demonstrates a failure in the administration system that is supporting Mr Ahmed and more widely the issues which can have an impact on the patients care.</w:t>
      </w:r>
    </w:p>
    <w:p w14:paraId="1CEBD40D"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The Data Protection Act (2018) states that all personal and sensitive data regarding a patient’s health must be held securely, used in a lawful way and be used only as required. UK Government (2026)</w:t>
      </w:r>
    </w:p>
    <w:p w14:paraId="1D8680DA"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The legislation states that any health practitioners must ensure that records are accurate, up to date and only used for the purpose of the care of the patients this concept is called data minimisation NHS England (2025)</w:t>
      </w:r>
    </w:p>
    <w:p w14:paraId="31C17D62"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When different agencies are working together (as in the case of Mr Ahmed) they need to follow the Caldicott Principles. This ensures that while the GP, nurse and the therapist can access Mr Ahmed files, his confidentiality must be protected against unauthorised access. UK Government (2020) </w:t>
      </w:r>
    </w:p>
    <w:p w14:paraId="33E2D62D"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From the perspective of administration, it is vital that every interaction with a patient is logged so there is an audit trail of care. For example, any visit to Mr Ahmed; any medication given to Mr Ahmed and any physiological observation like taking his blood pressure would be logged so that all agencies are able to keep track of his progress. (Say 2025) </w:t>
      </w:r>
    </w:p>
    <w:p w14:paraId="203F5956" w14:textId="77777777" w:rsidR="00040F03" w:rsidRPr="00FC2B51" w:rsidRDefault="00040F03" w:rsidP="00040F03">
      <w:pPr>
        <w:tabs>
          <w:tab w:val="left" w:pos="6540"/>
        </w:tabs>
        <w:spacing w:line="360" w:lineRule="auto"/>
        <w:rPr>
          <w:rFonts w:ascii="Arial" w:hAnsi="Arial" w:cs="Arial"/>
          <w:sz w:val="22"/>
        </w:rPr>
      </w:pPr>
    </w:p>
    <w:p w14:paraId="3952FBAE"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Effective administration should include the management of the Care Plan for the patient. In the case of Mr Ahmed, the Care Plan is a live document that is accessible to all authorised care professionals who are working with the patient. The care plan should follow effective and professional processes to prevent any conflicting or duplication of care given to Mr Ahmed. This approach is supported by Health and Social Care Act (2012) that emphasises the duty to manage the patients care. Training Express (2025) </w:t>
      </w:r>
    </w:p>
    <w:p w14:paraId="46D4930E"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By maintaining professional standards using effective administrative and following legislation, any care providers supporting Mr Ahmed can protect themselves legally whilst providing an effective and clear narrative of the care being given. This is vital to ensure the safety of treatment for the patient. </w:t>
      </w:r>
    </w:p>
    <w:p w14:paraId="60B0F983"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4. Importance of working collaboratively</w:t>
      </w:r>
    </w:p>
    <w:p w14:paraId="0060F96D"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In the case of Mr Ahmed collaboration involves the shared expertise of the GP, the district nurse, care workers and speech therapist specialist. These people work together to provide a holistic environment to enable Mr Ahmed's recovery. This approach is known as “a team around the individual” and it enables the different aspects of care to be treated holistically and not in isolation. London Borough of Waltham Forest (2021) </w:t>
      </w:r>
    </w:p>
    <w:p w14:paraId="234D6E1E" w14:textId="77777777" w:rsidR="00040F03" w:rsidRPr="00FC2B51" w:rsidRDefault="00040F03" w:rsidP="00040F03">
      <w:pPr>
        <w:tabs>
          <w:tab w:val="left" w:pos="6540"/>
        </w:tabs>
        <w:spacing w:line="360" w:lineRule="auto"/>
        <w:rPr>
          <w:rFonts w:ascii="Arial" w:hAnsi="Arial" w:cs="Arial"/>
          <w:sz w:val="22"/>
        </w:rPr>
      </w:pPr>
    </w:p>
    <w:p w14:paraId="6C862C1F"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One of the major challenges when working with a patient is known as “silo” effect where carers fail to communicate changes to the care being given. In the case of Mr Ahmed there is an example of this because the speech therapist who is working with him changes his dietary requirements and fails to inform the meal preparation team. These small issues can have a major impact on the recovery of a patient. </w:t>
      </w:r>
    </w:p>
    <w:p w14:paraId="72578477" w14:textId="77777777" w:rsidR="00040F03" w:rsidRPr="00FC2B51" w:rsidRDefault="00040F03" w:rsidP="00040F03">
      <w:pPr>
        <w:tabs>
          <w:tab w:val="left" w:pos="6540"/>
        </w:tabs>
        <w:spacing w:line="360" w:lineRule="auto"/>
        <w:rPr>
          <w:rFonts w:ascii="Arial" w:hAnsi="Arial" w:cs="Arial"/>
          <w:sz w:val="22"/>
        </w:rPr>
      </w:pPr>
    </w:p>
    <w:p w14:paraId="2281B5F4"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To overcome these issues there is sometimes a designated lead professional who acts as the central point of contact with the patient. The benefit of this is that it improves communication between the patient, his family or carers and all care providers involved. </w:t>
      </w:r>
    </w:p>
    <w:p w14:paraId="652E1AB2" w14:textId="77777777" w:rsidR="00040F03" w:rsidRPr="00FC2B51" w:rsidRDefault="00040F03" w:rsidP="00040F03">
      <w:pPr>
        <w:tabs>
          <w:tab w:val="left" w:pos="6540"/>
        </w:tabs>
        <w:spacing w:line="360" w:lineRule="auto"/>
        <w:rPr>
          <w:rFonts w:ascii="Arial" w:hAnsi="Arial" w:cs="Arial"/>
          <w:sz w:val="22"/>
        </w:rPr>
      </w:pPr>
    </w:p>
    <w:p w14:paraId="34C2FC53"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Trust and mutual respect between professionals are vitally important when working in a multi-agency way. For example, the different professionals rely on the skills and integrity in each other’s work and their recording of the care provided and changes to the patient’s </w:t>
      </w:r>
      <w:r w:rsidRPr="00FC2B51">
        <w:rPr>
          <w:rFonts w:ascii="Arial" w:hAnsi="Arial" w:cs="Arial"/>
          <w:sz w:val="22"/>
        </w:rPr>
        <w:lastRenderedPageBreak/>
        <w:t xml:space="preserve">conditions. In the case of Mr Ahmed, the district nurse relies on the domiciliary carers to report any changes in his conditions between clinical visits. </w:t>
      </w:r>
    </w:p>
    <w:p w14:paraId="3756D7F1" w14:textId="77777777" w:rsidR="00040F03" w:rsidRPr="00FC2B51" w:rsidRDefault="00040F03" w:rsidP="00040F03">
      <w:pPr>
        <w:tabs>
          <w:tab w:val="left" w:pos="6540"/>
        </w:tabs>
        <w:spacing w:line="360" w:lineRule="auto"/>
        <w:rPr>
          <w:rFonts w:ascii="Arial" w:hAnsi="Arial" w:cs="Arial"/>
          <w:sz w:val="22"/>
        </w:rPr>
      </w:pPr>
    </w:p>
    <w:p w14:paraId="19A6FF96"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Another example of collaboration in Mr Ahmed's case is the issue of the missed medication. While no one should be blamed this is a good opportunity for the whole team to learn and see how they are able to improve collaboration. </w:t>
      </w:r>
    </w:p>
    <w:p w14:paraId="36A7D876" w14:textId="77777777" w:rsidR="00040F03" w:rsidRPr="00FC2B51" w:rsidRDefault="00040F03" w:rsidP="00040F03">
      <w:pPr>
        <w:tabs>
          <w:tab w:val="left" w:pos="6540"/>
        </w:tabs>
        <w:spacing w:line="360" w:lineRule="auto"/>
        <w:rPr>
          <w:rFonts w:ascii="Arial" w:hAnsi="Arial" w:cs="Arial"/>
          <w:sz w:val="22"/>
        </w:rPr>
      </w:pPr>
    </w:p>
    <w:p w14:paraId="6027FED5"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5. Conclusion </w:t>
      </w:r>
    </w:p>
    <w:p w14:paraId="796814A8"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In conclusion this case study has demonstrated that Mr Ahmed's recovery is more than just a clinical intervention; it relies on effective communication, teamwork and administration. Underpinning this is legislation such as The Equality Act 2010 and The Data Protection Act of 2018. Both legislations ensure that Mr Ahmed is kept safe; his specific cultural needs are recognised and any data arising from his support is managed professionally. </w:t>
      </w:r>
    </w:p>
    <w:p w14:paraId="28ED64B9" w14:textId="77777777" w:rsidR="00040F03" w:rsidRPr="00FC2B51" w:rsidRDefault="00040F03" w:rsidP="00040F03">
      <w:pPr>
        <w:tabs>
          <w:tab w:val="left" w:pos="6540"/>
        </w:tabs>
        <w:spacing w:line="360" w:lineRule="auto"/>
        <w:rPr>
          <w:rFonts w:ascii="Arial" w:hAnsi="Arial" w:cs="Arial"/>
          <w:sz w:val="22"/>
        </w:rPr>
      </w:pPr>
    </w:p>
    <w:p w14:paraId="363DD211" w14:textId="77777777" w:rsidR="00040F03" w:rsidRPr="00FC2B51" w:rsidRDefault="00040F03" w:rsidP="00040F03">
      <w:pPr>
        <w:tabs>
          <w:tab w:val="left" w:pos="6540"/>
        </w:tabs>
        <w:spacing w:line="360" w:lineRule="auto"/>
        <w:rPr>
          <w:rFonts w:ascii="Arial" w:hAnsi="Arial" w:cs="Arial"/>
          <w:sz w:val="22"/>
        </w:rPr>
      </w:pPr>
      <w:r w:rsidRPr="00FC2B51">
        <w:rPr>
          <w:rFonts w:ascii="Arial" w:hAnsi="Arial" w:cs="Arial"/>
          <w:sz w:val="22"/>
        </w:rPr>
        <w:t xml:space="preserve">Partnership working between different support agencies in an effective way ensures that any care provided to Mr Ahmed is done so in a precise and appropriate way. By doing this care providers remove any potential risks that could arise through the treatment and recuperation process. Different agencies bring with them different skills and types of support and through this unified approach patients like Mr Ahmed should be able to make a positive recovery. Where issues do arise as in the case of Mr Ahmed it is important that care providers work together to identify the issues and put into place strategies to prevent this from happening again in the future with other patients. According to Stroke audit (2025) approximately 66% of patients are charged back to their home following a stroke to be supported by a community team. One of the issues that has been identified is that only 35% of these people receive a review after 6 months and this demonstrates a gap in the provision of care for stroke patients. </w:t>
      </w:r>
    </w:p>
    <w:p w14:paraId="7CB0AD3D" w14:textId="77777777" w:rsidR="00040F03" w:rsidRPr="00FC2B51" w:rsidRDefault="00040F03" w:rsidP="00040F03">
      <w:pPr>
        <w:tabs>
          <w:tab w:val="left" w:pos="6540"/>
        </w:tabs>
        <w:spacing w:line="360" w:lineRule="auto"/>
        <w:rPr>
          <w:rFonts w:ascii="Arial" w:hAnsi="Arial" w:cs="Arial"/>
          <w:sz w:val="22"/>
        </w:rPr>
      </w:pPr>
    </w:p>
    <w:p w14:paraId="20F2FFEA" w14:textId="77777777" w:rsidR="00040F03" w:rsidRPr="00FC2B51" w:rsidRDefault="00040F03" w:rsidP="00040F03">
      <w:pPr>
        <w:tabs>
          <w:tab w:val="left" w:pos="6540"/>
        </w:tabs>
        <w:spacing w:line="360" w:lineRule="auto"/>
        <w:rPr>
          <w:rFonts w:ascii="Arial" w:hAnsi="Arial" w:cs="Arial"/>
          <w:sz w:val="22"/>
        </w:rPr>
      </w:pPr>
    </w:p>
    <w:p w14:paraId="25506623" w14:textId="77777777" w:rsidR="00040F03" w:rsidRPr="00FC2B51" w:rsidRDefault="00040F03" w:rsidP="00040F03">
      <w:pPr>
        <w:tabs>
          <w:tab w:val="left" w:pos="6540"/>
        </w:tabs>
        <w:spacing w:line="360" w:lineRule="auto"/>
        <w:rPr>
          <w:rFonts w:ascii="Arial" w:hAnsi="Arial" w:cs="Arial"/>
          <w:sz w:val="22"/>
        </w:rPr>
      </w:pPr>
    </w:p>
    <w:p w14:paraId="186B140D" w14:textId="77777777" w:rsidR="00040F03" w:rsidRPr="00FC2B51" w:rsidRDefault="00040F03" w:rsidP="00040F03">
      <w:pPr>
        <w:tabs>
          <w:tab w:val="left" w:pos="6540"/>
        </w:tabs>
        <w:spacing w:line="360" w:lineRule="auto"/>
        <w:rPr>
          <w:rFonts w:ascii="Arial" w:hAnsi="Arial" w:cs="Arial"/>
          <w:sz w:val="22"/>
        </w:rPr>
      </w:pPr>
    </w:p>
    <w:p w14:paraId="5EECE733" w14:textId="77777777" w:rsidR="00040F03" w:rsidRPr="00FC2B51" w:rsidRDefault="00040F03" w:rsidP="00040F03">
      <w:pPr>
        <w:tabs>
          <w:tab w:val="left" w:pos="6540"/>
        </w:tabs>
        <w:spacing w:line="360" w:lineRule="auto"/>
        <w:rPr>
          <w:rFonts w:ascii="Arial" w:hAnsi="Arial" w:cs="Arial"/>
          <w:sz w:val="22"/>
        </w:rPr>
      </w:pPr>
    </w:p>
    <w:p w14:paraId="416E7D5F" w14:textId="77777777"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lastRenderedPageBreak/>
        <w:t>References</w:t>
      </w:r>
    </w:p>
    <w:p w14:paraId="46CC8A4A" w14:textId="4E4CD61B"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Care Learning (2024) 2.1. Outline theories of communication. Available at: </w:t>
      </w:r>
      <w:hyperlink r:id="rId9" w:history="1">
        <w:r w:rsidR="002051F9" w:rsidRPr="00DE05D0">
          <w:rPr>
            <w:rStyle w:val="Hyperlink"/>
            <w:rFonts w:asciiTheme="minorBidi" w:hAnsiTheme="minorBidi"/>
            <w:sz w:val="22"/>
          </w:rPr>
          <w:t>https://carelearning.org.uk/qualifications/level-3-extended-hsc/hsc-cm4/2-1-outline-theories-of-communication/</w:t>
        </w:r>
      </w:hyperlink>
      <w:r w:rsidR="002051F9">
        <w:rPr>
          <w:rFonts w:asciiTheme="minorBidi" w:hAnsiTheme="minorBidi"/>
          <w:sz w:val="22"/>
        </w:rPr>
        <w:t xml:space="preserve"> </w:t>
      </w:r>
      <w:r w:rsidRPr="00040F03">
        <w:rPr>
          <w:rFonts w:asciiTheme="minorBidi" w:hAnsiTheme="minorBidi"/>
          <w:sz w:val="22"/>
        </w:rPr>
        <w:t xml:space="preserve"> Accessed: 21 April 2026</w:t>
      </w:r>
    </w:p>
    <w:p w14:paraId="10B86094" w14:textId="611C40D1"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Cabinet Office and Disability Unit (2021) Accessible communication formats. Available at: </w:t>
      </w:r>
      <w:hyperlink r:id="rId10" w:history="1">
        <w:r w:rsidR="002051F9" w:rsidRPr="00DE05D0">
          <w:rPr>
            <w:rStyle w:val="Hyperlink"/>
            <w:rFonts w:asciiTheme="minorBidi" w:hAnsiTheme="minorBidi"/>
            <w:sz w:val="22"/>
          </w:rPr>
          <w:t>https://www.gov.uk/government/publications/inclusive-communication/accessible-communication-formats</w:t>
        </w:r>
      </w:hyperlink>
      <w:r w:rsidR="002051F9">
        <w:rPr>
          <w:rFonts w:asciiTheme="minorBidi" w:hAnsiTheme="minorBidi"/>
          <w:sz w:val="22"/>
        </w:rPr>
        <w:t xml:space="preserve"> </w:t>
      </w:r>
      <w:r w:rsidRPr="00040F03">
        <w:rPr>
          <w:rFonts w:asciiTheme="minorBidi" w:hAnsiTheme="minorBidi"/>
          <w:sz w:val="22"/>
        </w:rPr>
        <w:t xml:space="preserve">  Accessed: 21 April 2026</w:t>
      </w:r>
    </w:p>
    <w:p w14:paraId="0480510D" w14:textId="0175BF25"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London Borough of Waltham Forest (2021) Team around the person. Available at: </w:t>
      </w:r>
      <w:proofErr w:type="gramStart"/>
      <w:r w:rsidRPr="00040F03">
        <w:rPr>
          <w:rFonts w:asciiTheme="minorBidi" w:hAnsiTheme="minorBidi"/>
          <w:sz w:val="22"/>
        </w:rPr>
        <w:t xml:space="preserve">https://www.walthamforest.gov.uk/sites/default/files/2021-11/Team%20around%20the%20person%20FINAL.pdf </w:t>
      </w:r>
      <w:r w:rsidR="002051F9">
        <w:rPr>
          <w:rFonts w:asciiTheme="minorBidi" w:hAnsiTheme="minorBidi"/>
          <w:sz w:val="22"/>
        </w:rPr>
        <w:t xml:space="preserve"> </w:t>
      </w:r>
      <w:r w:rsidRPr="00040F03">
        <w:rPr>
          <w:rFonts w:asciiTheme="minorBidi" w:hAnsiTheme="minorBidi"/>
          <w:sz w:val="22"/>
        </w:rPr>
        <w:t>Accessed</w:t>
      </w:r>
      <w:proofErr w:type="gramEnd"/>
      <w:r w:rsidRPr="00040F03">
        <w:rPr>
          <w:rFonts w:asciiTheme="minorBidi" w:hAnsiTheme="minorBidi"/>
          <w:sz w:val="22"/>
        </w:rPr>
        <w:t>: 26 April 2026</w:t>
      </w:r>
    </w:p>
    <w:p w14:paraId="50DC2E96" w14:textId="32FAA486"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National Data Guardian (2020) The Caldicott Principles. Available at: </w:t>
      </w:r>
      <w:hyperlink r:id="rId11" w:history="1">
        <w:r w:rsidR="002051F9" w:rsidRPr="00DE05D0">
          <w:rPr>
            <w:rStyle w:val="Hyperlink"/>
            <w:rFonts w:asciiTheme="minorBidi" w:hAnsiTheme="minorBidi"/>
            <w:sz w:val="22"/>
          </w:rPr>
          <w:t>https://www.gov.uk/government/publications/the-caldicott-principles</w:t>
        </w:r>
      </w:hyperlink>
      <w:r w:rsidR="002051F9">
        <w:rPr>
          <w:rFonts w:asciiTheme="minorBidi" w:hAnsiTheme="minorBidi"/>
          <w:sz w:val="22"/>
        </w:rPr>
        <w:t xml:space="preserve"> </w:t>
      </w:r>
      <w:r w:rsidRPr="00040F03">
        <w:rPr>
          <w:rFonts w:asciiTheme="minorBidi" w:hAnsiTheme="minorBidi"/>
          <w:sz w:val="22"/>
        </w:rPr>
        <w:t>Accessed: 26 April 2026</w:t>
      </w:r>
    </w:p>
    <w:p w14:paraId="115FDA83" w14:textId="2FEE04A1"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NHS England (2022) National service model for an integrated community stroke service. Available at: </w:t>
      </w:r>
      <w:hyperlink r:id="rId12" w:history="1">
        <w:r w:rsidR="002051F9" w:rsidRPr="00DE05D0">
          <w:rPr>
            <w:rStyle w:val="Hyperlink"/>
            <w:rFonts w:asciiTheme="minorBidi" w:hAnsiTheme="minorBidi"/>
            <w:sz w:val="22"/>
          </w:rPr>
          <w:t>https://www.england.nhs.uk/wp-content/uploads/2022/02/stroke-integrated-community-service-february-2022.pdf</w:t>
        </w:r>
      </w:hyperlink>
      <w:r w:rsidR="002051F9">
        <w:rPr>
          <w:rFonts w:asciiTheme="minorBidi" w:hAnsiTheme="minorBidi"/>
          <w:sz w:val="22"/>
        </w:rPr>
        <w:t xml:space="preserve"> </w:t>
      </w:r>
      <w:r w:rsidR="00FA5540">
        <w:rPr>
          <w:rFonts w:asciiTheme="minorBidi" w:hAnsiTheme="minorBidi"/>
          <w:sz w:val="22"/>
        </w:rPr>
        <w:t xml:space="preserve"> </w:t>
      </w:r>
      <w:r w:rsidRPr="00040F03">
        <w:rPr>
          <w:rFonts w:asciiTheme="minorBidi" w:hAnsiTheme="minorBidi"/>
          <w:sz w:val="22"/>
        </w:rPr>
        <w:t>Accessed 29 April 2026</w:t>
      </w:r>
    </w:p>
    <w:p w14:paraId="521EB7A6" w14:textId="393A4E1C"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NHS England (2023) Good communication with patients waiting for care. Available at: </w:t>
      </w:r>
      <w:hyperlink r:id="rId13" w:history="1">
        <w:r w:rsidR="00FA5540" w:rsidRPr="00DE05D0">
          <w:rPr>
            <w:rStyle w:val="Hyperlink"/>
            <w:rFonts w:asciiTheme="minorBidi" w:hAnsiTheme="minorBidi"/>
            <w:sz w:val="22"/>
          </w:rPr>
          <w:t>https://www.england.nhs.uk/long-read/good-communication-with-patients-waiting-for-care/</w:t>
        </w:r>
      </w:hyperlink>
      <w:r w:rsidR="00FA5540">
        <w:rPr>
          <w:rFonts w:asciiTheme="minorBidi" w:hAnsiTheme="minorBidi"/>
          <w:sz w:val="22"/>
        </w:rPr>
        <w:t xml:space="preserve"> </w:t>
      </w:r>
      <w:r w:rsidRPr="00040F03">
        <w:rPr>
          <w:rFonts w:asciiTheme="minorBidi" w:hAnsiTheme="minorBidi"/>
          <w:sz w:val="22"/>
        </w:rPr>
        <w:t xml:space="preserve"> </w:t>
      </w:r>
      <w:r w:rsidR="00FA5540">
        <w:rPr>
          <w:rFonts w:asciiTheme="minorBidi" w:hAnsiTheme="minorBidi"/>
          <w:sz w:val="22"/>
        </w:rPr>
        <w:t xml:space="preserve">   </w:t>
      </w:r>
      <w:r w:rsidRPr="00040F03">
        <w:rPr>
          <w:rFonts w:asciiTheme="minorBidi" w:hAnsiTheme="minorBidi"/>
          <w:sz w:val="22"/>
        </w:rPr>
        <w:t>Accesse</w:t>
      </w:r>
      <w:r w:rsidR="00FA5540">
        <w:rPr>
          <w:rFonts w:asciiTheme="minorBidi" w:hAnsiTheme="minorBidi"/>
          <w:sz w:val="22"/>
        </w:rPr>
        <w:t>d</w:t>
      </w:r>
      <w:r w:rsidRPr="00040F03">
        <w:rPr>
          <w:rFonts w:asciiTheme="minorBidi" w:hAnsiTheme="minorBidi"/>
          <w:sz w:val="22"/>
        </w:rPr>
        <w:t xml:space="preserve"> 21 April 2026</w:t>
      </w:r>
    </w:p>
    <w:p w14:paraId="3FE3D1E7" w14:textId="158936D2"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NHS England (2025) Data sharing standard 3: Data minimisation. Available at: </w:t>
      </w:r>
      <w:hyperlink r:id="rId14" w:history="1">
        <w:r w:rsidR="00FA5540" w:rsidRPr="00DE05D0">
          <w:rPr>
            <w:rStyle w:val="Hyperlink"/>
            <w:rFonts w:asciiTheme="minorBidi" w:hAnsiTheme="minorBidi"/>
            <w:sz w:val="22"/>
          </w:rPr>
          <w:t>https://digital.nhs.uk/services/data-access-request-service-dars/dars-guidance/data-minimisation</w:t>
        </w:r>
      </w:hyperlink>
      <w:r w:rsidR="00FA5540">
        <w:rPr>
          <w:rFonts w:asciiTheme="minorBidi" w:hAnsiTheme="minorBidi"/>
          <w:sz w:val="22"/>
        </w:rPr>
        <w:t xml:space="preserve"> </w:t>
      </w:r>
      <w:r w:rsidRPr="00040F03">
        <w:rPr>
          <w:rFonts w:asciiTheme="minorBidi" w:hAnsiTheme="minorBidi"/>
          <w:sz w:val="22"/>
        </w:rPr>
        <w:t xml:space="preserve"> Accessed: 26 April 2026</w:t>
      </w:r>
    </w:p>
    <w:p w14:paraId="4DF11E2B" w14:textId="066E284F" w:rsidR="00040F03" w:rsidRPr="00040F03"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Public Health England (2020) Reasonable adjustments: a legal duty. Available at: https://www.gov.uk/government/publications/reasonable-adjustments-a-legal-duty/reasonable-adjustments-a-legal-duty accessed 21/04/2026UK Government (2026) Data protection. Available at: </w:t>
      </w:r>
      <w:hyperlink r:id="rId15" w:history="1">
        <w:r w:rsidR="00FA5540" w:rsidRPr="00DE05D0">
          <w:rPr>
            <w:rStyle w:val="Hyperlink"/>
            <w:rFonts w:asciiTheme="minorBidi" w:hAnsiTheme="minorBidi"/>
            <w:sz w:val="22"/>
          </w:rPr>
          <w:t>https://www.gov.uk/data-protection</w:t>
        </w:r>
      </w:hyperlink>
      <w:r w:rsidR="00FA5540">
        <w:rPr>
          <w:rFonts w:asciiTheme="minorBidi" w:hAnsiTheme="minorBidi"/>
          <w:sz w:val="22"/>
        </w:rPr>
        <w:t xml:space="preserve"> </w:t>
      </w:r>
      <w:r w:rsidRPr="00040F03">
        <w:rPr>
          <w:rFonts w:asciiTheme="minorBidi" w:hAnsiTheme="minorBidi"/>
          <w:sz w:val="22"/>
        </w:rPr>
        <w:t xml:space="preserve"> Accessed: 26 April 2026</w:t>
      </w:r>
    </w:p>
    <w:p w14:paraId="26EF9ED8" w14:textId="77777777" w:rsidR="00FA5540" w:rsidRDefault="00040F03" w:rsidP="00040F03">
      <w:pPr>
        <w:tabs>
          <w:tab w:val="left" w:pos="6540"/>
        </w:tabs>
        <w:spacing w:line="360" w:lineRule="auto"/>
        <w:rPr>
          <w:rFonts w:asciiTheme="minorBidi" w:hAnsiTheme="minorBidi"/>
          <w:sz w:val="22"/>
        </w:rPr>
      </w:pPr>
      <w:r w:rsidRPr="00040F03">
        <w:rPr>
          <w:rFonts w:asciiTheme="minorBidi" w:hAnsiTheme="minorBidi"/>
          <w:sz w:val="22"/>
        </w:rPr>
        <w:t xml:space="preserve">Say, M. (2025) NHS single patient record ‘should include audit trail’. Available at: </w:t>
      </w:r>
      <w:hyperlink r:id="rId16" w:history="1">
        <w:r w:rsidR="00FA5540" w:rsidRPr="00DE05D0">
          <w:rPr>
            <w:rStyle w:val="Hyperlink"/>
            <w:rFonts w:asciiTheme="minorBidi" w:hAnsiTheme="minorBidi"/>
            <w:sz w:val="22"/>
          </w:rPr>
          <w:t>https://www.ukauthority.com/articles/nhs-single-patient-record-should-include-audit-trail</w:t>
        </w:r>
      </w:hyperlink>
      <w:r w:rsidR="00FA5540">
        <w:rPr>
          <w:rFonts w:asciiTheme="minorBidi" w:hAnsiTheme="minorBidi"/>
          <w:sz w:val="22"/>
        </w:rPr>
        <w:t xml:space="preserve"> </w:t>
      </w:r>
      <w:r w:rsidRPr="00040F03">
        <w:rPr>
          <w:rFonts w:asciiTheme="minorBidi" w:hAnsiTheme="minorBidi"/>
          <w:sz w:val="22"/>
        </w:rPr>
        <w:t xml:space="preserve"> Accessed: 26 April 2026</w:t>
      </w:r>
    </w:p>
    <w:p w14:paraId="71022E41" w14:textId="2366F450" w:rsidR="00814A9E" w:rsidRPr="00CD33A8" w:rsidRDefault="00040F03" w:rsidP="00040F03">
      <w:pPr>
        <w:tabs>
          <w:tab w:val="left" w:pos="6540"/>
        </w:tabs>
        <w:spacing w:line="360" w:lineRule="auto"/>
        <w:rPr>
          <w:rFonts w:asciiTheme="minorBidi" w:hAnsiTheme="minorBidi"/>
          <w:sz w:val="22"/>
        </w:rPr>
      </w:pPr>
      <w:r w:rsidRPr="00040F03">
        <w:rPr>
          <w:rFonts w:asciiTheme="minorBidi" w:hAnsiTheme="minorBidi"/>
          <w:sz w:val="22"/>
        </w:rPr>
        <w:t>Sentinel Stroke National Audit Programme (SSNAP) (2025) SSNAP Annual Report 2025: Patient version. Available at: SSNAP Annual Report 2025 Patient Version Accessed</w:t>
      </w:r>
      <w:r w:rsidR="00FA5540">
        <w:rPr>
          <w:rFonts w:asciiTheme="minorBidi" w:hAnsiTheme="minorBidi"/>
          <w:sz w:val="22"/>
        </w:rPr>
        <w:t xml:space="preserve"> </w:t>
      </w:r>
      <w:r w:rsidRPr="00040F03">
        <w:rPr>
          <w:rFonts w:asciiTheme="minorBidi" w:hAnsiTheme="minorBidi"/>
          <w:sz w:val="22"/>
        </w:rPr>
        <w:t>29 April 2026</w:t>
      </w:r>
    </w:p>
    <w:p w14:paraId="3EA3C7DD" w14:textId="2C373198" w:rsidR="00F66E1B" w:rsidRPr="00CD33A8" w:rsidRDefault="00F66E1B" w:rsidP="00CD33A8">
      <w:pPr>
        <w:tabs>
          <w:tab w:val="left" w:pos="6540"/>
        </w:tabs>
        <w:spacing w:line="360" w:lineRule="auto"/>
        <w:rPr>
          <w:rFonts w:asciiTheme="minorBidi" w:hAnsiTheme="minorBidi"/>
          <w:sz w:val="22"/>
        </w:rPr>
      </w:pPr>
    </w:p>
    <w:sectPr w:rsidR="00F66E1B" w:rsidRPr="00CD33A8" w:rsidSect="00E620E7">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29FB4" w14:textId="77777777" w:rsidR="00A71A38" w:rsidRDefault="00A71A38" w:rsidP="003E4ECF">
      <w:pPr>
        <w:spacing w:after="0" w:line="240" w:lineRule="auto"/>
      </w:pPr>
      <w:r>
        <w:separator/>
      </w:r>
    </w:p>
  </w:endnote>
  <w:endnote w:type="continuationSeparator" w:id="0">
    <w:p w14:paraId="52C9EDFA" w14:textId="77777777" w:rsidR="00A71A38" w:rsidRDefault="00A71A3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66AAB" w14:textId="77777777" w:rsidR="00A71A38" w:rsidRDefault="00A71A38" w:rsidP="003E4ECF">
      <w:pPr>
        <w:spacing w:after="0" w:line="240" w:lineRule="auto"/>
      </w:pPr>
      <w:r>
        <w:separator/>
      </w:r>
    </w:p>
  </w:footnote>
  <w:footnote w:type="continuationSeparator" w:id="0">
    <w:p w14:paraId="10762BB2" w14:textId="77777777" w:rsidR="00A71A38" w:rsidRDefault="00A71A3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55DD"/>
    <w:rsid w:val="00023464"/>
    <w:rsid w:val="00031066"/>
    <w:rsid w:val="00040F03"/>
    <w:rsid w:val="000449B7"/>
    <w:rsid w:val="000572BF"/>
    <w:rsid w:val="0006673A"/>
    <w:rsid w:val="00074402"/>
    <w:rsid w:val="000833E9"/>
    <w:rsid w:val="00091D3D"/>
    <w:rsid w:val="000A1F2A"/>
    <w:rsid w:val="000B6441"/>
    <w:rsid w:val="000C5CF5"/>
    <w:rsid w:val="000D04A9"/>
    <w:rsid w:val="000D0E05"/>
    <w:rsid w:val="000D1F33"/>
    <w:rsid w:val="000E4A5F"/>
    <w:rsid w:val="000E58F2"/>
    <w:rsid w:val="000E74DC"/>
    <w:rsid w:val="000F2C94"/>
    <w:rsid w:val="00102AE3"/>
    <w:rsid w:val="0011002F"/>
    <w:rsid w:val="001209F4"/>
    <w:rsid w:val="00124AC2"/>
    <w:rsid w:val="00153823"/>
    <w:rsid w:val="00166D5F"/>
    <w:rsid w:val="0018700F"/>
    <w:rsid w:val="001A7C27"/>
    <w:rsid w:val="001C4B93"/>
    <w:rsid w:val="001D39ED"/>
    <w:rsid w:val="001D7C03"/>
    <w:rsid w:val="001E2983"/>
    <w:rsid w:val="00204909"/>
    <w:rsid w:val="002051F9"/>
    <w:rsid w:val="00212CE9"/>
    <w:rsid w:val="00216C85"/>
    <w:rsid w:val="00216F2A"/>
    <w:rsid w:val="00217FD3"/>
    <w:rsid w:val="002402BC"/>
    <w:rsid w:val="0025214B"/>
    <w:rsid w:val="00256002"/>
    <w:rsid w:val="00257259"/>
    <w:rsid w:val="0026393A"/>
    <w:rsid w:val="00271098"/>
    <w:rsid w:val="00273EDD"/>
    <w:rsid w:val="0027473D"/>
    <w:rsid w:val="00285FA6"/>
    <w:rsid w:val="00291EA2"/>
    <w:rsid w:val="002A3F5C"/>
    <w:rsid w:val="002C3965"/>
    <w:rsid w:val="002F4E98"/>
    <w:rsid w:val="0030123C"/>
    <w:rsid w:val="00321C4C"/>
    <w:rsid w:val="00325BC3"/>
    <w:rsid w:val="00332FBB"/>
    <w:rsid w:val="0034523E"/>
    <w:rsid w:val="003562CC"/>
    <w:rsid w:val="003564FA"/>
    <w:rsid w:val="00357A61"/>
    <w:rsid w:val="003629EE"/>
    <w:rsid w:val="0039190B"/>
    <w:rsid w:val="00392BBC"/>
    <w:rsid w:val="0039494E"/>
    <w:rsid w:val="003A3BAF"/>
    <w:rsid w:val="003C08BE"/>
    <w:rsid w:val="003D158F"/>
    <w:rsid w:val="003D1798"/>
    <w:rsid w:val="003E4ECF"/>
    <w:rsid w:val="003E71FA"/>
    <w:rsid w:val="0040203B"/>
    <w:rsid w:val="00405DD2"/>
    <w:rsid w:val="004129B7"/>
    <w:rsid w:val="00424D2D"/>
    <w:rsid w:val="004269B1"/>
    <w:rsid w:val="004437BA"/>
    <w:rsid w:val="004442A9"/>
    <w:rsid w:val="00454832"/>
    <w:rsid w:val="00460422"/>
    <w:rsid w:val="00461512"/>
    <w:rsid w:val="004636CE"/>
    <w:rsid w:val="0046555D"/>
    <w:rsid w:val="004701ED"/>
    <w:rsid w:val="004767B8"/>
    <w:rsid w:val="004804A7"/>
    <w:rsid w:val="0048653C"/>
    <w:rsid w:val="004A3268"/>
    <w:rsid w:val="004A398C"/>
    <w:rsid w:val="004A736E"/>
    <w:rsid w:val="004D557A"/>
    <w:rsid w:val="004F0D97"/>
    <w:rsid w:val="004F39A2"/>
    <w:rsid w:val="00525145"/>
    <w:rsid w:val="0054710A"/>
    <w:rsid w:val="0056039F"/>
    <w:rsid w:val="005B6C0E"/>
    <w:rsid w:val="005C0306"/>
    <w:rsid w:val="005D5B43"/>
    <w:rsid w:val="005D6962"/>
    <w:rsid w:val="005E4F69"/>
    <w:rsid w:val="00616C00"/>
    <w:rsid w:val="006270F0"/>
    <w:rsid w:val="00633910"/>
    <w:rsid w:val="00636B2D"/>
    <w:rsid w:val="00656084"/>
    <w:rsid w:val="0066128B"/>
    <w:rsid w:val="00682280"/>
    <w:rsid w:val="006837DB"/>
    <w:rsid w:val="006925AA"/>
    <w:rsid w:val="006A4BB3"/>
    <w:rsid w:val="006B5A4D"/>
    <w:rsid w:val="006B6EDC"/>
    <w:rsid w:val="006D1A6F"/>
    <w:rsid w:val="006F35E5"/>
    <w:rsid w:val="006F4726"/>
    <w:rsid w:val="00710641"/>
    <w:rsid w:val="00714463"/>
    <w:rsid w:val="00715F30"/>
    <w:rsid w:val="0071623A"/>
    <w:rsid w:val="0072248A"/>
    <w:rsid w:val="00725177"/>
    <w:rsid w:val="0072645E"/>
    <w:rsid w:val="00730A4F"/>
    <w:rsid w:val="00732C74"/>
    <w:rsid w:val="00734399"/>
    <w:rsid w:val="00734E4F"/>
    <w:rsid w:val="00786C42"/>
    <w:rsid w:val="00790E25"/>
    <w:rsid w:val="007A1B8D"/>
    <w:rsid w:val="007A372B"/>
    <w:rsid w:val="007B1B22"/>
    <w:rsid w:val="007B1BE8"/>
    <w:rsid w:val="007E187B"/>
    <w:rsid w:val="007E5269"/>
    <w:rsid w:val="00813935"/>
    <w:rsid w:val="00814A9E"/>
    <w:rsid w:val="00822272"/>
    <w:rsid w:val="00831E7E"/>
    <w:rsid w:val="00835DFF"/>
    <w:rsid w:val="0083653F"/>
    <w:rsid w:val="008378D3"/>
    <w:rsid w:val="0083794D"/>
    <w:rsid w:val="00837E06"/>
    <w:rsid w:val="0084484A"/>
    <w:rsid w:val="00883EEE"/>
    <w:rsid w:val="00886213"/>
    <w:rsid w:val="008B267A"/>
    <w:rsid w:val="008B4853"/>
    <w:rsid w:val="008B511B"/>
    <w:rsid w:val="008B603B"/>
    <w:rsid w:val="008C076C"/>
    <w:rsid w:val="008C3B0F"/>
    <w:rsid w:val="008D7952"/>
    <w:rsid w:val="008E3943"/>
    <w:rsid w:val="008E6B41"/>
    <w:rsid w:val="0090040D"/>
    <w:rsid w:val="0091645F"/>
    <w:rsid w:val="00925F22"/>
    <w:rsid w:val="0095672F"/>
    <w:rsid w:val="009709ED"/>
    <w:rsid w:val="00975E60"/>
    <w:rsid w:val="009B121D"/>
    <w:rsid w:val="009B281C"/>
    <w:rsid w:val="009D052C"/>
    <w:rsid w:val="009D1D1E"/>
    <w:rsid w:val="009D2F68"/>
    <w:rsid w:val="009D776E"/>
    <w:rsid w:val="009F61BF"/>
    <w:rsid w:val="00A035FD"/>
    <w:rsid w:val="00A0605F"/>
    <w:rsid w:val="00A26EEB"/>
    <w:rsid w:val="00A36D54"/>
    <w:rsid w:val="00A51EF7"/>
    <w:rsid w:val="00A56A15"/>
    <w:rsid w:val="00A667E7"/>
    <w:rsid w:val="00A71A38"/>
    <w:rsid w:val="00A8282F"/>
    <w:rsid w:val="00A93848"/>
    <w:rsid w:val="00A96BB3"/>
    <w:rsid w:val="00AB302E"/>
    <w:rsid w:val="00AB6948"/>
    <w:rsid w:val="00AC1D98"/>
    <w:rsid w:val="00AC2FEB"/>
    <w:rsid w:val="00AC54C4"/>
    <w:rsid w:val="00AD23A0"/>
    <w:rsid w:val="00AD502F"/>
    <w:rsid w:val="00AE1ED1"/>
    <w:rsid w:val="00AE564B"/>
    <w:rsid w:val="00B32456"/>
    <w:rsid w:val="00B32D5F"/>
    <w:rsid w:val="00B3496D"/>
    <w:rsid w:val="00B83C52"/>
    <w:rsid w:val="00B87E75"/>
    <w:rsid w:val="00BC5218"/>
    <w:rsid w:val="00BC678D"/>
    <w:rsid w:val="00C21ECB"/>
    <w:rsid w:val="00C355B0"/>
    <w:rsid w:val="00C453A9"/>
    <w:rsid w:val="00C51225"/>
    <w:rsid w:val="00C71068"/>
    <w:rsid w:val="00C94094"/>
    <w:rsid w:val="00C95762"/>
    <w:rsid w:val="00CA03F4"/>
    <w:rsid w:val="00CA0FF4"/>
    <w:rsid w:val="00CA2E82"/>
    <w:rsid w:val="00CA7810"/>
    <w:rsid w:val="00CB0257"/>
    <w:rsid w:val="00CC05AA"/>
    <w:rsid w:val="00CC0608"/>
    <w:rsid w:val="00CC2901"/>
    <w:rsid w:val="00CC2A8F"/>
    <w:rsid w:val="00CD0A61"/>
    <w:rsid w:val="00CD33A8"/>
    <w:rsid w:val="00D00B12"/>
    <w:rsid w:val="00D11623"/>
    <w:rsid w:val="00D24D4A"/>
    <w:rsid w:val="00D3165E"/>
    <w:rsid w:val="00D364A9"/>
    <w:rsid w:val="00D36AE6"/>
    <w:rsid w:val="00D42036"/>
    <w:rsid w:val="00D6385B"/>
    <w:rsid w:val="00D741D5"/>
    <w:rsid w:val="00D9333F"/>
    <w:rsid w:val="00DA09EC"/>
    <w:rsid w:val="00DB5B5B"/>
    <w:rsid w:val="00DF042C"/>
    <w:rsid w:val="00DF3591"/>
    <w:rsid w:val="00E036F7"/>
    <w:rsid w:val="00E128B2"/>
    <w:rsid w:val="00E17DAA"/>
    <w:rsid w:val="00E33C83"/>
    <w:rsid w:val="00E52063"/>
    <w:rsid w:val="00E569FD"/>
    <w:rsid w:val="00E620E7"/>
    <w:rsid w:val="00E735BF"/>
    <w:rsid w:val="00E9218C"/>
    <w:rsid w:val="00E93EBE"/>
    <w:rsid w:val="00E96B0E"/>
    <w:rsid w:val="00EC6C24"/>
    <w:rsid w:val="00EF0AF7"/>
    <w:rsid w:val="00EF144C"/>
    <w:rsid w:val="00EF68DA"/>
    <w:rsid w:val="00EF7E3F"/>
    <w:rsid w:val="00F104F5"/>
    <w:rsid w:val="00F5051A"/>
    <w:rsid w:val="00F54964"/>
    <w:rsid w:val="00F66E1B"/>
    <w:rsid w:val="00F77090"/>
    <w:rsid w:val="00F90813"/>
    <w:rsid w:val="00FA5540"/>
    <w:rsid w:val="00FC2B51"/>
    <w:rsid w:val="00FD1203"/>
    <w:rsid w:val="00FE3411"/>
    <w:rsid w:val="00FE57F1"/>
    <w:rsid w:val="00FF0564"/>
    <w:rsid w:val="00FF4B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CA7810"/>
    <w:rPr>
      <w:color w:val="0563C1" w:themeColor="hyperlink"/>
      <w:u w:val="single"/>
    </w:rPr>
  </w:style>
  <w:style w:type="character" w:styleId="UnresolvedMention">
    <w:name w:val="Unresolved Mention"/>
    <w:basedOn w:val="DefaultParagraphFont"/>
    <w:uiPriority w:val="99"/>
    <w:semiHidden/>
    <w:unhideWhenUsed/>
    <w:rsid w:val="00CA78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long-read/good-communication-with-patients-waiting-for-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wp-content/uploads/2022/02/stroke-integrated-community-service-february-2022.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kauthority.com/articles/nhs-single-patient-record-should-include-audit-trai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he-caldicott-principles" TargetMode="External"/><Relationship Id="rId5" Type="http://schemas.openxmlformats.org/officeDocument/2006/relationships/footnotes" Target="footnotes.xml"/><Relationship Id="rId15" Type="http://schemas.openxmlformats.org/officeDocument/2006/relationships/hyperlink" Target="https://www.gov.uk/data-protection" TargetMode="External"/><Relationship Id="rId10" Type="http://schemas.openxmlformats.org/officeDocument/2006/relationships/hyperlink" Target="https://www.gov.uk/government/publications/inclusive-communication/accessible-communication-forma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arelearning.org.uk/qualifications/level-3-extended-hsc/hsc-cm4/2-1-outline-theories-of-communication/" TargetMode="External"/><Relationship Id="rId14" Type="http://schemas.openxmlformats.org/officeDocument/2006/relationships/hyperlink" Target="https://digital.nhs.uk/services/data-access-request-service-dars/dars-guidance/data-minimis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1820</Words>
  <Characters>10376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12172</CharactersWithSpaces>
  <SharedDoc>false</SharedDoc>
  <HLinks>
    <vt:vector size="30" baseType="variant">
      <vt:variant>
        <vt:i4>655391</vt:i4>
      </vt:variant>
      <vt:variant>
        <vt:i4>12</vt:i4>
      </vt:variant>
      <vt:variant>
        <vt:i4>0</vt:i4>
      </vt:variant>
      <vt:variant>
        <vt:i4>5</vt:i4>
      </vt:variant>
      <vt:variant>
        <vt:lpwstr>https://www.ukauthority.com/articles/nhs-single-patient-record-should-include-audit-trail</vt:lpwstr>
      </vt:variant>
      <vt:variant>
        <vt:lpwstr/>
      </vt:variant>
      <vt:variant>
        <vt:i4>3997802</vt:i4>
      </vt:variant>
      <vt:variant>
        <vt:i4>9</vt:i4>
      </vt:variant>
      <vt:variant>
        <vt:i4>0</vt:i4>
      </vt:variant>
      <vt:variant>
        <vt:i4>5</vt:i4>
      </vt:variant>
      <vt:variant>
        <vt:lpwstr>https://www.gov.uk/data-protection</vt:lpwstr>
      </vt:variant>
      <vt:variant>
        <vt:lpwstr/>
      </vt:variant>
      <vt:variant>
        <vt:i4>3932261</vt:i4>
      </vt:variant>
      <vt:variant>
        <vt:i4>6</vt:i4>
      </vt:variant>
      <vt:variant>
        <vt:i4>0</vt:i4>
      </vt:variant>
      <vt:variant>
        <vt:i4>5</vt:i4>
      </vt:variant>
      <vt:variant>
        <vt:lpwstr>https://www.england.nhs.uk/long-read/good-communication-with-patients-waiting-for-care/</vt:lpwstr>
      </vt:variant>
      <vt:variant>
        <vt:lpwstr/>
      </vt:variant>
      <vt:variant>
        <vt:i4>3014702</vt:i4>
      </vt:variant>
      <vt:variant>
        <vt:i4>3</vt:i4>
      </vt:variant>
      <vt:variant>
        <vt:i4>0</vt:i4>
      </vt:variant>
      <vt:variant>
        <vt:i4>5</vt:i4>
      </vt:variant>
      <vt:variant>
        <vt:lpwstr>https://www.gov.uk/government/publications/inclusive-communication/accessible-communication-formats</vt:lpwstr>
      </vt:variant>
      <vt:variant>
        <vt:lpwstr/>
      </vt:variant>
      <vt:variant>
        <vt:i4>2490491</vt:i4>
      </vt:variant>
      <vt:variant>
        <vt:i4>0</vt:i4>
      </vt:variant>
      <vt:variant>
        <vt:i4>0</vt:i4>
      </vt:variant>
      <vt:variant>
        <vt:i4>5</vt:i4>
      </vt:variant>
      <vt:variant>
        <vt:lpwstr>https://carelearning.org.uk/qualifications/level-3-extended-hsc/hsc-cm4/2-1-outline-theories-of-communication/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sonya kaur</cp:lastModifiedBy>
  <cp:revision>2</cp:revision>
  <dcterms:created xsi:type="dcterms:W3CDTF">2026-05-03T19:23:00Z</dcterms:created>
  <dcterms:modified xsi:type="dcterms:W3CDTF">2026-05-03T19:23:00Z</dcterms:modified>
</cp:coreProperties>
</file>