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4543CA">
      <w:pPr>
        <w:jc w:val="center"/>
        <w:rPr>
          <w:b/>
          <w:bCs/>
        </w:rPr>
      </w:pPr>
      <w:r>
        <w:rPr>
          <w:b/>
          <w:bCs/>
        </w:rPr>
        <w:t>From Immersive Heritage Narratives to Design Source Methods: Cultural Gene Activation across Industrial, Handicraft, and Historical Heritage</w:t>
      </w:r>
    </w:p>
    <w:p w14:paraId="7F94E481">
      <w:pPr>
        <w:ind w:firstLine="440" w:firstLineChars="200"/>
        <w:jc w:val="both"/>
      </w:pPr>
      <w:r>
        <w:rPr>
          <w:rFonts w:hint="eastAsia"/>
          <w:b/>
          <w:bCs/>
        </w:rPr>
        <w:t xml:space="preserve">Abstract: </w:t>
      </w:r>
      <w:r>
        <w:t xml:space="preserve">The starting point of this project can be traced back to a fundamental question: how exactly do people contact, perceive, and internalize cultural heritage in contemporary society. For a long time, cultural heritage was presented primarily through museums, monuments, and curatorial exhibitions. However, an individual's heritage experience is heavily constrained by contextual factors such as time, geographical location, age, and educational background. For example, visiting an industrial heritage site like a decommissioned factory often requires physical travel, adherence to specific opening hours, and some prior knowledge to truly understand its historical and cultural significance. Similarly, access to traditional craft practices is often limited by geographical distance, reduced number of inheritors, and the expertise required to understand the craft. These barriers mean that the way much of the public accesses to heritage is often fragmented and superficial. </w:t>
      </w:r>
    </w:p>
    <w:p w14:paraId="02185031">
      <w:pPr>
        <w:rPr>
          <w:b/>
          <w:bCs/>
        </w:rPr>
      </w:pPr>
      <w:r>
        <w:rPr>
          <w:rFonts w:hint="eastAsia"/>
          <w:b/>
          <w:bCs/>
        </w:rPr>
        <w:t>Introduction:</w:t>
      </w:r>
    </w:p>
    <w:p w14:paraId="79C929CF">
      <w:pPr>
        <w:ind w:firstLine="440" w:firstLineChars="200"/>
        <w:jc w:val="both"/>
      </w:pPr>
      <w:r>
        <w:t>Immersive technology and storytelling approaches are increasingly changing the way audiences experience, interpret and engage with cultural heritage. By creating simulated and contextually rich environments, immersive experiences enhance sensory perception, emotional engagement, and cognitive understanding (Brivio et al., 2021; This experience allows participants to engage with industry, handicrafts, and historical and cultural heritage in a way that goes beyond traditional exhibition methods, leading to a deeper cultural connection (Sylaio et al., 2024; Mukherjee &amp; Banerji, 2025).</w:t>
      </w:r>
    </w:p>
    <w:p w14:paraId="3555EB61">
      <w:pPr>
        <w:ind w:firstLine="440" w:firstLineChars="200"/>
        <w:jc w:val="both"/>
      </w:pPr>
      <w:r>
        <w:t>At the heart of understanding these experiences is the concept of cultural genes, which is a fundamental unit of cultural transmission that carries historical, social, and aesthetic values across generations (Dawkins, 1989; Activating cultural genes in immersive experiences enables participants to identify, reinterpret, and emotionally engage with cultural heritage elements, bridging theoretical knowledge with personal cognition (Logie, 2023; In addition, schema theory provides a framework for understanding user cognition and processing cultural heritage experiences. Existing schemas influence perception, memory, and interpretation, shaping how participants interact with immersive environments (Torney-Purta, 1991; Wagoner, 2013). Combining schema theory with immersive technology can help designers build experiences that activate cultural genes and reinforce deep engagement. Industrial and post-industrial heritage sites are particularly significant because they reflect historical, economic, and social changes (Berger, 2020; The conservation, regeneration, and interpretation of these sites often intersect with tourism, urban identity, and community well-being, providing ideal practice scenarios for studying cultural gene activation and immersive experiences (Cercleux et al., 2022;)</w:t>
      </w:r>
    </w:p>
    <w:p w14:paraId="16F695F0">
      <w:pPr>
        <w:pStyle w:val="35"/>
        <w:rPr>
          <w:rStyle w:val="36"/>
          <w:b/>
          <w:bCs/>
        </w:rPr>
      </w:pPr>
      <w:r>
        <w:rPr>
          <w:rStyle w:val="36"/>
          <w:rFonts w:hint="eastAsia"/>
          <w:b/>
          <w:bCs/>
        </w:rPr>
        <w:t>introduce</w:t>
      </w:r>
    </w:p>
    <w:p w14:paraId="0CE2E571">
      <w:pPr>
        <w:pStyle w:val="35"/>
        <w:ind w:firstLine="480" w:firstLineChars="200"/>
        <w:jc w:val="both"/>
      </w:pPr>
      <w:r>
        <w:rPr>
          <w:rStyle w:val="36"/>
        </w:rPr>
        <w:t>The core goal of this study is to build a bridge between the theoretical cognition of cultural genes and the practical application of design, and to use immersive cultural heritage experience as a methodological link. The research focuses on three main aspects: exploring the activation mechanisms of cultural genes in different types of heritage (industrial, handicraft and historical sites); To investigate the effects of cultural gene activation on participants' cognitive, emotional and perceptual inputs. Construct a transferable "source method" to help designers extract, transform and integrate cultural genes into their creative practice. The research revolves around three core questions</w:t>
      </w:r>
      <w:r>
        <w:rPr>
          <w:rStyle w:val="36"/>
          <w:rFonts w:hint="eastAsia"/>
        </w:rPr>
        <w:t xml:space="preserve">: </w:t>
      </w:r>
      <w:r>
        <w:rPr>
          <w:rStyle w:val="36"/>
        </w:rPr>
        <w:t xml:space="preserve">How can participants perceive, interpret, and emotionally participate in cultural genes in immersive cultural heritage experiences? What are the differences in cultural gene activation between different types of heritage? How to formalize the cultural gene activation process into a systematic design method? </w:t>
      </w:r>
    </w:p>
    <w:p w14:paraId="0709FE2F">
      <w:pPr>
        <w:rPr>
          <w:b/>
          <w:bCs/>
        </w:rPr>
      </w:pPr>
      <w:r>
        <w:rPr>
          <w:b/>
          <w:bCs/>
        </w:rPr>
        <w:t xml:space="preserve">Literature Review </w:t>
      </w:r>
    </w:p>
    <w:p w14:paraId="2568FFAE">
      <w:pPr>
        <w:rPr>
          <w:b/>
          <w:bCs/>
        </w:rPr>
      </w:pPr>
      <w:r>
        <w:rPr>
          <w:b/>
          <w:bCs/>
        </w:rPr>
        <w:t xml:space="preserve"> Immersive Experiences and Heritage Engagement </w:t>
      </w:r>
    </w:p>
    <w:p w14:paraId="3BD060B8">
      <w:pPr>
        <w:ind w:firstLine="440" w:firstLineChars="200"/>
        <w:jc w:val="both"/>
      </w:pPr>
      <w:r>
        <w:t>Immersive technologies, including virtual reality (VR) and digital simulations, are increasingly being applied to cultural heritage experiences, enhancing user engagement, emotional engagement, and cognitive understanding (Brivio et al., 2021; These approaches offer multi-sensory interactions that go beyond traditional exhibitions, providing participants with a deeper understanding of historical, industrial, and cultural contexts (Sylaio et al., 2024;</w:t>
      </w:r>
    </w:p>
    <w:p w14:paraId="441B5034">
      <w:pPr>
        <w:ind w:firstLine="440" w:firstLineChars="200"/>
        <w:jc w:val="both"/>
      </w:pPr>
      <w:r>
        <w:t>Additionally, immersive experiences facilitate narrative and character engagement, enabling users to actively participate in heritage interpretation and meaning-making (Choi et al., 2024; This interactive and narrative-rich environment enhances memory retention and emotional connection, aligning with cognitive and educational theories (Logie, 2023).</w:t>
      </w:r>
    </w:p>
    <w:p w14:paraId="229F1D2D">
      <w:pPr>
        <w:rPr>
          <w:b/>
          <w:bCs/>
        </w:rPr>
      </w:pPr>
      <w:r>
        <w:rPr>
          <w:b/>
          <w:bCs/>
        </w:rPr>
        <w:t>Cultural Genes and Cognitive Schemas</w:t>
      </w:r>
    </w:p>
    <w:p w14:paraId="2F3544A1">
      <w:pPr>
        <w:ind w:firstLine="440" w:firstLineChars="200"/>
        <w:jc w:val="both"/>
      </w:pPr>
      <w:r>
        <w:t>The concept of cultural genes originates from meme theory, which explains how cultural elements are maintained and evolved across generations (Dawkins, 1989; Blackmore &amp; Kher, 1999). In immersive cultural heritage experiences, the activation of cultural genes can enhance recognition, emotional engagement, and personal interpretation (Wang &amp; Meng, 2024;)</w:t>
      </w:r>
    </w:p>
    <w:p w14:paraId="29969FF1">
      <w:pPr>
        <w:ind w:firstLine="440" w:firstLineChars="200"/>
        <w:jc w:val="both"/>
      </w:pPr>
      <w:r>
        <w:t>Cognitive schema theory explains how existing knowledge structures affect perception, attention, and memory in heritage content interactions (Torney-Purta, 1991; Wagoner, 2013). Designers can leverage participants' established schemas to build experiences that both fit and challenge their expectations, fostering reflective learning and deeper engagement.</w:t>
      </w:r>
    </w:p>
    <w:p w14:paraId="1FC33FFA">
      <w:pPr>
        <w:rPr>
          <w:b/>
          <w:bCs/>
        </w:rPr>
      </w:pPr>
      <w:r>
        <w:rPr>
          <w:b/>
          <w:bCs/>
        </w:rPr>
        <w:t xml:space="preserve">Industrial Heritage and Cultural Significance </w:t>
      </w:r>
    </w:p>
    <w:p w14:paraId="5D1D6D4B">
      <w:pPr>
        <w:ind w:firstLine="440" w:firstLineChars="200"/>
        <w:jc w:val="both"/>
      </w:pPr>
      <w:r>
        <w:t>Industrial heritage, including factories, workshops, and post-industrial landscapes, represents important historical, economic, and social changes (Berger, 2020; These sites are increasingly being integrated into tourism development, urban renewal, and cultural identity construction (Berkenbosch et al., 2022;)</w:t>
      </w:r>
    </w:p>
    <w:p w14:paraId="4CF6C135">
      <w:pPr>
        <w:ind w:firstLine="440" w:firstLineChars="200"/>
        <w:jc w:val="both"/>
      </w:pPr>
      <w:r>
        <w:t>The perception of industrial heritage varies between experts and communities, emphasizing the importance of inclusive interpretive strategies (Nikolić et al., 2020; Digital and immersive tools offer possibilities for enhancing engagement, connecting tangible and intangible heritage elements, and reinforcing the connection between historical heritage and contemporary cultural identity (Cercleux et al., 2022;)</w:t>
      </w:r>
    </w:p>
    <w:p w14:paraId="33195A9F">
      <w:pPr>
        <w:rPr>
          <w:b/>
          <w:bCs/>
        </w:rPr>
      </w:pPr>
      <w:r>
        <w:rPr>
          <w:b/>
          <w:bCs/>
        </w:rPr>
        <w:t>Design Strategies and Cultural Interpretation</w:t>
      </w:r>
    </w:p>
    <w:p w14:paraId="38537A0C">
      <w:pPr>
        <w:ind w:firstLine="440" w:firstLineChars="200"/>
        <w:jc w:val="both"/>
      </w:pPr>
      <w:r>
        <w:t>Design plays a mediating role in the presentation and perception of cultural heritage, transforming cultural genes and cognitive schemas into interactive, visual, and meaningful forms (Labode &amp; Braide, 2022; Symbolic design strategies enhance narrative coherence, engagement, and cultural understanding, particularly in immersive environments that combine interactivity with storytelling experiences (Choi et al., 2024; Kim &amp; Khajavi, 2024).</w:t>
      </w:r>
    </w:p>
    <w:p w14:paraId="3AD1FC47">
      <w:pPr>
        <w:rPr>
          <w:b/>
          <w:bCs/>
        </w:rPr>
      </w:pPr>
      <w:r>
        <w:rPr>
          <w:rFonts w:hint="eastAsia"/>
          <w:b/>
          <w:bCs/>
        </w:rPr>
        <w:t>Exploration process</w:t>
      </w:r>
    </w:p>
    <w:p w14:paraId="13FB1F23">
      <w:pPr>
        <w:ind w:firstLine="440" w:firstLineChars="200"/>
        <w:rPr>
          <w:b/>
          <w:bCs/>
        </w:rPr>
      </w:pPr>
      <w:r>
        <w:rPr>
          <w:b/>
          <w:bCs/>
        </w:rPr>
        <w:t>The Source of the Problem</w:t>
      </w:r>
    </w:p>
    <w:p w14:paraId="0176FF4B">
      <w:pPr>
        <w:ind w:firstLine="440" w:firstLineChars="200"/>
        <w:jc w:val="both"/>
      </w:pPr>
      <w:r>
        <w:t>The starting point of this project can be traced back to a fundamental question: how exactly people access, perceive, and internalize cultural heritage in contemporary society. For a long time, cultural heritage was presented primarily through museums, monuments, and curatorial exhibitions. However, an individual's heritage experience is heavily constrained by contextual factors such as time, geographical location, age, and educational background. For example, visiting an industrial heritage site like a decommissioned factory often requires physical travel, adherence to specific opening hours, and some prior knowledge to truly understand its historical and cultural significance. Similarly, access to traditional craft practices is often limited by geographical distance, reduced number of inheritors, and the expertise required to understand the craft. These barriers mean that the way much of the public accesses to heritage is often fragmented and superficial.</w:t>
      </w:r>
    </w:p>
    <w:p w14:paraId="4D2C9E83">
      <w:pPr>
        <w:ind w:firstLine="440" w:firstLineChars="200"/>
        <w:jc w:val="both"/>
      </w:pPr>
      <w:r>
        <w:t>Virtual reality (VR) and augmented reality (AR) technologies have been proposed as potential solutions to break through these limitations (Brivio et al., 2021; However, these methods also have their own problems. VR experiences often require expensive equipment, cause physical discomfort for older users, or require a level of technical literacy that not all audiences have. Additionally, the authenticity of heritage's cultural transmission may also be questioned when it is reproduced through virtual environments. Viewers may feel that a three-dimensional model of a heritage site lacks the sense of atmosphere, tactile texture, and multisensory depth of a physical visit (Calogiuri et al., 2018). This contradiction highlights the tension between accessibility and authenticity: immersive technology expands audience reach but also has the potential to weaken the cultural DNA carried by heritage.</w:t>
      </w:r>
    </w:p>
    <w:p w14:paraId="43C9DF42">
      <w:pPr>
        <w:ind w:firstLine="440" w:firstLineChars="200"/>
        <w:jc w:val="both"/>
      </w:pPr>
      <w:r>
        <w:t>The theoretical basis for understanding this problem comes from the concept of cultural genes. Dawkins (1989) was the first to propose "selfish genes" to describe the replication characteristics of biological evolution. Blackmore and Kher (1999) extend this concept to the cultural level, proposing "memes" as replicators of culture. In this framework, cultural heritage can be understood as a carrier of cultural genes, which carries identity, memory and value, and is passed down from generation to generation. However, how these cultural genes are activated depends on how individuals are exposed to and interpret them. If contact is too superficial, fragmented, or alienated by technological intermediaries, then the transmission of cultural genes will be weakened.</w:t>
      </w:r>
    </w:p>
    <w:p w14:paraId="44AFB5BF">
      <w:pPr>
        <w:ind w:firstLine="440" w:firstLineChars="200"/>
        <w:jc w:val="both"/>
      </w:pPr>
      <w:r>
        <w:t>In my own observations, this issue is particularly evident when comparing traditional heritage exhibitions with immersive digital narratives. For example, during a preliminary research on an industrial museum, I noticed that many visitors quickly browsed through technical exhibits, stopping only for a moment in front of visually striking exhibits such as large machines or photographs. When I asked them about their impressions, some visitors admitted that the exhibits were "interesting" but struggled to connect historical significance to their own experiences. Conversely, when the same group watched an immersive video in the form of a short film, they reported a stronger emotional response. One participant said, "Walking around the factory in the first person made me feel like I was part of a worker's life, not just a spectator. This shows that the key to activating cultural memory is not the content itself, but the way it is presented.</w:t>
      </w:r>
    </w:p>
    <w:p w14:paraId="23DC2A45">
      <w:pPr>
        <w:ind w:firstLine="440" w:firstLineChars="200"/>
        <w:jc w:val="both"/>
      </w:pPr>
      <w:r>
        <w:t>Another significant problem is the difference in the perception of heritage between different generations. Younger audiences, accustomed to interactive media and fast-paced content, often find traditional exhibitions static and unappealing; Older audiences may reject digital media, believing it to be too fake or difficult to use. This generational divide highlights the importance of designing experiences that can adapt to different cognitive schemas (Torney-Purta, 1991; Wagoner, 2013). Schema theory argues that people interpret new information by linking it to existing knowledge and experience. Therefore, the activation of cultural genes is more effective when the heritage content is presented in a way that fits the schemas of different audiences.</w:t>
      </w:r>
    </w:p>
    <w:p w14:paraId="76AAD65B">
      <w:pPr>
        <w:ind w:firstLine="440" w:firstLineChars="200"/>
        <w:jc w:val="both"/>
      </w:pPr>
      <w:r>
        <w:t>Ultimately, the problem lies in the mismatch between the cultural significance contained in cultural heritage and the way it is delivered to different audiences. On the one hand, physical heritage sites and physical objects have authenticity, but their accessibility is limited; On the other hand, digital and immersive technologies enhance accessibility but can weaken authenticity. Addressing this dual challenge requires a rethinking not only of the media but also of the theoretical frameworks underpinning heritage interpretation. This project is inspired by this tension: exploring how immersive narratives bridge accessibility and authenticity, thereby enhancing cultural gene activation in industrial, artisanal, and historical heritage.</w:t>
      </w:r>
    </w:p>
    <w:p w14:paraId="74D68658">
      <w:pPr>
        <w:ind w:firstLine="440" w:firstLineChars="200"/>
        <w:rPr>
          <w:b/>
          <w:bCs/>
        </w:rPr>
      </w:pPr>
      <w:r>
        <w:rPr>
          <w:b/>
          <w:bCs/>
        </w:rPr>
        <w:t>Reflection on the Problem</w:t>
      </w:r>
    </w:p>
    <w:p w14:paraId="452FFED0">
      <w:pPr>
        <w:ind w:firstLine="440" w:firstLineChars="200"/>
        <w:jc w:val="both"/>
      </w:pPr>
      <w:r>
        <w:t>In reflecting on the problem, I realized that addressing the tension between accessibility and authenticity requires an experimental approach that combines theoretical inquiry with creative practice. The first step is to systematically comb through the literature in three areas: cultural theory, cognitive psychology, and immersive media. Dawkins' (1989) discussion of genes as replicators, and Blackmore and Kher's (1999) theory of developing memes as cultural units, provide a conceptual basis for understanding heritage as a vehicle for cultural genes. At the same time, the schema theory proposed by Torney-Purta (1991) and further elaboration by Wagoner (2013) provide a framework for how individuals interpret cultural content through existing psychological structures. Finally, the latest research on VR/AR by Brivio et al. (2021), Choi et al. (2024), and Zhou et al. (2025) provides a methodological reference for how immersive environments affect user experience.</w:t>
      </w:r>
    </w:p>
    <w:p w14:paraId="5D4F4E19">
      <w:pPr>
        <w:ind w:firstLine="440" w:firstLineChars="200"/>
        <w:jc w:val="both"/>
      </w:pPr>
      <w:r>
        <w:t>Combining these perspectives, I came to realize that the medium presented is just as important as the content itself. Cultural heritage does not only exist in static objects or archival documents, but is activated through interpretation and experience. This realization inspired me to design a project that not only showcases heritage, but also tests how immersive narratives can be used as a way to activate cultural genes.</w:t>
      </w:r>
    </w:p>
    <w:p w14:paraId="4673FB6F">
      <w:pPr>
        <w:ind w:firstLine="440" w:firstLineChars="200"/>
        <w:jc w:val="both"/>
      </w:pPr>
      <w:r>
        <w:t>The creative process begins with an experimental prototype. Using 3D modeling and panoramic photography, I constructed environments that simulate industrial and craft heritage, including the interior spaces of abandoned factories, artisans at work, and archival-inspired reconstructions of historical museums. Each environment is designed around a first-person narrative. This approach was chosen for two reasons: first, the first-person perspective provides an intimate mode of engagement, allowing the viewer to become a participant in the heritage environment rather than an external observer (Kim &amp; Khajavi, 2024); Second, first-person immersion allows me to test schema theory in practice: by "putting" the user in the scene, their existing experience of space, sound, and movement can be mobilized to support new cultural knowledge.</w:t>
      </w:r>
    </w:p>
    <w:p w14:paraId="13C8D07C">
      <w:pPr>
        <w:ind w:firstLine="440" w:firstLineChars="200"/>
        <w:jc w:val="both"/>
      </w:pPr>
      <w:r>
        <w:t>As the prototype was gradually refined, I invited peers and academic colleagues to conduct informal testing. The feedback is very enlightening. Some participants commented that while the visual realism of the factory machines was impressive, it was the sound design that really made them feel present – footsteps on the concrete floor, the hum of the engine in the distance. This observation aligns with Jo and Jeon's (2022) research on audiovisual integration in immersive environments, reinforcing the importance of multisensory alignment in cultural narratives. Another part of the audience, who is not familiar with industrial history, said that the first-person perspective made them "feel the weight of labor", an experience that still photographs have never brought before.</w:t>
      </w:r>
    </w:p>
    <w:p w14:paraId="19F2F2E6">
      <w:pPr>
        <w:ind w:firstLine="440" w:firstLineChars="200"/>
        <w:jc w:val="both"/>
      </w:pPr>
      <w:r>
        <w:t>However, this process also exposes limitations. For example, older participants felt uncomfortable wearing VR headsets for long periods of time and were more inclined to watch in a 360° video format on a normal screen. "When I can move the screen on my own on my phone, I feel more included in the experience without having to wear a bulky device," one participant said. "This feedback prompted me to reflect on inclusivity: an effective approach to immersive heritage must be adapted to different technical literacy and physical conditions. Similarly, some younger viewers expect interactive elements like decision-making or branching narratives. Their criticism suggests that immersive storytelling needs to find a balance between cinematic immersion and game-like interactivity, depending on the target audience.</w:t>
      </w:r>
    </w:p>
    <w:p w14:paraId="185D30D5">
      <w:pPr>
        <w:ind w:firstLine="440" w:firstLineChars="200"/>
        <w:jc w:val="both"/>
      </w:pPr>
      <w:r>
        <w:t>From a theoretical perspective, these reflections highlight the adaptability of cultural genes. Just as biological genes mutate and adapt to new environments, cultural genes embedded in heritage must find new ways to replicate in digital media. Immersive video prototypes prove that authenticity does not exist only in "original" artifacts, but can be reconstructed through carefully crafted cues of experience. A 3D modeled steel machine, when combined with the sound recording of a real archive, can evoke cultural memory like a physical machine—provided that the experience design can effectively activate the audience's cognitive schema.</w:t>
      </w:r>
    </w:p>
    <w:p w14:paraId="4A271599">
      <w:pPr>
        <w:ind w:firstLine="440" w:firstLineChars="200"/>
        <w:jc w:val="both"/>
      </w:pPr>
      <w:r>
        <w:t>This reflection has also reshaped my understanding of the role of a designer. Designers are no longer just curators of historical facts, but intermediaries between cultural genes and contemporary audiences. This intermediary role means translating heritage into an experience that fits the user's perceptual, cognitive, and emotional structure. For designers, the process itself becomes a tool – a "source approach" through which it can explore, test and refine ways to activate cultural meaning.</w:t>
      </w:r>
    </w:p>
    <w:p w14:paraId="58746D97">
      <w:pPr>
        <w:ind w:firstLine="440" w:firstLineChars="200"/>
        <w:jc w:val="both"/>
      </w:pPr>
      <w:r>
        <w:t>Ultimately, reflections on the issue reveal that immersive narratives are not a subscenic alternative to traditional heritage experiences, but rather a complementary approach. By embracing the strengths and limitations of immersive media, this project demonstrates how cultural genes can survive, adapt, and thrive in contemporary environments. At the same time, it raises the broader question: How much interaction is necessary to maintain engagement? To what extent should authenticity be preserved or reinterpreted? These reflections set the stage for the subsequent validation phase, where the project will test its theoretical assumptions versus design strategies in a more structured manner.</w:t>
      </w:r>
    </w:p>
    <w:p w14:paraId="0532C538">
      <w:pPr>
        <w:ind w:firstLine="440" w:firstLineChars="200"/>
        <w:rPr>
          <w:b/>
          <w:bCs/>
        </w:rPr>
      </w:pPr>
      <w:r>
        <w:rPr>
          <w:b/>
          <w:bCs/>
        </w:rPr>
        <w:t>Verification of the Problem</w:t>
      </w:r>
    </w:p>
    <w:p w14:paraId="28C1432E">
      <w:pPr>
        <w:ind w:firstLine="440" w:firstLineChars="200"/>
        <w:jc w:val="both"/>
      </w:pPr>
      <w:r>
        <w:t>The validation phase is crucial, aiming to examine whether the hypothesis put forward in the early stages – whether immersive narratives can balance accessibility and authenticity while enhancing the activation of cultural genes – holds true in practice. Rather than relying solely on theoretical deduction, I chose to test the prototype with different groups of audiences, focusing on their cognitive, emotional, and social responses. This approach not only provides an empirical foundation for the project but also reveals the complex interactions of the audience in an immersive heritage experience.</w:t>
      </w:r>
    </w:p>
    <w:p w14:paraId="193AF69B">
      <w:pPr>
        <w:ind w:firstLine="440" w:firstLineChars="200"/>
        <w:jc w:val="both"/>
      </w:pPr>
      <w:r>
        <w:t>The testing process deliberately encompasses participants of different ages, educational backgrounds, and cultural familiarity. Many young viewers, familiar with the gaming environment and interactive platforms, engage with immersive videos with great enthusiasm. Multiplayer described the first-person view as "natural" and "game-like" and emphasized that they intuitively understood how to operate. One participant commented, "It reminds me of the experience I had when playing a game level, but this time it's real history." Their responses validated previous hypotheses that digital Indigenous audiences were more receptive to immersive media schemas and therefore more likely to activate cultural memory.</w:t>
      </w:r>
    </w:p>
    <w:p w14:paraId="0613694F">
      <w:pPr>
        <w:ind w:firstLine="440" w:firstLineChars="200"/>
        <w:jc w:val="both"/>
      </w:pPr>
      <w:r>
        <w:t>In contrast, older audiences have more mixed reactions. Some appreciate the sense of atmosphere – such as the evocation of industrial sounds or the visual reconstruction of heritage sites – but others express discomfort with the technology. Some viewers reported vertigo after wearing the headset for five minutes, while another felt "lost" while watching 360° videos on their phones. These reactions highlight the limitations of immersive technology in the face of heterogeneous audiences. As noted by Brivio et al. (2021) and Calogiuri et al. (2018), immersion environments must take into account the physical condition and psychological thresholds of the user. The validation phase confirms that while immersive storytelling works, its inclusivity depends on providing diverse usage.</w:t>
      </w:r>
    </w:p>
    <w:p w14:paraId="4B954CEA">
      <w:pPr>
        <w:ind w:firstLine="440" w:firstLineChars="200"/>
        <w:jc w:val="both"/>
      </w:pPr>
      <w:r>
        <w:t>In addition to generational differences, validation also reveals differences in depth of interpretation. Some participants focused primarily on surface features – such as the size of the machine, the vibrancy of the colors or the novelty of the perspective – while others expressed deeper cultural connections. One participant with a family background in industrial labor was particularly impressive, saying, "When I heard the sound of the machine, I immediately remembered the story my grandfather told me about working in a steel mill. It felt like I was perpetuating his memory. ”This case shows that the activation of cultural genes by immersive narratives is not uniform, but occurs through individualized schemas, which are deeply shaped by past experiences and identities (Torney-Purta, 1991; Wagoner, 2013).</w:t>
      </w:r>
    </w:p>
    <w:p w14:paraId="39B49BD4">
      <w:pPr>
        <w:ind w:firstLine="440" w:firstLineChars="200"/>
        <w:jc w:val="both"/>
      </w:pPr>
      <w:r>
        <w:t>Validation also includes comparing immersive prototypes to more traditional formats like documentary videos or photo exhibitions. Participants agreed that immersive video was more advantageous in terms of emotional engagement but not always richer in terms of messaging. Some said that although they "felt the legacy more strongly", they also wished for more explanatory text or narration to provide clear historical context. This feedback suggests that immersive narratives excel in creating a sense of presence and emotional resonance, but they need to be supplemented to ensure cognitive clarity. Zhou et al. (2025) pointed out that functional clarity and narrative quality are the key to user satisfaction on virtual heritage platforms, and this conclusion is directly confirmed by participant feedback.</w:t>
      </w:r>
    </w:p>
    <w:p w14:paraId="60CAE04A">
      <w:pPr>
        <w:ind w:firstLine="440" w:firstLineChars="200"/>
        <w:jc w:val="both"/>
      </w:pPr>
      <w:r>
        <w:t>The issue of authenticity is also highlighted in the verification stage. Some participants questioned whether the digitally reconstructed environment could be counted as "real". One asked, "Isn't this just an explanation?" How do I know if it's accurate? This criticism echoes the widespread debate in heritage research about the selective interpretation of cultural sites (Wei &amp; Wang, 2022). In response, I reflect that authenticity in immersive narratives may not lie in the complete replication of facts, but in the fidelity of emotions—the ability to evoke emotions, memories, and values associated with heritage. In this sense, the immersion environment is effective as a carrier of cultural genes, even if its form is reconstructed through the medium.</w:t>
      </w:r>
    </w:p>
    <w:p w14:paraId="620B73A3">
      <w:pPr>
        <w:ind w:firstLine="440" w:firstLineChars="200"/>
        <w:jc w:val="both"/>
      </w:pPr>
      <w:r>
        <w:t>Finally, the validation phase reveals the potential of immersive storytelling as a design method. By treating the audience as co-participants and allowing their feedback to actively shape the prototype, the project demonstrates how iterative design can optimize the activation of cultural meaning. For example, based on feedback, I adjusted the pace of camera movement to reduce vertigo, integrated layered sound effects to enhance the atmosphere, and added optional text overlays to complement the historical background. These improvements not only enhance the user experience but also demonstrate the dynamic nature of cultural gene replication – the form can be adjusted but the core meaning is retained.</w:t>
      </w:r>
    </w:p>
    <w:p w14:paraId="6C601E9C">
      <w:pPr>
        <w:ind w:firstLine="440" w:firstLineChars="200"/>
        <w:jc w:val="both"/>
      </w:pPr>
      <w:r>
        <w:t>In conclusion, the validation phase provides evidence that immersive narratives are a powerful yet complex approach to cultural heritage interpretation. It confirms the core hypothesis that immersive media can bridge the gap between accessibility and authenticity. At the same time, it also reveals the importance of inclusivity, contextual clarity, and iterative improvement. These findings lay the foundation for the final summary and problem-solving phase, where implications for heritage practice and design methods can be more fully articulated.</w:t>
      </w:r>
    </w:p>
    <w:p w14:paraId="0A3B0211">
      <w:pPr>
        <w:ind w:firstLine="440" w:firstLineChars="200"/>
        <w:rPr>
          <w:b/>
          <w:bCs/>
        </w:rPr>
      </w:pPr>
      <w:r>
        <w:rPr>
          <w:b/>
          <w:bCs/>
        </w:rPr>
        <w:t>Summary and Solving the Problem</w:t>
      </w:r>
    </w:p>
    <w:p w14:paraId="32516BDA">
      <w:pPr>
        <w:ind w:firstLine="440" w:firstLineChars="200"/>
      </w:pPr>
      <w:r>
        <w:t>In the final stage, I need to synthesize the insights gained from reflection and validation and propose strategies to address the identified issues. The core question remains clear: how to design immersive heritage experiences that are both authentic and accessible, so that they can effectively transmit cultural DNA among diverse audiences. While the prototype showcases the immense potential of immersive storytelling, the validation phase also reveals significant gaps that need to be addressed.</w:t>
      </w:r>
    </w:p>
    <w:p w14:paraId="78A35AF7">
      <w:pPr>
        <w:ind w:firstLine="440" w:firstLineChars="200"/>
      </w:pPr>
      <w:r>
        <w:t>One of the main problems is the generational difference in technical comfort and expectations. Younger audiences, especially digital natives, responded positively to the immersion and interactive possibilities of similar games; Older viewers prefer simpler formats, such as 360° video without a headset. Addressing this requires a multi-platform strategy. Immersive heritage projects should not be limited to a single model, but should offer a variety of ways to participate – from deeply immersive VR headsets to convenient mobile panoramas to traditional video with wider coverage. Such inclusivity ensures that cultural genes are not limited to technologically advantaged groups, but are continuously transmitted across different societies and generations (Brivio et al., 2021;</w:t>
      </w:r>
    </w:p>
    <w:p w14:paraId="2DE5AE97">
      <w:pPr>
        <w:ind w:firstLine="440" w:firstLineChars="200"/>
      </w:pPr>
      <w:r>
        <w:t>Another challenge is the balance between emotional presence and clarity of information. Immersive mediums excel at creating emotional resonance, but multiple participants wanted more contextual explanations. To do this, I experimented with layered content design: maintaining emotional immersion through first-person narratives and multi-sensory cues, while providing historical data, maps, and archival references with optional overlays. This two-tiered approach echoes Wang and Meng (2024) that museum digitization should support both cognitive identity and cultural symbols. In practice, it allows users to choose the depth of engagement autonomously – those seeking emotional resonance can focus on the experience itself, while those looking for historical knowledge can activate supplementary information.</w:t>
      </w:r>
    </w:p>
    <w:p w14:paraId="5F67B03E">
      <w:pPr>
        <w:ind w:firstLine="440" w:firstLineChars="200"/>
      </w:pPr>
      <w:r>
        <w:t>The question of authenticity is perhaps the most complex philosophical conundrum. Audience skepticism about "realism" reflects the widespread debate about cultural mediation in heritage studies (Wei &amp; Wang, 2022; Berger, 2020). My solution is to redefine authenticity: it should not be understood as a complete reproduction of facts, but as the fidelity of the experience. An immersive environment has its own authenticity if it effectively evokes the emotions, memories, and values associated with heritage. This shift aligns with Dawkins (1989) and Blackmore (1999) regarding cultural genes: replication is not an identical copy, but an adaptive transmission. In this sense, a 3D modeled machine, combined with real archival sounds, can faithfully convey cultural meanings, even if it is not physically identical to the original.</w:t>
      </w:r>
    </w:p>
    <w:p w14:paraId="27E12F1D">
      <w:pPr>
        <w:ind w:firstLine="440" w:firstLineChars="200"/>
      </w:pPr>
      <w:r>
        <w:t>It's also important to think of iterative design as a methodological tool. The process of capturing audience feedback – adjusting lens movements, enhancing sound design, and providing optional interactivity – goes beyond just enhancing user comfort. This actually reflects the dynamic process of cultural genetic replication: the form constantly adapts to the environment, but the core meaning is preserved. Therefore, designers should view iteration as a mechanism for the survival of heritage in the new media ecosystem, rather than compromise. This insight also echoes schema theory (Torney-Purta, 1991; Wagoner, 2013), as each iteration reconfigures the experience cues to fit the user's existing cognitive schemas, thereby promoting learning and cultural memory activation.</w:t>
      </w:r>
    </w:p>
    <w:p w14:paraId="04D9374B">
      <w:pPr>
        <w:ind w:firstLine="440" w:firstLineChars="200"/>
      </w:pPr>
      <w:r>
        <w:t>From a broader perspective, this project reveals that immersive narratives can serve both as a medium for heritage interpretation and as a methodological framework for design practice. By positioning immersive prototypes as a "source approach", designers gain a tool to systematically explore how cultural meanings are transmitted, disputed, and reconstructed. This methodological contribution goes beyond a single project: it shows that immersion experiments can be laboratories to test how cultural genes adapt in different contexts – whether it's industrial heritage, craft traditions, or historical museums.</w:t>
      </w:r>
    </w:p>
    <w:p w14:paraId="1C2ADDDD">
      <w:pPr>
        <w:ind w:firstLine="440" w:firstLineChars="200"/>
      </w:pPr>
      <w:r>
        <w:t>At the practical level, the solution to the problem lies in adopting a layered and pluralistic approach. First, meet different users through multi-platform access. Secondly, the two-layer design integrates emotional resonance and cognitive clarity. Third, understand authenticity as the fidelity of the experience, shifting the focus from replication to activation. Finally, institutionalize iterative feedback as a core component of legacy design. Together, these strategies enable designers to transform immersive mediums from novel technologies into robust methodological tools for cultural heritage.</w:t>
      </w:r>
    </w:p>
    <w:p w14:paraId="338E21CE">
      <w:pPr>
        <w:ind w:firstLine="440" w:firstLineChars="200"/>
      </w:pPr>
      <w:r>
        <w:t>In summary, the process and reflection show that a well-crafted immersive narrative can successfully activate cultural genes while responding to the dual needs of authenticity and accessibility. The process from problem identification to solution not only promotes the practical design of immersive heritage experience, but also contributes to the research on the transmission of cultural genes in theory. For heritage practitioners and designers, the lesson is clear: immersive media should not be seen as a mere tool of representation, but as a living process through which culture adapts, perpetuates, and continues to shape human identity in the digital age</w:t>
      </w:r>
      <w:r>
        <w:rPr>
          <w:rFonts w:hint="eastAsia"/>
        </w:rPr>
        <w:t xml:space="preserve">. </w:t>
      </w:r>
    </w:p>
    <w:p w14:paraId="14AEB7EE">
      <w:pPr>
        <w:ind w:firstLine="440" w:firstLineChars="200"/>
        <w:rPr>
          <w:rFonts w:hint="eastAsia"/>
          <w:b/>
          <w:bCs/>
        </w:rPr>
      </w:pPr>
      <w:r>
        <w:rPr>
          <w:b/>
          <w:bCs/>
        </w:rPr>
        <w:t>Conclusion</w:t>
      </w:r>
    </w:p>
    <w:p w14:paraId="1C209D2B">
      <w:pPr>
        <w:widowControl/>
        <w:spacing w:before="100" w:beforeAutospacing="1" w:after="100" w:afterAutospacing="1" w:line="240" w:lineRule="auto"/>
        <w:ind w:firstLine="440" w:firstLineChars="200"/>
        <w:jc w:val="both"/>
      </w:pPr>
      <w:r>
        <w:t>This study aims to explore how immersive narratives can activate cultural genes in industrial, artisanal, and historical heritage, while addressing the dual challenges of authenticity and accessibility. By creating a ten-minute immersive video, combined with theoretical reflection and audience feedback, the study shows that immersive media is not only a tool for representation, but also a methodological framework for heritage design and interpretation.</w:t>
      </w:r>
    </w:p>
    <w:p w14:paraId="79AFFDA3">
      <w:pPr>
        <w:widowControl/>
        <w:spacing w:before="100" w:beforeAutospacing="1" w:after="100" w:afterAutospacing="1" w:line="240" w:lineRule="auto"/>
        <w:ind w:firstLine="440" w:firstLineChars="200"/>
        <w:jc w:val="both"/>
      </w:pPr>
      <w:r>
        <w:t>The results show that well-designed immersion techniques can bridge the gap between the "embodied authenticity" and "physical accessibility" of heritage. Participant feedback noted that first-person perspectives and multi-sensory cues helped them connect emotionally with industrial and craftistic heritage, while supplementary contextual information provided the clarity needed for cognitive understanding. As a result,</w:t>
      </w:r>
      <w:bookmarkStart w:id="0" w:name="_GoBack"/>
      <w:bookmarkEnd w:id="0"/>
      <w:r>
        <w:t xml:space="preserve"> immersive narrative strikes a balance between emotional resonance and information depth, thereby enhancing the activation of cultural genes (Dawkins, 1989;</w:t>
      </w:r>
    </w:p>
    <w:p w14:paraId="6FA24F39">
      <w:pPr>
        <w:widowControl/>
        <w:spacing w:before="100" w:beforeAutospacing="1" w:after="100" w:afterAutospacing="1" w:line="240" w:lineRule="auto"/>
        <w:ind w:firstLine="440" w:firstLineChars="200"/>
        <w:jc w:val="both"/>
      </w:pPr>
      <w:r>
        <w:t>At the theoretical level, this study contributes to the study of cultural heritage. First, it extends the cultural gene and meme theory proposed by Dawkins (1989) and Blackmore (1999) to show that immersive narratives provide a unique environment where cultural reproduction is no longer just a copy of the physical object, but a transmission of experience fidelity. Therefore, authenticity should be understood as an evocation of cultural values, emotions, and memories, rather than a mere material representation (Wei &amp; Wang, 2022; Secondly, this study echoes schema theory (Torney-Purta, 1991; Wagoner, 2013), which shows that immersive experience can more effectively activate existing cognitive schemas, thereby embedding heritage knowledge into individual and collective memories. This finding reinforces that immersive design is not only a technological innovation but also a theoretical extension of the cultural transmission model.</w:t>
      </w:r>
    </w:p>
    <w:p w14:paraId="40C62509">
      <w:pPr>
        <w:widowControl/>
        <w:spacing w:before="100" w:beforeAutospacing="1" w:after="100" w:afterAutospacing="1" w:line="240" w:lineRule="auto"/>
        <w:ind w:firstLine="440" w:firstLineChars="200"/>
        <w:jc w:val="both"/>
      </w:pPr>
      <w:r>
        <w:t>At the practical level, this study provides some implications for designers and heritage practitioners. Firstly, a multi-platform strategy is crucial to address differences in technological comfort across generations: VR headsets may be more suitable for younger audiences, while older audiences prefer 360° panoramas or traditional videos. Secondly, layered content design offers flexibility in preserving emotional immersion while allowing audiences with a need to access supplementary historical information (Wang &amp; Meng, 2024; In addition, institutionalizing iterative design and audience feedback allows the heritage experience to remain dynamic and adaptable, thereby ensuring that cultural genes are effectively disseminated in different contexts. For designers, this study demonstrates that immersive media can serve as a "source approach"—a tool to systematically explore how cultural meaning is activated and transformed.</w:t>
      </w:r>
    </w:p>
    <w:p w14:paraId="0C879055">
      <w:pPr>
        <w:widowControl/>
        <w:spacing w:before="100" w:beforeAutospacing="1" w:after="100" w:afterAutospacing="1" w:line="240" w:lineRule="auto"/>
        <w:ind w:firstLine="440" w:firstLineChars="200"/>
        <w:jc w:val="both"/>
      </w:pPr>
      <w:r>
        <w:t>At the same time, this study acknowledges several limitations. The audience test was limited in scope, and feedback came from small and heterogeneous groups, and these conclusions cannot be generalized to all cultural or demographic contexts. The same goes for technical limitations: VR vertigo, high equipment costs, and technical literacy thresholds limit the adoption of immersive heritage. At the theoretical level, the transmission of cultural genes is a complex process influenced by social, political, and historical factors, and immersive design can only partially reveal this dynamic.</w:t>
      </w:r>
    </w:p>
    <w:p w14:paraId="47B8B9FC">
      <w:pPr>
        <w:widowControl/>
        <w:spacing w:before="100" w:beforeAutospacing="1" w:after="100" w:afterAutospacing="1" w:line="240" w:lineRule="auto"/>
        <w:ind w:firstLine="440" w:firstLineChars="200"/>
        <w:jc w:val="both"/>
      </w:pPr>
      <w:r>
        <w:t>However, these limitations provide new directions for future research. Comparative studies of different heritage types (industrial, handicraft, intangible heritage) can reveal how immersive narratives play different roles in diverse contexts; Large-scale user studies will provide richer insights into generational and cultural differences; The convergence of emerging technologies (AI, interactive agents, mixed reality) can further expand the capabilities of immersive heritage; Cross-cultural studies are also necessary, such as how immersive narratives of China's industrial heritage are accepted by international audiences, and what implications do for cultural diplomacy and global heritage sharing (Berkenbosch et al., 2022;</w:t>
      </w:r>
    </w:p>
    <w:p w14:paraId="396A9A9E">
      <w:pPr>
        <w:widowControl/>
        <w:spacing w:before="100" w:beforeAutospacing="1" w:after="100" w:afterAutospacing="1" w:line="240" w:lineRule="auto"/>
        <w:ind w:firstLine="440" w:firstLineChars="200"/>
        <w:jc w:val="both"/>
        <w:rPr>
          <w:rFonts w:hint="eastAsia"/>
          <w:lang w:eastAsia="zh-CN"/>
        </w:rPr>
      </w:pPr>
      <w:r>
        <w:rPr>
          <w:rFonts w:hint="eastAsia"/>
          <w:lang w:eastAsia="zh-CN"/>
        </w:rPr>
        <w:t>In conclusion, this research posits that the concept of immersive narrative should not be perceived merely as a supplementary digital enhancement to traditional heritage practices. Instead, it should be viewed as an active and dynamic process of cultural transmission. This process acts as an adaptive mechanism that facilitates the survival and evolution of cultural elements in the digital era. The study reinterprets the notion of authenticity, suggesting that it should be measured by the fidelity of experiences rather than by physical or historical accuracy alone. It advocates for the adoption of a multi-platform accessibility design approach, ensuring that cultural narratives can be experienced across various digital interfaces. Furthermore, the study emphasizes the importance of institutionalizing iterative feedback mechanisms to continuously refine and improve immersive heritage experiences. Through these strategies, immersive heritage design not only preserves the integrity of cultural significance but also broadens its accessibility to the general public.</w:t>
      </w:r>
    </w:p>
    <w:p w14:paraId="3328E7FC">
      <w:pPr>
        <w:widowControl/>
        <w:spacing w:before="100" w:beforeAutospacing="1" w:after="100" w:afterAutospacing="1" w:line="240" w:lineRule="auto"/>
        <w:ind w:firstLine="440" w:firstLineChars="200"/>
        <w:jc w:val="both"/>
        <w:rPr>
          <w:rFonts w:hint="eastAsia"/>
          <w:lang w:eastAsia="zh-CN"/>
        </w:rPr>
      </w:pPr>
      <w:r>
        <w:rPr>
          <w:rFonts w:hint="eastAsia"/>
          <w:lang w:eastAsia="zh-CN"/>
        </w:rPr>
        <w:t>For the realm of academic research, this study offers a novel framework that aids in understanding the replication and perpetuation of cultural practices. It provides a lens through which researchers can examine how cultural elements are adapted and passed down through immersive storytelling techniques. For design practitioners, the study furnishes concrete strategies for the creation and implementation of immersive heritage projects. These strategies are geared towards crafting experiences that are not only engaging and accessible but also respectful of the cultural narratives they aim to convey.</w:t>
      </w:r>
    </w:p>
    <w:p w14:paraId="5776DB4B">
      <w:pPr>
        <w:widowControl/>
        <w:spacing w:before="100" w:beforeAutospacing="1" w:after="100" w:afterAutospacing="1" w:line="240" w:lineRule="auto"/>
        <w:ind w:firstLine="440" w:firstLineChars="200"/>
        <w:jc w:val="both"/>
        <w:rPr>
          <w:rFonts w:hint="eastAsia"/>
          <w:lang w:eastAsia="zh-CN"/>
        </w:rPr>
      </w:pPr>
      <w:r>
        <w:rPr>
          <w:rFonts w:hint="eastAsia"/>
          <w:lang w:eastAsia="zh-CN"/>
        </w:rPr>
        <w:t>On a societal level, the research demonstrates that cultural heritage can remain vibrant, relevant, and impactful in the modern world. It highlights the potential for immersive narratives to breathe new life into cultural traditions, making them resonate with contemporary audiences and ensuring their continued significance in people's lives.</w:t>
      </w:r>
    </w:p>
    <w:p w14:paraId="465EC55D">
      <w:pPr>
        <w:widowControl/>
        <w:spacing w:before="100" w:beforeAutospacing="1" w:after="100" w:afterAutospacing="1" w:line="240" w:lineRule="auto"/>
        <w:ind w:firstLine="440" w:firstLineChars="200"/>
        <w:jc w:val="both"/>
        <w:rPr>
          <w:rFonts w:hint="eastAsia"/>
          <w:lang w:eastAsia="zh-CN"/>
        </w:rPr>
      </w:pPr>
      <w:r>
        <w:rPr>
          <w:rFonts w:hint="eastAsia"/>
          <w:lang w:eastAsia="zh-CN"/>
        </w:rPr>
        <w:t>Ultimately, the key takeaway from this study is that immersive narratives serve a dual purpose. They are not solely concerned with the preservation of the past but are equally focused on invigorating culture in the present and inspiring its future trajectory. The cultural genes that are activated through immersive experiences play a pivotal role in shaping individual and collective identities, memories, and imaginations. This ensures that heritage is not a static relic of the past but an evolving and dynamic force that continues to influence and transform the lives of people in the present and for generations to come.</w:t>
      </w:r>
    </w:p>
    <w:p w14:paraId="552D4E87">
      <w:pPr>
        <w:rPr>
          <w:b/>
          <w:bCs/>
        </w:rPr>
      </w:pPr>
      <w:r>
        <w:rPr>
          <w:b/>
          <w:bCs/>
        </w:rPr>
        <w:t>R</w:t>
      </w:r>
      <w:r>
        <w:rPr>
          <w:rFonts w:hint="eastAsia"/>
          <w:b/>
          <w:bCs/>
        </w:rPr>
        <w:t>eference</w:t>
      </w:r>
    </w:p>
    <w:p w14:paraId="0FA5F88B">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Brivio, E., Serino, S., Negro Cousa, E., Zini, A., Riva, G. &amp; De Leo, G., 2021. </w:t>
      </w:r>
      <w:r>
        <w:rPr>
          <w:rFonts w:ascii="宋体" w:hAnsi="宋体" w:eastAsia="宋体" w:cs="宋体"/>
          <w:i/>
          <w:iCs/>
          <w:kern w:val="0"/>
          <w:sz w:val="24"/>
          <w14:ligatures w14:val="none"/>
        </w:rPr>
        <w:t>Virtual reality and 360° panorama technology: a media comparison to study changes in sense of presence, anxiety, and positive emotions.</w:t>
      </w:r>
      <w:r>
        <w:rPr>
          <w:rFonts w:ascii="宋体" w:hAnsi="宋体" w:eastAsia="宋体" w:cs="宋体"/>
          <w:kern w:val="0"/>
          <w:sz w:val="24"/>
          <w14:ligatures w14:val="none"/>
        </w:rPr>
        <w:t> Virtual Reality: The Journal of the Virtual Reality Society, 25(2), pp.303–311.</w:t>
      </w:r>
    </w:p>
    <w:p w14:paraId="0E7DFC9A">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Calogiuri, G., Litleskare, S., Fagerheim, K.A., Rydgren, T.L., Brambilla, E. &amp; Thurston, M., 2018. </w:t>
      </w:r>
      <w:r>
        <w:rPr>
          <w:rFonts w:ascii="宋体" w:hAnsi="宋体" w:eastAsia="宋体" w:cs="宋体"/>
          <w:i/>
          <w:iCs/>
          <w:kern w:val="0"/>
          <w:sz w:val="24"/>
          <w14:ligatures w14:val="none"/>
        </w:rPr>
        <w:t>Experiencing Nature through Immersive Virtual Environments: Environmental Perceptions, Physical Engagement, and Affective Responses during a Simulated Nature Walk.</w:t>
      </w:r>
      <w:r>
        <w:rPr>
          <w:rFonts w:ascii="宋体" w:hAnsi="宋体" w:eastAsia="宋体" w:cs="宋体"/>
          <w:kern w:val="0"/>
          <w:sz w:val="24"/>
          <w14:ligatures w14:val="none"/>
        </w:rPr>
        <w:t> Frontiers in Psychology, 8, p.2321.</w:t>
      </w:r>
    </w:p>
    <w:p w14:paraId="29A7DA19">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Choi, J.W., Park, J.J. &amp; Jun, H.J., 2024. </w:t>
      </w:r>
      <w:r>
        <w:rPr>
          <w:rFonts w:ascii="宋体" w:hAnsi="宋体" w:eastAsia="宋体" w:cs="宋体"/>
          <w:i/>
          <w:iCs/>
          <w:kern w:val="0"/>
          <w:sz w:val="24"/>
          <w14:ligatures w14:val="none"/>
        </w:rPr>
        <w:t>An Interactive Virtual Reality Approach to Understanding Cultural Heritage Through Storyliving: A Case Study of Seoul City Wall (Hanyangdoseong) in South Korea.</w:t>
      </w:r>
      <w:r>
        <w:rPr>
          <w:rFonts w:ascii="宋体" w:hAnsi="宋体" w:eastAsia="宋体" w:cs="宋体"/>
          <w:kern w:val="0"/>
          <w:sz w:val="24"/>
          <w14:ligatures w14:val="none"/>
        </w:rPr>
        <w:t> Applied Sciences, 14(23), p.11348.</w:t>
      </w:r>
    </w:p>
    <w:p w14:paraId="7EFF3990">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Sylaio, S., Dafiotis, P., Fidas, C., Vlachou, E. &amp; Nomikou, V., 2024. </w:t>
      </w:r>
      <w:r>
        <w:rPr>
          <w:rFonts w:ascii="宋体" w:hAnsi="宋体" w:eastAsia="宋体" w:cs="宋体"/>
          <w:i/>
          <w:iCs/>
          <w:kern w:val="0"/>
          <w:sz w:val="24"/>
          <w14:ligatures w14:val="none"/>
        </w:rPr>
        <w:t>Evaluating the Impact of XR on User Experience in the Tomato Industrial Museum “D. Nomikos”.</w:t>
      </w:r>
      <w:r>
        <w:rPr>
          <w:rFonts w:ascii="宋体" w:hAnsi="宋体" w:eastAsia="宋体" w:cs="宋体"/>
          <w:kern w:val="0"/>
          <w:sz w:val="24"/>
          <w14:ligatures w14:val="none"/>
        </w:rPr>
        <w:t> Heritage, 7(3), pp.1754–1768.</w:t>
      </w:r>
    </w:p>
    <w:p w14:paraId="7FF9BC7B">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Mukherjee, A. &amp; Banerji, H., 2025. </w:t>
      </w:r>
      <w:r>
        <w:rPr>
          <w:rFonts w:ascii="宋体" w:hAnsi="宋体" w:eastAsia="宋体" w:cs="宋体"/>
          <w:i/>
          <w:iCs/>
          <w:kern w:val="0"/>
          <w:sz w:val="24"/>
          <w14:ligatures w14:val="none"/>
        </w:rPr>
        <w:t>Disparities in expert and community perceptions of industrial heritage and implications for urban well-being in West Bengal, India.</w:t>
      </w:r>
      <w:r>
        <w:rPr>
          <w:rFonts w:ascii="宋体" w:hAnsi="宋体" w:eastAsia="宋体" w:cs="宋体"/>
          <w:kern w:val="0"/>
          <w:sz w:val="24"/>
          <w14:ligatures w14:val="none"/>
        </w:rPr>
        <w:t> Heritage Science, 13(1), p.44.</w:t>
      </w:r>
    </w:p>
    <w:p w14:paraId="3E49571F">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Dawkins, R., 1989. </w:t>
      </w:r>
      <w:r>
        <w:rPr>
          <w:rFonts w:ascii="宋体" w:hAnsi="宋体" w:eastAsia="宋体" w:cs="宋体"/>
          <w:i/>
          <w:iCs/>
          <w:kern w:val="0"/>
          <w:sz w:val="24"/>
          <w14:ligatures w14:val="none"/>
        </w:rPr>
        <w:t>The Selfish Gene.</w:t>
      </w:r>
      <w:r>
        <w:rPr>
          <w:rFonts w:ascii="宋体" w:hAnsi="宋体" w:eastAsia="宋体" w:cs="宋体"/>
          <w:kern w:val="0"/>
          <w:sz w:val="24"/>
          <w14:ligatures w14:val="none"/>
        </w:rPr>
        <w:t> Oxford: Oxford University Press.</w:t>
      </w:r>
    </w:p>
    <w:p w14:paraId="4D74C446">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Blackmore, S. &amp; Kher, U., 1999. </w:t>
      </w:r>
      <w:r>
        <w:rPr>
          <w:rFonts w:ascii="宋体" w:hAnsi="宋体" w:eastAsia="宋体" w:cs="宋体"/>
          <w:i/>
          <w:iCs/>
          <w:kern w:val="0"/>
          <w:sz w:val="24"/>
          <w14:ligatures w14:val="none"/>
        </w:rPr>
        <w:t>The Meme Machine.</w:t>
      </w:r>
      <w:r>
        <w:rPr>
          <w:rFonts w:ascii="宋体" w:hAnsi="宋体" w:eastAsia="宋体" w:cs="宋体"/>
          <w:kern w:val="0"/>
          <w:sz w:val="24"/>
          <w14:ligatures w14:val="none"/>
        </w:rPr>
        <w:t> Toronto: Time Incorporated.</w:t>
      </w:r>
    </w:p>
    <w:p w14:paraId="49A22DEA">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Logie, R.H., 2023. </w:t>
      </w:r>
      <w:r>
        <w:rPr>
          <w:rFonts w:ascii="宋体" w:hAnsi="宋体" w:eastAsia="宋体" w:cs="宋体"/>
          <w:i/>
          <w:iCs/>
          <w:kern w:val="0"/>
          <w:sz w:val="24"/>
          <w14:ligatures w14:val="none"/>
        </w:rPr>
        <w:t>Memory in Science for Society: There is Nothing as Practical as a Good Theory.</w:t>
      </w:r>
      <w:r>
        <w:rPr>
          <w:rFonts w:ascii="宋体" w:hAnsi="宋体" w:eastAsia="宋体" w:cs="宋体"/>
          <w:kern w:val="0"/>
          <w:sz w:val="24"/>
          <w14:ligatures w14:val="none"/>
        </w:rPr>
        <w:t> Oxford: Oxford University Press.</w:t>
      </w:r>
    </w:p>
    <w:p w14:paraId="5AE1CC45">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Wang, Z. &amp; Meng, J., 2024. </w:t>
      </w:r>
      <w:r>
        <w:rPr>
          <w:rFonts w:ascii="宋体" w:hAnsi="宋体" w:eastAsia="宋体" w:cs="宋体"/>
          <w:i/>
          <w:iCs/>
          <w:kern w:val="0"/>
          <w:sz w:val="24"/>
          <w14:ligatures w14:val="none"/>
        </w:rPr>
        <w:t>Dialogues with cultural heritage via museum digitalisation: developing a model of visitors' cognitive identity, technological agent, cultural symbolism, and public engagement.</w:t>
      </w:r>
      <w:r>
        <w:rPr>
          <w:rFonts w:ascii="宋体" w:hAnsi="宋体" w:eastAsia="宋体" w:cs="宋体"/>
          <w:kern w:val="0"/>
          <w:sz w:val="24"/>
          <w14:ligatures w14:val="none"/>
        </w:rPr>
        <w:t> Museum Management and Curatorship, 39(6), pp.810–833.</w:t>
      </w:r>
    </w:p>
    <w:p w14:paraId="1199D950">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Torney-Purta, J., 1991. </w:t>
      </w:r>
      <w:r>
        <w:rPr>
          <w:rFonts w:ascii="宋体" w:hAnsi="宋体" w:eastAsia="宋体" w:cs="宋体"/>
          <w:i/>
          <w:iCs/>
          <w:kern w:val="0"/>
          <w:sz w:val="24"/>
          <w14:ligatures w14:val="none"/>
        </w:rPr>
        <w:t>Schema Theory and Cognitive Psychology: Implications for Social Studies.</w:t>
      </w:r>
      <w:r>
        <w:rPr>
          <w:rFonts w:ascii="宋体" w:hAnsi="宋体" w:eastAsia="宋体" w:cs="宋体"/>
          <w:kern w:val="0"/>
          <w:sz w:val="24"/>
          <w14:ligatures w14:val="none"/>
        </w:rPr>
        <w:t> Theory and Research in Social Education, 19(2), pp.189–210.</w:t>
      </w:r>
    </w:p>
    <w:p w14:paraId="21EE057B">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Wagoner, B., 2013. </w:t>
      </w:r>
      <w:r>
        <w:rPr>
          <w:rFonts w:ascii="宋体" w:hAnsi="宋体" w:eastAsia="宋体" w:cs="宋体"/>
          <w:i/>
          <w:iCs/>
          <w:kern w:val="0"/>
          <w:sz w:val="24"/>
          <w14:ligatures w14:val="none"/>
        </w:rPr>
        <w:t>Bartlett’s concept of schema in reconstruction.</w:t>
      </w:r>
      <w:r>
        <w:rPr>
          <w:rFonts w:ascii="宋体" w:hAnsi="宋体" w:eastAsia="宋体" w:cs="宋体"/>
          <w:kern w:val="0"/>
          <w:sz w:val="24"/>
          <w14:ligatures w14:val="none"/>
        </w:rPr>
        <w:t> Theory &amp; Psychology, 23(5), pp.553–575.</w:t>
      </w:r>
    </w:p>
    <w:p w14:paraId="18D63D63">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Berger, S., 2020. </w:t>
      </w:r>
      <w:r>
        <w:rPr>
          <w:rFonts w:ascii="宋体" w:hAnsi="宋体" w:eastAsia="宋体" w:cs="宋体"/>
          <w:i/>
          <w:iCs/>
          <w:kern w:val="0"/>
          <w:sz w:val="24"/>
          <w14:ligatures w14:val="none"/>
        </w:rPr>
        <w:t>Constructing Industrial Pasts: Heritage, Historical Culture and Identity in Regions Undergoing Structural Economic Transformation.</w:t>
      </w:r>
      <w:r>
        <w:rPr>
          <w:rFonts w:ascii="宋体" w:hAnsi="宋体" w:eastAsia="宋体" w:cs="宋体"/>
          <w:kern w:val="0"/>
          <w:sz w:val="24"/>
          <w14:ligatures w14:val="none"/>
        </w:rPr>
        <w:t> New York: Berghahn Books.</w:t>
      </w:r>
    </w:p>
    <w:p w14:paraId="699FCE1B">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Berkenbosch, K., Groote, P. &amp; Stoffelen, A., 2022. </w:t>
      </w:r>
      <w:r>
        <w:rPr>
          <w:rFonts w:ascii="宋体" w:hAnsi="宋体" w:eastAsia="宋体" w:cs="宋体"/>
          <w:i/>
          <w:iCs/>
          <w:kern w:val="0"/>
          <w:sz w:val="24"/>
          <w14:ligatures w14:val="none"/>
        </w:rPr>
        <w:t>Industrial heritage in tourism marketing: legitimizing post-industrial development strategies of the Ruhr Region, Germany.</w:t>
      </w:r>
      <w:r>
        <w:rPr>
          <w:rFonts w:ascii="宋体" w:hAnsi="宋体" w:eastAsia="宋体" w:cs="宋体"/>
          <w:kern w:val="0"/>
          <w:sz w:val="24"/>
          <w14:ligatures w14:val="none"/>
        </w:rPr>
        <w:t> Journal of Heritage Tourism, 17(3), pp.327–341.</w:t>
      </w:r>
    </w:p>
    <w:p w14:paraId="2E4462E6">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Dicks, B., 2020. </w:t>
      </w:r>
      <w:r>
        <w:rPr>
          <w:rFonts w:ascii="宋体" w:hAnsi="宋体" w:eastAsia="宋体" w:cs="宋体"/>
          <w:i/>
          <w:iCs/>
          <w:kern w:val="0"/>
          <w:sz w:val="24"/>
          <w14:ligatures w14:val="none"/>
        </w:rPr>
        <w:t>Industrial Heritage as Place Making: The Case of Wales.</w:t>
      </w:r>
      <w:r>
        <w:rPr>
          <w:rFonts w:ascii="宋体" w:hAnsi="宋体" w:eastAsia="宋体" w:cs="宋体"/>
          <w:kern w:val="0"/>
          <w:sz w:val="24"/>
          <w14:ligatures w14:val="none"/>
        </w:rPr>
        <w:t> In: S. Berger, ed. </w:t>
      </w:r>
      <w:r>
        <w:rPr>
          <w:rFonts w:ascii="宋体" w:hAnsi="宋体" w:eastAsia="宋体" w:cs="宋体"/>
          <w:i/>
          <w:iCs/>
          <w:kern w:val="0"/>
          <w:sz w:val="24"/>
          <w14:ligatures w14:val="none"/>
        </w:rPr>
        <w:t>Constructing Industrial Pasts.</w:t>
      </w:r>
      <w:r>
        <w:rPr>
          <w:rFonts w:ascii="宋体" w:hAnsi="宋体" w:eastAsia="宋体" w:cs="宋体"/>
          <w:kern w:val="0"/>
          <w:sz w:val="24"/>
          <w14:ligatures w14:val="none"/>
        </w:rPr>
        <w:t> 1st ed. New York: Berghahn Books, pp.68–90.</w:t>
      </w:r>
    </w:p>
    <w:p w14:paraId="32014BA8">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Miskell, L., 2020. </w:t>
      </w:r>
      <w:r>
        <w:rPr>
          <w:rFonts w:ascii="宋体" w:hAnsi="宋体" w:eastAsia="宋体" w:cs="宋体"/>
          <w:i/>
          <w:iCs/>
          <w:kern w:val="0"/>
          <w:sz w:val="24"/>
          <w14:ligatures w14:val="none"/>
        </w:rPr>
        <w:t>The Steel Industry in Welsh History and Heritage.</w:t>
      </w:r>
      <w:r>
        <w:rPr>
          <w:rFonts w:ascii="宋体" w:hAnsi="宋体" w:eastAsia="宋体" w:cs="宋体"/>
          <w:kern w:val="0"/>
          <w:sz w:val="24"/>
          <w14:ligatures w14:val="none"/>
        </w:rPr>
        <w:t> In: S. Berger, ed. </w:t>
      </w:r>
      <w:r>
        <w:rPr>
          <w:rFonts w:ascii="宋体" w:hAnsi="宋体" w:eastAsia="宋体" w:cs="宋体"/>
          <w:i/>
          <w:iCs/>
          <w:kern w:val="0"/>
          <w:sz w:val="24"/>
          <w14:ligatures w14:val="none"/>
        </w:rPr>
        <w:t>Constructing Industrial Pasts.</w:t>
      </w:r>
      <w:r>
        <w:rPr>
          <w:rFonts w:ascii="宋体" w:hAnsi="宋体" w:eastAsia="宋体" w:cs="宋体"/>
          <w:kern w:val="0"/>
          <w:sz w:val="24"/>
          <w14:ligatures w14:val="none"/>
        </w:rPr>
        <w:t>1st ed. New York: Berghahn Books, pp.91–106.</w:t>
      </w:r>
    </w:p>
    <w:p w14:paraId="3DA82F73">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Cercleux, A., Harfst, J.Ö. &amp; Ilovan, O., 2022. </w:t>
      </w:r>
      <w:r>
        <w:rPr>
          <w:rFonts w:ascii="宋体" w:hAnsi="宋体" w:eastAsia="宋体" w:cs="宋体"/>
          <w:i/>
          <w:iCs/>
          <w:kern w:val="0"/>
          <w:sz w:val="24"/>
          <w14:ligatures w14:val="none"/>
        </w:rPr>
        <w:t>Cultural Values, Heritage and Memories as Assets for Building Urban Territorial Identities.</w:t>
      </w:r>
      <w:r>
        <w:rPr>
          <w:rFonts w:ascii="宋体" w:hAnsi="宋体" w:eastAsia="宋体" w:cs="宋体"/>
          <w:kern w:val="0"/>
          <w:sz w:val="24"/>
          <w14:ligatures w14:val="none"/>
        </w:rPr>
        <w:t> Societies, 12(6), p.151.</w:t>
      </w:r>
    </w:p>
    <w:p w14:paraId="1406251E">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Nikoli</w:t>
      </w:r>
      <w:r>
        <w:rPr>
          <w:rFonts w:ascii="Cambria" w:hAnsi="Cambria" w:eastAsia="宋体" w:cs="Cambria"/>
          <w:kern w:val="0"/>
          <w:sz w:val="24"/>
          <w14:ligatures w14:val="none"/>
        </w:rPr>
        <w:t>ć</w:t>
      </w:r>
      <w:r>
        <w:rPr>
          <w:rFonts w:ascii="宋体" w:hAnsi="宋体" w:eastAsia="宋体" w:cs="宋体"/>
          <w:kern w:val="0"/>
          <w:sz w:val="24"/>
          <w14:ligatures w14:val="none"/>
        </w:rPr>
        <w:t xml:space="preserve">, M., Drobnjak, B. &amp; Kuletin </w:t>
      </w:r>
      <w:r>
        <w:rPr>
          <w:rFonts w:ascii="Cambria" w:hAnsi="Cambria" w:eastAsia="宋体" w:cs="Cambria"/>
          <w:kern w:val="0"/>
          <w:sz w:val="24"/>
          <w14:ligatures w14:val="none"/>
        </w:rPr>
        <w:t>Ć</w:t>
      </w:r>
      <w:r>
        <w:rPr>
          <w:rFonts w:ascii="宋体" w:hAnsi="宋体" w:eastAsia="宋体" w:cs="宋体"/>
          <w:kern w:val="0"/>
          <w:sz w:val="24"/>
          <w14:ligatures w14:val="none"/>
        </w:rPr>
        <w:t>ulafi</w:t>
      </w:r>
      <w:r>
        <w:rPr>
          <w:rFonts w:ascii="Cambria" w:hAnsi="Cambria" w:eastAsia="宋体" w:cs="Cambria"/>
          <w:kern w:val="0"/>
          <w:sz w:val="24"/>
          <w14:ligatures w14:val="none"/>
        </w:rPr>
        <w:t>ć</w:t>
      </w:r>
      <w:r>
        <w:rPr>
          <w:rFonts w:ascii="宋体" w:hAnsi="宋体" w:eastAsia="宋体" w:cs="宋体"/>
          <w:kern w:val="0"/>
          <w:sz w:val="24"/>
          <w14:ligatures w14:val="none"/>
        </w:rPr>
        <w:t>, I., 2020. </w:t>
      </w:r>
      <w:r>
        <w:rPr>
          <w:rFonts w:ascii="宋体" w:hAnsi="宋体" w:eastAsia="宋体" w:cs="宋体"/>
          <w:i/>
          <w:iCs/>
          <w:kern w:val="0"/>
          <w:sz w:val="24"/>
          <w14:ligatures w14:val="none"/>
        </w:rPr>
        <w:t>The Possibilities of Preservation, Regeneration and Presentation of Industrial Heritage: The Case of Old Mint “A.D.” on Belgrade Riverfront.</w:t>
      </w:r>
      <w:r>
        <w:rPr>
          <w:rFonts w:ascii="宋体" w:hAnsi="宋体" w:eastAsia="宋体" w:cs="宋体"/>
          <w:kern w:val="0"/>
          <w:sz w:val="24"/>
          <w14:ligatures w14:val="none"/>
        </w:rPr>
        <w:t> Sustainability, 12(13), p.5264.</w:t>
      </w:r>
    </w:p>
    <w:p w14:paraId="424EF8C2">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Szromek, A.R., Herman, K. &amp; Naramski, M., 2021. </w:t>
      </w:r>
      <w:r>
        <w:rPr>
          <w:rFonts w:ascii="宋体" w:hAnsi="宋体" w:eastAsia="宋体" w:cs="宋体"/>
          <w:i/>
          <w:iCs/>
          <w:kern w:val="0"/>
          <w:sz w:val="24"/>
          <w14:ligatures w14:val="none"/>
        </w:rPr>
        <w:t>Sustainable development of industrial heritage tourism – A case study of the Industrial Monuments Route in Poland.</w:t>
      </w:r>
      <w:r>
        <w:rPr>
          <w:rFonts w:ascii="宋体" w:hAnsi="宋体" w:eastAsia="宋体" w:cs="宋体"/>
          <w:kern w:val="0"/>
          <w:sz w:val="24"/>
          <w14:ligatures w14:val="none"/>
        </w:rPr>
        <w:t> Tourism Management, 83, p.104252.</w:t>
      </w:r>
    </w:p>
    <w:p w14:paraId="4F1D2F4C">
      <w:pPr>
        <w:pStyle w:val="30"/>
        <w:widowControl/>
        <w:numPr>
          <w:ilvl w:val="0"/>
          <w:numId w:val="1"/>
        </w:numPr>
        <w:spacing w:before="100" w:beforeAutospacing="1" w:after="100" w:afterAutospacing="1" w:line="240" w:lineRule="auto"/>
        <w:rPr>
          <w:rFonts w:ascii="宋体" w:hAnsi="宋体" w:eastAsia="宋体" w:cs="宋体"/>
          <w:kern w:val="0"/>
          <w:sz w:val="24"/>
          <w14:ligatures w14:val="none"/>
        </w:rPr>
      </w:pPr>
      <w:r>
        <w:rPr>
          <w:rFonts w:ascii="宋体" w:hAnsi="宋体" w:eastAsia="宋体" w:cs="宋体"/>
          <w:kern w:val="0"/>
          <w:sz w:val="24"/>
          <w14:ligatures w14:val="none"/>
        </w:rPr>
        <w:t>Wang, H., Ge, J., Chen, X., Zhou, Q. &amp; Huang, K., 2024. </w:t>
      </w:r>
      <w:r>
        <w:rPr>
          <w:rFonts w:ascii="宋体" w:hAnsi="宋体" w:eastAsia="宋体" w:cs="宋体"/>
          <w:i/>
          <w:iCs/>
          <w:kern w:val="0"/>
          <w:sz w:val="24"/>
          <w14:ligatures w14:val="none"/>
        </w:rPr>
        <w:t>Heritage Tourism Development Should Take Care of Industrial Heritage Protection: A Study on the Development Strategy of Industrial Heritage Tourism in Nanjing.</w:t>
      </w:r>
      <w:r>
        <w:rPr>
          <w:rFonts w:ascii="宋体" w:hAnsi="宋体" w:eastAsia="宋体" w:cs="宋体"/>
          <w:kern w:val="0"/>
          <w:sz w:val="24"/>
          <w14:ligatures w14:val="none"/>
        </w:rPr>
        <w:t>Sustainability, 16(19), p.8534.</w:t>
      </w:r>
    </w:p>
    <w:p w14:paraId="1B04C452">
      <w:pPr>
        <w:rPr>
          <w:rFonts w:hint="eastAsia"/>
          <w:b/>
          <w:bCs/>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Cambria">
    <w:altName w:val="苹方-简"/>
    <w:panose1 w:val="02040503050406030204"/>
    <w:charset w:val="00"/>
    <w:family w:val="roman"/>
    <w:pitch w:val="default"/>
    <w:sig w:usb0="00000000" w:usb1="00000000" w:usb2="00000000" w:usb3="00000000" w:csb0="0000019F" w:csb1="00000000"/>
  </w:font>
  <w:font w:name="汉仪书宋二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宋体-简">
    <w:panose1 w:val="02010800040101010101"/>
    <w:charset w:val="86"/>
    <w:family w:val="auto"/>
    <w:pitch w:val="default"/>
    <w:sig w:usb0="00000001" w:usb1="080F0000" w:usb2="00000000" w:usb3="00000000" w:csb0="00040000" w:csb1="00000000"/>
  </w:font>
  <w:font w:name="等线 Light">
    <w:altName w:val="汉仪中等线KW"/>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272A15"/>
    <w:multiLevelType w:val="multilevel"/>
    <w:tmpl w:val="49272A15"/>
    <w:lvl w:ilvl="0" w:tentative="0">
      <w:start w:val="1"/>
      <w:numFmt w:val="decimal"/>
      <w:lvlText w:val="%1."/>
      <w:lvlJc w:val="left"/>
      <w:pPr>
        <w:ind w:left="360" w:hanging="360"/>
      </w:pPr>
      <w:rPr>
        <w:rFonts w:hint="default" w:hAnsi="Symbol"/>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gxYTM1NzNmZTg2NDI3ZTBkYTljYWNlZWZkZGQ2ZGQifQ=="/>
  </w:docVars>
  <w:rsids>
    <w:rsidRoot w:val="00604D89"/>
    <w:rsid w:val="00167217"/>
    <w:rsid w:val="0018516E"/>
    <w:rsid w:val="00247E59"/>
    <w:rsid w:val="002B5ABA"/>
    <w:rsid w:val="004D66E6"/>
    <w:rsid w:val="00604D89"/>
    <w:rsid w:val="007972BB"/>
    <w:rsid w:val="007D44B7"/>
    <w:rsid w:val="00893D93"/>
    <w:rsid w:val="0094729D"/>
    <w:rsid w:val="00B92C46"/>
    <w:rsid w:val="00C67DA9"/>
    <w:rsid w:val="00F350D2"/>
    <w:rsid w:val="00FE2882"/>
    <w:rsid w:val="1D1B5E03"/>
    <w:rsid w:val="B96DB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2"/>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11">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Normal (Web)"/>
    <w:basedOn w:val="1"/>
    <w:semiHidden/>
    <w:unhideWhenUsed/>
    <w:uiPriority w:val="99"/>
    <w:pPr>
      <w:spacing w:beforeAutospacing="1" w:after="0" w:afterAutospacing="1"/>
    </w:pPr>
    <w:rPr>
      <w:rFonts w:cs="Times New Roman"/>
      <w:kern w:val="0"/>
      <w:sz w:val="24"/>
    </w:rPr>
  </w:style>
  <w:style w:type="paragraph" w:styleId="13">
    <w:name w:val="Title"/>
    <w:basedOn w:val="1"/>
    <w:next w:val="1"/>
    <w:link w:val="26"/>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styleId="16">
    <w:name w:val="Emphasis"/>
    <w:basedOn w:val="15"/>
    <w:qFormat/>
    <w:uiPriority w:val="20"/>
    <w:rPr>
      <w:i/>
      <w:iCs/>
    </w:rPr>
  </w:style>
  <w:style w:type="character" w:customStyle="1" w:styleId="17">
    <w:name w:val="标题 1 字符"/>
    <w:basedOn w:val="15"/>
    <w:link w:val="2"/>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5"/>
    <w:link w:val="3"/>
    <w:semiHidden/>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5"/>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5"/>
    <w:link w:val="5"/>
    <w:semiHidden/>
    <w:uiPriority w:val="9"/>
    <w:rPr>
      <w:rFonts w:cstheme="majorBidi"/>
      <w:color w:val="104862" w:themeColor="accent1" w:themeShade="BF"/>
      <w:sz w:val="28"/>
      <w:szCs w:val="28"/>
    </w:rPr>
  </w:style>
  <w:style w:type="character" w:customStyle="1" w:styleId="21">
    <w:name w:val="标题 5 字符"/>
    <w:basedOn w:val="15"/>
    <w:link w:val="6"/>
    <w:semiHidden/>
    <w:uiPriority w:val="9"/>
    <w:rPr>
      <w:rFonts w:cstheme="majorBidi"/>
      <w:color w:val="104862" w:themeColor="accent1" w:themeShade="BF"/>
      <w:sz w:val="24"/>
    </w:rPr>
  </w:style>
  <w:style w:type="character" w:customStyle="1" w:styleId="22">
    <w:name w:val="标题 6 字符"/>
    <w:basedOn w:val="15"/>
    <w:link w:val="7"/>
    <w:semiHidden/>
    <w:uiPriority w:val="9"/>
    <w:rPr>
      <w:rFonts w:cstheme="majorBidi"/>
      <w:b/>
      <w:bCs/>
      <w:color w:val="104862" w:themeColor="accent1" w:themeShade="BF"/>
    </w:rPr>
  </w:style>
  <w:style w:type="character" w:customStyle="1" w:styleId="23">
    <w:name w:val="标题 7 字符"/>
    <w:basedOn w:val="15"/>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5"/>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5"/>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5"/>
    <w:link w:val="13"/>
    <w:uiPriority w:val="10"/>
    <w:rPr>
      <w:rFonts w:asciiTheme="majorHAnsi" w:hAnsiTheme="majorHAnsi" w:eastAsiaTheme="majorEastAsia" w:cstheme="majorBidi"/>
      <w:spacing w:val="-10"/>
      <w:kern w:val="28"/>
      <w:sz w:val="56"/>
      <w:szCs w:val="56"/>
    </w:rPr>
  </w:style>
  <w:style w:type="character" w:customStyle="1" w:styleId="27">
    <w:name w:val="副标题 字符"/>
    <w:basedOn w:val="15"/>
    <w:link w:val="11"/>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5"/>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明显强调1"/>
    <w:basedOn w:val="15"/>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5"/>
    <w:link w:val="32"/>
    <w:uiPriority w:val="30"/>
    <w:rPr>
      <w:i/>
      <w:iCs/>
      <w:color w:val="104862" w:themeColor="accent1" w:themeShade="BF"/>
    </w:rPr>
  </w:style>
  <w:style w:type="character" w:customStyle="1" w:styleId="34">
    <w:name w:val="明显参考1"/>
    <w:basedOn w:val="15"/>
    <w:qFormat/>
    <w:uiPriority w:val="32"/>
    <w:rPr>
      <w:b/>
      <w:bCs/>
      <w:smallCaps/>
      <w:color w:val="104862" w:themeColor="accent1" w:themeShade="BF"/>
      <w:spacing w:val="5"/>
    </w:rPr>
  </w:style>
  <w:style w:type="paragraph" w:customStyle="1" w:styleId="35">
    <w:name w:val="p1"/>
    <w:basedOn w:val="1"/>
    <w:uiPriority w:val="0"/>
    <w:pPr>
      <w:widowControl/>
      <w:spacing w:before="100" w:beforeAutospacing="1" w:after="100" w:afterAutospacing="1" w:line="240" w:lineRule="auto"/>
    </w:pPr>
    <w:rPr>
      <w:rFonts w:ascii="宋体" w:hAnsi="宋体" w:eastAsia="宋体" w:cs="宋体"/>
      <w:kern w:val="0"/>
      <w:sz w:val="24"/>
      <w14:ligatures w14:val="none"/>
    </w:rPr>
  </w:style>
  <w:style w:type="character" w:customStyle="1" w:styleId="36">
    <w:name w:val="s1"/>
    <w:basedOn w:val="15"/>
    <w:uiPriority w:val="0"/>
  </w:style>
  <w:style w:type="paragraph" w:customStyle="1" w:styleId="37">
    <w:name w:val="p3"/>
    <w:basedOn w:val="1"/>
    <w:uiPriority w:val="0"/>
    <w:pPr>
      <w:widowControl/>
      <w:spacing w:before="100" w:beforeAutospacing="1" w:after="100" w:afterAutospacing="1" w:line="240" w:lineRule="auto"/>
    </w:pPr>
    <w:rPr>
      <w:rFonts w:ascii="宋体" w:hAnsi="宋体" w:eastAsia="宋体" w:cs="宋体"/>
      <w:kern w:val="0"/>
      <w:sz w:val="24"/>
      <w14:ligatures w14:val="none"/>
    </w:rPr>
  </w:style>
  <w:style w:type="character" w:customStyle="1" w:styleId="38">
    <w:name w:val="apple-converted-space"/>
    <w:basedOn w:val="15"/>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5708</Words>
  <Characters>32540</Characters>
  <Lines>271</Lines>
  <Paragraphs>76</Paragraphs>
  <TotalTime>197</TotalTime>
  <ScaleCrop>false</ScaleCrop>
  <LinksUpToDate>false</LinksUpToDate>
  <CharactersWithSpaces>38172</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2025-08-10T17:08:00Z</dcterms:created>
  <dc:creator>Tianci Wei (2409030)</dc:creator>
  <cp:lastModifiedBy>banana</cp:lastModifiedBy>
  <dcterms:modified xsi:type="dcterms:W3CDTF">2025-08-27T01:15:10Z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5CAC30AE84D32996DA3FA26836E265B2_42</vt:lpwstr>
  </property>
</Properties>
</file>