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CEDE7B" w14:textId="5559B739" w:rsidR="00132628" w:rsidRPr="00132628" w:rsidRDefault="00132628" w:rsidP="00132628">
      <w:pPr>
        <w:rPr>
          <w:noProof/>
          <w:lang w:val="en"/>
        </w:rPr>
      </w:pPr>
      <w:r w:rsidRPr="00132628">
        <w:rPr>
          <w:noProof/>
          <w:lang w:val="en"/>
        </w:rPr>
        <w:drawing>
          <wp:inline distT="0" distB="0" distL="0" distR="0" wp14:anchorId="7999012C" wp14:editId="60CDE1BB">
            <wp:extent cx="2400300" cy="960120"/>
            <wp:effectExtent l="0" t="0" r="0" b="0"/>
            <wp:docPr id="374461217" name="Picture 2"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0300" cy="960120"/>
                    </a:xfrm>
                    <a:prstGeom prst="rect">
                      <a:avLst/>
                    </a:prstGeom>
                    <a:noFill/>
                    <a:ln>
                      <a:noFill/>
                    </a:ln>
                  </pic:spPr>
                </pic:pic>
              </a:graphicData>
            </a:graphic>
          </wp:inline>
        </w:drawing>
      </w:r>
    </w:p>
    <w:p w14:paraId="6A0577F8" w14:textId="77777777" w:rsidR="00132628" w:rsidRPr="00132628" w:rsidRDefault="00132628" w:rsidP="00132628">
      <w:pPr>
        <w:rPr>
          <w:b/>
          <w:i/>
          <w:noProof/>
          <w:lang w:val="en"/>
        </w:rPr>
      </w:pPr>
    </w:p>
    <w:p w14:paraId="6ED84BF8" w14:textId="77777777" w:rsidR="00132628" w:rsidRPr="00132628" w:rsidRDefault="00132628" w:rsidP="00050EB0">
      <w:pPr>
        <w:jc w:val="center"/>
        <w:rPr>
          <w:noProof/>
          <w:sz w:val="28"/>
          <w:szCs w:val="28"/>
          <w:lang w:val="en"/>
        </w:rPr>
      </w:pPr>
      <w:r w:rsidRPr="00132628">
        <w:rPr>
          <w:b/>
          <w:noProof/>
          <w:sz w:val="28"/>
          <w:szCs w:val="28"/>
          <w:lang w:val="en"/>
        </w:rPr>
        <w:t xml:space="preserve">Programme: </w:t>
      </w:r>
      <w:r w:rsidRPr="00132628">
        <w:rPr>
          <w:noProof/>
          <w:sz w:val="28"/>
          <w:szCs w:val="28"/>
          <w:lang w:val="en"/>
        </w:rPr>
        <w:t>Master of Business Administration</w:t>
      </w:r>
    </w:p>
    <w:p w14:paraId="7AE751FD" w14:textId="77777777" w:rsidR="00132628" w:rsidRPr="00132628" w:rsidRDefault="00132628" w:rsidP="00050EB0">
      <w:pPr>
        <w:jc w:val="center"/>
        <w:rPr>
          <w:noProof/>
          <w:sz w:val="28"/>
          <w:szCs w:val="28"/>
          <w:lang w:val="en"/>
        </w:rPr>
      </w:pPr>
      <w:r w:rsidRPr="00132628">
        <w:rPr>
          <w:b/>
          <w:noProof/>
          <w:sz w:val="28"/>
          <w:szCs w:val="28"/>
          <w:lang w:val="en"/>
        </w:rPr>
        <w:t>Module:</w:t>
      </w:r>
      <w:r w:rsidRPr="00132628">
        <w:rPr>
          <w:noProof/>
          <w:sz w:val="28"/>
          <w:szCs w:val="28"/>
          <w:lang w:val="en"/>
        </w:rPr>
        <w:t xml:space="preserve"> Dissertation (LCMB7035)</w:t>
      </w:r>
    </w:p>
    <w:p w14:paraId="17416281" w14:textId="77777777" w:rsidR="00132628" w:rsidRDefault="00132628" w:rsidP="00050EB0">
      <w:pPr>
        <w:jc w:val="center"/>
        <w:rPr>
          <w:noProof/>
          <w:sz w:val="28"/>
          <w:szCs w:val="28"/>
          <w:lang w:val="en"/>
        </w:rPr>
      </w:pPr>
      <w:r w:rsidRPr="00132628">
        <w:rPr>
          <w:b/>
          <w:noProof/>
          <w:sz w:val="28"/>
          <w:szCs w:val="28"/>
          <w:lang w:val="en"/>
        </w:rPr>
        <w:t>Lecturer:</w:t>
      </w:r>
      <w:r w:rsidRPr="00132628">
        <w:rPr>
          <w:noProof/>
          <w:sz w:val="28"/>
          <w:szCs w:val="28"/>
          <w:lang w:val="en"/>
        </w:rPr>
        <w:t xml:space="preserve"> Masud Ibrahim</w:t>
      </w:r>
    </w:p>
    <w:p w14:paraId="3C232306" w14:textId="2F318332" w:rsidR="004D36B1" w:rsidRPr="00E53F87" w:rsidRDefault="004D36B1" w:rsidP="00050EB0">
      <w:pPr>
        <w:jc w:val="center"/>
        <w:rPr>
          <w:noProof/>
          <w:sz w:val="28"/>
          <w:szCs w:val="28"/>
          <w:lang w:val="en"/>
        </w:rPr>
      </w:pPr>
      <w:r w:rsidRPr="004D36B1">
        <w:rPr>
          <w:b/>
          <w:bCs/>
          <w:noProof/>
          <w:sz w:val="28"/>
          <w:szCs w:val="28"/>
          <w:lang w:val="en"/>
        </w:rPr>
        <w:t>Supervisor</w:t>
      </w:r>
      <w:r w:rsidR="00050EB0">
        <w:rPr>
          <w:b/>
          <w:bCs/>
          <w:noProof/>
          <w:sz w:val="28"/>
          <w:szCs w:val="28"/>
          <w:lang w:val="en"/>
        </w:rPr>
        <w:t xml:space="preserve">: </w:t>
      </w:r>
      <w:r w:rsidR="00050EB0" w:rsidRPr="00E53F87">
        <w:rPr>
          <w:noProof/>
          <w:sz w:val="28"/>
          <w:szCs w:val="28"/>
          <w:lang w:val="en"/>
        </w:rPr>
        <w:t>Dian Mayasari</w:t>
      </w:r>
    </w:p>
    <w:p w14:paraId="426CB1A0" w14:textId="08F5D187" w:rsidR="00132628" w:rsidRPr="00E53F87" w:rsidRDefault="00E53F87" w:rsidP="00E53F87">
      <w:pPr>
        <w:jc w:val="center"/>
        <w:rPr>
          <w:i/>
          <w:noProof/>
          <w:sz w:val="28"/>
          <w:szCs w:val="28"/>
          <w:lang w:val="en"/>
        </w:rPr>
      </w:pPr>
      <w:r w:rsidRPr="00132628">
        <w:rPr>
          <w:b/>
          <w:noProof/>
          <w:sz w:val="28"/>
          <w:szCs w:val="28"/>
          <w:lang w:val="en"/>
        </w:rPr>
        <w:t>Proposed Title:</w:t>
      </w:r>
      <w:r w:rsidRPr="00132628">
        <w:rPr>
          <w:i/>
          <w:noProof/>
          <w:sz w:val="28"/>
          <w:szCs w:val="28"/>
          <w:lang w:val="en"/>
        </w:rPr>
        <w:t xml:space="preserve"> </w:t>
      </w:r>
      <w:r w:rsidRPr="00132628">
        <w:rPr>
          <w:noProof/>
          <w:sz w:val="28"/>
          <w:szCs w:val="28"/>
          <w:lang w:val="en"/>
        </w:rPr>
        <w:t>A Systematic Review Comparing Genuine Sustainability and Greenwashing Practices in the Fashion Industry</w:t>
      </w:r>
      <w:r>
        <w:rPr>
          <w:noProof/>
          <w:sz w:val="28"/>
          <w:szCs w:val="28"/>
          <w:lang w:val="en"/>
        </w:rPr>
        <w:t>ke</w:t>
      </w:r>
    </w:p>
    <w:p w14:paraId="5EE71AE5" w14:textId="77777777" w:rsidR="00132628" w:rsidRPr="00132628" w:rsidRDefault="00132628" w:rsidP="00050EB0">
      <w:pPr>
        <w:jc w:val="center"/>
        <w:rPr>
          <w:b/>
          <w:noProof/>
          <w:sz w:val="28"/>
          <w:szCs w:val="28"/>
          <w:lang w:val="en"/>
        </w:rPr>
      </w:pPr>
      <w:r w:rsidRPr="00132628">
        <w:rPr>
          <w:b/>
          <w:noProof/>
          <w:sz w:val="28"/>
          <w:szCs w:val="28"/>
          <w:lang w:val="en"/>
        </w:rPr>
        <w:t xml:space="preserve">Student Name: </w:t>
      </w:r>
      <w:bookmarkStart w:id="0" w:name="_Hlk213747389"/>
      <w:r w:rsidRPr="00132628">
        <w:rPr>
          <w:noProof/>
          <w:sz w:val="28"/>
          <w:szCs w:val="28"/>
          <w:lang w:val="en"/>
        </w:rPr>
        <w:t>Jaydeep Shingala</w:t>
      </w:r>
      <w:bookmarkEnd w:id="0"/>
    </w:p>
    <w:p w14:paraId="62FF9FE0" w14:textId="77777777" w:rsidR="00132628" w:rsidRDefault="00132628" w:rsidP="00050EB0">
      <w:pPr>
        <w:jc w:val="center"/>
        <w:rPr>
          <w:noProof/>
          <w:sz w:val="28"/>
          <w:szCs w:val="28"/>
          <w:lang w:val="en"/>
        </w:rPr>
      </w:pPr>
      <w:r w:rsidRPr="00132628">
        <w:rPr>
          <w:b/>
          <w:noProof/>
          <w:sz w:val="28"/>
          <w:szCs w:val="28"/>
          <w:lang w:val="en"/>
        </w:rPr>
        <w:t xml:space="preserve">Student Number: </w:t>
      </w:r>
      <w:r w:rsidRPr="00132628">
        <w:rPr>
          <w:noProof/>
          <w:sz w:val="28"/>
          <w:szCs w:val="28"/>
          <w:lang w:val="en"/>
        </w:rPr>
        <w:t>2419329</w:t>
      </w:r>
    </w:p>
    <w:p w14:paraId="3D607ECF" w14:textId="457CE463" w:rsidR="001C774D" w:rsidRPr="00132628" w:rsidRDefault="001C774D" w:rsidP="00050EB0">
      <w:pPr>
        <w:jc w:val="center"/>
        <w:rPr>
          <w:b/>
          <w:noProof/>
          <w:sz w:val="28"/>
          <w:szCs w:val="28"/>
          <w:lang w:val="en"/>
        </w:rPr>
      </w:pPr>
      <w:r w:rsidRPr="001C774D">
        <w:rPr>
          <w:b/>
          <w:bCs/>
          <w:noProof/>
          <w:sz w:val="28"/>
          <w:szCs w:val="28"/>
          <w:lang w:val="en"/>
        </w:rPr>
        <w:t>Word Count:</w:t>
      </w:r>
      <w:r>
        <w:rPr>
          <w:noProof/>
          <w:sz w:val="28"/>
          <w:szCs w:val="28"/>
          <w:lang w:val="en"/>
        </w:rPr>
        <w:t xml:space="preserve"> 15872</w:t>
      </w:r>
    </w:p>
    <w:p w14:paraId="12E0683D" w14:textId="77777777" w:rsidR="001F7590" w:rsidRPr="00132628" w:rsidRDefault="001F7590" w:rsidP="008C5097">
      <w:pPr>
        <w:rPr>
          <w:color w:val="000000" w:themeColor="text1"/>
          <w:sz w:val="28"/>
          <w:szCs w:val="28"/>
          <w:lang w:val="en"/>
        </w:rPr>
      </w:pPr>
    </w:p>
    <w:p w14:paraId="7CE1E1BA" w14:textId="47F36B11" w:rsidR="00786750" w:rsidRPr="00132628" w:rsidRDefault="00050EB0" w:rsidP="001F7590">
      <w:pPr>
        <w:rPr>
          <w:b/>
          <w:bCs/>
          <w:color w:val="000000" w:themeColor="text1"/>
          <w:sz w:val="28"/>
          <w:szCs w:val="28"/>
        </w:rPr>
      </w:pPr>
      <w:r>
        <w:rPr>
          <w:b/>
          <w:bCs/>
          <w:color w:val="000000" w:themeColor="text1"/>
          <w:sz w:val="28"/>
          <w:szCs w:val="28"/>
        </w:rPr>
        <w:t>Declaration,</w:t>
      </w:r>
    </w:p>
    <w:p w14:paraId="48865957" w14:textId="794F3251" w:rsidR="003C08E6" w:rsidRPr="00132628" w:rsidRDefault="003C08E6" w:rsidP="001F7590">
      <w:pPr>
        <w:pStyle w:val="paragraph"/>
        <w:spacing w:before="0" w:beforeAutospacing="0" w:after="0" w:afterAutospacing="0" w:line="360" w:lineRule="auto"/>
        <w:textAlignment w:val="baseline"/>
        <w:rPr>
          <w:rFonts w:asciiTheme="minorBidi" w:hAnsiTheme="minorBidi" w:cstheme="minorBidi"/>
          <w:color w:val="000000" w:themeColor="text1"/>
          <w:sz w:val="28"/>
          <w:szCs w:val="28"/>
        </w:rPr>
      </w:pPr>
      <w:r w:rsidRPr="00132628">
        <w:rPr>
          <w:rStyle w:val="normaltextrun"/>
          <w:rFonts w:asciiTheme="minorBidi" w:hAnsiTheme="minorBidi" w:cstheme="minorBidi"/>
          <w:color w:val="000000" w:themeColor="text1"/>
          <w:sz w:val="28"/>
          <w:szCs w:val="28"/>
        </w:rPr>
        <w:t xml:space="preserve">I, </w:t>
      </w:r>
      <w:r w:rsidR="00132628" w:rsidRPr="00132628">
        <w:rPr>
          <w:rStyle w:val="normaltextrun"/>
          <w:rFonts w:asciiTheme="minorBidi" w:hAnsiTheme="minorBidi" w:cstheme="minorBidi"/>
          <w:i/>
          <w:iCs/>
          <w:color w:val="000000" w:themeColor="text1"/>
          <w:sz w:val="28"/>
          <w:szCs w:val="28"/>
        </w:rPr>
        <w:t>Jaydeep Shingala</w:t>
      </w:r>
      <w:r w:rsidR="00E578B4" w:rsidRPr="00132628">
        <w:rPr>
          <w:rStyle w:val="normaltextrun"/>
          <w:rFonts w:asciiTheme="minorBidi" w:hAnsiTheme="minorBidi" w:cstheme="minorBidi"/>
          <w:color w:val="000000" w:themeColor="text1"/>
          <w:sz w:val="28"/>
          <w:szCs w:val="28"/>
        </w:rPr>
        <w:t>,</w:t>
      </w:r>
      <w:r w:rsidRPr="00132628">
        <w:rPr>
          <w:rStyle w:val="normaltextrun"/>
          <w:rFonts w:asciiTheme="minorBidi" w:hAnsiTheme="minorBidi" w:cstheme="minorBidi"/>
          <w:color w:val="000000" w:themeColor="text1"/>
          <w:sz w:val="28"/>
          <w:szCs w:val="28"/>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132628">
        <w:rPr>
          <w:rStyle w:val="eop"/>
          <w:rFonts w:asciiTheme="minorBidi" w:hAnsiTheme="minorBidi" w:cstheme="minorBidi"/>
          <w:color w:val="000000" w:themeColor="text1"/>
          <w:sz w:val="28"/>
          <w:szCs w:val="28"/>
        </w:rPr>
        <w:t> </w:t>
      </w:r>
    </w:p>
    <w:p w14:paraId="651E2ABB" w14:textId="77777777" w:rsidR="003C08E6" w:rsidRPr="00132628" w:rsidRDefault="003C08E6" w:rsidP="001F7590">
      <w:pPr>
        <w:pStyle w:val="paragraph"/>
        <w:spacing w:before="0" w:beforeAutospacing="0" w:after="0" w:afterAutospacing="0" w:line="360" w:lineRule="auto"/>
        <w:textAlignment w:val="baseline"/>
        <w:rPr>
          <w:rFonts w:asciiTheme="minorBidi" w:hAnsiTheme="minorBidi" w:cstheme="minorBidi"/>
          <w:color w:val="000000" w:themeColor="text1"/>
          <w:sz w:val="28"/>
          <w:szCs w:val="28"/>
        </w:rPr>
      </w:pPr>
      <w:r w:rsidRPr="00132628">
        <w:rPr>
          <w:rStyle w:val="eop"/>
          <w:rFonts w:asciiTheme="minorBidi" w:hAnsiTheme="minorBidi" w:cstheme="minorBidi"/>
          <w:color w:val="000000" w:themeColor="text1"/>
          <w:sz w:val="28"/>
          <w:szCs w:val="28"/>
        </w:rPr>
        <w:t> </w:t>
      </w:r>
    </w:p>
    <w:p w14:paraId="0CF35665" w14:textId="19313D83" w:rsidR="003C08E6" w:rsidRPr="00132628" w:rsidRDefault="003C08E6" w:rsidP="001F7590">
      <w:pPr>
        <w:pStyle w:val="paragraph"/>
        <w:spacing w:before="0" w:beforeAutospacing="0" w:after="0" w:afterAutospacing="0" w:line="360" w:lineRule="auto"/>
        <w:textAlignment w:val="baseline"/>
        <w:rPr>
          <w:rFonts w:asciiTheme="minorBidi" w:hAnsiTheme="minorBidi" w:cstheme="minorBidi"/>
          <w:color w:val="000000" w:themeColor="text1"/>
          <w:sz w:val="28"/>
          <w:szCs w:val="28"/>
        </w:rPr>
      </w:pPr>
      <w:r w:rsidRPr="00132628">
        <w:rPr>
          <w:rStyle w:val="normaltextrun"/>
          <w:rFonts w:asciiTheme="minorBidi" w:hAnsiTheme="minorBidi" w:cstheme="minorBidi"/>
          <w:color w:val="000000" w:themeColor="text1"/>
          <w:sz w:val="28"/>
          <w:szCs w:val="28"/>
        </w:rPr>
        <w:t>Signature:</w:t>
      </w:r>
      <w:r w:rsidR="00E578B4" w:rsidRPr="00132628">
        <w:rPr>
          <w:rStyle w:val="normaltextrun"/>
          <w:rFonts w:asciiTheme="minorBidi" w:hAnsiTheme="minorBidi" w:cstheme="minorBidi"/>
          <w:color w:val="000000" w:themeColor="text1"/>
          <w:sz w:val="28"/>
          <w:szCs w:val="28"/>
        </w:rPr>
        <w:t xml:space="preserve"> </w:t>
      </w:r>
      <w:r w:rsidRPr="00132628">
        <w:rPr>
          <w:rStyle w:val="normaltextrun"/>
          <w:rFonts w:asciiTheme="minorBidi" w:hAnsiTheme="minorBidi" w:cstheme="minorBidi"/>
          <w:color w:val="000000" w:themeColor="text1"/>
          <w:sz w:val="28"/>
          <w:szCs w:val="28"/>
        </w:rPr>
        <w:t>......</w:t>
      </w:r>
      <w:r w:rsidR="00E578B4" w:rsidRPr="00132628">
        <w:rPr>
          <w:color w:val="000000" w:themeColor="text1"/>
          <w:sz w:val="28"/>
          <w:szCs w:val="28"/>
        </w:rPr>
        <w:t xml:space="preserve"> </w:t>
      </w:r>
      <w:r w:rsidR="00132628" w:rsidRPr="00132628">
        <w:rPr>
          <w:rStyle w:val="normaltextrun"/>
          <w:rFonts w:asciiTheme="minorBidi" w:hAnsiTheme="minorBidi" w:cstheme="minorBidi"/>
          <w:color w:val="000000" w:themeColor="text1"/>
          <w:sz w:val="28"/>
          <w:szCs w:val="28"/>
        </w:rPr>
        <w:t>Jaydeep Shingala</w:t>
      </w:r>
      <w:r w:rsidRPr="00132628">
        <w:rPr>
          <w:rStyle w:val="normaltextrun"/>
          <w:rFonts w:asciiTheme="minorBidi" w:hAnsiTheme="minorBidi" w:cstheme="minorBidi"/>
          <w:color w:val="000000" w:themeColor="text1"/>
          <w:sz w:val="28"/>
          <w:szCs w:val="28"/>
        </w:rPr>
        <w:t>...........</w:t>
      </w:r>
    </w:p>
    <w:p w14:paraId="6E4610B8" w14:textId="6B7A2F15" w:rsidR="00E578B4" w:rsidRPr="00132628" w:rsidRDefault="003C08E6" w:rsidP="001F7590">
      <w:pPr>
        <w:pStyle w:val="paragraph"/>
        <w:spacing w:before="0" w:beforeAutospacing="0" w:after="0" w:afterAutospacing="0" w:line="360" w:lineRule="auto"/>
        <w:textAlignment w:val="baseline"/>
        <w:rPr>
          <w:rStyle w:val="eop"/>
          <w:rFonts w:asciiTheme="minorBidi" w:hAnsiTheme="minorBidi" w:cstheme="minorBidi"/>
          <w:color w:val="000000" w:themeColor="text1"/>
          <w:sz w:val="28"/>
          <w:szCs w:val="28"/>
        </w:rPr>
      </w:pPr>
      <w:r w:rsidRPr="00132628">
        <w:rPr>
          <w:rStyle w:val="normaltextrun"/>
          <w:rFonts w:asciiTheme="minorBidi" w:hAnsiTheme="minorBidi" w:cstheme="minorBidi"/>
          <w:color w:val="000000" w:themeColor="text1"/>
          <w:sz w:val="28"/>
          <w:szCs w:val="28"/>
        </w:rPr>
        <w:t>Date: …………</w:t>
      </w:r>
      <w:r w:rsidR="00E53F87">
        <w:rPr>
          <w:rStyle w:val="normaltextrun"/>
          <w:rFonts w:asciiTheme="minorBidi" w:hAnsiTheme="minorBidi" w:cstheme="minorBidi"/>
          <w:color w:val="000000" w:themeColor="text1"/>
          <w:sz w:val="28"/>
          <w:szCs w:val="28"/>
        </w:rPr>
        <w:t>3</w:t>
      </w:r>
      <w:r w:rsidR="00E53F87" w:rsidRPr="00E53F87">
        <w:rPr>
          <w:rStyle w:val="normaltextrun"/>
          <w:rFonts w:asciiTheme="minorBidi" w:hAnsiTheme="minorBidi" w:cstheme="minorBidi"/>
          <w:color w:val="000000" w:themeColor="text1"/>
          <w:sz w:val="28"/>
          <w:szCs w:val="28"/>
          <w:vertAlign w:val="superscript"/>
        </w:rPr>
        <w:t>rd</w:t>
      </w:r>
      <w:r w:rsidR="00E53F87">
        <w:rPr>
          <w:rStyle w:val="normaltextrun"/>
          <w:rFonts w:asciiTheme="minorBidi" w:hAnsiTheme="minorBidi" w:cstheme="minorBidi"/>
          <w:color w:val="000000" w:themeColor="text1"/>
          <w:sz w:val="28"/>
          <w:szCs w:val="28"/>
        </w:rPr>
        <w:t xml:space="preserve"> January 2026</w:t>
      </w:r>
      <w:r w:rsidRPr="00132628">
        <w:rPr>
          <w:rStyle w:val="normaltextrun"/>
          <w:rFonts w:asciiTheme="minorBidi" w:hAnsiTheme="minorBidi" w:cstheme="minorBidi"/>
          <w:color w:val="000000" w:themeColor="text1"/>
          <w:sz w:val="28"/>
          <w:szCs w:val="28"/>
        </w:rPr>
        <w:t>……......</w:t>
      </w:r>
    </w:p>
    <w:p w14:paraId="13F85C26" w14:textId="77777777" w:rsidR="00E578B4" w:rsidRDefault="00E578B4">
      <w:pPr>
        <w:spacing w:before="0" w:after="160" w:line="259" w:lineRule="auto"/>
        <w:jc w:val="left"/>
        <w:rPr>
          <w:rStyle w:val="eop"/>
          <w:rFonts w:eastAsia="Times New Roman"/>
          <w:sz w:val="22"/>
          <w:lang w:eastAsia="zh-CN"/>
        </w:rPr>
      </w:pPr>
      <w:r>
        <w:rPr>
          <w:rStyle w:val="eop"/>
          <w:sz w:val="22"/>
        </w:rPr>
        <w:br w:type="page"/>
      </w:r>
    </w:p>
    <w:p w14:paraId="249E2565" w14:textId="4A5B94D6" w:rsidR="004B0E8E" w:rsidRPr="008C5097" w:rsidRDefault="00786750" w:rsidP="00050EB0">
      <w:pPr>
        <w:pStyle w:val="Heading1"/>
        <w:numPr>
          <w:ilvl w:val="0"/>
          <w:numId w:val="0"/>
        </w:numPr>
        <w:jc w:val="left"/>
      </w:pPr>
      <w:bookmarkStart w:id="1" w:name="_Toc218445657"/>
      <w:r w:rsidRPr="008C5097">
        <w:lastRenderedPageBreak/>
        <w:t>ACKNOWLEDGEMENT</w:t>
      </w:r>
      <w:bookmarkEnd w:id="1"/>
    </w:p>
    <w:p w14:paraId="1E6EE679" w14:textId="4BA89A11" w:rsidR="00391EB6" w:rsidRPr="008C5097" w:rsidRDefault="00E53F87" w:rsidP="008C5097">
      <w:r w:rsidRPr="00E53F87">
        <w:t xml:space="preserve">I wish to acknowledge the deepest gratitude to everyone who helped in the successful accomplishment of this dissertation on the Master of Business Administration programme. To begin with, I would like to give credit to the Creator that has given me strength, clarity of thought, and perseverance during this academic journey. I owe it to my lecturer, Masud Ibrahim, a lot of his advice, academic expertise and encouragement throughout my Dissertation module (LCMB7035). I also would like to say that I am grateful to my supervisor, Dian Mayasari, </w:t>
      </w:r>
      <w:proofErr w:type="gramStart"/>
      <w:r w:rsidRPr="00E53F87">
        <w:t>who</w:t>
      </w:r>
      <w:r>
        <w:t>se</w:t>
      </w:r>
      <w:proofErr w:type="gramEnd"/>
      <w:r w:rsidRPr="00E53F87">
        <w:t xml:space="preserve"> positive feedbacks, patience, and academic guidance played a crucial role in developing this research. I would like to thank my parents in India who have been encouraging me, making sacrifices and never giving up on me without doubt, this would not have been possible without their support. Finally, this dissertation is an outcome of a group support, guidance, and encouragement, which I am deeply grateful.</w:t>
      </w:r>
    </w:p>
    <w:p w14:paraId="3DD94D6B" w14:textId="77777777" w:rsidR="008C5097" w:rsidRDefault="008C5097">
      <w:r>
        <w:br w:type="page"/>
      </w:r>
    </w:p>
    <w:sdt>
      <w:sdtPr>
        <w:rPr>
          <w:rFonts w:asciiTheme="minorBidi" w:eastAsiaTheme="minorEastAsia" w:hAnsiTheme="minorBidi" w:cstheme="minorBidi"/>
          <w:b w:val="0"/>
          <w:bCs w:val="0"/>
          <w:smallCaps w:val="0"/>
          <w:color w:val="auto"/>
          <w:sz w:val="24"/>
          <w:szCs w:val="22"/>
        </w:rPr>
        <w:id w:val="1045255892"/>
        <w:docPartObj>
          <w:docPartGallery w:val="Table of Contents"/>
          <w:docPartUnique/>
        </w:docPartObj>
      </w:sdtPr>
      <w:sdtEndPr>
        <w:rPr>
          <w:rFonts w:ascii="Arial" w:hAnsi="Arial"/>
          <w:noProof/>
        </w:rPr>
      </w:sdtEndPr>
      <w:sdtContent>
        <w:p w14:paraId="5CB2B8C2" w14:textId="0A133D63" w:rsidR="008C5097" w:rsidRDefault="008C5097" w:rsidP="00917E8A">
          <w:pPr>
            <w:pStyle w:val="TOCHeading"/>
            <w:numPr>
              <w:ilvl w:val="0"/>
              <w:numId w:val="0"/>
            </w:numPr>
            <w:ind w:left="432" w:hanging="432"/>
            <w:jc w:val="both"/>
          </w:pPr>
          <w:r>
            <w:t>Table of Contents</w:t>
          </w:r>
        </w:p>
        <w:p w14:paraId="75B60490" w14:textId="6225320D" w:rsidR="001D1CA2" w:rsidRDefault="008C5097">
          <w:pPr>
            <w:pStyle w:val="TOC1"/>
            <w:tabs>
              <w:tab w:val="right" w:leader="dot" w:pos="9016"/>
            </w:tabs>
            <w:rPr>
              <w:rFonts w:asciiTheme="minorHAnsi" w:hAnsiTheme="minorHAnsi" w:cstheme="minorBidi"/>
              <w:noProof/>
              <w:kern w:val="2"/>
              <w:szCs w:val="30"/>
              <w:lang w:eastAsia="zh-CN" w:bidi="bn-IN"/>
              <w14:ligatures w14:val="standardContextual"/>
            </w:rPr>
          </w:pPr>
          <w:r w:rsidRPr="00A9343B">
            <w:rPr>
              <w:sz w:val="22"/>
            </w:rPr>
            <w:fldChar w:fldCharType="begin"/>
          </w:r>
          <w:r w:rsidRPr="00A9343B">
            <w:rPr>
              <w:sz w:val="22"/>
            </w:rPr>
            <w:instrText xml:space="preserve"> TOC \o "1-3" \h \z \u </w:instrText>
          </w:r>
          <w:r w:rsidRPr="00A9343B">
            <w:rPr>
              <w:sz w:val="22"/>
            </w:rPr>
            <w:fldChar w:fldCharType="separate"/>
          </w:r>
          <w:hyperlink w:anchor="_Toc218445657" w:history="1">
            <w:r w:rsidR="001D1CA2" w:rsidRPr="00E34A4F">
              <w:rPr>
                <w:rStyle w:val="Hyperlink"/>
                <w:noProof/>
              </w:rPr>
              <w:t>ACKNOWLEDGEMENT</w:t>
            </w:r>
            <w:r w:rsidR="001D1CA2">
              <w:rPr>
                <w:noProof/>
                <w:webHidden/>
              </w:rPr>
              <w:tab/>
            </w:r>
            <w:r w:rsidR="001D1CA2">
              <w:rPr>
                <w:noProof/>
                <w:webHidden/>
              </w:rPr>
              <w:fldChar w:fldCharType="begin"/>
            </w:r>
            <w:r w:rsidR="001D1CA2">
              <w:rPr>
                <w:noProof/>
                <w:webHidden/>
              </w:rPr>
              <w:instrText xml:space="preserve"> PAGEREF _Toc218445657 \h </w:instrText>
            </w:r>
            <w:r w:rsidR="001D1CA2">
              <w:rPr>
                <w:noProof/>
                <w:webHidden/>
              </w:rPr>
            </w:r>
            <w:r w:rsidR="001D1CA2">
              <w:rPr>
                <w:noProof/>
                <w:webHidden/>
              </w:rPr>
              <w:fldChar w:fldCharType="separate"/>
            </w:r>
            <w:r w:rsidR="001D1CA2">
              <w:rPr>
                <w:noProof/>
                <w:webHidden/>
              </w:rPr>
              <w:t>2</w:t>
            </w:r>
            <w:r w:rsidR="001D1CA2">
              <w:rPr>
                <w:noProof/>
                <w:webHidden/>
              </w:rPr>
              <w:fldChar w:fldCharType="end"/>
            </w:r>
          </w:hyperlink>
        </w:p>
        <w:p w14:paraId="62D9F063" w14:textId="76A09032" w:rsidR="001D1CA2" w:rsidRDefault="001D1CA2">
          <w:pPr>
            <w:pStyle w:val="TOC1"/>
            <w:tabs>
              <w:tab w:val="right" w:leader="dot" w:pos="9016"/>
            </w:tabs>
            <w:rPr>
              <w:rFonts w:asciiTheme="minorHAnsi" w:hAnsiTheme="minorHAnsi" w:cstheme="minorBidi"/>
              <w:noProof/>
              <w:kern w:val="2"/>
              <w:szCs w:val="30"/>
              <w:lang w:eastAsia="zh-CN" w:bidi="bn-IN"/>
              <w14:ligatures w14:val="standardContextual"/>
            </w:rPr>
          </w:pPr>
          <w:hyperlink w:anchor="_Toc218445658" w:history="1">
            <w:r w:rsidRPr="00E34A4F">
              <w:rPr>
                <w:rStyle w:val="Hyperlink"/>
                <w:noProof/>
              </w:rPr>
              <w:t>List of Figures</w:t>
            </w:r>
            <w:r>
              <w:rPr>
                <w:noProof/>
                <w:webHidden/>
              </w:rPr>
              <w:tab/>
            </w:r>
            <w:r>
              <w:rPr>
                <w:noProof/>
                <w:webHidden/>
              </w:rPr>
              <w:fldChar w:fldCharType="begin"/>
            </w:r>
            <w:r>
              <w:rPr>
                <w:noProof/>
                <w:webHidden/>
              </w:rPr>
              <w:instrText xml:space="preserve"> PAGEREF _Toc218445658 \h </w:instrText>
            </w:r>
            <w:r>
              <w:rPr>
                <w:noProof/>
                <w:webHidden/>
              </w:rPr>
            </w:r>
            <w:r>
              <w:rPr>
                <w:noProof/>
                <w:webHidden/>
              </w:rPr>
              <w:fldChar w:fldCharType="separate"/>
            </w:r>
            <w:r>
              <w:rPr>
                <w:noProof/>
                <w:webHidden/>
              </w:rPr>
              <w:t>6</w:t>
            </w:r>
            <w:r>
              <w:rPr>
                <w:noProof/>
                <w:webHidden/>
              </w:rPr>
              <w:fldChar w:fldCharType="end"/>
            </w:r>
          </w:hyperlink>
        </w:p>
        <w:p w14:paraId="5DE7EB57" w14:textId="180F7B97" w:rsidR="001D1CA2" w:rsidRDefault="001D1CA2">
          <w:pPr>
            <w:pStyle w:val="TOC1"/>
            <w:tabs>
              <w:tab w:val="right" w:leader="dot" w:pos="9016"/>
            </w:tabs>
            <w:rPr>
              <w:rFonts w:asciiTheme="minorHAnsi" w:hAnsiTheme="minorHAnsi" w:cstheme="minorBidi"/>
              <w:noProof/>
              <w:kern w:val="2"/>
              <w:szCs w:val="30"/>
              <w:lang w:eastAsia="zh-CN" w:bidi="bn-IN"/>
              <w14:ligatures w14:val="standardContextual"/>
            </w:rPr>
          </w:pPr>
          <w:hyperlink w:anchor="_Toc218445659" w:history="1">
            <w:r w:rsidRPr="00E34A4F">
              <w:rPr>
                <w:rStyle w:val="Hyperlink"/>
                <w:noProof/>
              </w:rPr>
              <w:t>List of Tables</w:t>
            </w:r>
            <w:r>
              <w:rPr>
                <w:noProof/>
                <w:webHidden/>
              </w:rPr>
              <w:tab/>
            </w:r>
            <w:r>
              <w:rPr>
                <w:noProof/>
                <w:webHidden/>
              </w:rPr>
              <w:fldChar w:fldCharType="begin"/>
            </w:r>
            <w:r>
              <w:rPr>
                <w:noProof/>
                <w:webHidden/>
              </w:rPr>
              <w:instrText xml:space="preserve"> PAGEREF _Toc218445659 \h </w:instrText>
            </w:r>
            <w:r>
              <w:rPr>
                <w:noProof/>
                <w:webHidden/>
              </w:rPr>
            </w:r>
            <w:r>
              <w:rPr>
                <w:noProof/>
                <w:webHidden/>
              </w:rPr>
              <w:fldChar w:fldCharType="separate"/>
            </w:r>
            <w:r>
              <w:rPr>
                <w:noProof/>
                <w:webHidden/>
              </w:rPr>
              <w:t>6</w:t>
            </w:r>
            <w:r>
              <w:rPr>
                <w:noProof/>
                <w:webHidden/>
              </w:rPr>
              <w:fldChar w:fldCharType="end"/>
            </w:r>
          </w:hyperlink>
        </w:p>
        <w:p w14:paraId="253C5F98" w14:textId="4C15C8C9" w:rsidR="001D1CA2" w:rsidRDefault="001D1CA2">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8445660" w:history="1">
            <w:r w:rsidRPr="00E34A4F">
              <w:rPr>
                <w:rStyle w:val="Hyperlink"/>
                <w:noProof/>
              </w:rPr>
              <w:t>1</w:t>
            </w:r>
            <w:r>
              <w:rPr>
                <w:rFonts w:asciiTheme="minorHAnsi" w:hAnsiTheme="minorHAnsi" w:cstheme="minorBidi"/>
                <w:noProof/>
                <w:kern w:val="2"/>
                <w:szCs w:val="30"/>
                <w:lang w:eastAsia="zh-CN" w:bidi="bn-IN"/>
                <w14:ligatures w14:val="standardContextual"/>
              </w:rPr>
              <w:tab/>
            </w:r>
            <w:r w:rsidRPr="00E34A4F">
              <w:rPr>
                <w:rStyle w:val="Hyperlink"/>
                <w:noProof/>
              </w:rPr>
              <w:t>CHAPTER 1: INTRODUCTION</w:t>
            </w:r>
            <w:r>
              <w:rPr>
                <w:noProof/>
                <w:webHidden/>
              </w:rPr>
              <w:tab/>
            </w:r>
            <w:r>
              <w:rPr>
                <w:noProof/>
                <w:webHidden/>
              </w:rPr>
              <w:fldChar w:fldCharType="begin"/>
            </w:r>
            <w:r>
              <w:rPr>
                <w:noProof/>
                <w:webHidden/>
              </w:rPr>
              <w:instrText xml:space="preserve"> PAGEREF _Toc218445660 \h </w:instrText>
            </w:r>
            <w:r>
              <w:rPr>
                <w:noProof/>
                <w:webHidden/>
              </w:rPr>
            </w:r>
            <w:r>
              <w:rPr>
                <w:noProof/>
                <w:webHidden/>
              </w:rPr>
              <w:fldChar w:fldCharType="separate"/>
            </w:r>
            <w:r>
              <w:rPr>
                <w:noProof/>
                <w:webHidden/>
              </w:rPr>
              <w:t>7</w:t>
            </w:r>
            <w:r>
              <w:rPr>
                <w:noProof/>
                <w:webHidden/>
              </w:rPr>
              <w:fldChar w:fldCharType="end"/>
            </w:r>
          </w:hyperlink>
        </w:p>
        <w:p w14:paraId="182C0EC8" w14:textId="627BDF30"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1" w:history="1">
            <w:r w:rsidRPr="00E34A4F">
              <w:rPr>
                <w:rStyle w:val="Hyperlink"/>
                <w:noProof/>
              </w:rPr>
              <w:t>1.1</w:t>
            </w:r>
            <w:r>
              <w:rPr>
                <w:rFonts w:asciiTheme="minorHAnsi" w:hAnsiTheme="minorHAnsi" w:cstheme="minorBidi"/>
                <w:noProof/>
                <w:kern w:val="2"/>
                <w:szCs w:val="30"/>
                <w:lang w:eastAsia="zh-CN" w:bidi="bn-IN"/>
                <w14:ligatures w14:val="standardContextual"/>
              </w:rPr>
              <w:tab/>
            </w:r>
            <w:r w:rsidRPr="00E34A4F">
              <w:rPr>
                <w:rStyle w:val="Hyperlink"/>
                <w:noProof/>
              </w:rPr>
              <w:t>Background &amp; Problem Statement</w:t>
            </w:r>
            <w:r>
              <w:rPr>
                <w:noProof/>
                <w:webHidden/>
              </w:rPr>
              <w:tab/>
            </w:r>
            <w:r>
              <w:rPr>
                <w:noProof/>
                <w:webHidden/>
              </w:rPr>
              <w:fldChar w:fldCharType="begin"/>
            </w:r>
            <w:r>
              <w:rPr>
                <w:noProof/>
                <w:webHidden/>
              </w:rPr>
              <w:instrText xml:space="preserve"> PAGEREF _Toc218445661 \h </w:instrText>
            </w:r>
            <w:r>
              <w:rPr>
                <w:noProof/>
                <w:webHidden/>
              </w:rPr>
            </w:r>
            <w:r>
              <w:rPr>
                <w:noProof/>
                <w:webHidden/>
              </w:rPr>
              <w:fldChar w:fldCharType="separate"/>
            </w:r>
            <w:r>
              <w:rPr>
                <w:noProof/>
                <w:webHidden/>
              </w:rPr>
              <w:t>7</w:t>
            </w:r>
            <w:r>
              <w:rPr>
                <w:noProof/>
                <w:webHidden/>
              </w:rPr>
              <w:fldChar w:fldCharType="end"/>
            </w:r>
          </w:hyperlink>
        </w:p>
        <w:p w14:paraId="6D3FC9D9" w14:textId="183ECDE9"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2" w:history="1">
            <w:r w:rsidRPr="00E34A4F">
              <w:rPr>
                <w:rStyle w:val="Hyperlink"/>
                <w:noProof/>
              </w:rPr>
              <w:t>1.2</w:t>
            </w:r>
            <w:r>
              <w:rPr>
                <w:rFonts w:asciiTheme="minorHAnsi" w:hAnsiTheme="minorHAnsi" w:cstheme="minorBidi"/>
                <w:noProof/>
                <w:kern w:val="2"/>
                <w:szCs w:val="30"/>
                <w:lang w:eastAsia="zh-CN" w:bidi="bn-IN"/>
                <w14:ligatures w14:val="standardContextual"/>
              </w:rPr>
              <w:tab/>
            </w:r>
            <w:r w:rsidRPr="00E34A4F">
              <w:rPr>
                <w:rStyle w:val="Hyperlink"/>
                <w:noProof/>
              </w:rPr>
              <w:t>Research Aim</w:t>
            </w:r>
            <w:r>
              <w:rPr>
                <w:noProof/>
                <w:webHidden/>
              </w:rPr>
              <w:tab/>
            </w:r>
            <w:r>
              <w:rPr>
                <w:noProof/>
                <w:webHidden/>
              </w:rPr>
              <w:fldChar w:fldCharType="begin"/>
            </w:r>
            <w:r>
              <w:rPr>
                <w:noProof/>
                <w:webHidden/>
              </w:rPr>
              <w:instrText xml:space="preserve"> PAGEREF _Toc218445662 \h </w:instrText>
            </w:r>
            <w:r>
              <w:rPr>
                <w:noProof/>
                <w:webHidden/>
              </w:rPr>
            </w:r>
            <w:r>
              <w:rPr>
                <w:noProof/>
                <w:webHidden/>
              </w:rPr>
              <w:fldChar w:fldCharType="separate"/>
            </w:r>
            <w:r>
              <w:rPr>
                <w:noProof/>
                <w:webHidden/>
              </w:rPr>
              <w:t>9</w:t>
            </w:r>
            <w:r>
              <w:rPr>
                <w:noProof/>
                <w:webHidden/>
              </w:rPr>
              <w:fldChar w:fldCharType="end"/>
            </w:r>
          </w:hyperlink>
        </w:p>
        <w:p w14:paraId="432F76B4" w14:textId="65A51B80"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3" w:history="1">
            <w:r w:rsidRPr="00E34A4F">
              <w:rPr>
                <w:rStyle w:val="Hyperlink"/>
                <w:noProof/>
              </w:rPr>
              <w:t>1.3</w:t>
            </w:r>
            <w:r>
              <w:rPr>
                <w:rFonts w:asciiTheme="minorHAnsi" w:hAnsiTheme="minorHAnsi" w:cstheme="minorBidi"/>
                <w:noProof/>
                <w:kern w:val="2"/>
                <w:szCs w:val="30"/>
                <w:lang w:eastAsia="zh-CN" w:bidi="bn-IN"/>
                <w14:ligatures w14:val="standardContextual"/>
              </w:rPr>
              <w:tab/>
            </w:r>
            <w:r w:rsidRPr="00E34A4F">
              <w:rPr>
                <w:rStyle w:val="Hyperlink"/>
                <w:noProof/>
              </w:rPr>
              <w:t>Research Objectives</w:t>
            </w:r>
            <w:r>
              <w:rPr>
                <w:noProof/>
                <w:webHidden/>
              </w:rPr>
              <w:tab/>
            </w:r>
            <w:r>
              <w:rPr>
                <w:noProof/>
                <w:webHidden/>
              </w:rPr>
              <w:fldChar w:fldCharType="begin"/>
            </w:r>
            <w:r>
              <w:rPr>
                <w:noProof/>
                <w:webHidden/>
              </w:rPr>
              <w:instrText xml:space="preserve"> PAGEREF _Toc218445663 \h </w:instrText>
            </w:r>
            <w:r>
              <w:rPr>
                <w:noProof/>
                <w:webHidden/>
              </w:rPr>
            </w:r>
            <w:r>
              <w:rPr>
                <w:noProof/>
                <w:webHidden/>
              </w:rPr>
              <w:fldChar w:fldCharType="separate"/>
            </w:r>
            <w:r>
              <w:rPr>
                <w:noProof/>
                <w:webHidden/>
              </w:rPr>
              <w:t>9</w:t>
            </w:r>
            <w:r>
              <w:rPr>
                <w:noProof/>
                <w:webHidden/>
              </w:rPr>
              <w:fldChar w:fldCharType="end"/>
            </w:r>
          </w:hyperlink>
        </w:p>
        <w:p w14:paraId="0EE9AE63" w14:textId="14E1B834"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4" w:history="1">
            <w:r w:rsidRPr="00E34A4F">
              <w:rPr>
                <w:rStyle w:val="Hyperlink"/>
                <w:noProof/>
              </w:rPr>
              <w:t>1.4</w:t>
            </w:r>
            <w:r>
              <w:rPr>
                <w:rFonts w:asciiTheme="minorHAnsi" w:hAnsiTheme="minorHAnsi" w:cstheme="minorBidi"/>
                <w:noProof/>
                <w:kern w:val="2"/>
                <w:szCs w:val="30"/>
                <w:lang w:eastAsia="zh-CN" w:bidi="bn-IN"/>
                <w14:ligatures w14:val="standardContextual"/>
              </w:rPr>
              <w:tab/>
            </w:r>
            <w:r w:rsidRPr="00E34A4F">
              <w:rPr>
                <w:rStyle w:val="Hyperlink"/>
                <w:noProof/>
              </w:rPr>
              <w:t>Research Questions</w:t>
            </w:r>
            <w:r>
              <w:rPr>
                <w:noProof/>
                <w:webHidden/>
              </w:rPr>
              <w:tab/>
            </w:r>
            <w:r>
              <w:rPr>
                <w:noProof/>
                <w:webHidden/>
              </w:rPr>
              <w:fldChar w:fldCharType="begin"/>
            </w:r>
            <w:r>
              <w:rPr>
                <w:noProof/>
                <w:webHidden/>
              </w:rPr>
              <w:instrText xml:space="preserve"> PAGEREF _Toc218445664 \h </w:instrText>
            </w:r>
            <w:r>
              <w:rPr>
                <w:noProof/>
                <w:webHidden/>
              </w:rPr>
            </w:r>
            <w:r>
              <w:rPr>
                <w:noProof/>
                <w:webHidden/>
              </w:rPr>
              <w:fldChar w:fldCharType="separate"/>
            </w:r>
            <w:r>
              <w:rPr>
                <w:noProof/>
                <w:webHidden/>
              </w:rPr>
              <w:t>9</w:t>
            </w:r>
            <w:r>
              <w:rPr>
                <w:noProof/>
                <w:webHidden/>
              </w:rPr>
              <w:fldChar w:fldCharType="end"/>
            </w:r>
          </w:hyperlink>
        </w:p>
        <w:p w14:paraId="35D3BB05" w14:textId="50C4C9A0"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5" w:history="1">
            <w:r w:rsidRPr="00E34A4F">
              <w:rPr>
                <w:rStyle w:val="Hyperlink"/>
                <w:noProof/>
              </w:rPr>
              <w:t>1.5</w:t>
            </w:r>
            <w:r>
              <w:rPr>
                <w:rFonts w:asciiTheme="minorHAnsi" w:hAnsiTheme="minorHAnsi" w:cstheme="minorBidi"/>
                <w:noProof/>
                <w:kern w:val="2"/>
                <w:szCs w:val="30"/>
                <w:lang w:eastAsia="zh-CN" w:bidi="bn-IN"/>
                <w14:ligatures w14:val="standardContextual"/>
              </w:rPr>
              <w:tab/>
            </w:r>
            <w:r w:rsidRPr="00E34A4F">
              <w:rPr>
                <w:rStyle w:val="Hyperlink"/>
                <w:noProof/>
              </w:rPr>
              <w:t>Significance / Relevance of Study</w:t>
            </w:r>
            <w:r>
              <w:rPr>
                <w:noProof/>
                <w:webHidden/>
              </w:rPr>
              <w:tab/>
            </w:r>
            <w:r>
              <w:rPr>
                <w:noProof/>
                <w:webHidden/>
              </w:rPr>
              <w:fldChar w:fldCharType="begin"/>
            </w:r>
            <w:r>
              <w:rPr>
                <w:noProof/>
                <w:webHidden/>
              </w:rPr>
              <w:instrText xml:space="preserve"> PAGEREF _Toc218445665 \h </w:instrText>
            </w:r>
            <w:r>
              <w:rPr>
                <w:noProof/>
                <w:webHidden/>
              </w:rPr>
            </w:r>
            <w:r>
              <w:rPr>
                <w:noProof/>
                <w:webHidden/>
              </w:rPr>
              <w:fldChar w:fldCharType="separate"/>
            </w:r>
            <w:r>
              <w:rPr>
                <w:noProof/>
                <w:webHidden/>
              </w:rPr>
              <w:t>10</w:t>
            </w:r>
            <w:r>
              <w:rPr>
                <w:noProof/>
                <w:webHidden/>
              </w:rPr>
              <w:fldChar w:fldCharType="end"/>
            </w:r>
          </w:hyperlink>
        </w:p>
        <w:p w14:paraId="16BA8B5B" w14:textId="1C12A7A4"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6" w:history="1">
            <w:r w:rsidRPr="00E34A4F">
              <w:rPr>
                <w:rStyle w:val="Hyperlink"/>
                <w:noProof/>
              </w:rPr>
              <w:t>1.6</w:t>
            </w:r>
            <w:r>
              <w:rPr>
                <w:rFonts w:asciiTheme="minorHAnsi" w:hAnsiTheme="minorHAnsi" w:cstheme="minorBidi"/>
                <w:noProof/>
                <w:kern w:val="2"/>
                <w:szCs w:val="30"/>
                <w:lang w:eastAsia="zh-CN" w:bidi="bn-IN"/>
                <w14:ligatures w14:val="standardContextual"/>
              </w:rPr>
              <w:tab/>
            </w:r>
            <w:r w:rsidRPr="00E34A4F">
              <w:rPr>
                <w:rStyle w:val="Hyperlink"/>
                <w:noProof/>
              </w:rPr>
              <w:t>Brief Research Methodology</w:t>
            </w:r>
            <w:r>
              <w:rPr>
                <w:noProof/>
                <w:webHidden/>
              </w:rPr>
              <w:tab/>
            </w:r>
            <w:r>
              <w:rPr>
                <w:noProof/>
                <w:webHidden/>
              </w:rPr>
              <w:fldChar w:fldCharType="begin"/>
            </w:r>
            <w:r>
              <w:rPr>
                <w:noProof/>
                <w:webHidden/>
              </w:rPr>
              <w:instrText xml:space="preserve"> PAGEREF _Toc218445666 \h </w:instrText>
            </w:r>
            <w:r>
              <w:rPr>
                <w:noProof/>
                <w:webHidden/>
              </w:rPr>
            </w:r>
            <w:r>
              <w:rPr>
                <w:noProof/>
                <w:webHidden/>
              </w:rPr>
              <w:fldChar w:fldCharType="separate"/>
            </w:r>
            <w:r>
              <w:rPr>
                <w:noProof/>
                <w:webHidden/>
              </w:rPr>
              <w:t>10</w:t>
            </w:r>
            <w:r>
              <w:rPr>
                <w:noProof/>
                <w:webHidden/>
              </w:rPr>
              <w:fldChar w:fldCharType="end"/>
            </w:r>
          </w:hyperlink>
        </w:p>
        <w:p w14:paraId="0D80E20D" w14:textId="6CA5EBA1"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7" w:history="1">
            <w:r w:rsidRPr="00E34A4F">
              <w:rPr>
                <w:rStyle w:val="Hyperlink"/>
                <w:noProof/>
              </w:rPr>
              <w:t>1.7</w:t>
            </w:r>
            <w:r>
              <w:rPr>
                <w:rFonts w:asciiTheme="minorHAnsi" w:hAnsiTheme="minorHAnsi" w:cstheme="minorBidi"/>
                <w:noProof/>
                <w:kern w:val="2"/>
                <w:szCs w:val="30"/>
                <w:lang w:eastAsia="zh-CN" w:bidi="bn-IN"/>
                <w14:ligatures w14:val="standardContextual"/>
              </w:rPr>
              <w:tab/>
            </w:r>
            <w:r w:rsidRPr="00E34A4F">
              <w:rPr>
                <w:rStyle w:val="Hyperlink"/>
                <w:noProof/>
              </w:rPr>
              <w:t>Structure of Rest of Project</w:t>
            </w:r>
            <w:r>
              <w:rPr>
                <w:noProof/>
                <w:webHidden/>
              </w:rPr>
              <w:tab/>
            </w:r>
            <w:r>
              <w:rPr>
                <w:noProof/>
                <w:webHidden/>
              </w:rPr>
              <w:fldChar w:fldCharType="begin"/>
            </w:r>
            <w:r>
              <w:rPr>
                <w:noProof/>
                <w:webHidden/>
              </w:rPr>
              <w:instrText xml:space="preserve"> PAGEREF _Toc218445667 \h </w:instrText>
            </w:r>
            <w:r>
              <w:rPr>
                <w:noProof/>
                <w:webHidden/>
              </w:rPr>
            </w:r>
            <w:r>
              <w:rPr>
                <w:noProof/>
                <w:webHidden/>
              </w:rPr>
              <w:fldChar w:fldCharType="separate"/>
            </w:r>
            <w:r>
              <w:rPr>
                <w:noProof/>
                <w:webHidden/>
              </w:rPr>
              <w:t>11</w:t>
            </w:r>
            <w:r>
              <w:rPr>
                <w:noProof/>
                <w:webHidden/>
              </w:rPr>
              <w:fldChar w:fldCharType="end"/>
            </w:r>
          </w:hyperlink>
        </w:p>
        <w:p w14:paraId="246CC4D9" w14:textId="1B2B866E" w:rsidR="001D1CA2" w:rsidRDefault="001D1CA2">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8445668" w:history="1">
            <w:r w:rsidRPr="00E34A4F">
              <w:rPr>
                <w:rStyle w:val="Hyperlink"/>
                <w:noProof/>
              </w:rPr>
              <w:t>2</w:t>
            </w:r>
            <w:r>
              <w:rPr>
                <w:rFonts w:asciiTheme="minorHAnsi" w:hAnsiTheme="minorHAnsi" w:cstheme="minorBidi"/>
                <w:noProof/>
                <w:kern w:val="2"/>
                <w:szCs w:val="30"/>
                <w:lang w:eastAsia="zh-CN" w:bidi="bn-IN"/>
                <w14:ligatures w14:val="standardContextual"/>
              </w:rPr>
              <w:tab/>
            </w:r>
            <w:r w:rsidRPr="00E34A4F">
              <w:rPr>
                <w:rStyle w:val="Hyperlink"/>
                <w:noProof/>
              </w:rPr>
              <w:t>CHAPTER 2: LITERATURE REVIEW</w:t>
            </w:r>
            <w:r>
              <w:rPr>
                <w:noProof/>
                <w:webHidden/>
              </w:rPr>
              <w:tab/>
            </w:r>
            <w:r>
              <w:rPr>
                <w:noProof/>
                <w:webHidden/>
              </w:rPr>
              <w:fldChar w:fldCharType="begin"/>
            </w:r>
            <w:r>
              <w:rPr>
                <w:noProof/>
                <w:webHidden/>
              </w:rPr>
              <w:instrText xml:space="preserve"> PAGEREF _Toc218445668 \h </w:instrText>
            </w:r>
            <w:r>
              <w:rPr>
                <w:noProof/>
                <w:webHidden/>
              </w:rPr>
            </w:r>
            <w:r>
              <w:rPr>
                <w:noProof/>
                <w:webHidden/>
              </w:rPr>
              <w:fldChar w:fldCharType="separate"/>
            </w:r>
            <w:r>
              <w:rPr>
                <w:noProof/>
                <w:webHidden/>
              </w:rPr>
              <w:t>12</w:t>
            </w:r>
            <w:r>
              <w:rPr>
                <w:noProof/>
                <w:webHidden/>
              </w:rPr>
              <w:fldChar w:fldCharType="end"/>
            </w:r>
          </w:hyperlink>
        </w:p>
        <w:p w14:paraId="7BC86E2D" w14:textId="3E60DA1B"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69" w:history="1">
            <w:r w:rsidRPr="00E34A4F">
              <w:rPr>
                <w:rStyle w:val="Hyperlink"/>
                <w:noProof/>
              </w:rPr>
              <w:t>2.1</w:t>
            </w:r>
            <w:r>
              <w:rPr>
                <w:rFonts w:asciiTheme="minorHAnsi" w:hAnsiTheme="minorHAnsi" w:cstheme="minorBidi"/>
                <w:noProof/>
                <w:kern w:val="2"/>
                <w:szCs w:val="30"/>
                <w:lang w:eastAsia="zh-CN" w:bidi="bn-IN"/>
                <w14:ligatures w14:val="standardContextual"/>
              </w:rPr>
              <w:tab/>
            </w:r>
            <w:r w:rsidRPr="00E34A4F">
              <w:rPr>
                <w:rStyle w:val="Hyperlink"/>
                <w:noProof/>
              </w:rPr>
              <w:t>Introduction</w:t>
            </w:r>
            <w:r>
              <w:rPr>
                <w:noProof/>
                <w:webHidden/>
              </w:rPr>
              <w:tab/>
            </w:r>
            <w:r>
              <w:rPr>
                <w:noProof/>
                <w:webHidden/>
              </w:rPr>
              <w:fldChar w:fldCharType="begin"/>
            </w:r>
            <w:r>
              <w:rPr>
                <w:noProof/>
                <w:webHidden/>
              </w:rPr>
              <w:instrText xml:space="preserve"> PAGEREF _Toc218445669 \h </w:instrText>
            </w:r>
            <w:r>
              <w:rPr>
                <w:noProof/>
                <w:webHidden/>
              </w:rPr>
            </w:r>
            <w:r>
              <w:rPr>
                <w:noProof/>
                <w:webHidden/>
              </w:rPr>
              <w:fldChar w:fldCharType="separate"/>
            </w:r>
            <w:r>
              <w:rPr>
                <w:noProof/>
                <w:webHidden/>
              </w:rPr>
              <w:t>12</w:t>
            </w:r>
            <w:r>
              <w:rPr>
                <w:noProof/>
                <w:webHidden/>
              </w:rPr>
              <w:fldChar w:fldCharType="end"/>
            </w:r>
          </w:hyperlink>
        </w:p>
        <w:p w14:paraId="5337C123" w14:textId="11ABDF58"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70" w:history="1">
            <w:r w:rsidRPr="00E34A4F">
              <w:rPr>
                <w:rStyle w:val="Hyperlink"/>
                <w:noProof/>
              </w:rPr>
              <w:t>2.2</w:t>
            </w:r>
            <w:r>
              <w:rPr>
                <w:rFonts w:asciiTheme="minorHAnsi" w:hAnsiTheme="minorHAnsi" w:cstheme="minorBidi"/>
                <w:noProof/>
                <w:kern w:val="2"/>
                <w:szCs w:val="30"/>
                <w:lang w:eastAsia="zh-CN" w:bidi="bn-IN"/>
                <w14:ligatures w14:val="standardContextual"/>
              </w:rPr>
              <w:tab/>
            </w:r>
            <w:r w:rsidRPr="00E34A4F">
              <w:rPr>
                <w:rStyle w:val="Hyperlink"/>
                <w:noProof/>
              </w:rPr>
              <w:t>Critical Review of the Research Topic</w:t>
            </w:r>
            <w:r>
              <w:rPr>
                <w:noProof/>
                <w:webHidden/>
              </w:rPr>
              <w:tab/>
            </w:r>
            <w:r>
              <w:rPr>
                <w:noProof/>
                <w:webHidden/>
              </w:rPr>
              <w:fldChar w:fldCharType="begin"/>
            </w:r>
            <w:r>
              <w:rPr>
                <w:noProof/>
                <w:webHidden/>
              </w:rPr>
              <w:instrText xml:space="preserve"> PAGEREF _Toc218445670 \h </w:instrText>
            </w:r>
            <w:r>
              <w:rPr>
                <w:noProof/>
                <w:webHidden/>
              </w:rPr>
            </w:r>
            <w:r>
              <w:rPr>
                <w:noProof/>
                <w:webHidden/>
              </w:rPr>
              <w:fldChar w:fldCharType="separate"/>
            </w:r>
            <w:r>
              <w:rPr>
                <w:noProof/>
                <w:webHidden/>
              </w:rPr>
              <w:t>12</w:t>
            </w:r>
            <w:r>
              <w:rPr>
                <w:noProof/>
                <w:webHidden/>
              </w:rPr>
              <w:fldChar w:fldCharType="end"/>
            </w:r>
          </w:hyperlink>
        </w:p>
        <w:p w14:paraId="1CF9413F" w14:textId="7130E50C"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71" w:history="1">
            <w:r w:rsidRPr="00E34A4F">
              <w:rPr>
                <w:rStyle w:val="Hyperlink"/>
                <w:noProof/>
              </w:rPr>
              <w:t>2.2.1</w:t>
            </w:r>
            <w:r>
              <w:rPr>
                <w:rFonts w:asciiTheme="minorHAnsi" w:hAnsiTheme="minorHAnsi" w:cstheme="minorBidi"/>
                <w:noProof/>
                <w:kern w:val="2"/>
                <w:szCs w:val="30"/>
                <w:lang w:eastAsia="zh-CN" w:bidi="bn-IN"/>
                <w14:ligatures w14:val="standardContextual"/>
              </w:rPr>
              <w:tab/>
            </w:r>
            <w:r w:rsidRPr="00E34A4F">
              <w:rPr>
                <w:rStyle w:val="Hyperlink"/>
                <w:noProof/>
              </w:rPr>
              <w:t>Definition of Key Concepts</w:t>
            </w:r>
            <w:r>
              <w:rPr>
                <w:noProof/>
                <w:webHidden/>
              </w:rPr>
              <w:tab/>
            </w:r>
            <w:r>
              <w:rPr>
                <w:noProof/>
                <w:webHidden/>
              </w:rPr>
              <w:fldChar w:fldCharType="begin"/>
            </w:r>
            <w:r>
              <w:rPr>
                <w:noProof/>
                <w:webHidden/>
              </w:rPr>
              <w:instrText xml:space="preserve"> PAGEREF _Toc218445671 \h </w:instrText>
            </w:r>
            <w:r>
              <w:rPr>
                <w:noProof/>
                <w:webHidden/>
              </w:rPr>
            </w:r>
            <w:r>
              <w:rPr>
                <w:noProof/>
                <w:webHidden/>
              </w:rPr>
              <w:fldChar w:fldCharType="separate"/>
            </w:r>
            <w:r>
              <w:rPr>
                <w:noProof/>
                <w:webHidden/>
              </w:rPr>
              <w:t>12</w:t>
            </w:r>
            <w:r>
              <w:rPr>
                <w:noProof/>
                <w:webHidden/>
              </w:rPr>
              <w:fldChar w:fldCharType="end"/>
            </w:r>
          </w:hyperlink>
        </w:p>
        <w:p w14:paraId="2148C616" w14:textId="7356A50B"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72" w:history="1">
            <w:r w:rsidRPr="00E34A4F">
              <w:rPr>
                <w:rStyle w:val="Hyperlink"/>
                <w:noProof/>
              </w:rPr>
              <w:t>2.2.2</w:t>
            </w:r>
            <w:r>
              <w:rPr>
                <w:rFonts w:asciiTheme="minorHAnsi" w:hAnsiTheme="minorHAnsi" w:cstheme="minorBidi"/>
                <w:noProof/>
                <w:kern w:val="2"/>
                <w:szCs w:val="30"/>
                <w:lang w:eastAsia="zh-CN" w:bidi="bn-IN"/>
                <w14:ligatures w14:val="standardContextual"/>
              </w:rPr>
              <w:tab/>
            </w:r>
            <w:r w:rsidRPr="00E34A4F">
              <w:rPr>
                <w:rStyle w:val="Hyperlink"/>
                <w:noProof/>
              </w:rPr>
              <w:t>Theoretical Frameworks</w:t>
            </w:r>
            <w:r>
              <w:rPr>
                <w:noProof/>
                <w:webHidden/>
              </w:rPr>
              <w:tab/>
            </w:r>
            <w:r>
              <w:rPr>
                <w:noProof/>
                <w:webHidden/>
              </w:rPr>
              <w:fldChar w:fldCharType="begin"/>
            </w:r>
            <w:r>
              <w:rPr>
                <w:noProof/>
                <w:webHidden/>
              </w:rPr>
              <w:instrText xml:space="preserve"> PAGEREF _Toc218445672 \h </w:instrText>
            </w:r>
            <w:r>
              <w:rPr>
                <w:noProof/>
                <w:webHidden/>
              </w:rPr>
            </w:r>
            <w:r>
              <w:rPr>
                <w:noProof/>
                <w:webHidden/>
              </w:rPr>
              <w:fldChar w:fldCharType="separate"/>
            </w:r>
            <w:r>
              <w:rPr>
                <w:noProof/>
                <w:webHidden/>
              </w:rPr>
              <w:t>13</w:t>
            </w:r>
            <w:r>
              <w:rPr>
                <w:noProof/>
                <w:webHidden/>
              </w:rPr>
              <w:fldChar w:fldCharType="end"/>
            </w:r>
          </w:hyperlink>
        </w:p>
        <w:p w14:paraId="7FE3F64E" w14:textId="3AA1B6C7"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73" w:history="1">
            <w:r w:rsidRPr="00E34A4F">
              <w:rPr>
                <w:rStyle w:val="Hyperlink"/>
                <w:noProof/>
              </w:rPr>
              <w:t>2.2.3</w:t>
            </w:r>
            <w:r>
              <w:rPr>
                <w:rFonts w:asciiTheme="minorHAnsi" w:hAnsiTheme="minorHAnsi" w:cstheme="minorBidi"/>
                <w:noProof/>
                <w:kern w:val="2"/>
                <w:szCs w:val="30"/>
                <w:lang w:eastAsia="zh-CN" w:bidi="bn-IN"/>
                <w14:ligatures w14:val="standardContextual"/>
              </w:rPr>
              <w:tab/>
            </w:r>
            <w:r w:rsidRPr="00E34A4F">
              <w:rPr>
                <w:rStyle w:val="Hyperlink"/>
                <w:noProof/>
              </w:rPr>
              <w:t>Sustainability in the Fashion Industry</w:t>
            </w:r>
            <w:r>
              <w:rPr>
                <w:noProof/>
                <w:webHidden/>
              </w:rPr>
              <w:tab/>
            </w:r>
            <w:r>
              <w:rPr>
                <w:noProof/>
                <w:webHidden/>
              </w:rPr>
              <w:fldChar w:fldCharType="begin"/>
            </w:r>
            <w:r>
              <w:rPr>
                <w:noProof/>
                <w:webHidden/>
              </w:rPr>
              <w:instrText xml:space="preserve"> PAGEREF _Toc218445673 \h </w:instrText>
            </w:r>
            <w:r>
              <w:rPr>
                <w:noProof/>
                <w:webHidden/>
              </w:rPr>
            </w:r>
            <w:r>
              <w:rPr>
                <w:noProof/>
                <w:webHidden/>
              </w:rPr>
              <w:fldChar w:fldCharType="separate"/>
            </w:r>
            <w:r>
              <w:rPr>
                <w:noProof/>
                <w:webHidden/>
              </w:rPr>
              <w:t>15</w:t>
            </w:r>
            <w:r>
              <w:rPr>
                <w:noProof/>
                <w:webHidden/>
              </w:rPr>
              <w:fldChar w:fldCharType="end"/>
            </w:r>
          </w:hyperlink>
        </w:p>
        <w:p w14:paraId="676D1701" w14:textId="074A96B0"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74" w:history="1">
            <w:r w:rsidRPr="00E34A4F">
              <w:rPr>
                <w:rStyle w:val="Hyperlink"/>
                <w:noProof/>
              </w:rPr>
              <w:t>2.2.4</w:t>
            </w:r>
            <w:r>
              <w:rPr>
                <w:rFonts w:asciiTheme="minorHAnsi" w:hAnsiTheme="minorHAnsi" w:cstheme="minorBidi"/>
                <w:noProof/>
                <w:kern w:val="2"/>
                <w:szCs w:val="30"/>
                <w:lang w:eastAsia="zh-CN" w:bidi="bn-IN"/>
                <w14:ligatures w14:val="standardContextual"/>
              </w:rPr>
              <w:tab/>
            </w:r>
            <w:r w:rsidRPr="00E34A4F">
              <w:rPr>
                <w:rStyle w:val="Hyperlink"/>
                <w:noProof/>
              </w:rPr>
              <w:t>Greenwashing Practices in Fashion</w:t>
            </w:r>
            <w:r>
              <w:rPr>
                <w:noProof/>
                <w:webHidden/>
              </w:rPr>
              <w:tab/>
            </w:r>
            <w:r>
              <w:rPr>
                <w:noProof/>
                <w:webHidden/>
              </w:rPr>
              <w:fldChar w:fldCharType="begin"/>
            </w:r>
            <w:r>
              <w:rPr>
                <w:noProof/>
                <w:webHidden/>
              </w:rPr>
              <w:instrText xml:space="preserve"> PAGEREF _Toc218445674 \h </w:instrText>
            </w:r>
            <w:r>
              <w:rPr>
                <w:noProof/>
                <w:webHidden/>
              </w:rPr>
            </w:r>
            <w:r>
              <w:rPr>
                <w:noProof/>
                <w:webHidden/>
              </w:rPr>
              <w:fldChar w:fldCharType="separate"/>
            </w:r>
            <w:r>
              <w:rPr>
                <w:noProof/>
                <w:webHidden/>
              </w:rPr>
              <w:t>17</w:t>
            </w:r>
            <w:r>
              <w:rPr>
                <w:noProof/>
                <w:webHidden/>
              </w:rPr>
              <w:fldChar w:fldCharType="end"/>
            </w:r>
          </w:hyperlink>
        </w:p>
        <w:p w14:paraId="5F186730" w14:textId="7AF26FB8"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75" w:history="1">
            <w:r w:rsidRPr="00E34A4F">
              <w:rPr>
                <w:rStyle w:val="Hyperlink"/>
                <w:noProof/>
              </w:rPr>
              <w:t>2.2.5</w:t>
            </w:r>
            <w:r>
              <w:rPr>
                <w:rFonts w:asciiTheme="minorHAnsi" w:hAnsiTheme="minorHAnsi" w:cstheme="minorBidi"/>
                <w:noProof/>
                <w:kern w:val="2"/>
                <w:szCs w:val="30"/>
                <w:lang w:eastAsia="zh-CN" w:bidi="bn-IN"/>
                <w14:ligatures w14:val="standardContextual"/>
              </w:rPr>
              <w:tab/>
            </w:r>
            <w:r w:rsidRPr="00E34A4F">
              <w:rPr>
                <w:rStyle w:val="Hyperlink"/>
                <w:noProof/>
              </w:rPr>
              <w:t>Consumer Perception of Sustainability and Greenwashing</w:t>
            </w:r>
            <w:r>
              <w:rPr>
                <w:noProof/>
                <w:webHidden/>
              </w:rPr>
              <w:tab/>
            </w:r>
            <w:r>
              <w:rPr>
                <w:noProof/>
                <w:webHidden/>
              </w:rPr>
              <w:fldChar w:fldCharType="begin"/>
            </w:r>
            <w:r>
              <w:rPr>
                <w:noProof/>
                <w:webHidden/>
              </w:rPr>
              <w:instrText xml:space="preserve"> PAGEREF _Toc218445675 \h </w:instrText>
            </w:r>
            <w:r>
              <w:rPr>
                <w:noProof/>
                <w:webHidden/>
              </w:rPr>
            </w:r>
            <w:r>
              <w:rPr>
                <w:noProof/>
                <w:webHidden/>
              </w:rPr>
              <w:fldChar w:fldCharType="separate"/>
            </w:r>
            <w:r>
              <w:rPr>
                <w:noProof/>
                <w:webHidden/>
              </w:rPr>
              <w:t>19</w:t>
            </w:r>
            <w:r>
              <w:rPr>
                <w:noProof/>
                <w:webHidden/>
              </w:rPr>
              <w:fldChar w:fldCharType="end"/>
            </w:r>
          </w:hyperlink>
        </w:p>
        <w:p w14:paraId="463B96DF" w14:textId="50F62E0B"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76" w:history="1">
            <w:r w:rsidRPr="00E34A4F">
              <w:rPr>
                <w:rStyle w:val="Hyperlink"/>
                <w:noProof/>
              </w:rPr>
              <w:t>2.2.6</w:t>
            </w:r>
            <w:r>
              <w:rPr>
                <w:rFonts w:asciiTheme="minorHAnsi" w:hAnsiTheme="minorHAnsi" w:cstheme="minorBidi"/>
                <w:noProof/>
                <w:kern w:val="2"/>
                <w:szCs w:val="30"/>
                <w:lang w:eastAsia="zh-CN" w:bidi="bn-IN"/>
                <w14:ligatures w14:val="standardContextual"/>
              </w:rPr>
              <w:tab/>
            </w:r>
            <w:r w:rsidRPr="00E34A4F">
              <w:rPr>
                <w:rStyle w:val="Hyperlink"/>
                <w:noProof/>
              </w:rPr>
              <w:t>Corporate Social Responsibility and ESG Reporting</w:t>
            </w:r>
            <w:r>
              <w:rPr>
                <w:noProof/>
                <w:webHidden/>
              </w:rPr>
              <w:tab/>
            </w:r>
            <w:r>
              <w:rPr>
                <w:noProof/>
                <w:webHidden/>
              </w:rPr>
              <w:fldChar w:fldCharType="begin"/>
            </w:r>
            <w:r>
              <w:rPr>
                <w:noProof/>
                <w:webHidden/>
              </w:rPr>
              <w:instrText xml:space="preserve"> PAGEREF _Toc218445676 \h </w:instrText>
            </w:r>
            <w:r>
              <w:rPr>
                <w:noProof/>
                <w:webHidden/>
              </w:rPr>
            </w:r>
            <w:r>
              <w:rPr>
                <w:noProof/>
                <w:webHidden/>
              </w:rPr>
              <w:fldChar w:fldCharType="separate"/>
            </w:r>
            <w:r>
              <w:rPr>
                <w:noProof/>
                <w:webHidden/>
              </w:rPr>
              <w:t>21</w:t>
            </w:r>
            <w:r>
              <w:rPr>
                <w:noProof/>
                <w:webHidden/>
              </w:rPr>
              <w:fldChar w:fldCharType="end"/>
            </w:r>
          </w:hyperlink>
        </w:p>
        <w:p w14:paraId="7717BB34" w14:textId="3AECB482"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77" w:history="1">
            <w:r w:rsidRPr="00E34A4F">
              <w:rPr>
                <w:rStyle w:val="Hyperlink"/>
                <w:noProof/>
              </w:rPr>
              <w:t>2.2.7</w:t>
            </w:r>
            <w:r>
              <w:rPr>
                <w:rFonts w:asciiTheme="minorHAnsi" w:hAnsiTheme="minorHAnsi" w:cstheme="minorBidi"/>
                <w:noProof/>
                <w:kern w:val="2"/>
                <w:szCs w:val="30"/>
                <w:lang w:eastAsia="zh-CN" w:bidi="bn-IN"/>
                <w14:ligatures w14:val="standardContextual"/>
              </w:rPr>
              <w:tab/>
            </w:r>
            <w:r w:rsidRPr="00E34A4F">
              <w:rPr>
                <w:rStyle w:val="Hyperlink"/>
                <w:noProof/>
              </w:rPr>
              <w:t>Regulatory and Policy Frameworks</w:t>
            </w:r>
            <w:r>
              <w:rPr>
                <w:noProof/>
                <w:webHidden/>
              </w:rPr>
              <w:tab/>
            </w:r>
            <w:r>
              <w:rPr>
                <w:noProof/>
                <w:webHidden/>
              </w:rPr>
              <w:fldChar w:fldCharType="begin"/>
            </w:r>
            <w:r>
              <w:rPr>
                <w:noProof/>
                <w:webHidden/>
              </w:rPr>
              <w:instrText xml:space="preserve"> PAGEREF _Toc218445677 \h </w:instrText>
            </w:r>
            <w:r>
              <w:rPr>
                <w:noProof/>
                <w:webHidden/>
              </w:rPr>
            </w:r>
            <w:r>
              <w:rPr>
                <w:noProof/>
                <w:webHidden/>
              </w:rPr>
              <w:fldChar w:fldCharType="separate"/>
            </w:r>
            <w:r>
              <w:rPr>
                <w:noProof/>
                <w:webHidden/>
              </w:rPr>
              <w:t>22</w:t>
            </w:r>
            <w:r>
              <w:rPr>
                <w:noProof/>
                <w:webHidden/>
              </w:rPr>
              <w:fldChar w:fldCharType="end"/>
            </w:r>
          </w:hyperlink>
        </w:p>
        <w:p w14:paraId="6475C40E" w14:textId="11DF01B9"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78" w:history="1">
            <w:r w:rsidRPr="00E34A4F">
              <w:rPr>
                <w:rStyle w:val="Hyperlink"/>
                <w:noProof/>
              </w:rPr>
              <w:t>2.3</w:t>
            </w:r>
            <w:r>
              <w:rPr>
                <w:rFonts w:asciiTheme="minorHAnsi" w:hAnsiTheme="minorHAnsi" w:cstheme="minorBidi"/>
                <w:noProof/>
                <w:kern w:val="2"/>
                <w:szCs w:val="30"/>
                <w:lang w:eastAsia="zh-CN" w:bidi="bn-IN"/>
                <w14:ligatures w14:val="standardContextual"/>
              </w:rPr>
              <w:tab/>
            </w:r>
            <w:r w:rsidRPr="00E34A4F">
              <w:rPr>
                <w:rStyle w:val="Hyperlink"/>
                <w:noProof/>
              </w:rPr>
              <w:t>Conceptual Framework</w:t>
            </w:r>
            <w:r>
              <w:rPr>
                <w:noProof/>
                <w:webHidden/>
              </w:rPr>
              <w:tab/>
            </w:r>
            <w:r>
              <w:rPr>
                <w:noProof/>
                <w:webHidden/>
              </w:rPr>
              <w:fldChar w:fldCharType="begin"/>
            </w:r>
            <w:r>
              <w:rPr>
                <w:noProof/>
                <w:webHidden/>
              </w:rPr>
              <w:instrText xml:space="preserve"> PAGEREF _Toc218445678 \h </w:instrText>
            </w:r>
            <w:r>
              <w:rPr>
                <w:noProof/>
                <w:webHidden/>
              </w:rPr>
            </w:r>
            <w:r>
              <w:rPr>
                <w:noProof/>
                <w:webHidden/>
              </w:rPr>
              <w:fldChar w:fldCharType="separate"/>
            </w:r>
            <w:r>
              <w:rPr>
                <w:noProof/>
                <w:webHidden/>
              </w:rPr>
              <w:t>24</w:t>
            </w:r>
            <w:r>
              <w:rPr>
                <w:noProof/>
                <w:webHidden/>
              </w:rPr>
              <w:fldChar w:fldCharType="end"/>
            </w:r>
          </w:hyperlink>
        </w:p>
        <w:p w14:paraId="14EF4B31" w14:textId="65AA199D"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79" w:history="1">
            <w:r w:rsidRPr="00E34A4F">
              <w:rPr>
                <w:rStyle w:val="Hyperlink"/>
                <w:noProof/>
              </w:rPr>
              <w:t>2.4</w:t>
            </w:r>
            <w:r>
              <w:rPr>
                <w:rFonts w:asciiTheme="minorHAnsi" w:hAnsiTheme="minorHAnsi" w:cstheme="minorBidi"/>
                <w:noProof/>
                <w:kern w:val="2"/>
                <w:szCs w:val="30"/>
                <w:lang w:eastAsia="zh-CN" w:bidi="bn-IN"/>
                <w14:ligatures w14:val="standardContextual"/>
              </w:rPr>
              <w:tab/>
            </w:r>
            <w:r w:rsidRPr="00E34A4F">
              <w:rPr>
                <w:rStyle w:val="Hyperlink"/>
                <w:noProof/>
              </w:rPr>
              <w:t>Conclusion of Chapter</w:t>
            </w:r>
            <w:r>
              <w:rPr>
                <w:noProof/>
                <w:webHidden/>
              </w:rPr>
              <w:tab/>
            </w:r>
            <w:r>
              <w:rPr>
                <w:noProof/>
                <w:webHidden/>
              </w:rPr>
              <w:fldChar w:fldCharType="begin"/>
            </w:r>
            <w:r>
              <w:rPr>
                <w:noProof/>
                <w:webHidden/>
              </w:rPr>
              <w:instrText xml:space="preserve"> PAGEREF _Toc218445679 \h </w:instrText>
            </w:r>
            <w:r>
              <w:rPr>
                <w:noProof/>
                <w:webHidden/>
              </w:rPr>
            </w:r>
            <w:r>
              <w:rPr>
                <w:noProof/>
                <w:webHidden/>
              </w:rPr>
              <w:fldChar w:fldCharType="separate"/>
            </w:r>
            <w:r>
              <w:rPr>
                <w:noProof/>
                <w:webHidden/>
              </w:rPr>
              <w:t>24</w:t>
            </w:r>
            <w:r>
              <w:rPr>
                <w:noProof/>
                <w:webHidden/>
              </w:rPr>
              <w:fldChar w:fldCharType="end"/>
            </w:r>
          </w:hyperlink>
        </w:p>
        <w:p w14:paraId="3B24652D" w14:textId="6CBEB780" w:rsidR="001D1CA2" w:rsidRDefault="001D1CA2">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8445680" w:history="1">
            <w:r w:rsidRPr="00E34A4F">
              <w:rPr>
                <w:rStyle w:val="Hyperlink"/>
                <w:noProof/>
              </w:rPr>
              <w:t>3</w:t>
            </w:r>
            <w:r>
              <w:rPr>
                <w:rFonts w:asciiTheme="minorHAnsi" w:hAnsiTheme="minorHAnsi" w:cstheme="minorBidi"/>
                <w:noProof/>
                <w:kern w:val="2"/>
                <w:szCs w:val="30"/>
                <w:lang w:eastAsia="zh-CN" w:bidi="bn-IN"/>
                <w14:ligatures w14:val="standardContextual"/>
              </w:rPr>
              <w:tab/>
            </w:r>
            <w:r w:rsidRPr="00E34A4F">
              <w:rPr>
                <w:rStyle w:val="Hyperlink"/>
                <w:noProof/>
              </w:rPr>
              <w:t>CHAPTER 3: RESEARCH METHODOLOGY</w:t>
            </w:r>
            <w:r>
              <w:rPr>
                <w:noProof/>
                <w:webHidden/>
              </w:rPr>
              <w:tab/>
            </w:r>
            <w:r>
              <w:rPr>
                <w:noProof/>
                <w:webHidden/>
              </w:rPr>
              <w:fldChar w:fldCharType="begin"/>
            </w:r>
            <w:r>
              <w:rPr>
                <w:noProof/>
                <w:webHidden/>
              </w:rPr>
              <w:instrText xml:space="preserve"> PAGEREF _Toc218445680 \h </w:instrText>
            </w:r>
            <w:r>
              <w:rPr>
                <w:noProof/>
                <w:webHidden/>
              </w:rPr>
            </w:r>
            <w:r>
              <w:rPr>
                <w:noProof/>
                <w:webHidden/>
              </w:rPr>
              <w:fldChar w:fldCharType="separate"/>
            </w:r>
            <w:r>
              <w:rPr>
                <w:noProof/>
                <w:webHidden/>
              </w:rPr>
              <w:t>26</w:t>
            </w:r>
            <w:r>
              <w:rPr>
                <w:noProof/>
                <w:webHidden/>
              </w:rPr>
              <w:fldChar w:fldCharType="end"/>
            </w:r>
          </w:hyperlink>
        </w:p>
        <w:p w14:paraId="7E4A4909" w14:textId="7209ECCA"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81" w:history="1">
            <w:r w:rsidRPr="00E34A4F">
              <w:rPr>
                <w:rStyle w:val="Hyperlink"/>
                <w:noProof/>
              </w:rPr>
              <w:t>3.1</w:t>
            </w:r>
            <w:r>
              <w:rPr>
                <w:rFonts w:asciiTheme="minorHAnsi" w:hAnsiTheme="minorHAnsi" w:cstheme="minorBidi"/>
                <w:noProof/>
                <w:kern w:val="2"/>
                <w:szCs w:val="30"/>
                <w:lang w:eastAsia="zh-CN" w:bidi="bn-IN"/>
                <w14:ligatures w14:val="standardContextual"/>
              </w:rPr>
              <w:tab/>
            </w:r>
            <w:r w:rsidRPr="00E34A4F">
              <w:rPr>
                <w:rStyle w:val="Hyperlink"/>
                <w:noProof/>
              </w:rPr>
              <w:t>Introduction</w:t>
            </w:r>
            <w:r>
              <w:rPr>
                <w:noProof/>
                <w:webHidden/>
              </w:rPr>
              <w:tab/>
            </w:r>
            <w:r>
              <w:rPr>
                <w:noProof/>
                <w:webHidden/>
              </w:rPr>
              <w:fldChar w:fldCharType="begin"/>
            </w:r>
            <w:r>
              <w:rPr>
                <w:noProof/>
                <w:webHidden/>
              </w:rPr>
              <w:instrText xml:space="preserve"> PAGEREF _Toc218445681 \h </w:instrText>
            </w:r>
            <w:r>
              <w:rPr>
                <w:noProof/>
                <w:webHidden/>
              </w:rPr>
            </w:r>
            <w:r>
              <w:rPr>
                <w:noProof/>
                <w:webHidden/>
              </w:rPr>
              <w:fldChar w:fldCharType="separate"/>
            </w:r>
            <w:r>
              <w:rPr>
                <w:noProof/>
                <w:webHidden/>
              </w:rPr>
              <w:t>26</w:t>
            </w:r>
            <w:r>
              <w:rPr>
                <w:noProof/>
                <w:webHidden/>
              </w:rPr>
              <w:fldChar w:fldCharType="end"/>
            </w:r>
          </w:hyperlink>
        </w:p>
        <w:p w14:paraId="02E0C85F" w14:textId="57A9A308"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82" w:history="1">
            <w:r w:rsidRPr="00E34A4F">
              <w:rPr>
                <w:rStyle w:val="Hyperlink"/>
                <w:noProof/>
              </w:rPr>
              <w:t>3.2</w:t>
            </w:r>
            <w:r>
              <w:rPr>
                <w:rFonts w:asciiTheme="minorHAnsi" w:hAnsiTheme="minorHAnsi" w:cstheme="minorBidi"/>
                <w:noProof/>
                <w:kern w:val="2"/>
                <w:szCs w:val="30"/>
                <w:lang w:eastAsia="zh-CN" w:bidi="bn-IN"/>
                <w14:ligatures w14:val="standardContextual"/>
              </w:rPr>
              <w:tab/>
            </w:r>
            <w:r w:rsidRPr="00E34A4F">
              <w:rPr>
                <w:rStyle w:val="Hyperlink"/>
                <w:noProof/>
              </w:rPr>
              <w:t>Research Philosophies and Assumptions</w:t>
            </w:r>
            <w:r>
              <w:rPr>
                <w:noProof/>
                <w:webHidden/>
              </w:rPr>
              <w:tab/>
            </w:r>
            <w:r>
              <w:rPr>
                <w:noProof/>
                <w:webHidden/>
              </w:rPr>
              <w:fldChar w:fldCharType="begin"/>
            </w:r>
            <w:r>
              <w:rPr>
                <w:noProof/>
                <w:webHidden/>
              </w:rPr>
              <w:instrText xml:space="preserve"> PAGEREF _Toc218445682 \h </w:instrText>
            </w:r>
            <w:r>
              <w:rPr>
                <w:noProof/>
                <w:webHidden/>
              </w:rPr>
            </w:r>
            <w:r>
              <w:rPr>
                <w:noProof/>
                <w:webHidden/>
              </w:rPr>
              <w:fldChar w:fldCharType="separate"/>
            </w:r>
            <w:r>
              <w:rPr>
                <w:noProof/>
                <w:webHidden/>
              </w:rPr>
              <w:t>26</w:t>
            </w:r>
            <w:r>
              <w:rPr>
                <w:noProof/>
                <w:webHidden/>
              </w:rPr>
              <w:fldChar w:fldCharType="end"/>
            </w:r>
          </w:hyperlink>
        </w:p>
        <w:p w14:paraId="04739FC9" w14:textId="33A7FE28"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83" w:history="1">
            <w:r w:rsidRPr="00E34A4F">
              <w:rPr>
                <w:rStyle w:val="Hyperlink"/>
                <w:noProof/>
              </w:rPr>
              <w:t>3.3</w:t>
            </w:r>
            <w:r>
              <w:rPr>
                <w:rFonts w:asciiTheme="minorHAnsi" w:hAnsiTheme="minorHAnsi" w:cstheme="minorBidi"/>
                <w:noProof/>
                <w:kern w:val="2"/>
                <w:szCs w:val="30"/>
                <w:lang w:eastAsia="zh-CN" w:bidi="bn-IN"/>
                <w14:ligatures w14:val="standardContextual"/>
              </w:rPr>
              <w:tab/>
            </w:r>
            <w:r w:rsidRPr="00E34A4F">
              <w:rPr>
                <w:rStyle w:val="Hyperlink"/>
                <w:noProof/>
              </w:rPr>
              <w:t>Research Design</w:t>
            </w:r>
            <w:r>
              <w:rPr>
                <w:noProof/>
                <w:webHidden/>
              </w:rPr>
              <w:tab/>
            </w:r>
            <w:r>
              <w:rPr>
                <w:noProof/>
                <w:webHidden/>
              </w:rPr>
              <w:fldChar w:fldCharType="begin"/>
            </w:r>
            <w:r>
              <w:rPr>
                <w:noProof/>
                <w:webHidden/>
              </w:rPr>
              <w:instrText xml:space="preserve"> PAGEREF _Toc218445683 \h </w:instrText>
            </w:r>
            <w:r>
              <w:rPr>
                <w:noProof/>
                <w:webHidden/>
              </w:rPr>
            </w:r>
            <w:r>
              <w:rPr>
                <w:noProof/>
                <w:webHidden/>
              </w:rPr>
              <w:fldChar w:fldCharType="separate"/>
            </w:r>
            <w:r>
              <w:rPr>
                <w:noProof/>
                <w:webHidden/>
              </w:rPr>
              <w:t>27</w:t>
            </w:r>
            <w:r>
              <w:rPr>
                <w:noProof/>
                <w:webHidden/>
              </w:rPr>
              <w:fldChar w:fldCharType="end"/>
            </w:r>
          </w:hyperlink>
        </w:p>
        <w:p w14:paraId="62C58922" w14:textId="546FF42F"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84" w:history="1">
            <w:r w:rsidRPr="00E34A4F">
              <w:rPr>
                <w:rStyle w:val="Hyperlink"/>
                <w:noProof/>
              </w:rPr>
              <w:t>3.4</w:t>
            </w:r>
            <w:r>
              <w:rPr>
                <w:rFonts w:asciiTheme="minorHAnsi" w:hAnsiTheme="minorHAnsi" w:cstheme="minorBidi"/>
                <w:noProof/>
                <w:kern w:val="2"/>
                <w:szCs w:val="30"/>
                <w:lang w:eastAsia="zh-CN" w:bidi="bn-IN"/>
                <w14:ligatures w14:val="standardContextual"/>
              </w:rPr>
              <w:tab/>
            </w:r>
            <w:r w:rsidRPr="00E34A4F">
              <w:rPr>
                <w:rStyle w:val="Hyperlink"/>
                <w:noProof/>
              </w:rPr>
              <w:t>Research Approaches &amp; Justification</w:t>
            </w:r>
            <w:r>
              <w:rPr>
                <w:noProof/>
                <w:webHidden/>
              </w:rPr>
              <w:tab/>
            </w:r>
            <w:r>
              <w:rPr>
                <w:noProof/>
                <w:webHidden/>
              </w:rPr>
              <w:fldChar w:fldCharType="begin"/>
            </w:r>
            <w:r>
              <w:rPr>
                <w:noProof/>
                <w:webHidden/>
              </w:rPr>
              <w:instrText xml:space="preserve"> PAGEREF _Toc218445684 \h </w:instrText>
            </w:r>
            <w:r>
              <w:rPr>
                <w:noProof/>
                <w:webHidden/>
              </w:rPr>
            </w:r>
            <w:r>
              <w:rPr>
                <w:noProof/>
                <w:webHidden/>
              </w:rPr>
              <w:fldChar w:fldCharType="separate"/>
            </w:r>
            <w:r>
              <w:rPr>
                <w:noProof/>
                <w:webHidden/>
              </w:rPr>
              <w:t>28</w:t>
            </w:r>
            <w:r>
              <w:rPr>
                <w:noProof/>
                <w:webHidden/>
              </w:rPr>
              <w:fldChar w:fldCharType="end"/>
            </w:r>
          </w:hyperlink>
        </w:p>
        <w:p w14:paraId="4F2AC724" w14:textId="643B0B74"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85" w:history="1">
            <w:r w:rsidRPr="00E34A4F">
              <w:rPr>
                <w:rStyle w:val="Hyperlink"/>
                <w:noProof/>
              </w:rPr>
              <w:t>3.5</w:t>
            </w:r>
            <w:r>
              <w:rPr>
                <w:rFonts w:asciiTheme="minorHAnsi" w:hAnsiTheme="minorHAnsi" w:cstheme="minorBidi"/>
                <w:noProof/>
                <w:kern w:val="2"/>
                <w:szCs w:val="30"/>
                <w:lang w:eastAsia="zh-CN" w:bidi="bn-IN"/>
                <w14:ligatures w14:val="standardContextual"/>
              </w:rPr>
              <w:tab/>
            </w:r>
            <w:r w:rsidRPr="00E34A4F">
              <w:rPr>
                <w:rStyle w:val="Hyperlink"/>
                <w:noProof/>
              </w:rPr>
              <w:t>Data Collection Methods</w:t>
            </w:r>
            <w:r>
              <w:rPr>
                <w:noProof/>
                <w:webHidden/>
              </w:rPr>
              <w:tab/>
            </w:r>
            <w:r>
              <w:rPr>
                <w:noProof/>
                <w:webHidden/>
              </w:rPr>
              <w:fldChar w:fldCharType="begin"/>
            </w:r>
            <w:r>
              <w:rPr>
                <w:noProof/>
                <w:webHidden/>
              </w:rPr>
              <w:instrText xml:space="preserve"> PAGEREF _Toc218445685 \h </w:instrText>
            </w:r>
            <w:r>
              <w:rPr>
                <w:noProof/>
                <w:webHidden/>
              </w:rPr>
            </w:r>
            <w:r>
              <w:rPr>
                <w:noProof/>
                <w:webHidden/>
              </w:rPr>
              <w:fldChar w:fldCharType="separate"/>
            </w:r>
            <w:r>
              <w:rPr>
                <w:noProof/>
                <w:webHidden/>
              </w:rPr>
              <w:t>28</w:t>
            </w:r>
            <w:r>
              <w:rPr>
                <w:noProof/>
                <w:webHidden/>
              </w:rPr>
              <w:fldChar w:fldCharType="end"/>
            </w:r>
          </w:hyperlink>
        </w:p>
        <w:p w14:paraId="37268CEA" w14:textId="740DD6F3"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86" w:history="1">
            <w:r w:rsidRPr="00E34A4F">
              <w:rPr>
                <w:rStyle w:val="Hyperlink"/>
                <w:noProof/>
              </w:rPr>
              <w:t>3.5.1</w:t>
            </w:r>
            <w:r>
              <w:rPr>
                <w:rFonts w:asciiTheme="minorHAnsi" w:hAnsiTheme="minorHAnsi" w:cstheme="minorBidi"/>
                <w:noProof/>
                <w:kern w:val="2"/>
                <w:szCs w:val="30"/>
                <w:lang w:eastAsia="zh-CN" w:bidi="bn-IN"/>
                <w14:ligatures w14:val="standardContextual"/>
              </w:rPr>
              <w:tab/>
            </w:r>
            <w:r w:rsidRPr="00E34A4F">
              <w:rPr>
                <w:rStyle w:val="Hyperlink"/>
                <w:noProof/>
              </w:rPr>
              <w:t>Databases and Search Strategy</w:t>
            </w:r>
            <w:r>
              <w:rPr>
                <w:noProof/>
                <w:webHidden/>
              </w:rPr>
              <w:tab/>
            </w:r>
            <w:r>
              <w:rPr>
                <w:noProof/>
                <w:webHidden/>
              </w:rPr>
              <w:fldChar w:fldCharType="begin"/>
            </w:r>
            <w:r>
              <w:rPr>
                <w:noProof/>
                <w:webHidden/>
              </w:rPr>
              <w:instrText xml:space="preserve"> PAGEREF _Toc218445686 \h </w:instrText>
            </w:r>
            <w:r>
              <w:rPr>
                <w:noProof/>
                <w:webHidden/>
              </w:rPr>
            </w:r>
            <w:r>
              <w:rPr>
                <w:noProof/>
                <w:webHidden/>
              </w:rPr>
              <w:fldChar w:fldCharType="separate"/>
            </w:r>
            <w:r>
              <w:rPr>
                <w:noProof/>
                <w:webHidden/>
              </w:rPr>
              <w:t>29</w:t>
            </w:r>
            <w:r>
              <w:rPr>
                <w:noProof/>
                <w:webHidden/>
              </w:rPr>
              <w:fldChar w:fldCharType="end"/>
            </w:r>
          </w:hyperlink>
        </w:p>
        <w:p w14:paraId="5CF8C8DE" w14:textId="52B7FC46"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87" w:history="1">
            <w:r w:rsidRPr="00E34A4F">
              <w:rPr>
                <w:rStyle w:val="Hyperlink"/>
                <w:noProof/>
              </w:rPr>
              <w:t>3.5.2</w:t>
            </w:r>
            <w:r>
              <w:rPr>
                <w:rFonts w:asciiTheme="minorHAnsi" w:hAnsiTheme="minorHAnsi" w:cstheme="minorBidi"/>
                <w:noProof/>
                <w:kern w:val="2"/>
                <w:szCs w:val="30"/>
                <w:lang w:eastAsia="zh-CN" w:bidi="bn-IN"/>
                <w14:ligatures w14:val="standardContextual"/>
              </w:rPr>
              <w:tab/>
            </w:r>
            <w:r w:rsidRPr="00E34A4F">
              <w:rPr>
                <w:rStyle w:val="Hyperlink"/>
                <w:noProof/>
              </w:rPr>
              <w:t>Inclusion and exclusion criteria</w:t>
            </w:r>
            <w:r>
              <w:rPr>
                <w:noProof/>
                <w:webHidden/>
              </w:rPr>
              <w:tab/>
            </w:r>
            <w:r>
              <w:rPr>
                <w:noProof/>
                <w:webHidden/>
              </w:rPr>
              <w:fldChar w:fldCharType="begin"/>
            </w:r>
            <w:r>
              <w:rPr>
                <w:noProof/>
                <w:webHidden/>
              </w:rPr>
              <w:instrText xml:space="preserve"> PAGEREF _Toc218445687 \h </w:instrText>
            </w:r>
            <w:r>
              <w:rPr>
                <w:noProof/>
                <w:webHidden/>
              </w:rPr>
            </w:r>
            <w:r>
              <w:rPr>
                <w:noProof/>
                <w:webHidden/>
              </w:rPr>
              <w:fldChar w:fldCharType="separate"/>
            </w:r>
            <w:r>
              <w:rPr>
                <w:noProof/>
                <w:webHidden/>
              </w:rPr>
              <w:t>30</w:t>
            </w:r>
            <w:r>
              <w:rPr>
                <w:noProof/>
                <w:webHidden/>
              </w:rPr>
              <w:fldChar w:fldCharType="end"/>
            </w:r>
          </w:hyperlink>
        </w:p>
        <w:p w14:paraId="4F3EE103" w14:textId="3566FAF4"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88" w:history="1">
            <w:r w:rsidRPr="00E34A4F">
              <w:rPr>
                <w:rStyle w:val="Hyperlink"/>
                <w:noProof/>
              </w:rPr>
              <w:t>3.5.3</w:t>
            </w:r>
            <w:r>
              <w:rPr>
                <w:rFonts w:asciiTheme="minorHAnsi" w:hAnsiTheme="minorHAnsi" w:cstheme="minorBidi"/>
                <w:noProof/>
                <w:kern w:val="2"/>
                <w:szCs w:val="30"/>
                <w:lang w:eastAsia="zh-CN" w:bidi="bn-IN"/>
                <w14:ligatures w14:val="standardContextual"/>
              </w:rPr>
              <w:tab/>
            </w:r>
            <w:r w:rsidRPr="00E34A4F">
              <w:rPr>
                <w:rStyle w:val="Hyperlink"/>
                <w:noProof/>
              </w:rPr>
              <w:t>Study Selection, Screening, Inclusion and Quality Assessment.</w:t>
            </w:r>
            <w:r>
              <w:rPr>
                <w:noProof/>
                <w:webHidden/>
              </w:rPr>
              <w:tab/>
            </w:r>
            <w:r>
              <w:rPr>
                <w:noProof/>
                <w:webHidden/>
              </w:rPr>
              <w:fldChar w:fldCharType="begin"/>
            </w:r>
            <w:r>
              <w:rPr>
                <w:noProof/>
                <w:webHidden/>
              </w:rPr>
              <w:instrText xml:space="preserve"> PAGEREF _Toc218445688 \h </w:instrText>
            </w:r>
            <w:r>
              <w:rPr>
                <w:noProof/>
                <w:webHidden/>
              </w:rPr>
            </w:r>
            <w:r>
              <w:rPr>
                <w:noProof/>
                <w:webHidden/>
              </w:rPr>
              <w:fldChar w:fldCharType="separate"/>
            </w:r>
            <w:r>
              <w:rPr>
                <w:noProof/>
                <w:webHidden/>
              </w:rPr>
              <w:t>30</w:t>
            </w:r>
            <w:r>
              <w:rPr>
                <w:noProof/>
                <w:webHidden/>
              </w:rPr>
              <w:fldChar w:fldCharType="end"/>
            </w:r>
          </w:hyperlink>
        </w:p>
        <w:p w14:paraId="3A4B0D4D" w14:textId="4C520B52"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89" w:history="1">
            <w:r w:rsidRPr="00E34A4F">
              <w:rPr>
                <w:rStyle w:val="Hyperlink"/>
                <w:noProof/>
              </w:rPr>
              <w:t>3.6</w:t>
            </w:r>
            <w:r>
              <w:rPr>
                <w:rFonts w:asciiTheme="minorHAnsi" w:hAnsiTheme="minorHAnsi" w:cstheme="minorBidi"/>
                <w:noProof/>
                <w:kern w:val="2"/>
                <w:szCs w:val="30"/>
                <w:lang w:eastAsia="zh-CN" w:bidi="bn-IN"/>
                <w14:ligatures w14:val="standardContextual"/>
              </w:rPr>
              <w:tab/>
            </w:r>
            <w:r w:rsidRPr="00E34A4F">
              <w:rPr>
                <w:rStyle w:val="Hyperlink"/>
                <w:noProof/>
              </w:rPr>
              <w:t>Data Extraction and Synthesis</w:t>
            </w:r>
            <w:r>
              <w:rPr>
                <w:noProof/>
                <w:webHidden/>
              </w:rPr>
              <w:tab/>
            </w:r>
            <w:r>
              <w:rPr>
                <w:noProof/>
                <w:webHidden/>
              </w:rPr>
              <w:fldChar w:fldCharType="begin"/>
            </w:r>
            <w:r>
              <w:rPr>
                <w:noProof/>
                <w:webHidden/>
              </w:rPr>
              <w:instrText xml:space="preserve"> PAGEREF _Toc218445689 \h </w:instrText>
            </w:r>
            <w:r>
              <w:rPr>
                <w:noProof/>
                <w:webHidden/>
              </w:rPr>
            </w:r>
            <w:r>
              <w:rPr>
                <w:noProof/>
                <w:webHidden/>
              </w:rPr>
              <w:fldChar w:fldCharType="separate"/>
            </w:r>
            <w:r>
              <w:rPr>
                <w:noProof/>
                <w:webHidden/>
              </w:rPr>
              <w:t>31</w:t>
            </w:r>
            <w:r>
              <w:rPr>
                <w:noProof/>
                <w:webHidden/>
              </w:rPr>
              <w:fldChar w:fldCharType="end"/>
            </w:r>
          </w:hyperlink>
        </w:p>
        <w:p w14:paraId="6C4A1B50" w14:textId="62C0039F"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90" w:history="1">
            <w:r w:rsidRPr="00E34A4F">
              <w:rPr>
                <w:rStyle w:val="Hyperlink"/>
                <w:noProof/>
              </w:rPr>
              <w:t>3.7</w:t>
            </w:r>
            <w:r>
              <w:rPr>
                <w:rFonts w:asciiTheme="minorHAnsi" w:hAnsiTheme="minorHAnsi" w:cstheme="minorBidi"/>
                <w:noProof/>
                <w:kern w:val="2"/>
                <w:szCs w:val="30"/>
                <w:lang w:eastAsia="zh-CN" w:bidi="bn-IN"/>
                <w14:ligatures w14:val="standardContextual"/>
              </w:rPr>
              <w:tab/>
            </w:r>
            <w:r w:rsidRPr="00E34A4F">
              <w:rPr>
                <w:rStyle w:val="Hyperlink"/>
                <w:noProof/>
              </w:rPr>
              <w:t>Ethical Considerations</w:t>
            </w:r>
            <w:r>
              <w:rPr>
                <w:noProof/>
                <w:webHidden/>
              </w:rPr>
              <w:tab/>
            </w:r>
            <w:r>
              <w:rPr>
                <w:noProof/>
                <w:webHidden/>
              </w:rPr>
              <w:fldChar w:fldCharType="begin"/>
            </w:r>
            <w:r>
              <w:rPr>
                <w:noProof/>
                <w:webHidden/>
              </w:rPr>
              <w:instrText xml:space="preserve"> PAGEREF _Toc218445690 \h </w:instrText>
            </w:r>
            <w:r>
              <w:rPr>
                <w:noProof/>
                <w:webHidden/>
              </w:rPr>
            </w:r>
            <w:r>
              <w:rPr>
                <w:noProof/>
                <w:webHidden/>
              </w:rPr>
              <w:fldChar w:fldCharType="separate"/>
            </w:r>
            <w:r>
              <w:rPr>
                <w:noProof/>
                <w:webHidden/>
              </w:rPr>
              <w:t>32</w:t>
            </w:r>
            <w:r>
              <w:rPr>
                <w:noProof/>
                <w:webHidden/>
              </w:rPr>
              <w:fldChar w:fldCharType="end"/>
            </w:r>
          </w:hyperlink>
        </w:p>
        <w:p w14:paraId="7206ABD1" w14:textId="76487521"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91" w:history="1">
            <w:r w:rsidRPr="00E34A4F">
              <w:rPr>
                <w:rStyle w:val="Hyperlink"/>
                <w:noProof/>
              </w:rPr>
              <w:t>3.8</w:t>
            </w:r>
            <w:r>
              <w:rPr>
                <w:rFonts w:asciiTheme="minorHAnsi" w:hAnsiTheme="minorHAnsi" w:cstheme="minorBidi"/>
                <w:noProof/>
                <w:kern w:val="2"/>
                <w:szCs w:val="30"/>
                <w:lang w:eastAsia="zh-CN" w:bidi="bn-IN"/>
                <w14:ligatures w14:val="standardContextual"/>
              </w:rPr>
              <w:tab/>
            </w:r>
            <w:r w:rsidRPr="00E34A4F">
              <w:rPr>
                <w:rStyle w:val="Hyperlink"/>
                <w:noProof/>
              </w:rPr>
              <w:t>Conclusion</w:t>
            </w:r>
            <w:r>
              <w:rPr>
                <w:noProof/>
                <w:webHidden/>
              </w:rPr>
              <w:tab/>
            </w:r>
            <w:r>
              <w:rPr>
                <w:noProof/>
                <w:webHidden/>
              </w:rPr>
              <w:fldChar w:fldCharType="begin"/>
            </w:r>
            <w:r>
              <w:rPr>
                <w:noProof/>
                <w:webHidden/>
              </w:rPr>
              <w:instrText xml:space="preserve"> PAGEREF _Toc218445691 \h </w:instrText>
            </w:r>
            <w:r>
              <w:rPr>
                <w:noProof/>
                <w:webHidden/>
              </w:rPr>
            </w:r>
            <w:r>
              <w:rPr>
                <w:noProof/>
                <w:webHidden/>
              </w:rPr>
              <w:fldChar w:fldCharType="separate"/>
            </w:r>
            <w:r>
              <w:rPr>
                <w:noProof/>
                <w:webHidden/>
              </w:rPr>
              <w:t>32</w:t>
            </w:r>
            <w:r>
              <w:rPr>
                <w:noProof/>
                <w:webHidden/>
              </w:rPr>
              <w:fldChar w:fldCharType="end"/>
            </w:r>
          </w:hyperlink>
        </w:p>
        <w:p w14:paraId="04FA7687" w14:textId="3EFE5C43" w:rsidR="001D1CA2" w:rsidRDefault="001D1CA2">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8445692" w:history="1">
            <w:r w:rsidRPr="00E34A4F">
              <w:rPr>
                <w:rStyle w:val="Hyperlink"/>
                <w:noProof/>
              </w:rPr>
              <w:t>4</w:t>
            </w:r>
            <w:r>
              <w:rPr>
                <w:rFonts w:asciiTheme="minorHAnsi" w:hAnsiTheme="minorHAnsi" w:cstheme="minorBidi"/>
                <w:noProof/>
                <w:kern w:val="2"/>
                <w:szCs w:val="30"/>
                <w:lang w:eastAsia="zh-CN" w:bidi="bn-IN"/>
                <w14:ligatures w14:val="standardContextual"/>
              </w:rPr>
              <w:tab/>
            </w:r>
            <w:r w:rsidRPr="00E34A4F">
              <w:rPr>
                <w:rStyle w:val="Hyperlink"/>
                <w:noProof/>
              </w:rPr>
              <w:t>CHAPTER 4: FINDINGS, ANALYSIS AND DISCUSSION</w:t>
            </w:r>
            <w:r>
              <w:rPr>
                <w:noProof/>
                <w:webHidden/>
              </w:rPr>
              <w:tab/>
            </w:r>
            <w:r>
              <w:rPr>
                <w:noProof/>
                <w:webHidden/>
              </w:rPr>
              <w:fldChar w:fldCharType="begin"/>
            </w:r>
            <w:r>
              <w:rPr>
                <w:noProof/>
                <w:webHidden/>
              </w:rPr>
              <w:instrText xml:space="preserve"> PAGEREF _Toc218445692 \h </w:instrText>
            </w:r>
            <w:r>
              <w:rPr>
                <w:noProof/>
                <w:webHidden/>
              </w:rPr>
            </w:r>
            <w:r>
              <w:rPr>
                <w:noProof/>
                <w:webHidden/>
              </w:rPr>
              <w:fldChar w:fldCharType="separate"/>
            </w:r>
            <w:r>
              <w:rPr>
                <w:noProof/>
                <w:webHidden/>
              </w:rPr>
              <w:t>33</w:t>
            </w:r>
            <w:r>
              <w:rPr>
                <w:noProof/>
                <w:webHidden/>
              </w:rPr>
              <w:fldChar w:fldCharType="end"/>
            </w:r>
          </w:hyperlink>
        </w:p>
        <w:p w14:paraId="17A1C76D" w14:textId="38DF48EA"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93" w:history="1">
            <w:r w:rsidRPr="00E34A4F">
              <w:rPr>
                <w:rStyle w:val="Hyperlink"/>
                <w:noProof/>
              </w:rPr>
              <w:t>4.1</w:t>
            </w:r>
            <w:r>
              <w:rPr>
                <w:rFonts w:asciiTheme="minorHAnsi" w:hAnsiTheme="minorHAnsi" w:cstheme="minorBidi"/>
                <w:noProof/>
                <w:kern w:val="2"/>
                <w:szCs w:val="30"/>
                <w:lang w:eastAsia="zh-CN" w:bidi="bn-IN"/>
                <w14:ligatures w14:val="standardContextual"/>
              </w:rPr>
              <w:tab/>
            </w:r>
            <w:r w:rsidRPr="00E34A4F">
              <w:rPr>
                <w:rStyle w:val="Hyperlink"/>
                <w:noProof/>
              </w:rPr>
              <w:t>Introduction</w:t>
            </w:r>
            <w:r>
              <w:rPr>
                <w:noProof/>
                <w:webHidden/>
              </w:rPr>
              <w:tab/>
            </w:r>
            <w:r>
              <w:rPr>
                <w:noProof/>
                <w:webHidden/>
              </w:rPr>
              <w:fldChar w:fldCharType="begin"/>
            </w:r>
            <w:r>
              <w:rPr>
                <w:noProof/>
                <w:webHidden/>
              </w:rPr>
              <w:instrText xml:space="preserve"> PAGEREF _Toc218445693 \h </w:instrText>
            </w:r>
            <w:r>
              <w:rPr>
                <w:noProof/>
                <w:webHidden/>
              </w:rPr>
            </w:r>
            <w:r>
              <w:rPr>
                <w:noProof/>
                <w:webHidden/>
              </w:rPr>
              <w:fldChar w:fldCharType="separate"/>
            </w:r>
            <w:r>
              <w:rPr>
                <w:noProof/>
                <w:webHidden/>
              </w:rPr>
              <w:t>33</w:t>
            </w:r>
            <w:r>
              <w:rPr>
                <w:noProof/>
                <w:webHidden/>
              </w:rPr>
              <w:fldChar w:fldCharType="end"/>
            </w:r>
          </w:hyperlink>
        </w:p>
        <w:p w14:paraId="346C64C9" w14:textId="4DE3165C"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94" w:history="1">
            <w:r w:rsidRPr="00E34A4F">
              <w:rPr>
                <w:rStyle w:val="Hyperlink"/>
                <w:noProof/>
              </w:rPr>
              <w:t>4.2</w:t>
            </w:r>
            <w:r>
              <w:rPr>
                <w:rFonts w:asciiTheme="minorHAnsi" w:hAnsiTheme="minorHAnsi" w:cstheme="minorBidi"/>
                <w:noProof/>
                <w:kern w:val="2"/>
                <w:szCs w:val="30"/>
                <w:lang w:eastAsia="zh-CN" w:bidi="bn-IN"/>
                <w14:ligatures w14:val="standardContextual"/>
              </w:rPr>
              <w:tab/>
            </w:r>
            <w:r w:rsidRPr="00E34A4F">
              <w:rPr>
                <w:rStyle w:val="Hyperlink"/>
                <w:noProof/>
              </w:rPr>
              <w:t>Summary of Included Studies for the Systematic Review</w:t>
            </w:r>
            <w:r>
              <w:rPr>
                <w:noProof/>
                <w:webHidden/>
              </w:rPr>
              <w:tab/>
            </w:r>
            <w:r>
              <w:rPr>
                <w:noProof/>
                <w:webHidden/>
              </w:rPr>
              <w:fldChar w:fldCharType="begin"/>
            </w:r>
            <w:r>
              <w:rPr>
                <w:noProof/>
                <w:webHidden/>
              </w:rPr>
              <w:instrText xml:space="preserve"> PAGEREF _Toc218445694 \h </w:instrText>
            </w:r>
            <w:r>
              <w:rPr>
                <w:noProof/>
                <w:webHidden/>
              </w:rPr>
            </w:r>
            <w:r>
              <w:rPr>
                <w:noProof/>
                <w:webHidden/>
              </w:rPr>
              <w:fldChar w:fldCharType="separate"/>
            </w:r>
            <w:r>
              <w:rPr>
                <w:noProof/>
                <w:webHidden/>
              </w:rPr>
              <w:t>35</w:t>
            </w:r>
            <w:r>
              <w:rPr>
                <w:noProof/>
                <w:webHidden/>
              </w:rPr>
              <w:fldChar w:fldCharType="end"/>
            </w:r>
          </w:hyperlink>
        </w:p>
        <w:p w14:paraId="3D6331BC" w14:textId="21522F93"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95" w:history="1">
            <w:r w:rsidRPr="00E34A4F">
              <w:rPr>
                <w:rStyle w:val="Hyperlink"/>
                <w:noProof/>
              </w:rPr>
              <w:t>4.3</w:t>
            </w:r>
            <w:r>
              <w:rPr>
                <w:rFonts w:asciiTheme="minorHAnsi" w:hAnsiTheme="minorHAnsi" w:cstheme="minorBidi"/>
                <w:noProof/>
                <w:kern w:val="2"/>
                <w:szCs w:val="30"/>
                <w:lang w:eastAsia="zh-CN" w:bidi="bn-IN"/>
                <w14:ligatures w14:val="standardContextual"/>
              </w:rPr>
              <w:tab/>
            </w:r>
            <w:r w:rsidRPr="00E34A4F">
              <w:rPr>
                <w:rStyle w:val="Hyperlink"/>
                <w:noProof/>
              </w:rPr>
              <w:t>Thematic Analysis of Results</w:t>
            </w:r>
            <w:r>
              <w:rPr>
                <w:noProof/>
                <w:webHidden/>
              </w:rPr>
              <w:tab/>
            </w:r>
            <w:r>
              <w:rPr>
                <w:noProof/>
                <w:webHidden/>
              </w:rPr>
              <w:fldChar w:fldCharType="begin"/>
            </w:r>
            <w:r>
              <w:rPr>
                <w:noProof/>
                <w:webHidden/>
              </w:rPr>
              <w:instrText xml:space="preserve"> PAGEREF _Toc218445695 \h </w:instrText>
            </w:r>
            <w:r>
              <w:rPr>
                <w:noProof/>
                <w:webHidden/>
              </w:rPr>
            </w:r>
            <w:r>
              <w:rPr>
                <w:noProof/>
                <w:webHidden/>
              </w:rPr>
              <w:fldChar w:fldCharType="separate"/>
            </w:r>
            <w:r>
              <w:rPr>
                <w:noProof/>
                <w:webHidden/>
              </w:rPr>
              <w:t>49</w:t>
            </w:r>
            <w:r>
              <w:rPr>
                <w:noProof/>
                <w:webHidden/>
              </w:rPr>
              <w:fldChar w:fldCharType="end"/>
            </w:r>
          </w:hyperlink>
        </w:p>
        <w:p w14:paraId="2177D469" w14:textId="067998B7"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96" w:history="1">
            <w:r w:rsidRPr="00E34A4F">
              <w:rPr>
                <w:rStyle w:val="Hyperlink"/>
                <w:noProof/>
              </w:rPr>
              <w:t>4.3.1</w:t>
            </w:r>
            <w:r>
              <w:rPr>
                <w:rFonts w:asciiTheme="minorHAnsi" w:hAnsiTheme="minorHAnsi" w:cstheme="minorBidi"/>
                <w:noProof/>
                <w:kern w:val="2"/>
                <w:szCs w:val="30"/>
                <w:lang w:eastAsia="zh-CN" w:bidi="bn-IN"/>
                <w14:ligatures w14:val="standardContextual"/>
              </w:rPr>
              <w:tab/>
            </w:r>
            <w:r w:rsidRPr="00E34A4F">
              <w:rPr>
                <w:rStyle w:val="Hyperlink"/>
                <w:noProof/>
              </w:rPr>
              <w:t>Environmental Stewardship and Social Responsibility Practices (RQ1)</w:t>
            </w:r>
            <w:r>
              <w:rPr>
                <w:noProof/>
                <w:webHidden/>
              </w:rPr>
              <w:tab/>
            </w:r>
            <w:r>
              <w:rPr>
                <w:noProof/>
                <w:webHidden/>
              </w:rPr>
              <w:fldChar w:fldCharType="begin"/>
            </w:r>
            <w:r>
              <w:rPr>
                <w:noProof/>
                <w:webHidden/>
              </w:rPr>
              <w:instrText xml:space="preserve"> PAGEREF _Toc218445696 \h </w:instrText>
            </w:r>
            <w:r>
              <w:rPr>
                <w:noProof/>
                <w:webHidden/>
              </w:rPr>
            </w:r>
            <w:r>
              <w:rPr>
                <w:noProof/>
                <w:webHidden/>
              </w:rPr>
              <w:fldChar w:fldCharType="separate"/>
            </w:r>
            <w:r>
              <w:rPr>
                <w:noProof/>
                <w:webHidden/>
              </w:rPr>
              <w:t>49</w:t>
            </w:r>
            <w:r>
              <w:rPr>
                <w:noProof/>
                <w:webHidden/>
              </w:rPr>
              <w:fldChar w:fldCharType="end"/>
            </w:r>
          </w:hyperlink>
        </w:p>
        <w:p w14:paraId="0D1C9531" w14:textId="2FAA8834"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97" w:history="1">
            <w:r w:rsidRPr="00E34A4F">
              <w:rPr>
                <w:rStyle w:val="Hyperlink"/>
                <w:noProof/>
              </w:rPr>
              <w:t>4.3.2</w:t>
            </w:r>
            <w:r>
              <w:rPr>
                <w:rFonts w:asciiTheme="minorHAnsi" w:hAnsiTheme="minorHAnsi" w:cstheme="minorBidi"/>
                <w:noProof/>
                <w:kern w:val="2"/>
                <w:szCs w:val="30"/>
                <w:lang w:eastAsia="zh-CN" w:bidi="bn-IN"/>
                <w14:ligatures w14:val="standardContextual"/>
              </w:rPr>
              <w:tab/>
            </w:r>
            <w:r w:rsidRPr="00E34A4F">
              <w:rPr>
                <w:rStyle w:val="Hyperlink"/>
                <w:noProof/>
              </w:rPr>
              <w:t>Manifestations and Drivers of Greenwashing in the Fashion Industry (RQ2)</w:t>
            </w:r>
            <w:r>
              <w:rPr>
                <w:noProof/>
                <w:webHidden/>
              </w:rPr>
              <w:tab/>
            </w:r>
            <w:r>
              <w:rPr>
                <w:noProof/>
                <w:webHidden/>
              </w:rPr>
              <w:fldChar w:fldCharType="begin"/>
            </w:r>
            <w:r>
              <w:rPr>
                <w:noProof/>
                <w:webHidden/>
              </w:rPr>
              <w:instrText xml:space="preserve"> PAGEREF _Toc218445697 \h </w:instrText>
            </w:r>
            <w:r>
              <w:rPr>
                <w:noProof/>
                <w:webHidden/>
              </w:rPr>
            </w:r>
            <w:r>
              <w:rPr>
                <w:noProof/>
                <w:webHidden/>
              </w:rPr>
              <w:fldChar w:fldCharType="separate"/>
            </w:r>
            <w:r>
              <w:rPr>
                <w:noProof/>
                <w:webHidden/>
              </w:rPr>
              <w:t>53</w:t>
            </w:r>
            <w:r>
              <w:rPr>
                <w:noProof/>
                <w:webHidden/>
              </w:rPr>
              <w:fldChar w:fldCharType="end"/>
            </w:r>
          </w:hyperlink>
        </w:p>
        <w:p w14:paraId="1C943280" w14:textId="4BDA7B4B"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698" w:history="1">
            <w:r w:rsidRPr="00E34A4F">
              <w:rPr>
                <w:rStyle w:val="Hyperlink"/>
                <w:noProof/>
              </w:rPr>
              <w:t>4.3.3</w:t>
            </w:r>
            <w:r>
              <w:rPr>
                <w:rFonts w:asciiTheme="minorHAnsi" w:hAnsiTheme="minorHAnsi" w:cstheme="minorBidi"/>
                <w:noProof/>
                <w:kern w:val="2"/>
                <w:szCs w:val="30"/>
                <w:lang w:eastAsia="zh-CN" w:bidi="bn-IN"/>
                <w14:ligatures w14:val="standardContextual"/>
              </w:rPr>
              <w:tab/>
            </w:r>
            <w:r w:rsidRPr="00E34A4F">
              <w:rPr>
                <w:rStyle w:val="Hyperlink"/>
                <w:noProof/>
              </w:rPr>
              <w:t>Authentic versus Deceptive Sustainability Practices: Key Gaps and Strategic Insights (RQ3)</w:t>
            </w:r>
            <w:r>
              <w:rPr>
                <w:noProof/>
                <w:webHidden/>
              </w:rPr>
              <w:tab/>
            </w:r>
            <w:r>
              <w:rPr>
                <w:noProof/>
                <w:webHidden/>
              </w:rPr>
              <w:fldChar w:fldCharType="begin"/>
            </w:r>
            <w:r>
              <w:rPr>
                <w:noProof/>
                <w:webHidden/>
              </w:rPr>
              <w:instrText xml:space="preserve"> PAGEREF _Toc218445698 \h </w:instrText>
            </w:r>
            <w:r>
              <w:rPr>
                <w:noProof/>
                <w:webHidden/>
              </w:rPr>
            </w:r>
            <w:r>
              <w:rPr>
                <w:noProof/>
                <w:webHidden/>
              </w:rPr>
              <w:fldChar w:fldCharType="separate"/>
            </w:r>
            <w:r>
              <w:rPr>
                <w:noProof/>
                <w:webHidden/>
              </w:rPr>
              <w:t>55</w:t>
            </w:r>
            <w:r>
              <w:rPr>
                <w:noProof/>
                <w:webHidden/>
              </w:rPr>
              <w:fldChar w:fldCharType="end"/>
            </w:r>
          </w:hyperlink>
        </w:p>
        <w:p w14:paraId="7C6206BA" w14:textId="24552588"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699" w:history="1">
            <w:r w:rsidRPr="00E34A4F">
              <w:rPr>
                <w:rStyle w:val="Hyperlink"/>
                <w:noProof/>
              </w:rPr>
              <w:t>4.4</w:t>
            </w:r>
            <w:r>
              <w:rPr>
                <w:rFonts w:asciiTheme="minorHAnsi" w:hAnsiTheme="minorHAnsi" w:cstheme="minorBidi"/>
                <w:noProof/>
                <w:kern w:val="2"/>
                <w:szCs w:val="30"/>
                <w:lang w:eastAsia="zh-CN" w:bidi="bn-IN"/>
                <w14:ligatures w14:val="standardContextual"/>
              </w:rPr>
              <w:tab/>
            </w:r>
            <w:r w:rsidRPr="00E34A4F">
              <w:rPr>
                <w:rStyle w:val="Hyperlink"/>
                <w:noProof/>
              </w:rPr>
              <w:t>Narrative Synthesis of the Findings</w:t>
            </w:r>
            <w:r>
              <w:rPr>
                <w:noProof/>
                <w:webHidden/>
              </w:rPr>
              <w:tab/>
            </w:r>
            <w:r>
              <w:rPr>
                <w:noProof/>
                <w:webHidden/>
              </w:rPr>
              <w:fldChar w:fldCharType="begin"/>
            </w:r>
            <w:r>
              <w:rPr>
                <w:noProof/>
                <w:webHidden/>
              </w:rPr>
              <w:instrText xml:space="preserve"> PAGEREF _Toc218445699 \h </w:instrText>
            </w:r>
            <w:r>
              <w:rPr>
                <w:noProof/>
                <w:webHidden/>
              </w:rPr>
            </w:r>
            <w:r>
              <w:rPr>
                <w:noProof/>
                <w:webHidden/>
              </w:rPr>
              <w:fldChar w:fldCharType="separate"/>
            </w:r>
            <w:r>
              <w:rPr>
                <w:noProof/>
                <w:webHidden/>
              </w:rPr>
              <w:t>58</w:t>
            </w:r>
            <w:r>
              <w:rPr>
                <w:noProof/>
                <w:webHidden/>
              </w:rPr>
              <w:fldChar w:fldCharType="end"/>
            </w:r>
          </w:hyperlink>
        </w:p>
        <w:p w14:paraId="57A9108B" w14:textId="600DA17A"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700" w:history="1">
            <w:r w:rsidRPr="00E34A4F">
              <w:rPr>
                <w:rStyle w:val="Hyperlink"/>
                <w:noProof/>
              </w:rPr>
              <w:t>4.4.1</w:t>
            </w:r>
            <w:r>
              <w:rPr>
                <w:rFonts w:asciiTheme="minorHAnsi" w:hAnsiTheme="minorHAnsi" w:cstheme="minorBidi"/>
                <w:noProof/>
                <w:kern w:val="2"/>
                <w:szCs w:val="30"/>
                <w:lang w:eastAsia="zh-CN" w:bidi="bn-IN"/>
                <w14:ligatures w14:val="standardContextual"/>
              </w:rPr>
              <w:tab/>
            </w:r>
            <w:r w:rsidRPr="00E34A4F">
              <w:rPr>
                <w:rStyle w:val="Hyperlink"/>
                <w:noProof/>
              </w:rPr>
              <w:t>Sustainable Practices Adopted by Fashion Brands (RQ1)</w:t>
            </w:r>
            <w:r>
              <w:rPr>
                <w:noProof/>
                <w:webHidden/>
              </w:rPr>
              <w:tab/>
            </w:r>
            <w:r>
              <w:rPr>
                <w:noProof/>
                <w:webHidden/>
              </w:rPr>
              <w:fldChar w:fldCharType="begin"/>
            </w:r>
            <w:r>
              <w:rPr>
                <w:noProof/>
                <w:webHidden/>
              </w:rPr>
              <w:instrText xml:space="preserve"> PAGEREF _Toc218445700 \h </w:instrText>
            </w:r>
            <w:r>
              <w:rPr>
                <w:noProof/>
                <w:webHidden/>
              </w:rPr>
            </w:r>
            <w:r>
              <w:rPr>
                <w:noProof/>
                <w:webHidden/>
              </w:rPr>
              <w:fldChar w:fldCharType="separate"/>
            </w:r>
            <w:r>
              <w:rPr>
                <w:noProof/>
                <w:webHidden/>
              </w:rPr>
              <w:t>58</w:t>
            </w:r>
            <w:r>
              <w:rPr>
                <w:noProof/>
                <w:webHidden/>
              </w:rPr>
              <w:fldChar w:fldCharType="end"/>
            </w:r>
          </w:hyperlink>
        </w:p>
        <w:p w14:paraId="0BEC91D2" w14:textId="2DF33A16"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701" w:history="1">
            <w:r w:rsidRPr="00E34A4F">
              <w:rPr>
                <w:rStyle w:val="Hyperlink"/>
                <w:noProof/>
              </w:rPr>
              <w:t>4.4.2</w:t>
            </w:r>
            <w:r>
              <w:rPr>
                <w:rFonts w:asciiTheme="minorHAnsi" w:hAnsiTheme="minorHAnsi" w:cstheme="minorBidi"/>
                <w:noProof/>
                <w:kern w:val="2"/>
                <w:szCs w:val="30"/>
                <w:lang w:eastAsia="zh-CN" w:bidi="bn-IN"/>
                <w14:ligatures w14:val="standardContextual"/>
              </w:rPr>
              <w:tab/>
            </w:r>
            <w:r w:rsidRPr="00E34A4F">
              <w:rPr>
                <w:rStyle w:val="Hyperlink"/>
                <w:noProof/>
              </w:rPr>
              <w:t>Forms and Prevalence of Greenwashing in the Fashion Industry (RQ2)</w:t>
            </w:r>
            <w:r>
              <w:rPr>
                <w:noProof/>
                <w:webHidden/>
              </w:rPr>
              <w:tab/>
            </w:r>
            <w:r>
              <w:rPr>
                <w:noProof/>
                <w:webHidden/>
              </w:rPr>
              <w:fldChar w:fldCharType="begin"/>
            </w:r>
            <w:r>
              <w:rPr>
                <w:noProof/>
                <w:webHidden/>
              </w:rPr>
              <w:instrText xml:space="preserve"> PAGEREF _Toc218445701 \h </w:instrText>
            </w:r>
            <w:r>
              <w:rPr>
                <w:noProof/>
                <w:webHidden/>
              </w:rPr>
            </w:r>
            <w:r>
              <w:rPr>
                <w:noProof/>
                <w:webHidden/>
              </w:rPr>
              <w:fldChar w:fldCharType="separate"/>
            </w:r>
            <w:r>
              <w:rPr>
                <w:noProof/>
                <w:webHidden/>
              </w:rPr>
              <w:t>60</w:t>
            </w:r>
            <w:r>
              <w:rPr>
                <w:noProof/>
                <w:webHidden/>
              </w:rPr>
              <w:fldChar w:fldCharType="end"/>
            </w:r>
          </w:hyperlink>
        </w:p>
        <w:p w14:paraId="0DA2D94B" w14:textId="3DFA1E97" w:rsidR="001D1CA2" w:rsidRDefault="001D1CA2">
          <w:pPr>
            <w:pStyle w:val="TOC3"/>
            <w:tabs>
              <w:tab w:val="left" w:pos="1440"/>
              <w:tab w:val="right" w:leader="dot" w:pos="9016"/>
            </w:tabs>
            <w:rPr>
              <w:rFonts w:asciiTheme="minorHAnsi" w:hAnsiTheme="minorHAnsi" w:cstheme="minorBidi"/>
              <w:noProof/>
              <w:kern w:val="2"/>
              <w:szCs w:val="30"/>
              <w:lang w:eastAsia="zh-CN" w:bidi="bn-IN"/>
              <w14:ligatures w14:val="standardContextual"/>
            </w:rPr>
          </w:pPr>
          <w:hyperlink w:anchor="_Toc218445702" w:history="1">
            <w:r w:rsidRPr="00E34A4F">
              <w:rPr>
                <w:rStyle w:val="Hyperlink"/>
                <w:noProof/>
              </w:rPr>
              <w:t>4.4.3</w:t>
            </w:r>
            <w:r>
              <w:rPr>
                <w:rFonts w:asciiTheme="minorHAnsi" w:hAnsiTheme="minorHAnsi" w:cstheme="minorBidi"/>
                <w:noProof/>
                <w:kern w:val="2"/>
                <w:szCs w:val="30"/>
                <w:lang w:eastAsia="zh-CN" w:bidi="bn-IN"/>
                <w14:ligatures w14:val="standardContextual"/>
              </w:rPr>
              <w:tab/>
            </w:r>
            <w:r w:rsidRPr="00E34A4F">
              <w:rPr>
                <w:rStyle w:val="Hyperlink"/>
                <w:noProof/>
              </w:rPr>
              <w:t>Comparative Analysis of Authentic Sustainability and Greenwashing Practices, with Emerging Gaps and Strategic Recommendations (RQ3)</w:t>
            </w:r>
            <w:r>
              <w:rPr>
                <w:noProof/>
                <w:webHidden/>
              </w:rPr>
              <w:tab/>
            </w:r>
            <w:r>
              <w:rPr>
                <w:noProof/>
                <w:webHidden/>
              </w:rPr>
              <w:fldChar w:fldCharType="begin"/>
            </w:r>
            <w:r>
              <w:rPr>
                <w:noProof/>
                <w:webHidden/>
              </w:rPr>
              <w:instrText xml:space="preserve"> PAGEREF _Toc218445702 \h </w:instrText>
            </w:r>
            <w:r>
              <w:rPr>
                <w:noProof/>
                <w:webHidden/>
              </w:rPr>
            </w:r>
            <w:r>
              <w:rPr>
                <w:noProof/>
                <w:webHidden/>
              </w:rPr>
              <w:fldChar w:fldCharType="separate"/>
            </w:r>
            <w:r>
              <w:rPr>
                <w:noProof/>
                <w:webHidden/>
              </w:rPr>
              <w:t>62</w:t>
            </w:r>
            <w:r>
              <w:rPr>
                <w:noProof/>
                <w:webHidden/>
              </w:rPr>
              <w:fldChar w:fldCharType="end"/>
            </w:r>
          </w:hyperlink>
        </w:p>
        <w:p w14:paraId="3B76C7F8" w14:textId="6EAE5E55"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703" w:history="1">
            <w:r w:rsidRPr="00E34A4F">
              <w:rPr>
                <w:rStyle w:val="Hyperlink"/>
                <w:noProof/>
              </w:rPr>
              <w:t>4.5</w:t>
            </w:r>
            <w:r>
              <w:rPr>
                <w:rFonts w:asciiTheme="minorHAnsi" w:hAnsiTheme="minorHAnsi" w:cstheme="minorBidi"/>
                <w:noProof/>
                <w:kern w:val="2"/>
                <w:szCs w:val="30"/>
                <w:lang w:eastAsia="zh-CN" w:bidi="bn-IN"/>
                <w14:ligatures w14:val="standardContextual"/>
              </w:rPr>
              <w:tab/>
            </w:r>
            <w:r w:rsidRPr="00E34A4F">
              <w:rPr>
                <w:rStyle w:val="Hyperlink"/>
                <w:noProof/>
              </w:rPr>
              <w:t>Discussion of Results</w:t>
            </w:r>
            <w:r>
              <w:rPr>
                <w:noProof/>
                <w:webHidden/>
              </w:rPr>
              <w:tab/>
            </w:r>
            <w:r>
              <w:rPr>
                <w:noProof/>
                <w:webHidden/>
              </w:rPr>
              <w:fldChar w:fldCharType="begin"/>
            </w:r>
            <w:r>
              <w:rPr>
                <w:noProof/>
                <w:webHidden/>
              </w:rPr>
              <w:instrText xml:space="preserve"> PAGEREF _Toc218445703 \h </w:instrText>
            </w:r>
            <w:r>
              <w:rPr>
                <w:noProof/>
                <w:webHidden/>
              </w:rPr>
            </w:r>
            <w:r>
              <w:rPr>
                <w:noProof/>
                <w:webHidden/>
              </w:rPr>
              <w:fldChar w:fldCharType="separate"/>
            </w:r>
            <w:r>
              <w:rPr>
                <w:noProof/>
                <w:webHidden/>
              </w:rPr>
              <w:t>64</w:t>
            </w:r>
            <w:r>
              <w:rPr>
                <w:noProof/>
                <w:webHidden/>
              </w:rPr>
              <w:fldChar w:fldCharType="end"/>
            </w:r>
          </w:hyperlink>
        </w:p>
        <w:p w14:paraId="56E257FF" w14:textId="09B42F28" w:rsidR="001D1CA2" w:rsidRDefault="001D1CA2">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8445704" w:history="1">
            <w:r w:rsidRPr="00E34A4F">
              <w:rPr>
                <w:rStyle w:val="Hyperlink"/>
                <w:noProof/>
              </w:rPr>
              <w:t>5</w:t>
            </w:r>
            <w:r>
              <w:rPr>
                <w:rFonts w:asciiTheme="minorHAnsi" w:hAnsiTheme="minorHAnsi" w:cstheme="minorBidi"/>
                <w:noProof/>
                <w:kern w:val="2"/>
                <w:szCs w:val="30"/>
                <w:lang w:eastAsia="zh-CN" w:bidi="bn-IN"/>
                <w14:ligatures w14:val="standardContextual"/>
              </w:rPr>
              <w:tab/>
            </w:r>
            <w:r w:rsidRPr="00E34A4F">
              <w:rPr>
                <w:rStyle w:val="Hyperlink"/>
                <w:noProof/>
              </w:rPr>
              <w:t>CHAPTER 5: CONCLUSIONS AND RECOMMENDATIONS</w:t>
            </w:r>
            <w:r>
              <w:rPr>
                <w:noProof/>
                <w:webHidden/>
              </w:rPr>
              <w:tab/>
            </w:r>
            <w:r>
              <w:rPr>
                <w:noProof/>
                <w:webHidden/>
              </w:rPr>
              <w:fldChar w:fldCharType="begin"/>
            </w:r>
            <w:r>
              <w:rPr>
                <w:noProof/>
                <w:webHidden/>
              </w:rPr>
              <w:instrText xml:space="preserve"> PAGEREF _Toc218445704 \h </w:instrText>
            </w:r>
            <w:r>
              <w:rPr>
                <w:noProof/>
                <w:webHidden/>
              </w:rPr>
            </w:r>
            <w:r>
              <w:rPr>
                <w:noProof/>
                <w:webHidden/>
              </w:rPr>
              <w:fldChar w:fldCharType="separate"/>
            </w:r>
            <w:r>
              <w:rPr>
                <w:noProof/>
                <w:webHidden/>
              </w:rPr>
              <w:t>67</w:t>
            </w:r>
            <w:r>
              <w:rPr>
                <w:noProof/>
                <w:webHidden/>
              </w:rPr>
              <w:fldChar w:fldCharType="end"/>
            </w:r>
          </w:hyperlink>
        </w:p>
        <w:p w14:paraId="4456C8D9" w14:textId="6C5E9BAF"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705" w:history="1">
            <w:r w:rsidRPr="00E34A4F">
              <w:rPr>
                <w:rStyle w:val="Hyperlink"/>
                <w:noProof/>
                <w:lang w:eastAsia="zh-CN"/>
              </w:rPr>
              <w:t>5.1</w:t>
            </w:r>
            <w:r>
              <w:rPr>
                <w:rFonts w:asciiTheme="minorHAnsi" w:hAnsiTheme="minorHAnsi" w:cstheme="minorBidi"/>
                <w:noProof/>
                <w:kern w:val="2"/>
                <w:szCs w:val="30"/>
                <w:lang w:eastAsia="zh-CN" w:bidi="bn-IN"/>
                <w14:ligatures w14:val="standardContextual"/>
              </w:rPr>
              <w:tab/>
            </w:r>
            <w:r w:rsidRPr="00E34A4F">
              <w:rPr>
                <w:rStyle w:val="Hyperlink"/>
                <w:noProof/>
                <w:lang w:eastAsia="zh-CN"/>
              </w:rPr>
              <w:t>Summary of Main Findings</w:t>
            </w:r>
            <w:r>
              <w:rPr>
                <w:noProof/>
                <w:webHidden/>
              </w:rPr>
              <w:tab/>
            </w:r>
            <w:r>
              <w:rPr>
                <w:noProof/>
                <w:webHidden/>
              </w:rPr>
              <w:fldChar w:fldCharType="begin"/>
            </w:r>
            <w:r>
              <w:rPr>
                <w:noProof/>
                <w:webHidden/>
              </w:rPr>
              <w:instrText xml:space="preserve"> PAGEREF _Toc218445705 \h </w:instrText>
            </w:r>
            <w:r>
              <w:rPr>
                <w:noProof/>
                <w:webHidden/>
              </w:rPr>
            </w:r>
            <w:r>
              <w:rPr>
                <w:noProof/>
                <w:webHidden/>
              </w:rPr>
              <w:fldChar w:fldCharType="separate"/>
            </w:r>
            <w:r>
              <w:rPr>
                <w:noProof/>
                <w:webHidden/>
              </w:rPr>
              <w:t>67</w:t>
            </w:r>
            <w:r>
              <w:rPr>
                <w:noProof/>
                <w:webHidden/>
              </w:rPr>
              <w:fldChar w:fldCharType="end"/>
            </w:r>
          </w:hyperlink>
        </w:p>
        <w:p w14:paraId="5064064C" w14:textId="59F3E186"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706" w:history="1">
            <w:r w:rsidRPr="00E34A4F">
              <w:rPr>
                <w:rStyle w:val="Hyperlink"/>
                <w:noProof/>
                <w:lang w:eastAsia="zh-CN"/>
              </w:rPr>
              <w:t>5.2</w:t>
            </w:r>
            <w:r>
              <w:rPr>
                <w:rFonts w:asciiTheme="minorHAnsi" w:hAnsiTheme="minorHAnsi" w:cstheme="minorBidi"/>
                <w:noProof/>
                <w:kern w:val="2"/>
                <w:szCs w:val="30"/>
                <w:lang w:eastAsia="zh-CN" w:bidi="bn-IN"/>
                <w14:ligatures w14:val="standardContextual"/>
              </w:rPr>
              <w:tab/>
            </w:r>
            <w:r w:rsidRPr="00E34A4F">
              <w:rPr>
                <w:rStyle w:val="Hyperlink"/>
                <w:noProof/>
                <w:lang w:eastAsia="zh-CN"/>
              </w:rPr>
              <w:t>Conclusion Based on the Research Questions</w:t>
            </w:r>
            <w:r>
              <w:rPr>
                <w:noProof/>
                <w:webHidden/>
              </w:rPr>
              <w:tab/>
            </w:r>
            <w:r>
              <w:rPr>
                <w:noProof/>
                <w:webHidden/>
              </w:rPr>
              <w:fldChar w:fldCharType="begin"/>
            </w:r>
            <w:r>
              <w:rPr>
                <w:noProof/>
                <w:webHidden/>
              </w:rPr>
              <w:instrText xml:space="preserve"> PAGEREF _Toc218445706 \h </w:instrText>
            </w:r>
            <w:r>
              <w:rPr>
                <w:noProof/>
                <w:webHidden/>
              </w:rPr>
            </w:r>
            <w:r>
              <w:rPr>
                <w:noProof/>
                <w:webHidden/>
              </w:rPr>
              <w:fldChar w:fldCharType="separate"/>
            </w:r>
            <w:r>
              <w:rPr>
                <w:noProof/>
                <w:webHidden/>
              </w:rPr>
              <w:t>67</w:t>
            </w:r>
            <w:r>
              <w:rPr>
                <w:noProof/>
                <w:webHidden/>
              </w:rPr>
              <w:fldChar w:fldCharType="end"/>
            </w:r>
          </w:hyperlink>
        </w:p>
        <w:p w14:paraId="285266CE" w14:textId="6A22CF86"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707" w:history="1">
            <w:r w:rsidRPr="00E34A4F">
              <w:rPr>
                <w:rStyle w:val="Hyperlink"/>
                <w:noProof/>
                <w:lang w:eastAsia="zh-CN"/>
              </w:rPr>
              <w:t>5.3</w:t>
            </w:r>
            <w:r>
              <w:rPr>
                <w:rFonts w:asciiTheme="minorHAnsi" w:hAnsiTheme="minorHAnsi" w:cstheme="minorBidi"/>
                <w:noProof/>
                <w:kern w:val="2"/>
                <w:szCs w:val="30"/>
                <w:lang w:eastAsia="zh-CN" w:bidi="bn-IN"/>
                <w14:ligatures w14:val="standardContextual"/>
              </w:rPr>
              <w:tab/>
            </w:r>
            <w:r w:rsidRPr="00E34A4F">
              <w:rPr>
                <w:rStyle w:val="Hyperlink"/>
                <w:noProof/>
                <w:lang w:eastAsia="zh-CN"/>
              </w:rPr>
              <w:t>Recommendations</w:t>
            </w:r>
            <w:r>
              <w:rPr>
                <w:noProof/>
                <w:webHidden/>
              </w:rPr>
              <w:tab/>
            </w:r>
            <w:r>
              <w:rPr>
                <w:noProof/>
                <w:webHidden/>
              </w:rPr>
              <w:fldChar w:fldCharType="begin"/>
            </w:r>
            <w:r>
              <w:rPr>
                <w:noProof/>
                <w:webHidden/>
              </w:rPr>
              <w:instrText xml:space="preserve"> PAGEREF _Toc218445707 \h </w:instrText>
            </w:r>
            <w:r>
              <w:rPr>
                <w:noProof/>
                <w:webHidden/>
              </w:rPr>
            </w:r>
            <w:r>
              <w:rPr>
                <w:noProof/>
                <w:webHidden/>
              </w:rPr>
              <w:fldChar w:fldCharType="separate"/>
            </w:r>
            <w:r>
              <w:rPr>
                <w:noProof/>
                <w:webHidden/>
              </w:rPr>
              <w:t>68</w:t>
            </w:r>
            <w:r>
              <w:rPr>
                <w:noProof/>
                <w:webHidden/>
              </w:rPr>
              <w:fldChar w:fldCharType="end"/>
            </w:r>
          </w:hyperlink>
        </w:p>
        <w:p w14:paraId="7C3EB477" w14:textId="55D4577C"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708" w:history="1">
            <w:r w:rsidRPr="00E34A4F">
              <w:rPr>
                <w:rStyle w:val="Hyperlink"/>
                <w:noProof/>
                <w:lang w:eastAsia="zh-CN"/>
              </w:rPr>
              <w:t>5.4</w:t>
            </w:r>
            <w:r>
              <w:rPr>
                <w:rFonts w:asciiTheme="minorHAnsi" w:hAnsiTheme="minorHAnsi" w:cstheme="minorBidi"/>
                <w:noProof/>
                <w:kern w:val="2"/>
                <w:szCs w:val="30"/>
                <w:lang w:eastAsia="zh-CN" w:bidi="bn-IN"/>
                <w14:ligatures w14:val="standardContextual"/>
              </w:rPr>
              <w:tab/>
            </w:r>
            <w:r w:rsidRPr="00E34A4F">
              <w:rPr>
                <w:rStyle w:val="Hyperlink"/>
                <w:noProof/>
                <w:lang w:eastAsia="zh-CN"/>
              </w:rPr>
              <w:t>Limitations of Research</w:t>
            </w:r>
            <w:r>
              <w:rPr>
                <w:noProof/>
                <w:webHidden/>
              </w:rPr>
              <w:tab/>
            </w:r>
            <w:r>
              <w:rPr>
                <w:noProof/>
                <w:webHidden/>
              </w:rPr>
              <w:fldChar w:fldCharType="begin"/>
            </w:r>
            <w:r>
              <w:rPr>
                <w:noProof/>
                <w:webHidden/>
              </w:rPr>
              <w:instrText xml:space="preserve"> PAGEREF _Toc218445708 \h </w:instrText>
            </w:r>
            <w:r>
              <w:rPr>
                <w:noProof/>
                <w:webHidden/>
              </w:rPr>
            </w:r>
            <w:r>
              <w:rPr>
                <w:noProof/>
                <w:webHidden/>
              </w:rPr>
              <w:fldChar w:fldCharType="separate"/>
            </w:r>
            <w:r>
              <w:rPr>
                <w:noProof/>
                <w:webHidden/>
              </w:rPr>
              <w:t>69</w:t>
            </w:r>
            <w:r>
              <w:rPr>
                <w:noProof/>
                <w:webHidden/>
              </w:rPr>
              <w:fldChar w:fldCharType="end"/>
            </w:r>
          </w:hyperlink>
        </w:p>
        <w:p w14:paraId="0C9E2BF3" w14:textId="2FEFA600" w:rsidR="001D1CA2" w:rsidRDefault="001D1CA2">
          <w:pPr>
            <w:pStyle w:val="TOC2"/>
            <w:tabs>
              <w:tab w:val="left" w:pos="960"/>
              <w:tab w:val="right" w:leader="dot" w:pos="9016"/>
            </w:tabs>
            <w:rPr>
              <w:rFonts w:asciiTheme="minorHAnsi" w:hAnsiTheme="minorHAnsi" w:cstheme="minorBidi"/>
              <w:noProof/>
              <w:kern w:val="2"/>
              <w:szCs w:val="30"/>
              <w:lang w:eastAsia="zh-CN" w:bidi="bn-IN"/>
              <w14:ligatures w14:val="standardContextual"/>
            </w:rPr>
          </w:pPr>
          <w:hyperlink w:anchor="_Toc218445709" w:history="1">
            <w:r w:rsidRPr="00E34A4F">
              <w:rPr>
                <w:rStyle w:val="Hyperlink"/>
                <w:noProof/>
                <w:lang w:eastAsia="zh-CN"/>
              </w:rPr>
              <w:t>5.5</w:t>
            </w:r>
            <w:r>
              <w:rPr>
                <w:rFonts w:asciiTheme="minorHAnsi" w:hAnsiTheme="minorHAnsi" w:cstheme="minorBidi"/>
                <w:noProof/>
                <w:kern w:val="2"/>
                <w:szCs w:val="30"/>
                <w:lang w:eastAsia="zh-CN" w:bidi="bn-IN"/>
                <w14:ligatures w14:val="standardContextual"/>
              </w:rPr>
              <w:tab/>
            </w:r>
            <w:r w:rsidRPr="00E34A4F">
              <w:rPr>
                <w:rStyle w:val="Hyperlink"/>
                <w:noProof/>
                <w:lang w:eastAsia="zh-CN"/>
              </w:rPr>
              <w:t>Recommendations for Future Work</w:t>
            </w:r>
            <w:r>
              <w:rPr>
                <w:noProof/>
                <w:webHidden/>
              </w:rPr>
              <w:tab/>
            </w:r>
            <w:r>
              <w:rPr>
                <w:noProof/>
                <w:webHidden/>
              </w:rPr>
              <w:fldChar w:fldCharType="begin"/>
            </w:r>
            <w:r>
              <w:rPr>
                <w:noProof/>
                <w:webHidden/>
              </w:rPr>
              <w:instrText xml:space="preserve"> PAGEREF _Toc218445709 \h </w:instrText>
            </w:r>
            <w:r>
              <w:rPr>
                <w:noProof/>
                <w:webHidden/>
              </w:rPr>
            </w:r>
            <w:r>
              <w:rPr>
                <w:noProof/>
                <w:webHidden/>
              </w:rPr>
              <w:fldChar w:fldCharType="separate"/>
            </w:r>
            <w:r>
              <w:rPr>
                <w:noProof/>
                <w:webHidden/>
              </w:rPr>
              <w:t>69</w:t>
            </w:r>
            <w:r>
              <w:rPr>
                <w:noProof/>
                <w:webHidden/>
              </w:rPr>
              <w:fldChar w:fldCharType="end"/>
            </w:r>
          </w:hyperlink>
        </w:p>
        <w:p w14:paraId="2B08C05A" w14:textId="41D67400" w:rsidR="001D1CA2" w:rsidRDefault="001D1CA2">
          <w:pPr>
            <w:pStyle w:val="TOC1"/>
            <w:tabs>
              <w:tab w:val="right" w:leader="dot" w:pos="9016"/>
            </w:tabs>
            <w:rPr>
              <w:rFonts w:asciiTheme="minorHAnsi" w:hAnsiTheme="minorHAnsi" w:cstheme="minorBidi"/>
              <w:noProof/>
              <w:kern w:val="2"/>
              <w:szCs w:val="30"/>
              <w:lang w:eastAsia="zh-CN" w:bidi="bn-IN"/>
              <w14:ligatures w14:val="standardContextual"/>
            </w:rPr>
          </w:pPr>
          <w:hyperlink w:anchor="_Toc218445710" w:history="1">
            <w:r w:rsidRPr="00E34A4F">
              <w:rPr>
                <w:rStyle w:val="Hyperlink"/>
                <w:noProof/>
              </w:rPr>
              <w:t>REFERENCES</w:t>
            </w:r>
            <w:r>
              <w:rPr>
                <w:noProof/>
                <w:webHidden/>
              </w:rPr>
              <w:tab/>
            </w:r>
            <w:r>
              <w:rPr>
                <w:noProof/>
                <w:webHidden/>
              </w:rPr>
              <w:fldChar w:fldCharType="begin"/>
            </w:r>
            <w:r>
              <w:rPr>
                <w:noProof/>
                <w:webHidden/>
              </w:rPr>
              <w:instrText xml:space="preserve"> PAGEREF _Toc218445710 \h </w:instrText>
            </w:r>
            <w:r>
              <w:rPr>
                <w:noProof/>
                <w:webHidden/>
              </w:rPr>
            </w:r>
            <w:r>
              <w:rPr>
                <w:noProof/>
                <w:webHidden/>
              </w:rPr>
              <w:fldChar w:fldCharType="separate"/>
            </w:r>
            <w:r>
              <w:rPr>
                <w:noProof/>
                <w:webHidden/>
              </w:rPr>
              <w:t>70</w:t>
            </w:r>
            <w:r>
              <w:rPr>
                <w:noProof/>
                <w:webHidden/>
              </w:rPr>
              <w:fldChar w:fldCharType="end"/>
            </w:r>
          </w:hyperlink>
        </w:p>
        <w:p w14:paraId="09C80395" w14:textId="6A0CDC04" w:rsidR="001D1CA2" w:rsidRDefault="001D1CA2">
          <w:pPr>
            <w:pStyle w:val="TOC1"/>
            <w:tabs>
              <w:tab w:val="left" w:pos="440"/>
              <w:tab w:val="right" w:leader="dot" w:pos="9016"/>
            </w:tabs>
            <w:rPr>
              <w:rFonts w:asciiTheme="minorHAnsi" w:hAnsiTheme="minorHAnsi" w:cstheme="minorBidi"/>
              <w:noProof/>
              <w:kern w:val="2"/>
              <w:szCs w:val="30"/>
              <w:lang w:eastAsia="zh-CN" w:bidi="bn-IN"/>
              <w14:ligatures w14:val="standardContextual"/>
            </w:rPr>
          </w:pPr>
          <w:hyperlink w:anchor="_Toc218445711" w:history="1">
            <w:r w:rsidRPr="00E34A4F">
              <w:rPr>
                <w:rStyle w:val="Hyperlink"/>
                <w:noProof/>
              </w:rPr>
              <w:t>6</w:t>
            </w:r>
            <w:r>
              <w:rPr>
                <w:rFonts w:asciiTheme="minorHAnsi" w:hAnsiTheme="minorHAnsi" w:cstheme="minorBidi"/>
                <w:noProof/>
                <w:kern w:val="2"/>
                <w:szCs w:val="30"/>
                <w:lang w:eastAsia="zh-CN" w:bidi="bn-IN"/>
                <w14:ligatures w14:val="standardContextual"/>
              </w:rPr>
              <w:tab/>
            </w:r>
            <w:r w:rsidRPr="00E34A4F">
              <w:rPr>
                <w:rStyle w:val="Hyperlink"/>
                <w:noProof/>
              </w:rPr>
              <w:t>Appendix 1: Quality Assessment</w:t>
            </w:r>
            <w:r>
              <w:rPr>
                <w:noProof/>
                <w:webHidden/>
              </w:rPr>
              <w:tab/>
            </w:r>
            <w:r>
              <w:rPr>
                <w:noProof/>
                <w:webHidden/>
              </w:rPr>
              <w:fldChar w:fldCharType="begin"/>
            </w:r>
            <w:r>
              <w:rPr>
                <w:noProof/>
                <w:webHidden/>
              </w:rPr>
              <w:instrText xml:space="preserve"> PAGEREF _Toc218445711 \h </w:instrText>
            </w:r>
            <w:r>
              <w:rPr>
                <w:noProof/>
                <w:webHidden/>
              </w:rPr>
            </w:r>
            <w:r>
              <w:rPr>
                <w:noProof/>
                <w:webHidden/>
              </w:rPr>
              <w:fldChar w:fldCharType="separate"/>
            </w:r>
            <w:r>
              <w:rPr>
                <w:noProof/>
                <w:webHidden/>
              </w:rPr>
              <w:t>79</w:t>
            </w:r>
            <w:r>
              <w:rPr>
                <w:noProof/>
                <w:webHidden/>
              </w:rPr>
              <w:fldChar w:fldCharType="end"/>
            </w:r>
          </w:hyperlink>
        </w:p>
        <w:p w14:paraId="4F66C24B" w14:textId="593E1829" w:rsidR="008C5097" w:rsidRDefault="008C5097">
          <w:r w:rsidRPr="00A9343B">
            <w:rPr>
              <w:b/>
              <w:bCs/>
              <w:noProof/>
              <w:sz w:val="22"/>
            </w:rPr>
            <w:fldChar w:fldCharType="end"/>
          </w:r>
        </w:p>
      </w:sdtContent>
    </w:sdt>
    <w:p w14:paraId="42087BC5" w14:textId="77777777" w:rsidR="00C47275" w:rsidRDefault="00C47275">
      <w:pPr>
        <w:spacing w:before="0" w:after="160" w:line="259" w:lineRule="auto"/>
        <w:jc w:val="left"/>
        <w:rPr>
          <w:rFonts w:eastAsiaTheme="majorEastAsia" w:cstheme="majorBidi"/>
          <w:b/>
          <w:bCs/>
          <w:smallCaps/>
          <w:color w:val="0070C0"/>
          <w:sz w:val="32"/>
          <w:szCs w:val="36"/>
        </w:rPr>
      </w:pPr>
      <w:r>
        <w:br w:type="page"/>
      </w:r>
    </w:p>
    <w:p w14:paraId="1AAFF58E" w14:textId="58800339" w:rsidR="002B796F" w:rsidRDefault="002B796F" w:rsidP="002B796F">
      <w:pPr>
        <w:pStyle w:val="Heading1"/>
        <w:numPr>
          <w:ilvl w:val="0"/>
          <w:numId w:val="0"/>
        </w:numPr>
        <w:jc w:val="both"/>
      </w:pPr>
      <w:bookmarkStart w:id="2" w:name="_Toc218445658"/>
      <w:r>
        <w:lastRenderedPageBreak/>
        <w:t>List of Figures</w:t>
      </w:r>
      <w:bookmarkEnd w:id="2"/>
    </w:p>
    <w:bookmarkStart w:id="3" w:name="_Toc218445659"/>
    <w:p w14:paraId="7B02D406" w14:textId="5ED72B87"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r>
        <w:rPr>
          <w:b/>
          <w:bCs/>
          <w:smallCaps/>
        </w:rPr>
        <w:fldChar w:fldCharType="begin"/>
      </w:r>
      <w:r>
        <w:rPr>
          <w:b/>
          <w:bCs/>
          <w:smallCaps/>
        </w:rPr>
        <w:instrText xml:space="preserve"> TOC \h \z \c "Figure" </w:instrText>
      </w:r>
      <w:r>
        <w:rPr>
          <w:b/>
          <w:bCs/>
          <w:smallCaps/>
        </w:rPr>
        <w:fldChar w:fldCharType="separate"/>
      </w:r>
      <w:hyperlink w:anchor="_Toc218446354" w:history="1">
        <w:r w:rsidRPr="00EF5485">
          <w:rPr>
            <w:rStyle w:val="Hyperlink"/>
            <w:noProof/>
          </w:rPr>
          <w:t xml:space="preserve">Figure 1 </w:t>
        </w:r>
        <w:r w:rsidRPr="00EF5485">
          <w:rPr>
            <w:rStyle w:val="Hyperlink"/>
            <w:noProof/>
            <w:lang w:val="en-US"/>
          </w:rPr>
          <w:t>Carbon Dioxide Emissions of the Largest Global Fashion Brands (Rao, 2024)</w:t>
        </w:r>
        <w:r>
          <w:rPr>
            <w:noProof/>
            <w:webHidden/>
          </w:rPr>
          <w:tab/>
        </w:r>
        <w:r>
          <w:rPr>
            <w:noProof/>
            <w:webHidden/>
          </w:rPr>
          <w:fldChar w:fldCharType="begin"/>
        </w:r>
        <w:r>
          <w:rPr>
            <w:noProof/>
            <w:webHidden/>
          </w:rPr>
          <w:instrText xml:space="preserve"> PAGEREF _Toc218446354 \h </w:instrText>
        </w:r>
        <w:r>
          <w:rPr>
            <w:noProof/>
            <w:webHidden/>
          </w:rPr>
        </w:r>
        <w:r>
          <w:rPr>
            <w:noProof/>
            <w:webHidden/>
          </w:rPr>
          <w:fldChar w:fldCharType="separate"/>
        </w:r>
        <w:r>
          <w:rPr>
            <w:noProof/>
            <w:webHidden/>
          </w:rPr>
          <w:t>7</w:t>
        </w:r>
        <w:r>
          <w:rPr>
            <w:noProof/>
            <w:webHidden/>
          </w:rPr>
          <w:fldChar w:fldCharType="end"/>
        </w:r>
      </w:hyperlink>
    </w:p>
    <w:p w14:paraId="368CF339" w14:textId="4930705D"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46355" w:history="1">
        <w:r w:rsidRPr="00EF5485">
          <w:rPr>
            <w:rStyle w:val="Hyperlink"/>
            <w:noProof/>
          </w:rPr>
          <w:t xml:space="preserve">Figure 2 </w:t>
        </w:r>
        <w:r w:rsidRPr="00EF5485">
          <w:rPr>
            <w:rStyle w:val="Hyperlink"/>
            <w:noProof/>
            <w:lang w:val="en-US"/>
          </w:rPr>
          <w:t>The Preference of Gen Z for Sustainable Brands (Carufel, 2020)</w:t>
        </w:r>
        <w:r>
          <w:rPr>
            <w:noProof/>
            <w:webHidden/>
          </w:rPr>
          <w:tab/>
        </w:r>
        <w:r>
          <w:rPr>
            <w:noProof/>
            <w:webHidden/>
          </w:rPr>
          <w:fldChar w:fldCharType="begin"/>
        </w:r>
        <w:r>
          <w:rPr>
            <w:noProof/>
            <w:webHidden/>
          </w:rPr>
          <w:instrText xml:space="preserve"> PAGEREF _Toc218446355 \h </w:instrText>
        </w:r>
        <w:r>
          <w:rPr>
            <w:noProof/>
            <w:webHidden/>
          </w:rPr>
        </w:r>
        <w:r>
          <w:rPr>
            <w:noProof/>
            <w:webHidden/>
          </w:rPr>
          <w:fldChar w:fldCharType="separate"/>
        </w:r>
        <w:r>
          <w:rPr>
            <w:noProof/>
            <w:webHidden/>
          </w:rPr>
          <w:t>8</w:t>
        </w:r>
        <w:r>
          <w:rPr>
            <w:noProof/>
            <w:webHidden/>
          </w:rPr>
          <w:fldChar w:fldCharType="end"/>
        </w:r>
      </w:hyperlink>
    </w:p>
    <w:p w14:paraId="585BB416" w14:textId="37EC3B1B"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46356" w:history="1">
        <w:r w:rsidRPr="00EF5485">
          <w:rPr>
            <w:rStyle w:val="Hyperlink"/>
            <w:noProof/>
          </w:rPr>
          <w:t xml:space="preserve">Figure 3 </w:t>
        </w:r>
        <w:r w:rsidRPr="00EF5485">
          <w:rPr>
            <w:rStyle w:val="Hyperlink"/>
            <w:noProof/>
            <w:lang w:val="en-US" w:eastAsia="zh-CN"/>
          </w:rPr>
          <w:t>Stakeholder Theory (Freeman, 1984)</w:t>
        </w:r>
        <w:r>
          <w:rPr>
            <w:noProof/>
            <w:webHidden/>
          </w:rPr>
          <w:tab/>
        </w:r>
        <w:r>
          <w:rPr>
            <w:noProof/>
            <w:webHidden/>
          </w:rPr>
          <w:fldChar w:fldCharType="begin"/>
        </w:r>
        <w:r>
          <w:rPr>
            <w:noProof/>
            <w:webHidden/>
          </w:rPr>
          <w:instrText xml:space="preserve"> PAGEREF _Toc218446356 \h </w:instrText>
        </w:r>
        <w:r>
          <w:rPr>
            <w:noProof/>
            <w:webHidden/>
          </w:rPr>
        </w:r>
        <w:r>
          <w:rPr>
            <w:noProof/>
            <w:webHidden/>
          </w:rPr>
          <w:fldChar w:fldCharType="separate"/>
        </w:r>
        <w:r>
          <w:rPr>
            <w:noProof/>
            <w:webHidden/>
          </w:rPr>
          <w:t>13</w:t>
        </w:r>
        <w:r>
          <w:rPr>
            <w:noProof/>
            <w:webHidden/>
          </w:rPr>
          <w:fldChar w:fldCharType="end"/>
        </w:r>
      </w:hyperlink>
    </w:p>
    <w:p w14:paraId="51189CCA" w14:textId="48D164A6"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46357" w:history="1">
        <w:r w:rsidRPr="00EF5485">
          <w:rPr>
            <w:rStyle w:val="Hyperlink"/>
            <w:noProof/>
          </w:rPr>
          <w:t xml:space="preserve">Figure 4 </w:t>
        </w:r>
        <w:r w:rsidRPr="00EF5485">
          <w:rPr>
            <w:rStyle w:val="Hyperlink"/>
            <w:noProof/>
            <w:lang w:val="en-US" w:eastAsia="zh-CN"/>
          </w:rPr>
          <w:t>Signalling Theory (Spence, 1973)</w:t>
        </w:r>
        <w:r>
          <w:rPr>
            <w:noProof/>
            <w:webHidden/>
          </w:rPr>
          <w:tab/>
        </w:r>
        <w:r>
          <w:rPr>
            <w:noProof/>
            <w:webHidden/>
          </w:rPr>
          <w:fldChar w:fldCharType="begin"/>
        </w:r>
        <w:r>
          <w:rPr>
            <w:noProof/>
            <w:webHidden/>
          </w:rPr>
          <w:instrText xml:space="preserve"> PAGEREF _Toc218446357 \h </w:instrText>
        </w:r>
        <w:r>
          <w:rPr>
            <w:noProof/>
            <w:webHidden/>
          </w:rPr>
        </w:r>
        <w:r>
          <w:rPr>
            <w:noProof/>
            <w:webHidden/>
          </w:rPr>
          <w:fldChar w:fldCharType="separate"/>
        </w:r>
        <w:r>
          <w:rPr>
            <w:noProof/>
            <w:webHidden/>
          </w:rPr>
          <w:t>14</w:t>
        </w:r>
        <w:r>
          <w:rPr>
            <w:noProof/>
            <w:webHidden/>
          </w:rPr>
          <w:fldChar w:fldCharType="end"/>
        </w:r>
      </w:hyperlink>
    </w:p>
    <w:p w14:paraId="3843C155" w14:textId="6E488E03"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46358" w:history="1">
        <w:r w:rsidRPr="00EF5485">
          <w:rPr>
            <w:rStyle w:val="Hyperlink"/>
            <w:noProof/>
          </w:rPr>
          <w:t>Figure 5 Tripple Bottom Line Model (</w:t>
        </w:r>
        <w:r w:rsidRPr="00EF5485">
          <w:rPr>
            <w:rStyle w:val="Hyperlink"/>
            <w:noProof/>
            <w:lang w:val="en-US" w:eastAsia="zh-CN"/>
          </w:rPr>
          <w:t>Elkington, 1997)</w:t>
        </w:r>
        <w:r>
          <w:rPr>
            <w:noProof/>
            <w:webHidden/>
          </w:rPr>
          <w:tab/>
        </w:r>
        <w:r>
          <w:rPr>
            <w:noProof/>
            <w:webHidden/>
          </w:rPr>
          <w:fldChar w:fldCharType="begin"/>
        </w:r>
        <w:r>
          <w:rPr>
            <w:noProof/>
            <w:webHidden/>
          </w:rPr>
          <w:instrText xml:space="preserve"> PAGEREF _Toc218446358 \h </w:instrText>
        </w:r>
        <w:r>
          <w:rPr>
            <w:noProof/>
            <w:webHidden/>
          </w:rPr>
        </w:r>
        <w:r>
          <w:rPr>
            <w:noProof/>
            <w:webHidden/>
          </w:rPr>
          <w:fldChar w:fldCharType="separate"/>
        </w:r>
        <w:r>
          <w:rPr>
            <w:noProof/>
            <w:webHidden/>
          </w:rPr>
          <w:t>15</w:t>
        </w:r>
        <w:r>
          <w:rPr>
            <w:noProof/>
            <w:webHidden/>
          </w:rPr>
          <w:fldChar w:fldCharType="end"/>
        </w:r>
      </w:hyperlink>
    </w:p>
    <w:p w14:paraId="1A5CAC74" w14:textId="0403403A"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46359" w:history="1">
        <w:r w:rsidRPr="00EF5485">
          <w:rPr>
            <w:rStyle w:val="Hyperlink"/>
            <w:noProof/>
          </w:rPr>
          <w:t>Figure 6 Conceptual Framework of Sustainability and Greenwashing in Fashion (Author)</w:t>
        </w:r>
        <w:r>
          <w:rPr>
            <w:noProof/>
            <w:webHidden/>
          </w:rPr>
          <w:tab/>
        </w:r>
        <w:r>
          <w:rPr>
            <w:noProof/>
            <w:webHidden/>
          </w:rPr>
          <w:fldChar w:fldCharType="begin"/>
        </w:r>
        <w:r>
          <w:rPr>
            <w:noProof/>
            <w:webHidden/>
          </w:rPr>
          <w:instrText xml:space="preserve"> PAGEREF _Toc218446359 \h </w:instrText>
        </w:r>
        <w:r>
          <w:rPr>
            <w:noProof/>
            <w:webHidden/>
          </w:rPr>
        </w:r>
        <w:r>
          <w:rPr>
            <w:noProof/>
            <w:webHidden/>
          </w:rPr>
          <w:fldChar w:fldCharType="separate"/>
        </w:r>
        <w:r>
          <w:rPr>
            <w:noProof/>
            <w:webHidden/>
          </w:rPr>
          <w:t>25</w:t>
        </w:r>
        <w:r>
          <w:rPr>
            <w:noProof/>
            <w:webHidden/>
          </w:rPr>
          <w:fldChar w:fldCharType="end"/>
        </w:r>
      </w:hyperlink>
    </w:p>
    <w:p w14:paraId="7050980F" w14:textId="6B08267A"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46360" w:history="1">
        <w:r w:rsidRPr="00EF5485">
          <w:rPr>
            <w:rStyle w:val="Hyperlink"/>
            <w:noProof/>
          </w:rPr>
          <w:t xml:space="preserve">Figure 7 </w:t>
        </w:r>
        <w:r w:rsidRPr="00EF5485">
          <w:rPr>
            <w:rStyle w:val="Hyperlink"/>
            <w:noProof/>
            <w:lang w:val="en-US" w:eastAsia="zh-CN"/>
          </w:rPr>
          <w:t>PRISMA Framework (Adapted by the Author)</w:t>
        </w:r>
        <w:r>
          <w:rPr>
            <w:noProof/>
            <w:webHidden/>
          </w:rPr>
          <w:tab/>
        </w:r>
        <w:r>
          <w:rPr>
            <w:noProof/>
            <w:webHidden/>
          </w:rPr>
          <w:fldChar w:fldCharType="begin"/>
        </w:r>
        <w:r>
          <w:rPr>
            <w:noProof/>
            <w:webHidden/>
          </w:rPr>
          <w:instrText xml:space="preserve"> PAGEREF _Toc218446360 \h </w:instrText>
        </w:r>
        <w:r>
          <w:rPr>
            <w:noProof/>
            <w:webHidden/>
          </w:rPr>
        </w:r>
        <w:r>
          <w:rPr>
            <w:noProof/>
            <w:webHidden/>
          </w:rPr>
          <w:fldChar w:fldCharType="separate"/>
        </w:r>
        <w:r>
          <w:rPr>
            <w:noProof/>
            <w:webHidden/>
          </w:rPr>
          <w:t>34</w:t>
        </w:r>
        <w:r>
          <w:rPr>
            <w:noProof/>
            <w:webHidden/>
          </w:rPr>
          <w:fldChar w:fldCharType="end"/>
        </w:r>
      </w:hyperlink>
    </w:p>
    <w:p w14:paraId="5EE660F2" w14:textId="013A6916" w:rsidR="001C774D" w:rsidRDefault="001C774D">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46361" w:history="1">
        <w:r w:rsidRPr="00EF5485">
          <w:rPr>
            <w:rStyle w:val="Hyperlink"/>
            <w:noProof/>
          </w:rPr>
          <w:t>Figure 8 Conceptual Framework of Fashion Sustainability and Greenwashing (Author)</w:t>
        </w:r>
        <w:r>
          <w:rPr>
            <w:noProof/>
            <w:webHidden/>
          </w:rPr>
          <w:tab/>
        </w:r>
        <w:r>
          <w:rPr>
            <w:noProof/>
            <w:webHidden/>
          </w:rPr>
          <w:fldChar w:fldCharType="begin"/>
        </w:r>
        <w:r>
          <w:rPr>
            <w:noProof/>
            <w:webHidden/>
          </w:rPr>
          <w:instrText xml:space="preserve"> PAGEREF _Toc218446361 \h </w:instrText>
        </w:r>
        <w:r>
          <w:rPr>
            <w:noProof/>
            <w:webHidden/>
          </w:rPr>
        </w:r>
        <w:r>
          <w:rPr>
            <w:noProof/>
            <w:webHidden/>
          </w:rPr>
          <w:fldChar w:fldCharType="separate"/>
        </w:r>
        <w:r>
          <w:rPr>
            <w:noProof/>
            <w:webHidden/>
          </w:rPr>
          <w:t>66</w:t>
        </w:r>
        <w:r>
          <w:rPr>
            <w:noProof/>
            <w:webHidden/>
          </w:rPr>
          <w:fldChar w:fldCharType="end"/>
        </w:r>
      </w:hyperlink>
    </w:p>
    <w:p w14:paraId="057133F8" w14:textId="47221A87" w:rsidR="002B796F" w:rsidRPr="008C5097" w:rsidRDefault="001C774D" w:rsidP="00C47275">
      <w:pPr>
        <w:pStyle w:val="Heading1"/>
        <w:numPr>
          <w:ilvl w:val="0"/>
          <w:numId w:val="0"/>
        </w:numPr>
        <w:ind w:left="432" w:hanging="432"/>
        <w:jc w:val="both"/>
      </w:pPr>
      <w:r>
        <w:rPr>
          <w:rFonts w:eastAsiaTheme="minorEastAsia" w:cstheme="minorBidi"/>
          <w:b w:val="0"/>
          <w:bCs w:val="0"/>
          <w:smallCaps w:val="0"/>
          <w:color w:val="auto"/>
          <w:sz w:val="24"/>
          <w:szCs w:val="22"/>
        </w:rPr>
        <w:fldChar w:fldCharType="end"/>
      </w:r>
      <w:r w:rsidR="002B796F">
        <w:t>List of Tables</w:t>
      </w:r>
      <w:bookmarkEnd w:id="3"/>
    </w:p>
    <w:p w14:paraId="2EAC737E" w14:textId="0E59F51F" w:rsidR="002B796F" w:rsidRDefault="002B796F">
      <w:pPr>
        <w:pStyle w:val="TableofFigures"/>
        <w:tabs>
          <w:tab w:val="right" w:leader="dot" w:pos="9016"/>
        </w:tabs>
        <w:rPr>
          <w:rFonts w:asciiTheme="minorHAnsi" w:hAnsiTheme="minorHAnsi"/>
          <w:noProof/>
          <w:kern w:val="2"/>
          <w:szCs w:val="30"/>
          <w:lang w:val="en-US" w:eastAsia="zh-CN" w:bidi="bn-IN"/>
          <w14:ligatures w14:val="standardContextual"/>
        </w:rPr>
      </w:pPr>
      <w:r>
        <w:fldChar w:fldCharType="begin"/>
      </w:r>
      <w:r>
        <w:instrText xml:space="preserve"> TOC \h \z \c "Table" </w:instrText>
      </w:r>
      <w:r>
        <w:fldChar w:fldCharType="separate"/>
      </w:r>
      <w:hyperlink w:anchor="_Toc218439128" w:history="1">
        <w:r w:rsidRPr="00122ED7">
          <w:rPr>
            <w:rStyle w:val="Hyperlink"/>
            <w:noProof/>
          </w:rPr>
          <w:t>Table 1 Inclusion and exclusion criteria</w:t>
        </w:r>
        <w:r>
          <w:rPr>
            <w:noProof/>
            <w:webHidden/>
          </w:rPr>
          <w:tab/>
        </w:r>
        <w:r>
          <w:rPr>
            <w:noProof/>
            <w:webHidden/>
          </w:rPr>
          <w:fldChar w:fldCharType="begin"/>
        </w:r>
        <w:r>
          <w:rPr>
            <w:noProof/>
            <w:webHidden/>
          </w:rPr>
          <w:instrText xml:space="preserve"> PAGEREF _Toc218439128 \h </w:instrText>
        </w:r>
        <w:r>
          <w:rPr>
            <w:noProof/>
            <w:webHidden/>
          </w:rPr>
        </w:r>
        <w:r>
          <w:rPr>
            <w:noProof/>
            <w:webHidden/>
          </w:rPr>
          <w:fldChar w:fldCharType="separate"/>
        </w:r>
        <w:r>
          <w:rPr>
            <w:noProof/>
            <w:webHidden/>
          </w:rPr>
          <w:t>28</w:t>
        </w:r>
        <w:r>
          <w:rPr>
            <w:noProof/>
            <w:webHidden/>
          </w:rPr>
          <w:fldChar w:fldCharType="end"/>
        </w:r>
      </w:hyperlink>
    </w:p>
    <w:p w14:paraId="28D76A0A" w14:textId="7B760B6F" w:rsidR="002B796F" w:rsidRDefault="002B796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39129" w:history="1">
        <w:r w:rsidRPr="00122ED7">
          <w:rPr>
            <w:rStyle w:val="Hyperlink"/>
            <w:noProof/>
          </w:rPr>
          <w:t>Table 2 Summary of the Included Articles (N = 50)</w:t>
        </w:r>
        <w:r>
          <w:rPr>
            <w:noProof/>
            <w:webHidden/>
          </w:rPr>
          <w:tab/>
        </w:r>
        <w:r>
          <w:rPr>
            <w:noProof/>
            <w:webHidden/>
          </w:rPr>
          <w:fldChar w:fldCharType="begin"/>
        </w:r>
        <w:r>
          <w:rPr>
            <w:noProof/>
            <w:webHidden/>
          </w:rPr>
          <w:instrText xml:space="preserve"> PAGEREF _Toc218439129 \h </w:instrText>
        </w:r>
        <w:r>
          <w:rPr>
            <w:noProof/>
            <w:webHidden/>
          </w:rPr>
        </w:r>
        <w:r>
          <w:rPr>
            <w:noProof/>
            <w:webHidden/>
          </w:rPr>
          <w:fldChar w:fldCharType="separate"/>
        </w:r>
        <w:r>
          <w:rPr>
            <w:noProof/>
            <w:webHidden/>
          </w:rPr>
          <w:t>34</w:t>
        </w:r>
        <w:r>
          <w:rPr>
            <w:noProof/>
            <w:webHidden/>
          </w:rPr>
          <w:fldChar w:fldCharType="end"/>
        </w:r>
      </w:hyperlink>
    </w:p>
    <w:p w14:paraId="6B0BBD20" w14:textId="25E6C7FB" w:rsidR="002B796F" w:rsidRDefault="002B796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39130" w:history="1">
        <w:r w:rsidRPr="00122ED7">
          <w:rPr>
            <w:rStyle w:val="Hyperlink"/>
            <w:noProof/>
          </w:rPr>
          <w:t>Table 3 Environmental Stewardship and Social Responsibility Practices</w:t>
        </w:r>
        <w:r>
          <w:rPr>
            <w:noProof/>
            <w:webHidden/>
          </w:rPr>
          <w:tab/>
        </w:r>
        <w:r>
          <w:rPr>
            <w:noProof/>
            <w:webHidden/>
          </w:rPr>
          <w:fldChar w:fldCharType="begin"/>
        </w:r>
        <w:r>
          <w:rPr>
            <w:noProof/>
            <w:webHidden/>
          </w:rPr>
          <w:instrText xml:space="preserve"> PAGEREF _Toc218439130 \h </w:instrText>
        </w:r>
        <w:r>
          <w:rPr>
            <w:noProof/>
            <w:webHidden/>
          </w:rPr>
        </w:r>
        <w:r>
          <w:rPr>
            <w:noProof/>
            <w:webHidden/>
          </w:rPr>
          <w:fldChar w:fldCharType="separate"/>
        </w:r>
        <w:r>
          <w:rPr>
            <w:noProof/>
            <w:webHidden/>
          </w:rPr>
          <w:t>48</w:t>
        </w:r>
        <w:r>
          <w:rPr>
            <w:noProof/>
            <w:webHidden/>
          </w:rPr>
          <w:fldChar w:fldCharType="end"/>
        </w:r>
      </w:hyperlink>
    </w:p>
    <w:p w14:paraId="3C635702" w14:textId="144187D7" w:rsidR="002B796F" w:rsidRDefault="002B796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39131" w:history="1">
        <w:r w:rsidRPr="00122ED7">
          <w:rPr>
            <w:rStyle w:val="Hyperlink"/>
            <w:noProof/>
          </w:rPr>
          <w:t>Table 4 Manifestations</w:t>
        </w:r>
        <w:r w:rsidRPr="00122ED7">
          <w:rPr>
            <w:rStyle w:val="Hyperlink"/>
            <w:noProof/>
            <w:lang w:val="en-US"/>
          </w:rPr>
          <w:t xml:space="preserve"> and Drivers of Greenwashing in the Fashion Industry</w:t>
        </w:r>
        <w:r>
          <w:rPr>
            <w:noProof/>
            <w:webHidden/>
          </w:rPr>
          <w:tab/>
        </w:r>
        <w:r>
          <w:rPr>
            <w:noProof/>
            <w:webHidden/>
          </w:rPr>
          <w:fldChar w:fldCharType="begin"/>
        </w:r>
        <w:r>
          <w:rPr>
            <w:noProof/>
            <w:webHidden/>
          </w:rPr>
          <w:instrText xml:space="preserve"> PAGEREF _Toc218439131 \h </w:instrText>
        </w:r>
        <w:r>
          <w:rPr>
            <w:noProof/>
            <w:webHidden/>
          </w:rPr>
        </w:r>
        <w:r>
          <w:rPr>
            <w:noProof/>
            <w:webHidden/>
          </w:rPr>
          <w:fldChar w:fldCharType="separate"/>
        </w:r>
        <w:r>
          <w:rPr>
            <w:noProof/>
            <w:webHidden/>
          </w:rPr>
          <w:t>52</w:t>
        </w:r>
        <w:r>
          <w:rPr>
            <w:noProof/>
            <w:webHidden/>
          </w:rPr>
          <w:fldChar w:fldCharType="end"/>
        </w:r>
      </w:hyperlink>
    </w:p>
    <w:p w14:paraId="4A0DAE3C" w14:textId="27E47340" w:rsidR="002B796F" w:rsidRDefault="002B796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39132" w:history="1">
        <w:r w:rsidRPr="00122ED7">
          <w:rPr>
            <w:rStyle w:val="Hyperlink"/>
            <w:noProof/>
          </w:rPr>
          <w:t>Table 5 Authentic versus Deceptive Sustainability Practices</w:t>
        </w:r>
        <w:r>
          <w:rPr>
            <w:noProof/>
            <w:webHidden/>
          </w:rPr>
          <w:tab/>
        </w:r>
        <w:r>
          <w:rPr>
            <w:noProof/>
            <w:webHidden/>
          </w:rPr>
          <w:fldChar w:fldCharType="begin"/>
        </w:r>
        <w:r>
          <w:rPr>
            <w:noProof/>
            <w:webHidden/>
          </w:rPr>
          <w:instrText xml:space="preserve"> PAGEREF _Toc218439132 \h </w:instrText>
        </w:r>
        <w:r>
          <w:rPr>
            <w:noProof/>
            <w:webHidden/>
          </w:rPr>
        </w:r>
        <w:r>
          <w:rPr>
            <w:noProof/>
            <w:webHidden/>
          </w:rPr>
          <w:fldChar w:fldCharType="separate"/>
        </w:r>
        <w:r>
          <w:rPr>
            <w:noProof/>
            <w:webHidden/>
          </w:rPr>
          <w:t>54</w:t>
        </w:r>
        <w:r>
          <w:rPr>
            <w:noProof/>
            <w:webHidden/>
          </w:rPr>
          <w:fldChar w:fldCharType="end"/>
        </w:r>
      </w:hyperlink>
    </w:p>
    <w:p w14:paraId="09E20AB8" w14:textId="0AE18E78" w:rsidR="002B796F" w:rsidRDefault="002B796F">
      <w:pPr>
        <w:pStyle w:val="TableofFigures"/>
        <w:tabs>
          <w:tab w:val="right" w:leader="dot" w:pos="9016"/>
        </w:tabs>
        <w:rPr>
          <w:rFonts w:asciiTheme="minorHAnsi" w:hAnsiTheme="minorHAnsi"/>
          <w:noProof/>
          <w:kern w:val="2"/>
          <w:szCs w:val="30"/>
          <w:lang w:val="en-US" w:eastAsia="zh-CN" w:bidi="bn-IN"/>
          <w14:ligatures w14:val="standardContextual"/>
        </w:rPr>
      </w:pPr>
      <w:hyperlink w:anchor="_Toc218439133" w:history="1">
        <w:r w:rsidRPr="00122ED7">
          <w:rPr>
            <w:rStyle w:val="Hyperlink"/>
            <w:noProof/>
          </w:rPr>
          <w:t>Table 6 Critical Appraisal Skills Programme (CASP) Summary of Quality Assessment</w:t>
        </w:r>
        <w:r>
          <w:rPr>
            <w:noProof/>
            <w:webHidden/>
          </w:rPr>
          <w:tab/>
        </w:r>
        <w:r>
          <w:rPr>
            <w:noProof/>
            <w:webHidden/>
          </w:rPr>
          <w:fldChar w:fldCharType="begin"/>
        </w:r>
        <w:r>
          <w:rPr>
            <w:noProof/>
            <w:webHidden/>
          </w:rPr>
          <w:instrText xml:space="preserve"> PAGEREF _Toc218439133 \h </w:instrText>
        </w:r>
        <w:r>
          <w:rPr>
            <w:noProof/>
            <w:webHidden/>
          </w:rPr>
        </w:r>
        <w:r>
          <w:rPr>
            <w:noProof/>
            <w:webHidden/>
          </w:rPr>
          <w:fldChar w:fldCharType="separate"/>
        </w:r>
        <w:r>
          <w:rPr>
            <w:noProof/>
            <w:webHidden/>
          </w:rPr>
          <w:t>78</w:t>
        </w:r>
        <w:r>
          <w:rPr>
            <w:noProof/>
            <w:webHidden/>
          </w:rPr>
          <w:fldChar w:fldCharType="end"/>
        </w:r>
      </w:hyperlink>
    </w:p>
    <w:p w14:paraId="56A7FDB1" w14:textId="3FC1DCEE" w:rsidR="008C5097" w:rsidRDefault="002B796F">
      <w:r>
        <w:fldChar w:fldCharType="end"/>
      </w:r>
      <w:r w:rsidR="008C5097">
        <w:br w:type="page"/>
      </w:r>
    </w:p>
    <w:p w14:paraId="73DDCEB1" w14:textId="524B6F83" w:rsidR="00391EB6" w:rsidRPr="008C5097" w:rsidRDefault="00786750" w:rsidP="008C5097">
      <w:pPr>
        <w:pStyle w:val="Heading1"/>
      </w:pPr>
      <w:bookmarkStart w:id="4" w:name="_Toc218445660"/>
      <w:r w:rsidRPr="008C5097">
        <w:lastRenderedPageBreak/>
        <w:t>CHAPTER 1: INTRODUCTION</w:t>
      </w:r>
      <w:bookmarkEnd w:id="4"/>
      <w:r w:rsidRPr="008C5097">
        <w:t xml:space="preserve"> </w:t>
      </w:r>
    </w:p>
    <w:p w14:paraId="1F4F57DC" w14:textId="77777777" w:rsidR="00391EB6" w:rsidRDefault="00391EB6" w:rsidP="00E16323">
      <w:pPr>
        <w:pStyle w:val="Heading2"/>
        <w:spacing w:after="0"/>
      </w:pPr>
      <w:bookmarkStart w:id="5" w:name="_Toc218445661"/>
      <w:r w:rsidRPr="008C5097">
        <w:t>Background &amp; Problem Statement</w:t>
      </w:r>
      <w:bookmarkEnd w:id="5"/>
    </w:p>
    <w:p w14:paraId="28B22271" w14:textId="7DB92D19" w:rsidR="00E16323" w:rsidRDefault="00E16323" w:rsidP="00E16323">
      <w:pPr>
        <w:rPr>
          <w:lang w:val="en-US"/>
        </w:rPr>
      </w:pPr>
      <w:r w:rsidRPr="00E16323">
        <w:rPr>
          <w:lang w:val="en-US"/>
        </w:rPr>
        <w:t xml:space="preserve">Fashion industry, which contributes around 8 percent of the total world greenhouse gas emissions and 20 percent of the world wastewater generation, has attracted the centre stage of the sustainability debate because of its high level of environmental and social effects (Hoffmann </w:t>
      </w:r>
      <w:r w:rsidR="001D1CA2" w:rsidRPr="001D1CA2">
        <w:rPr>
          <w:i/>
          <w:iCs/>
          <w:lang w:val="en-US"/>
        </w:rPr>
        <w:t>et al</w:t>
      </w:r>
      <w:r w:rsidRPr="00E16323">
        <w:rPr>
          <w:lang w:val="en-US"/>
        </w:rPr>
        <w:t>., 2025). These issues are magnified by fast fashion, which encourages overproduction, overconsumption, and waste in a linear economic system that is based on profit (</w:t>
      </w:r>
      <w:proofErr w:type="spellStart"/>
      <w:r w:rsidRPr="00E16323">
        <w:rPr>
          <w:lang w:val="en-US"/>
        </w:rPr>
        <w:t>Vassalo</w:t>
      </w:r>
      <w:proofErr w:type="spellEnd"/>
      <w:r w:rsidRPr="00E16323">
        <w:rPr>
          <w:lang w:val="en-US"/>
        </w:rPr>
        <w:t xml:space="preserve"> </w:t>
      </w:r>
      <w:r w:rsidR="001D1CA2" w:rsidRPr="001D1CA2">
        <w:rPr>
          <w:i/>
          <w:iCs/>
          <w:lang w:val="en-US"/>
        </w:rPr>
        <w:t>et al</w:t>
      </w:r>
      <w:r w:rsidRPr="00E16323">
        <w:rPr>
          <w:lang w:val="en-US"/>
        </w:rPr>
        <w:t xml:space="preserve">., 2024). Although the level of consumer awareness has risen, the lack of definition and the unavailability of </w:t>
      </w:r>
      <w:proofErr w:type="spellStart"/>
      <w:r w:rsidRPr="00E16323">
        <w:rPr>
          <w:lang w:val="en-US"/>
        </w:rPr>
        <w:t>standardised</w:t>
      </w:r>
      <w:proofErr w:type="spellEnd"/>
      <w:r w:rsidRPr="00E16323">
        <w:rPr>
          <w:lang w:val="en-US"/>
        </w:rPr>
        <w:t xml:space="preserve"> criteria allow companies to practice greenwashing to deceive consumers and hinder the transition to the circular economy with the focus on recycling, repairing, reselling, and conscious consumption (Statista, 2024; Adamkiewicz </w:t>
      </w:r>
      <w:r w:rsidR="001D1CA2" w:rsidRPr="001D1CA2">
        <w:rPr>
          <w:i/>
          <w:iCs/>
          <w:lang w:val="en-US"/>
        </w:rPr>
        <w:t>et al</w:t>
      </w:r>
      <w:r w:rsidRPr="00E16323">
        <w:rPr>
          <w:lang w:val="en-US"/>
        </w:rPr>
        <w:t>., 2022).</w:t>
      </w:r>
    </w:p>
    <w:p w14:paraId="07E36511" w14:textId="294A4C7D" w:rsidR="004F7621" w:rsidRDefault="004F7621" w:rsidP="004F7621">
      <w:pPr>
        <w:jc w:val="center"/>
        <w:rPr>
          <w:lang w:val="en-US"/>
        </w:rPr>
      </w:pPr>
      <w:r>
        <w:rPr>
          <w:noProof/>
        </w:rPr>
        <w:drawing>
          <wp:inline distT="0" distB="0" distL="0" distR="0" wp14:anchorId="4E958BA0" wp14:editId="79378F32">
            <wp:extent cx="3930974" cy="2381530"/>
            <wp:effectExtent l="0" t="0" r="0" b="0"/>
            <wp:docPr id="2111316748" name="Picture 1" descr="A bar chart ranking the world's largest fashion companies by their 2022 reported CO2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ar chart ranking the world's largest fashion companies by their 2022 reported CO2 emission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500" t="39528" r="4664" b="13309"/>
                    <a:stretch>
                      <a:fillRect/>
                    </a:stretch>
                  </pic:blipFill>
                  <pic:spPr bwMode="auto">
                    <a:xfrm>
                      <a:off x="0" y="0"/>
                      <a:ext cx="3937440" cy="2385447"/>
                    </a:xfrm>
                    <a:prstGeom prst="rect">
                      <a:avLst/>
                    </a:prstGeom>
                    <a:noFill/>
                    <a:ln>
                      <a:noFill/>
                    </a:ln>
                    <a:extLst>
                      <a:ext uri="{53640926-AAD7-44D8-BBD7-CCE9431645EC}">
                        <a14:shadowObscured xmlns:a14="http://schemas.microsoft.com/office/drawing/2010/main"/>
                      </a:ext>
                    </a:extLst>
                  </pic:spPr>
                </pic:pic>
              </a:graphicData>
            </a:graphic>
          </wp:inline>
        </w:drawing>
      </w:r>
    </w:p>
    <w:p w14:paraId="179C0947" w14:textId="5D71A654" w:rsidR="004F7621" w:rsidRPr="00BD6A96" w:rsidRDefault="00BD6A96" w:rsidP="00BD6A96">
      <w:pPr>
        <w:pStyle w:val="NoSpacing"/>
        <w:rPr>
          <w:lang w:val="en-US"/>
        </w:rPr>
      </w:pPr>
      <w:bookmarkStart w:id="6" w:name="_Toc218441800"/>
      <w:bookmarkStart w:id="7" w:name="_Toc218446354"/>
      <w:r>
        <w:t xml:space="preserve">Figure </w:t>
      </w:r>
      <w:fldSimple w:instr=" SEQ Figure \* ARABIC ">
        <w:r w:rsidR="001C774D">
          <w:rPr>
            <w:noProof/>
          </w:rPr>
          <w:t>1</w:t>
        </w:r>
      </w:fldSimple>
      <w:r>
        <w:t xml:space="preserve"> </w:t>
      </w:r>
      <w:r w:rsidRPr="00BD6A96">
        <w:rPr>
          <w:lang w:val="en-US"/>
        </w:rPr>
        <w:t>Carbon Dioxide Emissions of the Largest Global Fashion Brands</w:t>
      </w:r>
      <w:r>
        <w:rPr>
          <w:lang w:val="en-US"/>
        </w:rPr>
        <w:t xml:space="preserve"> </w:t>
      </w:r>
      <w:r w:rsidRPr="00BD6A96">
        <w:rPr>
          <w:lang w:val="en-US"/>
        </w:rPr>
        <w:t>(Rao, 2024)</w:t>
      </w:r>
      <w:bookmarkEnd w:id="6"/>
      <w:bookmarkEnd w:id="7"/>
    </w:p>
    <w:p w14:paraId="54E00C09" w14:textId="77777777" w:rsidR="00E16323" w:rsidRDefault="00E16323" w:rsidP="00E16323">
      <w:pPr>
        <w:rPr>
          <w:lang w:val="en-US"/>
        </w:rPr>
      </w:pPr>
      <w:r w:rsidRPr="00E16323">
        <w:rPr>
          <w:lang w:val="en-US"/>
        </w:rPr>
        <w:t xml:space="preserve">Consumers are becoming interested in sustainable fashion. The proportion of posts on social media that promoted slow fashion grew by 29 percent and pre-loved fashion was mentioned 70 percent more in six months which represent an increase in the use of circular fashion trends (Mintel, 2024). According to the surveys, more than half of UK and German customers think about sustainability as a significant aspect in fashion shopping, and two-thirds of the US consumers indicate that they listen to the eco-friendly claims (Mintel, 2024). However, there is still a significant value-action gap, where almost 60 percent of younger millennials in the UK repurchase within 3 months, and price is still a primary consideration, as close to 50 per cent of UK consumers and </w:t>
      </w:r>
      <w:r w:rsidRPr="00E16323">
        <w:rPr>
          <w:lang w:val="en-US"/>
        </w:rPr>
        <w:lastRenderedPageBreak/>
        <w:t xml:space="preserve">67 per cent of Germans do not consider sustainability over cost (Mintel, 2024). Circular fashion is an emerging trend that provides a low-cost method of participating in sustainable </w:t>
      </w:r>
      <w:proofErr w:type="spellStart"/>
      <w:r w:rsidRPr="00E16323">
        <w:rPr>
          <w:lang w:val="en-US"/>
        </w:rPr>
        <w:t>behaviours</w:t>
      </w:r>
      <w:proofErr w:type="spellEnd"/>
      <w:r w:rsidRPr="00E16323">
        <w:rPr>
          <w:lang w:val="en-US"/>
        </w:rPr>
        <w:t xml:space="preserve"> by involving oneself in resale and rental services, including Vinted (Mintel, 2024).</w:t>
      </w:r>
    </w:p>
    <w:p w14:paraId="09CCA2CF" w14:textId="1FB4C279" w:rsidR="00662D3A" w:rsidRDefault="00662D3A" w:rsidP="00E16323">
      <w:pPr>
        <w:rPr>
          <w:lang w:val="en-US"/>
        </w:rPr>
      </w:pPr>
      <w:r>
        <w:rPr>
          <w:noProof/>
        </w:rPr>
        <w:drawing>
          <wp:inline distT="0" distB="0" distL="0" distR="0" wp14:anchorId="378FE51B" wp14:editId="12CCD9BD">
            <wp:extent cx="5731510" cy="2366010"/>
            <wp:effectExtent l="0" t="0" r="2540" b="0"/>
            <wp:docPr id="645078262" name="Picture 2" descr="Sustainable retail expectations on the rise with Gen Z shoppers - Agility  PR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ustainable retail expectations on the rise with Gen Z shoppers - Agility  PR Solutions"/>
                    <pic:cNvPicPr>
                      <a:picLocks noChangeAspect="1" noChangeArrowheads="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2366010"/>
                    </a:xfrm>
                    <a:prstGeom prst="rect">
                      <a:avLst/>
                    </a:prstGeom>
                    <a:noFill/>
                    <a:ln>
                      <a:noFill/>
                    </a:ln>
                  </pic:spPr>
                </pic:pic>
              </a:graphicData>
            </a:graphic>
          </wp:inline>
        </w:drawing>
      </w:r>
    </w:p>
    <w:p w14:paraId="746D3074" w14:textId="60AA2328" w:rsidR="00662D3A" w:rsidRPr="00E16323" w:rsidRDefault="00662D3A" w:rsidP="00662D3A">
      <w:pPr>
        <w:pStyle w:val="NoSpacing"/>
        <w:rPr>
          <w:lang w:val="en-US"/>
        </w:rPr>
      </w:pPr>
      <w:bookmarkStart w:id="8" w:name="_Toc218441801"/>
      <w:bookmarkStart w:id="9" w:name="_Toc218446355"/>
      <w:r>
        <w:t xml:space="preserve">Figure </w:t>
      </w:r>
      <w:fldSimple w:instr=" SEQ Figure \* ARABIC ">
        <w:r w:rsidR="001C774D">
          <w:rPr>
            <w:noProof/>
          </w:rPr>
          <w:t>2</w:t>
        </w:r>
      </w:fldSimple>
      <w:r>
        <w:t xml:space="preserve"> </w:t>
      </w:r>
      <w:r>
        <w:rPr>
          <w:lang w:val="en-US"/>
        </w:rPr>
        <w:t xml:space="preserve">The Preference of Gen Z for Sustainable Brands </w:t>
      </w:r>
      <w:r w:rsidRPr="00662D3A">
        <w:rPr>
          <w:lang w:val="en-US"/>
        </w:rPr>
        <w:t>(Carufel, 2020)</w:t>
      </w:r>
      <w:bookmarkEnd w:id="8"/>
      <w:bookmarkEnd w:id="9"/>
    </w:p>
    <w:p w14:paraId="323A9DF2" w14:textId="77777777" w:rsidR="00E16323" w:rsidRPr="00E16323" w:rsidRDefault="00E16323" w:rsidP="00E16323">
      <w:pPr>
        <w:rPr>
          <w:lang w:val="en-US"/>
        </w:rPr>
      </w:pPr>
      <w:r w:rsidRPr="00E16323">
        <w:rPr>
          <w:lang w:val="en-US"/>
        </w:rPr>
        <w:t>The sustainability preferences of generation Z are especially high, 62 percent of them prefer sustainable brands and 73 percent are ready to pay a premium price to the sustainable ones (</w:t>
      </w:r>
      <w:proofErr w:type="spellStart"/>
      <w:r w:rsidRPr="00E16323">
        <w:rPr>
          <w:lang w:val="en-US"/>
        </w:rPr>
        <w:t>Savilia</w:t>
      </w:r>
      <w:proofErr w:type="spellEnd"/>
      <w:r w:rsidRPr="00E16323">
        <w:rPr>
          <w:lang w:val="en-US"/>
        </w:rPr>
        <w:t>, 2024). In the larger consumer segments, 50 to 66 percent would be willing to pay a higher price on sustainable products, which is an indicator of market potential as well as the increasing demands on corporate responsibility (</w:t>
      </w:r>
      <w:proofErr w:type="spellStart"/>
      <w:r w:rsidRPr="00E16323">
        <w:rPr>
          <w:lang w:val="en-US"/>
        </w:rPr>
        <w:t>Savilia</w:t>
      </w:r>
      <w:proofErr w:type="spellEnd"/>
      <w:r w:rsidRPr="00E16323">
        <w:rPr>
          <w:lang w:val="en-US"/>
        </w:rPr>
        <w:t xml:space="preserve">, 2024). Nevertheless, the existence of these positive attitudes has been accompanied by increased criticism of corporate </w:t>
      </w:r>
      <w:proofErr w:type="spellStart"/>
      <w:r w:rsidRPr="00E16323">
        <w:rPr>
          <w:lang w:val="en-US"/>
        </w:rPr>
        <w:t>practises</w:t>
      </w:r>
      <w:proofErr w:type="spellEnd"/>
      <w:r w:rsidRPr="00E16323">
        <w:rPr>
          <w:lang w:val="en-US"/>
        </w:rPr>
        <w:t>, specifically against large fast-fashion companies such as H&amp;M and Shein. The scorecards of H&amp;M Conscious Collection were found to misrepresent the environmental and labour situation, and Shein was accused of purporting to be an ISO-certified company when it was not and not disclosing its supply chain, which showed how popular greenwashing is in the sector (Singh, 2024). Another report by the Changing Markets Foundation also found out that 59 percent of green claims in fashion did not meet the advice of the Competition and Markets Authority in the UK (Generation Climate Europe, 2021).</w:t>
      </w:r>
    </w:p>
    <w:p w14:paraId="0DCA1D3E" w14:textId="496AB55B" w:rsidR="00E16323" w:rsidRPr="00E16323" w:rsidRDefault="00E16323" w:rsidP="00E16323">
      <w:pPr>
        <w:rPr>
          <w:lang w:val="en-US"/>
        </w:rPr>
      </w:pPr>
      <w:r w:rsidRPr="00E16323">
        <w:rPr>
          <w:lang w:val="en-US"/>
        </w:rPr>
        <w:t xml:space="preserve">Despite the potential of technological innovation and circular business models including resale, rental, and biomaterials, they are still marginal in comparison to the marketing </w:t>
      </w:r>
      <w:proofErr w:type="spellStart"/>
      <w:r w:rsidRPr="00E16323">
        <w:rPr>
          <w:lang w:val="en-US"/>
        </w:rPr>
        <w:t>storeys</w:t>
      </w:r>
      <w:proofErr w:type="spellEnd"/>
      <w:r w:rsidRPr="00E16323">
        <w:rPr>
          <w:lang w:val="en-US"/>
        </w:rPr>
        <w:t xml:space="preserve"> that exaggerate sustainability success (Statista, 2024). The increased regulatory activity, such as the activity of the Competition and Markets </w:t>
      </w:r>
      <w:r w:rsidRPr="00E16323">
        <w:rPr>
          <w:lang w:val="en-US"/>
        </w:rPr>
        <w:lastRenderedPageBreak/>
        <w:t xml:space="preserve">Authority of the UK, the Green Claims Directive of the EU, the Unfair Commercial </w:t>
      </w:r>
      <w:proofErr w:type="spellStart"/>
      <w:r w:rsidRPr="00E16323">
        <w:rPr>
          <w:lang w:val="en-US"/>
        </w:rPr>
        <w:t>Practises</w:t>
      </w:r>
      <w:proofErr w:type="spellEnd"/>
      <w:r w:rsidRPr="00E16323">
        <w:rPr>
          <w:lang w:val="en-US"/>
        </w:rPr>
        <w:t xml:space="preserve"> Directive of France, and the updated version of Green Guides of the Federal Trade Commission, is indicative of a global shift towards accountability, which represents both the environmental urgency and the reputational risk of the fashion industry (Hoffmann </w:t>
      </w:r>
      <w:r w:rsidR="001D1CA2" w:rsidRPr="001D1CA2">
        <w:rPr>
          <w:i/>
          <w:iCs/>
          <w:lang w:val="en-US"/>
        </w:rPr>
        <w:t>et al</w:t>
      </w:r>
      <w:r w:rsidRPr="00E16323">
        <w:rPr>
          <w:lang w:val="en-US"/>
        </w:rPr>
        <w:t>., 2025).</w:t>
      </w:r>
    </w:p>
    <w:p w14:paraId="3A0431CC" w14:textId="1DD07C36" w:rsidR="006B5A34" w:rsidRPr="007A6353" w:rsidRDefault="00E16323" w:rsidP="00E16323">
      <w:pPr>
        <w:rPr>
          <w:lang w:val="en-US"/>
        </w:rPr>
      </w:pPr>
      <w:r w:rsidRPr="00E16323">
        <w:rPr>
          <w:lang w:val="en-US"/>
        </w:rPr>
        <w:t xml:space="preserve">Together, the available literature demonstrates that, although true sustainability </w:t>
      </w:r>
      <w:proofErr w:type="spellStart"/>
      <w:r w:rsidRPr="00E16323">
        <w:rPr>
          <w:lang w:val="en-US"/>
        </w:rPr>
        <w:t>practises</w:t>
      </w:r>
      <w:proofErr w:type="spellEnd"/>
      <w:r w:rsidRPr="00E16323">
        <w:rPr>
          <w:lang w:val="en-US"/>
        </w:rPr>
        <w:t xml:space="preserve"> can address the environmental and social cost of fashion, growth in the greenwashing phenomenon can be counterproductive. It is therefore necessary to conduct a systematic review in order to pool together evidence on the commonness, nature, and implications of true sustainability and greenwashing in the fashion industry. This kind of investigation will not only elucidate the differences between the genuine and deceitful initiatives but also educate on how to regulate, educate the consumers, and transform the industry.</w:t>
      </w:r>
    </w:p>
    <w:p w14:paraId="41EA5AA1" w14:textId="1D62E471" w:rsidR="00391EB6" w:rsidRDefault="00391EB6" w:rsidP="008C5097">
      <w:pPr>
        <w:pStyle w:val="Heading2"/>
      </w:pPr>
      <w:bookmarkStart w:id="10" w:name="_Toc218445662"/>
      <w:r w:rsidRPr="008C5097">
        <w:t>Research Aim</w:t>
      </w:r>
      <w:bookmarkEnd w:id="10"/>
    </w:p>
    <w:p w14:paraId="7B772213" w14:textId="6F3EC723" w:rsidR="00464BB6" w:rsidRPr="007A6353" w:rsidRDefault="007A6353" w:rsidP="00464BB6">
      <w:r>
        <w:t>This study aims to compare genuine sustainability initiatives with greenwashing practices in the fashion industry and identify gaps to promote authentic sustainability.</w:t>
      </w:r>
    </w:p>
    <w:p w14:paraId="56A3A5CF" w14:textId="77777777" w:rsidR="00391EB6" w:rsidRDefault="00391EB6" w:rsidP="008C5097">
      <w:pPr>
        <w:pStyle w:val="Heading2"/>
      </w:pPr>
      <w:bookmarkStart w:id="11" w:name="_Toc218445663"/>
      <w:r w:rsidRPr="008C5097">
        <w:t>Research Objectives</w:t>
      </w:r>
      <w:bookmarkEnd w:id="11"/>
    </w:p>
    <w:p w14:paraId="2336CBCD" w14:textId="77777777" w:rsidR="00132628" w:rsidRPr="00132628" w:rsidRDefault="00132628" w:rsidP="00132628">
      <w:pPr>
        <w:pStyle w:val="ListParagraph"/>
        <w:numPr>
          <w:ilvl w:val="0"/>
          <w:numId w:val="30"/>
        </w:numPr>
        <w:rPr>
          <w:lang w:val="en"/>
        </w:rPr>
      </w:pPr>
      <w:r w:rsidRPr="00132628">
        <w:rPr>
          <w:lang w:val="en"/>
        </w:rPr>
        <w:t>To identify and analyse the sustainable practices currently adopted by fashion brands with respect to environmental and social responsibility.</w:t>
      </w:r>
    </w:p>
    <w:p w14:paraId="08353FA2" w14:textId="77777777" w:rsidR="00132628" w:rsidRPr="00132628" w:rsidRDefault="00132628" w:rsidP="00132628">
      <w:pPr>
        <w:pStyle w:val="ListParagraph"/>
        <w:numPr>
          <w:ilvl w:val="0"/>
          <w:numId w:val="30"/>
        </w:numPr>
        <w:rPr>
          <w:lang w:val="en"/>
        </w:rPr>
      </w:pPr>
      <w:r w:rsidRPr="00132628">
        <w:rPr>
          <w:lang w:val="en"/>
        </w:rPr>
        <w:t>To examine the types and prevalence of greenwashing strategies employed by fashion brands to create the perception of sustainability.</w:t>
      </w:r>
    </w:p>
    <w:p w14:paraId="7F6D67DF" w14:textId="325A34C6" w:rsidR="00132628" w:rsidRPr="00132628" w:rsidRDefault="00132628" w:rsidP="00132628">
      <w:pPr>
        <w:pStyle w:val="ListParagraph"/>
        <w:numPr>
          <w:ilvl w:val="0"/>
          <w:numId w:val="30"/>
        </w:numPr>
        <w:rPr>
          <w:lang w:val="en"/>
        </w:rPr>
      </w:pPr>
      <w:r w:rsidRPr="00132628">
        <w:rPr>
          <w:lang w:val="en"/>
        </w:rPr>
        <w:t>To identify gaps by evaluating the weight of genuine sustainability initiatives relative to greenwashing practices and to provide recommendations for promoting authentic sustainability.</w:t>
      </w:r>
    </w:p>
    <w:p w14:paraId="5F1CCF70" w14:textId="77777777" w:rsidR="00391EB6" w:rsidRDefault="00391EB6" w:rsidP="008C5097">
      <w:pPr>
        <w:pStyle w:val="Heading2"/>
      </w:pPr>
      <w:bookmarkStart w:id="12" w:name="_Toc218445664"/>
      <w:r w:rsidRPr="008C5097">
        <w:t>Research Questions</w:t>
      </w:r>
      <w:bookmarkEnd w:id="12"/>
    </w:p>
    <w:p w14:paraId="6C62CA0F" w14:textId="34B89AF1" w:rsidR="00132628" w:rsidRPr="00132628" w:rsidRDefault="00132628" w:rsidP="00132628">
      <w:pPr>
        <w:pStyle w:val="ListParagraph"/>
        <w:numPr>
          <w:ilvl w:val="0"/>
          <w:numId w:val="28"/>
        </w:numPr>
        <w:rPr>
          <w:lang w:val="en"/>
        </w:rPr>
      </w:pPr>
      <w:r w:rsidRPr="00132628">
        <w:rPr>
          <w:b/>
          <w:bCs/>
          <w:lang w:val="en"/>
        </w:rPr>
        <w:t>RQ1:</w:t>
      </w:r>
      <w:r>
        <w:rPr>
          <w:lang w:val="en"/>
        </w:rPr>
        <w:t xml:space="preserve"> </w:t>
      </w:r>
      <w:r w:rsidRPr="00132628">
        <w:rPr>
          <w:lang w:val="en"/>
        </w:rPr>
        <w:t>What sustainable practices are currently adopted by fashion brands with respect to environmental stewardship and social responsibility?</w:t>
      </w:r>
    </w:p>
    <w:p w14:paraId="24EE80FC" w14:textId="1447B022" w:rsidR="00132628" w:rsidRPr="00132628" w:rsidRDefault="00132628" w:rsidP="00132628">
      <w:pPr>
        <w:pStyle w:val="ListParagraph"/>
        <w:numPr>
          <w:ilvl w:val="0"/>
          <w:numId w:val="28"/>
        </w:numPr>
        <w:rPr>
          <w:lang w:val="en"/>
        </w:rPr>
      </w:pPr>
      <w:r w:rsidRPr="00132628">
        <w:rPr>
          <w:b/>
          <w:bCs/>
          <w:lang w:val="en"/>
        </w:rPr>
        <w:t>RQ2:</w:t>
      </w:r>
      <w:r>
        <w:rPr>
          <w:lang w:val="en"/>
        </w:rPr>
        <w:t xml:space="preserve"> </w:t>
      </w:r>
      <w:r w:rsidRPr="00132628">
        <w:rPr>
          <w:lang w:val="en"/>
        </w:rPr>
        <w:t>What forms of greenwashing are employed within the fashion industry to convey an impression of sustainability, and what is their prevalence?</w:t>
      </w:r>
    </w:p>
    <w:p w14:paraId="3A265A4B" w14:textId="5864249E" w:rsidR="00132628" w:rsidRPr="00132628" w:rsidRDefault="00132628" w:rsidP="00132628">
      <w:pPr>
        <w:pStyle w:val="ListParagraph"/>
        <w:numPr>
          <w:ilvl w:val="0"/>
          <w:numId w:val="28"/>
        </w:numPr>
        <w:rPr>
          <w:lang w:val="en"/>
        </w:rPr>
      </w:pPr>
      <w:r w:rsidRPr="00132628">
        <w:rPr>
          <w:b/>
          <w:bCs/>
          <w:lang w:val="en"/>
        </w:rPr>
        <w:lastRenderedPageBreak/>
        <w:t>RQ3:</w:t>
      </w:r>
      <w:r>
        <w:rPr>
          <w:lang w:val="en"/>
        </w:rPr>
        <w:t xml:space="preserve"> </w:t>
      </w:r>
      <w:r w:rsidRPr="00132628">
        <w:rPr>
          <w:lang w:val="en"/>
        </w:rPr>
        <w:t>How do authentic sustainability initiatives compare with instances of greenwashing in the fashion sector, and what gaps and strategic recommendations emerge from the literature?</w:t>
      </w:r>
    </w:p>
    <w:p w14:paraId="43C00864" w14:textId="1B3F13BF" w:rsidR="00E578B4" w:rsidRDefault="00391EB6" w:rsidP="00E578B4">
      <w:pPr>
        <w:pStyle w:val="Heading2"/>
      </w:pPr>
      <w:bookmarkStart w:id="13" w:name="_Toc218445665"/>
      <w:r w:rsidRPr="008C5097">
        <w:t>Significance / Relevance of Study</w:t>
      </w:r>
      <w:bookmarkEnd w:id="13"/>
    </w:p>
    <w:p w14:paraId="47E96CE7" w14:textId="60E4887B" w:rsidR="00464BB6" w:rsidRPr="00464BB6" w:rsidRDefault="00E16323" w:rsidP="007A6353">
      <w:pPr>
        <w:rPr>
          <w:lang w:val="en-US"/>
        </w:rPr>
      </w:pPr>
      <w:r w:rsidRPr="00E16323">
        <w:rPr>
          <w:lang w:val="en-US"/>
        </w:rPr>
        <w:t xml:space="preserve">The fashion sector is considered one of the biggest causes of environmental degradation and social injustice, with the industry contributing to a high proportion of greenhouse gas emissions, water pollution, and exploitative labour </w:t>
      </w:r>
      <w:proofErr w:type="spellStart"/>
      <w:r w:rsidRPr="00E16323">
        <w:rPr>
          <w:lang w:val="en-US"/>
        </w:rPr>
        <w:t>practises</w:t>
      </w:r>
      <w:proofErr w:type="spellEnd"/>
      <w:r w:rsidRPr="00E16323">
        <w:rPr>
          <w:lang w:val="en-US"/>
        </w:rPr>
        <w:t xml:space="preserve">, specifically in the fast-fashion industry (Hoffmann </w:t>
      </w:r>
      <w:r w:rsidR="001D1CA2" w:rsidRPr="001D1CA2">
        <w:rPr>
          <w:i/>
          <w:iCs/>
          <w:lang w:val="en-US"/>
        </w:rPr>
        <w:t>et al</w:t>
      </w:r>
      <w:r w:rsidRPr="00E16323">
        <w:rPr>
          <w:lang w:val="en-US"/>
        </w:rPr>
        <w:t xml:space="preserve">., 2025; Changing Markets Foundation, 2021). To react, numerous brands have turned green, but greenwashing has become a widespread problem, with companies overstating or distorting their environmental and social performance, thus undermining customers and hindering real change (Brydges, Henninger &amp; Hanlon, 2022; Dalecki, 2023). The importance of this systematic review is that it </w:t>
      </w:r>
      <w:proofErr w:type="spellStart"/>
      <w:r w:rsidRPr="00E16323">
        <w:rPr>
          <w:lang w:val="en-US"/>
        </w:rPr>
        <w:t>summarises</w:t>
      </w:r>
      <w:proofErr w:type="spellEnd"/>
      <w:r w:rsidRPr="00E16323">
        <w:rPr>
          <w:lang w:val="en-US"/>
        </w:rPr>
        <w:t xml:space="preserve"> the existing empirical and theoretical studies to differentiate between the authentic sustainability </w:t>
      </w:r>
      <w:proofErr w:type="spellStart"/>
      <w:r w:rsidRPr="00E16323">
        <w:rPr>
          <w:lang w:val="en-US"/>
        </w:rPr>
        <w:t>practises</w:t>
      </w:r>
      <w:proofErr w:type="spellEnd"/>
      <w:r w:rsidRPr="00E16323">
        <w:rPr>
          <w:lang w:val="en-US"/>
        </w:rPr>
        <w:t xml:space="preserve"> and greenwashing in the fashion industry, assessing their occurrence, nature, and effects on the stakeholders (Burnstine &amp; Ghattas, 2025). The study is insightful to academics, practitioners, and regulators by assisting them to </w:t>
      </w:r>
      <w:proofErr w:type="spellStart"/>
      <w:r w:rsidRPr="00E16323">
        <w:rPr>
          <w:lang w:val="en-US"/>
        </w:rPr>
        <w:t>recognise</w:t>
      </w:r>
      <w:proofErr w:type="spellEnd"/>
      <w:r w:rsidRPr="00E16323">
        <w:rPr>
          <w:lang w:val="en-US"/>
        </w:rPr>
        <w:t xml:space="preserve"> research gaps, improve credible sustainability strategies, and tighten the belts of transparency and accountability, respectively (</w:t>
      </w:r>
      <w:proofErr w:type="spellStart"/>
      <w:r w:rsidRPr="00E16323">
        <w:rPr>
          <w:lang w:val="en-US"/>
        </w:rPr>
        <w:t>Hejlova</w:t>
      </w:r>
      <w:proofErr w:type="spellEnd"/>
      <w:r w:rsidRPr="00E16323">
        <w:rPr>
          <w:lang w:val="en-US"/>
        </w:rPr>
        <w:t xml:space="preserve"> </w:t>
      </w:r>
      <w:r w:rsidR="001D1CA2" w:rsidRPr="001D1CA2">
        <w:rPr>
          <w:i/>
          <w:iCs/>
          <w:lang w:val="en-US"/>
        </w:rPr>
        <w:t>et al</w:t>
      </w:r>
      <w:r w:rsidRPr="00E16323">
        <w:rPr>
          <w:lang w:val="en-US"/>
        </w:rPr>
        <w:t xml:space="preserve">., 2025). In addition, the review also identifies the importance of consumer perceptions, especially in cohorts that are ethically conscious, like Generation Z, where purchasing behaviour depends on authentic sustainability </w:t>
      </w:r>
      <w:proofErr w:type="spellStart"/>
      <w:r w:rsidRPr="00E16323">
        <w:rPr>
          <w:lang w:val="en-US"/>
        </w:rPr>
        <w:t>practises</w:t>
      </w:r>
      <w:proofErr w:type="spellEnd"/>
      <w:r w:rsidRPr="00E16323">
        <w:rPr>
          <w:lang w:val="en-US"/>
        </w:rPr>
        <w:t xml:space="preserve">, and exposure to greenwashing influences the same, which makes this research relevant to the future of responsible and transparent </w:t>
      </w:r>
      <w:proofErr w:type="spellStart"/>
      <w:r w:rsidRPr="00E16323">
        <w:rPr>
          <w:lang w:val="en-US"/>
        </w:rPr>
        <w:t>practises</w:t>
      </w:r>
      <w:proofErr w:type="spellEnd"/>
      <w:r w:rsidRPr="00E16323">
        <w:rPr>
          <w:lang w:val="en-US"/>
        </w:rPr>
        <w:t xml:space="preserve"> in the fashion industry (Garcia-Ortega </w:t>
      </w:r>
      <w:r w:rsidR="001D1CA2" w:rsidRPr="001D1CA2">
        <w:rPr>
          <w:i/>
          <w:iCs/>
          <w:lang w:val="en-US"/>
        </w:rPr>
        <w:t>et al</w:t>
      </w:r>
      <w:r w:rsidRPr="00E16323">
        <w:rPr>
          <w:lang w:val="en-US"/>
        </w:rPr>
        <w:t>., 2023).</w:t>
      </w:r>
    </w:p>
    <w:p w14:paraId="0DFC433F" w14:textId="77777777" w:rsidR="00E578B4" w:rsidRDefault="00391EB6" w:rsidP="008C5097">
      <w:pPr>
        <w:pStyle w:val="Heading2"/>
      </w:pPr>
      <w:bookmarkStart w:id="14" w:name="_Toc218445666"/>
      <w:r w:rsidRPr="008C5097">
        <w:t>Brief Research Methodology</w:t>
      </w:r>
      <w:bookmarkEnd w:id="14"/>
    </w:p>
    <w:p w14:paraId="3506187E" w14:textId="440388B0" w:rsidR="00132628" w:rsidRPr="00132628" w:rsidRDefault="00E16323" w:rsidP="00E16323">
      <w:pPr>
        <w:rPr>
          <w:lang w:val="en-US"/>
        </w:rPr>
      </w:pPr>
      <w:r w:rsidRPr="00E16323">
        <w:rPr>
          <w:lang w:val="en-US"/>
        </w:rPr>
        <w:t xml:space="preserve">This paper used a systematic review with a pragmatic research philosophy in an attempt to combine qualitative and quantitative results to assess the sustainability and the greenwashing in the fashion industry. The studies had to be peer-reviewed journal articles, conference papers, and review studies that covered sustainable </w:t>
      </w:r>
      <w:proofErr w:type="spellStart"/>
      <w:r w:rsidRPr="00E16323">
        <w:rPr>
          <w:lang w:val="en-US"/>
        </w:rPr>
        <w:t>practises</w:t>
      </w:r>
      <w:proofErr w:type="spellEnd"/>
      <w:r w:rsidRPr="00E16323">
        <w:rPr>
          <w:lang w:val="en-US"/>
        </w:rPr>
        <w:t xml:space="preserve">, greenwashing strategies, or their impact on brand perception and operations and be eligible since they had to be published in English in 2015 or later (Kitchenham and Charters, 2007; Gough, Oliver and Thomas, 2017). Sources that were non-English, </w:t>
      </w:r>
      <w:r w:rsidRPr="00E16323">
        <w:rPr>
          <w:lang w:val="en-US"/>
        </w:rPr>
        <w:lastRenderedPageBreak/>
        <w:t>grey literature, and opinion pieces without empirical evidence were filtered out (Gough, Oliver and Thomas, 2017). Citation tracking and reference screening were used to supplement systematic searches in Scopus and Google Scholar, with keywords that include sustainability (e.g., sustainable fashion, environmental responsibility) and greenwashing (e.g., false sustainability claims, eco-label deception) (</w:t>
      </w:r>
      <w:proofErr w:type="spellStart"/>
      <w:r w:rsidRPr="00E16323">
        <w:rPr>
          <w:lang w:val="en-US"/>
        </w:rPr>
        <w:t>Falagas</w:t>
      </w:r>
      <w:proofErr w:type="spellEnd"/>
      <w:r w:rsidRPr="00E16323">
        <w:rPr>
          <w:lang w:val="en-US"/>
        </w:rPr>
        <w:t xml:space="preserve"> </w:t>
      </w:r>
      <w:r w:rsidR="001D1CA2" w:rsidRPr="001D1CA2">
        <w:rPr>
          <w:i/>
          <w:iCs/>
          <w:lang w:val="en-US"/>
        </w:rPr>
        <w:t>et al</w:t>
      </w:r>
      <w:r w:rsidRPr="00E16323">
        <w:rPr>
          <w:lang w:val="en-US"/>
        </w:rPr>
        <w:t xml:space="preserve">., 2008; Bramer </w:t>
      </w:r>
      <w:r w:rsidR="001D1CA2" w:rsidRPr="001D1CA2">
        <w:rPr>
          <w:i/>
          <w:iCs/>
          <w:lang w:val="en-US"/>
        </w:rPr>
        <w:t>et al</w:t>
      </w:r>
      <w:r w:rsidRPr="00E16323">
        <w:rPr>
          <w:lang w:val="en-US"/>
        </w:rPr>
        <w:t xml:space="preserve">., 2017). A reference management software was used to remove duplicates of the retrieved studies and the PRISMA framework was used to screen the studies (Higgins and Green, 2011). There was a </w:t>
      </w:r>
      <w:proofErr w:type="spellStart"/>
      <w:r w:rsidRPr="00E16323">
        <w:rPr>
          <w:lang w:val="en-US"/>
        </w:rPr>
        <w:t>standardised</w:t>
      </w:r>
      <w:proofErr w:type="spellEnd"/>
      <w:r w:rsidRPr="00E16323">
        <w:rPr>
          <w:lang w:val="en-US"/>
        </w:rPr>
        <w:t xml:space="preserve"> template that was used to extract data in terms of study details, design, sustainability or greenwashing activities, impacts, and gaps in research (Moher </w:t>
      </w:r>
      <w:r w:rsidR="001D1CA2" w:rsidRPr="001D1CA2">
        <w:rPr>
          <w:i/>
          <w:iCs/>
          <w:lang w:val="en-US"/>
        </w:rPr>
        <w:t>et al</w:t>
      </w:r>
      <w:r w:rsidRPr="00E16323">
        <w:rPr>
          <w:lang w:val="en-US"/>
        </w:rPr>
        <w:t xml:space="preserve">., 2009). The quality of studies was evaluated with the help of the Critical Appraisal Skills </w:t>
      </w:r>
      <w:proofErr w:type="spellStart"/>
      <w:r w:rsidRPr="00E16323">
        <w:rPr>
          <w:lang w:val="en-US"/>
        </w:rPr>
        <w:t>Programme</w:t>
      </w:r>
      <w:proofErr w:type="spellEnd"/>
      <w:r w:rsidRPr="00E16323">
        <w:rPr>
          <w:lang w:val="en-US"/>
        </w:rPr>
        <w:t xml:space="preserve"> (CASP, 2018) and was rated as high, medium, or low (Higgins </w:t>
      </w:r>
      <w:r w:rsidR="001D1CA2" w:rsidRPr="001D1CA2">
        <w:rPr>
          <w:i/>
          <w:iCs/>
          <w:lang w:val="en-US"/>
        </w:rPr>
        <w:t>et al</w:t>
      </w:r>
      <w:r w:rsidRPr="00E16323">
        <w:rPr>
          <w:lang w:val="en-US"/>
        </w:rPr>
        <w:t xml:space="preserve">., 2011). A narrative synthesis strategy was taken to find out patterns and relationships between sustainability assertions and brand credibility (Popay </w:t>
      </w:r>
      <w:r w:rsidR="001D1CA2" w:rsidRPr="001D1CA2">
        <w:rPr>
          <w:i/>
          <w:iCs/>
          <w:lang w:val="en-US"/>
        </w:rPr>
        <w:t>et al</w:t>
      </w:r>
      <w:r w:rsidRPr="00E16323">
        <w:rPr>
          <w:lang w:val="en-US"/>
        </w:rPr>
        <w:t xml:space="preserve">., 2006; Campbell </w:t>
      </w:r>
      <w:r w:rsidR="001D1CA2" w:rsidRPr="001D1CA2">
        <w:rPr>
          <w:i/>
          <w:iCs/>
          <w:lang w:val="en-US"/>
        </w:rPr>
        <w:t>et al</w:t>
      </w:r>
      <w:r w:rsidRPr="00E16323">
        <w:rPr>
          <w:lang w:val="en-US"/>
        </w:rPr>
        <w:t xml:space="preserve">., 2020). Ethical issues such as proper reporting, transparency, and recognition of original researchers were taken into account, whereas limitations such as publication bias, language restriction (English), and low methodological quality were noted (Gough </w:t>
      </w:r>
      <w:r w:rsidR="001D1CA2" w:rsidRPr="001D1CA2">
        <w:rPr>
          <w:i/>
          <w:iCs/>
          <w:lang w:val="en-US"/>
        </w:rPr>
        <w:t>et al</w:t>
      </w:r>
      <w:r w:rsidRPr="00E16323">
        <w:rPr>
          <w:lang w:val="en-US"/>
        </w:rPr>
        <w:t>., 2017).</w:t>
      </w:r>
    </w:p>
    <w:p w14:paraId="45CE32FC" w14:textId="3DFC7146" w:rsidR="007A6353" w:rsidRDefault="00391EB6" w:rsidP="007A6353">
      <w:pPr>
        <w:pStyle w:val="Heading2"/>
      </w:pPr>
      <w:bookmarkStart w:id="15" w:name="_Toc218445667"/>
      <w:r w:rsidRPr="008C5097">
        <w:t xml:space="preserve">Structure of </w:t>
      </w:r>
      <w:r w:rsidR="001F7590">
        <w:t>R</w:t>
      </w:r>
      <w:r w:rsidRPr="008C5097">
        <w:t xml:space="preserve">est of </w:t>
      </w:r>
      <w:r w:rsidR="001F7590">
        <w:t>P</w:t>
      </w:r>
      <w:r w:rsidRPr="008C5097">
        <w:t>roject</w:t>
      </w:r>
      <w:bookmarkEnd w:id="15"/>
    </w:p>
    <w:p w14:paraId="7D90FB0F" w14:textId="5CA53A20" w:rsidR="00BD6A96" w:rsidRDefault="00E16323" w:rsidP="007A6353">
      <w:r w:rsidRPr="00E16323">
        <w:t xml:space="preserve">The rest of this project </w:t>
      </w:r>
      <w:r>
        <w:t xml:space="preserve">is </w:t>
      </w:r>
      <w:r w:rsidRPr="00E16323">
        <w:t>designed to incisively study and integrate the literature on authentic sustainability and greenwashing in the fashion industry. Chapter 2 provide</w:t>
      </w:r>
      <w:r>
        <w:t>s</w:t>
      </w:r>
      <w:r w:rsidRPr="00E16323">
        <w:t xml:space="preserve"> a literature review including definition of major concepts, research field, and conceptual framework of the study. Chapter 3 summarises the research methodology which includes philosophies, design, approaches, methods of data collection and ethical considerations used to guarantee rigour and validity of systematic review. The findings are introduced in chapter 4, and the results are analysed and discussed in the framework of the research questions and the existing literature. Lastly, Chapter 5 will bring the study to its end by summarising the key findings, conclusions made in line with the research questions, practical and theoretical recommendations, limitation and future research directions.</w:t>
      </w:r>
    </w:p>
    <w:p w14:paraId="0242EDB0" w14:textId="0EBA7719" w:rsidR="00132628" w:rsidRPr="00BD6A96" w:rsidRDefault="00BD6A96" w:rsidP="00BD6A96">
      <w:pPr>
        <w:spacing w:before="0" w:after="160" w:line="259" w:lineRule="auto"/>
        <w:jc w:val="left"/>
      </w:pPr>
      <w:r>
        <w:br w:type="page"/>
      </w:r>
    </w:p>
    <w:p w14:paraId="1FCA51C8" w14:textId="0FDA1994" w:rsidR="00391EB6" w:rsidRPr="008C5097" w:rsidRDefault="00786750" w:rsidP="00132628">
      <w:pPr>
        <w:pStyle w:val="Heading1"/>
      </w:pPr>
      <w:bookmarkStart w:id="16" w:name="_heading=h.zgsj7dm89hu7"/>
      <w:bookmarkStart w:id="17" w:name="_Toc218445668"/>
      <w:bookmarkEnd w:id="16"/>
      <w:r w:rsidRPr="008C5097">
        <w:lastRenderedPageBreak/>
        <w:t>CHAPTER 2: LITERATURE REVIEW</w:t>
      </w:r>
      <w:bookmarkEnd w:id="17"/>
      <w:r w:rsidRPr="008C5097">
        <w:t xml:space="preserve"> </w:t>
      </w:r>
    </w:p>
    <w:p w14:paraId="40ADE638" w14:textId="56AC050D" w:rsidR="00B267C5" w:rsidRDefault="00391EB6" w:rsidP="003D69FC">
      <w:pPr>
        <w:pStyle w:val="Heading2"/>
        <w:spacing w:after="0"/>
      </w:pPr>
      <w:bookmarkStart w:id="18" w:name="_Toc218445669"/>
      <w:r w:rsidRPr="008C5097">
        <w:t>Introduction</w:t>
      </w:r>
      <w:bookmarkEnd w:id="18"/>
    </w:p>
    <w:p w14:paraId="74FE5E27" w14:textId="02D74671" w:rsidR="009847AB" w:rsidRPr="009847AB" w:rsidRDefault="009B4996" w:rsidP="003D69FC">
      <w:pPr>
        <w:spacing w:before="0"/>
      </w:pPr>
      <w:r w:rsidRPr="009B4996">
        <w:t>This chapter offers an overview of the available literature on the subject of sustainability and greenwashing practises in the fashion industry. It starts with defining the main concepts, which are the core of this paper, and then the discussion of the theoretical frameworks, which serve as the basis of the knowledge about sustainable practises and corporate accountability. The chapter goes on to discuss sustainability programmes in the fashion industry, and the common forms of greenwashing, and their effects on brand equity. Moreover, it examines the perception of consumers regarding the real sustainability and greenwashing, and how corporate social responsibility (CSR) and environmental, social and governance (ESG) reporting influence corporate behaviour. Also, regulatory and policy frameworks on sustainability are addressed and give some background of the formation of the conceptual framework of the study, which incorporates all the literature reviewed and the research direction.</w:t>
      </w:r>
    </w:p>
    <w:p w14:paraId="1683C831" w14:textId="06B98073" w:rsidR="00391EB6" w:rsidRDefault="003D69FC" w:rsidP="008C5097">
      <w:pPr>
        <w:pStyle w:val="Heading2"/>
      </w:pPr>
      <w:bookmarkStart w:id="19" w:name="_Toc218445670"/>
      <w:r>
        <w:t xml:space="preserve">Critical Review of the </w:t>
      </w:r>
      <w:r w:rsidR="00391EB6" w:rsidRPr="008C5097">
        <w:t>Research</w:t>
      </w:r>
      <w:r>
        <w:t xml:space="preserve"> Topic</w:t>
      </w:r>
      <w:bookmarkEnd w:id="19"/>
    </w:p>
    <w:p w14:paraId="2988BB0D" w14:textId="7B51D4C9" w:rsidR="00AB6AC0" w:rsidRPr="00E16323" w:rsidRDefault="00AB6AC0" w:rsidP="00E16323">
      <w:pPr>
        <w:pStyle w:val="Heading3"/>
      </w:pPr>
      <w:bookmarkStart w:id="20" w:name="_Toc218445671"/>
      <w:r w:rsidRPr="00E16323">
        <w:t>Definition of Key Concepts</w:t>
      </w:r>
      <w:bookmarkEnd w:id="20"/>
    </w:p>
    <w:p w14:paraId="5F278227" w14:textId="4302F881" w:rsidR="009B4996" w:rsidRPr="009B4996" w:rsidRDefault="009B4996" w:rsidP="009B4996">
      <w:pPr>
        <w:rPr>
          <w:lang w:val="en-US" w:eastAsia="zh-CN" w:bidi="bn-IN"/>
        </w:rPr>
      </w:pPr>
      <w:r w:rsidRPr="009B4996">
        <w:rPr>
          <w:b/>
          <w:bCs/>
          <w:lang w:val="en-US" w:eastAsia="zh-CN" w:bidi="bn-IN"/>
        </w:rPr>
        <w:t xml:space="preserve">Sustainable </w:t>
      </w:r>
      <w:proofErr w:type="spellStart"/>
      <w:r w:rsidRPr="009B4996">
        <w:rPr>
          <w:b/>
          <w:bCs/>
          <w:lang w:val="en-US" w:eastAsia="zh-CN" w:bidi="bn-IN"/>
        </w:rPr>
        <w:t>Practise</w:t>
      </w:r>
      <w:proofErr w:type="spellEnd"/>
      <w:r w:rsidRPr="009B4996">
        <w:rPr>
          <w:b/>
          <w:bCs/>
          <w:lang w:val="en-US" w:eastAsia="zh-CN" w:bidi="bn-IN"/>
        </w:rPr>
        <w:t>:</w:t>
      </w:r>
      <w:r w:rsidRPr="009B4996">
        <w:rPr>
          <w:lang w:val="en-US" w:eastAsia="zh-CN" w:bidi="bn-IN"/>
        </w:rPr>
        <w:t xml:space="preserve"> Sustainable </w:t>
      </w:r>
      <w:proofErr w:type="spellStart"/>
      <w:r w:rsidRPr="009B4996">
        <w:rPr>
          <w:lang w:val="en-US" w:eastAsia="zh-CN" w:bidi="bn-IN"/>
        </w:rPr>
        <w:t>practise</w:t>
      </w:r>
      <w:proofErr w:type="spellEnd"/>
      <w:r w:rsidRPr="009B4996">
        <w:rPr>
          <w:lang w:val="en-US" w:eastAsia="zh-CN" w:bidi="bn-IN"/>
        </w:rPr>
        <w:t xml:space="preserve"> is defined as business </w:t>
      </w:r>
      <w:proofErr w:type="spellStart"/>
      <w:r w:rsidRPr="009B4996">
        <w:rPr>
          <w:lang w:val="en-US" w:eastAsia="zh-CN" w:bidi="bn-IN"/>
        </w:rPr>
        <w:t>practises</w:t>
      </w:r>
      <w:proofErr w:type="spellEnd"/>
      <w:r w:rsidRPr="009B4996">
        <w:rPr>
          <w:lang w:val="en-US" w:eastAsia="zh-CN" w:bidi="bn-IN"/>
        </w:rPr>
        <w:t xml:space="preserve">, as well as business strategies, which fulfil the current needs without affecting the future generations to fulfil their needs. This in the fashion industry includes green production processes, resource </w:t>
      </w:r>
      <w:proofErr w:type="spellStart"/>
      <w:r w:rsidRPr="009B4996">
        <w:rPr>
          <w:lang w:val="en-US" w:eastAsia="zh-CN" w:bidi="bn-IN"/>
        </w:rPr>
        <w:t>optimisation</w:t>
      </w:r>
      <w:proofErr w:type="spellEnd"/>
      <w:r w:rsidRPr="009B4996">
        <w:rPr>
          <w:lang w:val="en-US" w:eastAsia="zh-CN" w:bidi="bn-IN"/>
        </w:rPr>
        <w:t xml:space="preserve">, fair labour, and the advancement of circular economy concepts (Andria </w:t>
      </w:r>
      <w:r w:rsidR="001D1CA2" w:rsidRPr="001D1CA2">
        <w:rPr>
          <w:i/>
          <w:iCs/>
          <w:lang w:val="en-US" w:eastAsia="zh-CN" w:bidi="bn-IN"/>
        </w:rPr>
        <w:t>et al</w:t>
      </w:r>
      <w:r w:rsidRPr="009B4996">
        <w:rPr>
          <w:lang w:val="en-US" w:eastAsia="zh-CN" w:bidi="bn-IN"/>
        </w:rPr>
        <w:t xml:space="preserve">., 2023; </w:t>
      </w:r>
      <w:proofErr w:type="spellStart"/>
      <w:r w:rsidRPr="009B4996">
        <w:rPr>
          <w:lang w:val="en-US" w:eastAsia="zh-CN" w:bidi="bn-IN"/>
        </w:rPr>
        <w:t>Habtemaryam</w:t>
      </w:r>
      <w:proofErr w:type="spellEnd"/>
      <w:r w:rsidRPr="009B4996">
        <w:rPr>
          <w:lang w:val="en-US" w:eastAsia="zh-CN" w:bidi="bn-IN"/>
        </w:rPr>
        <w:t>, Degoma &amp; Tsegaye, 2025).</w:t>
      </w:r>
    </w:p>
    <w:p w14:paraId="09B8ED96" w14:textId="1072D796" w:rsidR="009B4996" w:rsidRPr="009B4996" w:rsidRDefault="009B4996" w:rsidP="009B4996">
      <w:pPr>
        <w:rPr>
          <w:lang w:val="en-US" w:eastAsia="zh-CN" w:bidi="bn-IN"/>
        </w:rPr>
      </w:pPr>
      <w:r w:rsidRPr="009B4996">
        <w:rPr>
          <w:b/>
          <w:bCs/>
          <w:lang w:val="en-US" w:eastAsia="zh-CN" w:bidi="bn-IN"/>
        </w:rPr>
        <w:t>Greenwashing:</w:t>
      </w:r>
      <w:r w:rsidRPr="009B4996">
        <w:rPr>
          <w:lang w:val="en-US" w:eastAsia="zh-CN" w:bidi="bn-IN"/>
        </w:rPr>
        <w:t xml:space="preserve"> Greenwashing is the act of creating a misleading or inflated impression of environmental responsibility of a company. It may entail misleading marketing, selective disclosure or symbolic acts that fail to lead to substantive environmental or social benefits (Mousavi </w:t>
      </w:r>
      <w:r w:rsidR="001D1CA2" w:rsidRPr="001D1CA2">
        <w:rPr>
          <w:i/>
          <w:iCs/>
          <w:lang w:val="en-US" w:eastAsia="zh-CN" w:bidi="bn-IN"/>
        </w:rPr>
        <w:t>et al</w:t>
      </w:r>
      <w:r w:rsidRPr="009B4996">
        <w:rPr>
          <w:lang w:val="en-US" w:eastAsia="zh-CN" w:bidi="bn-IN"/>
        </w:rPr>
        <w:t xml:space="preserve">., 2025; Brugman, van </w:t>
      </w:r>
      <w:proofErr w:type="spellStart"/>
      <w:r w:rsidRPr="009B4996">
        <w:rPr>
          <w:lang w:val="en-US" w:eastAsia="zh-CN" w:bidi="bn-IN"/>
        </w:rPr>
        <w:t>Huijstee</w:t>
      </w:r>
      <w:proofErr w:type="spellEnd"/>
      <w:r w:rsidRPr="009B4996">
        <w:rPr>
          <w:lang w:val="en-US" w:eastAsia="zh-CN" w:bidi="bn-IN"/>
        </w:rPr>
        <w:t xml:space="preserve"> &amp; Droog, 2024).</w:t>
      </w:r>
    </w:p>
    <w:p w14:paraId="29880426" w14:textId="5BADDC0F" w:rsidR="009B4996" w:rsidRPr="009B4996" w:rsidRDefault="009B4996" w:rsidP="009B4996">
      <w:pPr>
        <w:rPr>
          <w:lang w:val="en-US" w:eastAsia="zh-CN" w:bidi="bn-IN"/>
        </w:rPr>
      </w:pPr>
      <w:r w:rsidRPr="009B4996">
        <w:rPr>
          <w:b/>
          <w:bCs/>
          <w:lang w:val="en-US" w:eastAsia="zh-CN" w:bidi="bn-IN"/>
        </w:rPr>
        <w:t>ESG (Environmental, Social, and Governance):</w:t>
      </w:r>
      <w:r w:rsidRPr="009B4996">
        <w:rPr>
          <w:lang w:val="en-US" w:eastAsia="zh-CN" w:bidi="bn-IN"/>
        </w:rPr>
        <w:t xml:space="preserve"> ESG is a combination of standards applied to assess the performance of a business in regard to environmental stewardship, social responsibility, and corporate governance. ESG reporting is becoming transparent when it comes to sustainability efforts and is also becoming </w:t>
      </w:r>
      <w:r w:rsidRPr="009B4996">
        <w:rPr>
          <w:lang w:val="en-US" w:eastAsia="zh-CN" w:bidi="bn-IN"/>
        </w:rPr>
        <w:lastRenderedPageBreak/>
        <w:t xml:space="preserve">associated with brand credibility and investor confidence (Brown </w:t>
      </w:r>
      <w:r w:rsidR="001D1CA2" w:rsidRPr="001D1CA2">
        <w:rPr>
          <w:i/>
          <w:iCs/>
          <w:lang w:val="en-US" w:eastAsia="zh-CN" w:bidi="bn-IN"/>
        </w:rPr>
        <w:t>et al</w:t>
      </w:r>
      <w:r w:rsidRPr="009B4996">
        <w:rPr>
          <w:lang w:val="en-US" w:eastAsia="zh-CN" w:bidi="bn-IN"/>
        </w:rPr>
        <w:t xml:space="preserve">., 2019; de Magalhaes Silva </w:t>
      </w:r>
      <w:r w:rsidR="001D1CA2" w:rsidRPr="001D1CA2">
        <w:rPr>
          <w:i/>
          <w:iCs/>
          <w:lang w:val="en-US" w:eastAsia="zh-CN" w:bidi="bn-IN"/>
        </w:rPr>
        <w:t>et al</w:t>
      </w:r>
      <w:r w:rsidRPr="009B4996">
        <w:rPr>
          <w:lang w:val="en-US" w:eastAsia="zh-CN" w:bidi="bn-IN"/>
        </w:rPr>
        <w:t>., 2025).</w:t>
      </w:r>
    </w:p>
    <w:p w14:paraId="1833829D" w14:textId="6213FBE5" w:rsidR="003D69FC" w:rsidRPr="003D69FC" w:rsidRDefault="009B4996" w:rsidP="009B4996">
      <w:pPr>
        <w:rPr>
          <w:lang w:val="en-US" w:eastAsia="zh-CN" w:bidi="bn-IN"/>
        </w:rPr>
      </w:pPr>
      <w:r w:rsidRPr="009B4996">
        <w:rPr>
          <w:b/>
          <w:bCs/>
          <w:lang w:val="en-US" w:eastAsia="zh-CN" w:bidi="bn-IN"/>
        </w:rPr>
        <w:t>Corporate Social Responsibility (CSR):</w:t>
      </w:r>
      <w:r w:rsidRPr="009B4996">
        <w:rPr>
          <w:lang w:val="en-US" w:eastAsia="zh-CN" w:bidi="bn-IN"/>
        </w:rPr>
        <w:t xml:space="preserve"> CSR is the more general notion of a company assuming a responsibility to the way the company affects the society which include ethical labour </w:t>
      </w:r>
      <w:proofErr w:type="spellStart"/>
      <w:r w:rsidRPr="009B4996">
        <w:rPr>
          <w:lang w:val="en-US" w:eastAsia="zh-CN" w:bidi="bn-IN"/>
        </w:rPr>
        <w:t>practises</w:t>
      </w:r>
      <w:proofErr w:type="spellEnd"/>
      <w:r w:rsidRPr="009B4996">
        <w:rPr>
          <w:lang w:val="en-US" w:eastAsia="zh-CN" w:bidi="bn-IN"/>
        </w:rPr>
        <w:t>, communal participation and environmental custodianship. CSR in fashion can overlap with sustainability statements, whereas the distinction between the true CSR and greenwashing can be weak (Goswami and Jaiswal, 2023; Reza and Du Plessis, 2022).</w:t>
      </w:r>
    </w:p>
    <w:p w14:paraId="06FF9772" w14:textId="009FF99B" w:rsidR="00AB6AC0" w:rsidRDefault="00AB6AC0" w:rsidP="00AB6AC0">
      <w:pPr>
        <w:pStyle w:val="Heading3"/>
      </w:pPr>
      <w:bookmarkStart w:id="21" w:name="_Toc218445672"/>
      <w:r>
        <w:t>Theoretical Frameworks</w:t>
      </w:r>
      <w:bookmarkEnd w:id="21"/>
    </w:p>
    <w:p w14:paraId="0BE8B7DF" w14:textId="77777777" w:rsidR="009B4996" w:rsidRDefault="009B4996" w:rsidP="009B4996">
      <w:pPr>
        <w:rPr>
          <w:lang w:val="en-US" w:eastAsia="zh-CN" w:bidi="bn-IN"/>
        </w:rPr>
      </w:pPr>
      <w:r w:rsidRPr="009B4996">
        <w:rPr>
          <w:lang w:val="en-US" w:eastAsia="zh-CN" w:bidi="bn-IN"/>
        </w:rPr>
        <w:t xml:space="preserve">The theoretical frameworks offer the prism by which one can interpret and examine the sustainability and greenwashing </w:t>
      </w:r>
      <w:proofErr w:type="spellStart"/>
      <w:r w:rsidRPr="009B4996">
        <w:rPr>
          <w:lang w:val="en-US" w:eastAsia="zh-CN" w:bidi="bn-IN"/>
        </w:rPr>
        <w:t>practises</w:t>
      </w:r>
      <w:proofErr w:type="spellEnd"/>
      <w:r w:rsidRPr="009B4996">
        <w:rPr>
          <w:lang w:val="en-US" w:eastAsia="zh-CN" w:bidi="bn-IN"/>
        </w:rPr>
        <w:t xml:space="preserve"> in the fashion industry. Through the development of theories, the researchers are able to justify the rationale of corporate behaviour, the nature of interaction between stakeholders, and how consumers process sustainability claims. Within the framework of fashion, three popular models, which include Stakeholder Theory, </w:t>
      </w:r>
      <w:proofErr w:type="spellStart"/>
      <w:r w:rsidRPr="009B4996">
        <w:rPr>
          <w:lang w:val="en-US" w:eastAsia="zh-CN" w:bidi="bn-IN"/>
        </w:rPr>
        <w:t>Signalling</w:t>
      </w:r>
      <w:proofErr w:type="spellEnd"/>
      <w:r w:rsidRPr="009B4996">
        <w:rPr>
          <w:lang w:val="en-US" w:eastAsia="zh-CN" w:bidi="bn-IN"/>
        </w:rPr>
        <w:t xml:space="preserve"> Theory, and the Triple Bottom Line (TBL) Model, can provide important insights into not only real sustainability </w:t>
      </w:r>
      <w:proofErr w:type="spellStart"/>
      <w:r w:rsidRPr="009B4996">
        <w:rPr>
          <w:lang w:val="en-US" w:eastAsia="zh-CN" w:bidi="bn-IN"/>
        </w:rPr>
        <w:t>practises</w:t>
      </w:r>
      <w:proofErr w:type="spellEnd"/>
      <w:r w:rsidRPr="009B4996">
        <w:rPr>
          <w:lang w:val="en-US" w:eastAsia="zh-CN" w:bidi="bn-IN"/>
        </w:rPr>
        <w:t xml:space="preserve"> but also greenwashing.</w:t>
      </w:r>
    </w:p>
    <w:p w14:paraId="13C0A2BC" w14:textId="429AB1B8" w:rsidR="001C774D" w:rsidRDefault="001C774D" w:rsidP="001C774D">
      <w:pPr>
        <w:jc w:val="center"/>
        <w:rPr>
          <w:lang w:val="en-US" w:eastAsia="zh-CN" w:bidi="bn-IN"/>
        </w:rPr>
      </w:pPr>
      <w:r>
        <w:rPr>
          <w:noProof/>
        </w:rPr>
        <w:drawing>
          <wp:inline distT="0" distB="0" distL="0" distR="0" wp14:anchorId="4AF79765" wp14:editId="220EF7F5">
            <wp:extent cx="4355812" cy="2954867"/>
            <wp:effectExtent l="0" t="0" r="6985" b="0"/>
            <wp:docPr id="1994227989" name="Picture 5" descr="Stakeholder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takeholder Theo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71540" cy="2965537"/>
                    </a:xfrm>
                    <a:prstGeom prst="rect">
                      <a:avLst/>
                    </a:prstGeom>
                    <a:noFill/>
                    <a:ln>
                      <a:noFill/>
                    </a:ln>
                  </pic:spPr>
                </pic:pic>
              </a:graphicData>
            </a:graphic>
          </wp:inline>
        </w:drawing>
      </w:r>
    </w:p>
    <w:p w14:paraId="5BA75C74" w14:textId="2A7A7F65" w:rsidR="001C774D" w:rsidRPr="009B4996" w:rsidRDefault="001C774D" w:rsidP="001C774D">
      <w:pPr>
        <w:pStyle w:val="NoSpacing"/>
        <w:rPr>
          <w:lang w:val="en-US" w:eastAsia="zh-CN" w:bidi="bn-IN"/>
        </w:rPr>
      </w:pPr>
      <w:bookmarkStart w:id="22" w:name="_Toc218446356"/>
      <w:r>
        <w:t xml:space="preserve">Figure </w:t>
      </w:r>
      <w:fldSimple w:instr=" SEQ Figure \* ARABIC ">
        <w:r>
          <w:rPr>
            <w:noProof/>
          </w:rPr>
          <w:t>3</w:t>
        </w:r>
      </w:fldSimple>
      <w:r>
        <w:t xml:space="preserve"> </w:t>
      </w:r>
      <w:r>
        <w:rPr>
          <w:lang w:val="en-US" w:eastAsia="zh-CN" w:bidi="bn-IN"/>
        </w:rPr>
        <w:t xml:space="preserve">Stakeholder Theory </w:t>
      </w:r>
      <w:r w:rsidRPr="001C774D">
        <w:rPr>
          <w:lang w:val="en-US" w:eastAsia="zh-CN" w:bidi="bn-IN"/>
        </w:rPr>
        <w:t>(Freeman, 1984)</w:t>
      </w:r>
      <w:bookmarkEnd w:id="22"/>
    </w:p>
    <w:p w14:paraId="79E29C1C" w14:textId="569FB64E" w:rsidR="009B4996" w:rsidRDefault="009B4996" w:rsidP="009B4996">
      <w:pPr>
        <w:rPr>
          <w:lang w:val="en-US" w:eastAsia="zh-CN" w:bidi="bn-IN"/>
        </w:rPr>
      </w:pPr>
      <w:r w:rsidRPr="009B4996">
        <w:rPr>
          <w:lang w:val="en-US" w:eastAsia="zh-CN" w:bidi="bn-IN"/>
        </w:rPr>
        <w:t xml:space="preserve">Stakeholder Theory assumes that </w:t>
      </w:r>
      <w:proofErr w:type="spellStart"/>
      <w:r w:rsidRPr="009B4996">
        <w:rPr>
          <w:lang w:val="en-US" w:eastAsia="zh-CN" w:bidi="bn-IN"/>
        </w:rPr>
        <w:t>organisations</w:t>
      </w:r>
      <w:proofErr w:type="spellEnd"/>
      <w:r w:rsidRPr="009B4996">
        <w:rPr>
          <w:lang w:val="en-US" w:eastAsia="zh-CN" w:bidi="bn-IN"/>
        </w:rPr>
        <w:t xml:space="preserve"> are obligated not only to shareholders but also to all stakeholders who may be affected by the operations of the </w:t>
      </w:r>
      <w:proofErr w:type="spellStart"/>
      <w:r w:rsidRPr="009B4996">
        <w:rPr>
          <w:lang w:val="en-US" w:eastAsia="zh-CN" w:bidi="bn-IN"/>
        </w:rPr>
        <w:t>organisations</w:t>
      </w:r>
      <w:proofErr w:type="spellEnd"/>
      <w:r w:rsidRPr="009B4996">
        <w:rPr>
          <w:lang w:val="en-US" w:eastAsia="zh-CN" w:bidi="bn-IN"/>
        </w:rPr>
        <w:t xml:space="preserve"> </w:t>
      </w:r>
      <w:r w:rsidRPr="009B4996">
        <w:rPr>
          <w:lang w:val="en-US" w:eastAsia="zh-CN" w:bidi="bn-IN"/>
        </w:rPr>
        <w:lastRenderedPageBreak/>
        <w:t>such as employees, suppliers, customers, regulators, and communities (Freeman, 1984). In fashion, such a theory highlights the fact that there must be a response to the various stakeholder requests regarding ethical production, environmental protection, and transparency (</w:t>
      </w:r>
      <w:proofErr w:type="spellStart"/>
      <w:r w:rsidRPr="009B4996">
        <w:rPr>
          <w:lang w:val="en-US" w:eastAsia="zh-CN" w:bidi="bn-IN"/>
        </w:rPr>
        <w:t>Crapa</w:t>
      </w:r>
      <w:proofErr w:type="spellEnd"/>
      <w:r w:rsidRPr="009B4996">
        <w:rPr>
          <w:lang w:val="en-US" w:eastAsia="zh-CN" w:bidi="bn-IN"/>
        </w:rPr>
        <w:t xml:space="preserve"> </w:t>
      </w:r>
      <w:r w:rsidR="001D1CA2" w:rsidRPr="001D1CA2">
        <w:rPr>
          <w:i/>
          <w:iCs/>
          <w:lang w:val="en-US" w:eastAsia="zh-CN" w:bidi="bn-IN"/>
        </w:rPr>
        <w:t>et al</w:t>
      </w:r>
      <w:r w:rsidRPr="009B4996">
        <w:rPr>
          <w:lang w:val="en-US" w:eastAsia="zh-CN" w:bidi="bn-IN"/>
        </w:rPr>
        <w:t xml:space="preserve">., 2025; de Magalhaes Silva </w:t>
      </w:r>
      <w:r w:rsidR="001D1CA2" w:rsidRPr="001D1CA2">
        <w:rPr>
          <w:i/>
          <w:iCs/>
          <w:lang w:val="en-US" w:eastAsia="zh-CN" w:bidi="bn-IN"/>
        </w:rPr>
        <w:t>et al</w:t>
      </w:r>
      <w:r w:rsidRPr="009B4996">
        <w:rPr>
          <w:lang w:val="en-US" w:eastAsia="zh-CN" w:bidi="bn-IN"/>
        </w:rPr>
        <w:t xml:space="preserve">., 2025). With the stakeholder interests in mind, the brands are motivated to maintain the authentic sustainability activities, to take part in the authentic ESG reporting, and not to </w:t>
      </w:r>
      <w:proofErr w:type="spellStart"/>
      <w:r w:rsidRPr="009B4996">
        <w:rPr>
          <w:lang w:val="en-US" w:eastAsia="zh-CN" w:bidi="bn-IN"/>
        </w:rPr>
        <w:t>practise</w:t>
      </w:r>
      <w:proofErr w:type="spellEnd"/>
      <w:r w:rsidRPr="009B4996">
        <w:rPr>
          <w:lang w:val="en-US" w:eastAsia="zh-CN" w:bidi="bn-IN"/>
        </w:rPr>
        <w:t xml:space="preserve"> the deceptive greenwashing activities. As an example, consumer scrutiny and NGO activism subject corporations to pressure to align communications and operation </w:t>
      </w:r>
      <w:proofErr w:type="spellStart"/>
      <w:r w:rsidRPr="009B4996">
        <w:rPr>
          <w:lang w:val="en-US" w:eastAsia="zh-CN" w:bidi="bn-IN"/>
        </w:rPr>
        <w:t>practises</w:t>
      </w:r>
      <w:proofErr w:type="spellEnd"/>
      <w:r w:rsidRPr="009B4996">
        <w:rPr>
          <w:lang w:val="en-US" w:eastAsia="zh-CN" w:bidi="bn-IN"/>
        </w:rPr>
        <w:t xml:space="preserve"> with those of their stakeholders, and perception and disclosure management is central to corporate strategy (Burnstine &amp; Ghattas, 2025; </w:t>
      </w:r>
      <w:proofErr w:type="spellStart"/>
      <w:r w:rsidRPr="009B4996">
        <w:rPr>
          <w:lang w:val="en-US" w:eastAsia="zh-CN" w:bidi="bn-IN"/>
        </w:rPr>
        <w:t>Jestratijevic</w:t>
      </w:r>
      <w:proofErr w:type="spellEnd"/>
      <w:r w:rsidRPr="009B4996">
        <w:rPr>
          <w:lang w:val="en-US" w:eastAsia="zh-CN" w:bidi="bn-IN"/>
        </w:rPr>
        <w:t xml:space="preserve">, </w:t>
      </w:r>
      <w:proofErr w:type="spellStart"/>
      <w:r w:rsidRPr="009B4996">
        <w:rPr>
          <w:lang w:val="en-US" w:eastAsia="zh-CN" w:bidi="bn-IN"/>
        </w:rPr>
        <w:t>Uanhoro</w:t>
      </w:r>
      <w:proofErr w:type="spellEnd"/>
      <w:r w:rsidRPr="009B4996">
        <w:rPr>
          <w:lang w:val="en-US" w:eastAsia="zh-CN" w:bidi="bn-IN"/>
        </w:rPr>
        <w:t xml:space="preserve"> and Rana, 2024).</w:t>
      </w:r>
    </w:p>
    <w:p w14:paraId="3E549DCC" w14:textId="31651540" w:rsidR="001C774D" w:rsidRDefault="001C774D" w:rsidP="001C774D">
      <w:pPr>
        <w:jc w:val="center"/>
        <w:rPr>
          <w:lang w:val="en-US" w:eastAsia="zh-CN" w:bidi="bn-IN"/>
        </w:rPr>
      </w:pPr>
      <w:r>
        <w:rPr>
          <w:noProof/>
        </w:rPr>
        <w:drawing>
          <wp:inline distT="0" distB="0" distL="0" distR="0" wp14:anchorId="1123443F" wp14:editId="10A552C5">
            <wp:extent cx="4676775" cy="2581275"/>
            <wp:effectExtent l="0" t="0" r="9525" b="9525"/>
            <wp:docPr id="1567282755" name="Picture 4" descr="Slow fashion or self-signaling? Sustainability in the fashion industry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low fashion or self-signaling? Sustainability in the fashion industry -  ScienceDi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76775" cy="2581275"/>
                    </a:xfrm>
                    <a:prstGeom prst="rect">
                      <a:avLst/>
                    </a:prstGeom>
                    <a:noFill/>
                    <a:ln>
                      <a:noFill/>
                    </a:ln>
                  </pic:spPr>
                </pic:pic>
              </a:graphicData>
            </a:graphic>
          </wp:inline>
        </w:drawing>
      </w:r>
    </w:p>
    <w:p w14:paraId="3D53AA56" w14:textId="285EDD3E" w:rsidR="001C774D" w:rsidRPr="009B4996" w:rsidRDefault="001C774D" w:rsidP="001C774D">
      <w:pPr>
        <w:pStyle w:val="NoSpacing"/>
        <w:rPr>
          <w:lang w:val="en-US" w:eastAsia="zh-CN" w:bidi="bn-IN"/>
        </w:rPr>
      </w:pPr>
      <w:bookmarkStart w:id="23" w:name="_Toc218446357"/>
      <w:r>
        <w:t xml:space="preserve">Figure </w:t>
      </w:r>
      <w:fldSimple w:instr=" SEQ Figure \* ARABIC ">
        <w:r>
          <w:rPr>
            <w:noProof/>
          </w:rPr>
          <w:t>4</w:t>
        </w:r>
      </w:fldSimple>
      <w:r>
        <w:t xml:space="preserve"> </w:t>
      </w:r>
      <w:proofErr w:type="spellStart"/>
      <w:r>
        <w:rPr>
          <w:lang w:val="en-US" w:eastAsia="zh-CN" w:bidi="bn-IN"/>
        </w:rPr>
        <w:t>Signalling</w:t>
      </w:r>
      <w:proofErr w:type="spellEnd"/>
      <w:r>
        <w:rPr>
          <w:lang w:val="en-US" w:eastAsia="zh-CN" w:bidi="bn-IN"/>
        </w:rPr>
        <w:t xml:space="preserve"> Theory </w:t>
      </w:r>
      <w:r w:rsidRPr="001C774D">
        <w:rPr>
          <w:lang w:val="en-US" w:eastAsia="zh-CN" w:bidi="bn-IN"/>
        </w:rPr>
        <w:t>(Spence, 1973)</w:t>
      </w:r>
      <w:bookmarkEnd w:id="23"/>
    </w:p>
    <w:p w14:paraId="058BD48E" w14:textId="4D017D3F" w:rsidR="009B4996" w:rsidRDefault="009B4996" w:rsidP="009B4996">
      <w:pPr>
        <w:rPr>
          <w:lang w:val="en-US" w:eastAsia="zh-CN" w:bidi="bn-IN"/>
        </w:rPr>
      </w:pPr>
      <w:proofErr w:type="spellStart"/>
      <w:r w:rsidRPr="009B4996">
        <w:rPr>
          <w:lang w:val="en-US" w:eastAsia="zh-CN" w:bidi="bn-IN"/>
        </w:rPr>
        <w:t>Signalling</w:t>
      </w:r>
      <w:proofErr w:type="spellEnd"/>
      <w:r w:rsidRPr="009B4996">
        <w:rPr>
          <w:lang w:val="en-US" w:eastAsia="zh-CN" w:bidi="bn-IN"/>
        </w:rPr>
        <w:t xml:space="preserve"> Theory is centred on passing information by </w:t>
      </w:r>
      <w:proofErr w:type="spellStart"/>
      <w:r w:rsidRPr="009B4996">
        <w:rPr>
          <w:lang w:val="en-US" w:eastAsia="zh-CN" w:bidi="bn-IN"/>
        </w:rPr>
        <w:t>organisations</w:t>
      </w:r>
      <w:proofErr w:type="spellEnd"/>
      <w:r w:rsidRPr="009B4996">
        <w:rPr>
          <w:lang w:val="en-US" w:eastAsia="zh-CN" w:bidi="bn-IN"/>
        </w:rPr>
        <w:t xml:space="preserve"> to stakeholders especially where information asymmetry is a defining factor (Spence, 1973). In fashion, sustainability claims, certifications, and CSR reports are used as a signal by the brands that are supposed to connote ethical performance and environmental responsibility (Brown </w:t>
      </w:r>
      <w:r w:rsidR="001D1CA2" w:rsidRPr="001D1CA2">
        <w:rPr>
          <w:i/>
          <w:iCs/>
          <w:lang w:val="en-US" w:eastAsia="zh-CN" w:bidi="bn-IN"/>
        </w:rPr>
        <w:t>et al</w:t>
      </w:r>
      <w:r w:rsidRPr="009B4996">
        <w:rPr>
          <w:lang w:val="en-US" w:eastAsia="zh-CN" w:bidi="bn-IN"/>
        </w:rPr>
        <w:t xml:space="preserve">., 2019; Fang, 2024). These signals require credibility, transparency and verifiability. Greenwashing is a disconnect between the message and the actuality, in which companies purport to do something good to the environment but actually do not (Brugman, van </w:t>
      </w:r>
      <w:proofErr w:type="spellStart"/>
      <w:r w:rsidRPr="009B4996">
        <w:rPr>
          <w:lang w:val="en-US" w:eastAsia="zh-CN" w:bidi="bn-IN"/>
        </w:rPr>
        <w:t>Huijstee</w:t>
      </w:r>
      <w:proofErr w:type="spellEnd"/>
      <w:r w:rsidRPr="009B4996">
        <w:rPr>
          <w:lang w:val="en-US" w:eastAsia="zh-CN" w:bidi="bn-IN"/>
        </w:rPr>
        <w:t xml:space="preserve"> and Droog, 2024). </w:t>
      </w:r>
      <w:proofErr w:type="spellStart"/>
      <w:r w:rsidRPr="009B4996">
        <w:rPr>
          <w:lang w:val="en-US" w:eastAsia="zh-CN" w:bidi="bn-IN"/>
        </w:rPr>
        <w:t>Signalling</w:t>
      </w:r>
      <w:proofErr w:type="spellEnd"/>
      <w:r w:rsidRPr="009B4996">
        <w:rPr>
          <w:lang w:val="en-US" w:eastAsia="zh-CN" w:bidi="bn-IN"/>
        </w:rPr>
        <w:t xml:space="preserve"> Theory can thus be used to examine the effect of communication strategies, marketing campaigns and ESG disclosures on consumer perception and brand trust.</w:t>
      </w:r>
    </w:p>
    <w:p w14:paraId="180BBFB0" w14:textId="42564815" w:rsidR="001D1CA2" w:rsidRDefault="001D1CA2" w:rsidP="009B4996">
      <w:pPr>
        <w:rPr>
          <w:lang w:val="en-US" w:eastAsia="zh-CN" w:bidi="bn-IN"/>
        </w:rPr>
      </w:pPr>
      <w:r>
        <w:rPr>
          <w:noProof/>
        </w:rPr>
        <w:lastRenderedPageBreak/>
        <w:drawing>
          <wp:inline distT="0" distB="0" distL="0" distR="0" wp14:anchorId="2CB6003D" wp14:editId="116BAEBC">
            <wp:extent cx="5731510" cy="3227705"/>
            <wp:effectExtent l="0" t="0" r="2540" b="0"/>
            <wp:docPr id="732947812" name="Picture 3" descr="3 pillars of sustainability and the triple bottom line | Sustainability  from Japan - Zenbi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3 pillars of sustainability and the triple bottom line | Sustainability  from Japan - Zenbird"/>
                    <pic:cNvPicPr>
                      <a:picLocks noChangeAspect="1" noChangeArrowheads="1"/>
                    </pic:cNvPicPr>
                  </pic:nvPicPr>
                  <pic:blipFill>
                    <a:blip r:embed="rId14">
                      <a:extLst>
                        <a:ext uri="{BEBA8EAE-BF5A-486C-A8C5-ECC9F3942E4B}">
                          <a14:imgProps xmlns:a14="http://schemas.microsoft.com/office/drawing/2010/main">
                            <a14:imgLayer r:embed="rId15">
                              <a14:imgEffect>
                                <a14:saturation sat="200000"/>
                              </a14:imgEffect>
                            </a14:imgLayer>
                          </a14:imgProps>
                        </a:ext>
                        <a:ext uri="{28A0092B-C50C-407E-A947-70E740481C1C}">
                          <a14:useLocalDpi xmlns:a14="http://schemas.microsoft.com/office/drawing/2010/main" val="0"/>
                        </a:ext>
                      </a:extLst>
                    </a:blip>
                    <a:srcRect/>
                    <a:stretch>
                      <a:fillRect/>
                    </a:stretch>
                  </pic:blipFill>
                  <pic:spPr bwMode="auto">
                    <a:xfrm>
                      <a:off x="0" y="0"/>
                      <a:ext cx="5731510" cy="3227705"/>
                    </a:xfrm>
                    <a:prstGeom prst="rect">
                      <a:avLst/>
                    </a:prstGeom>
                    <a:noFill/>
                    <a:ln>
                      <a:noFill/>
                    </a:ln>
                  </pic:spPr>
                </pic:pic>
              </a:graphicData>
            </a:graphic>
          </wp:inline>
        </w:drawing>
      </w:r>
    </w:p>
    <w:p w14:paraId="0C9476C6" w14:textId="0F273485" w:rsidR="001D1CA2" w:rsidRPr="009B4996" w:rsidRDefault="001D1CA2" w:rsidP="001D1CA2">
      <w:pPr>
        <w:pStyle w:val="Caption"/>
        <w:jc w:val="center"/>
        <w:rPr>
          <w:lang w:val="en-US" w:eastAsia="zh-CN" w:bidi="bn-IN"/>
        </w:rPr>
      </w:pPr>
      <w:bookmarkStart w:id="24" w:name="_Toc218446358"/>
      <w:r>
        <w:t xml:space="preserve">Figure </w:t>
      </w:r>
      <w:fldSimple w:instr=" SEQ Figure \* ARABIC ">
        <w:r w:rsidR="001C774D">
          <w:rPr>
            <w:noProof/>
          </w:rPr>
          <w:t>5</w:t>
        </w:r>
      </w:fldSimple>
      <w:r>
        <w:t xml:space="preserve"> Tripple Bottom Line Model (</w:t>
      </w:r>
      <w:r w:rsidRPr="009B4996">
        <w:rPr>
          <w:lang w:val="en-US" w:eastAsia="zh-CN" w:bidi="bn-IN"/>
        </w:rPr>
        <w:t>Elkington</w:t>
      </w:r>
      <w:r>
        <w:rPr>
          <w:lang w:val="en-US" w:eastAsia="zh-CN" w:bidi="bn-IN"/>
        </w:rPr>
        <w:t xml:space="preserve">, </w:t>
      </w:r>
      <w:r w:rsidRPr="009B4996">
        <w:rPr>
          <w:lang w:val="en-US" w:eastAsia="zh-CN" w:bidi="bn-IN"/>
        </w:rPr>
        <w:t>1997)</w:t>
      </w:r>
      <w:bookmarkEnd w:id="24"/>
    </w:p>
    <w:p w14:paraId="6065EFA0" w14:textId="77777777" w:rsidR="009B4996" w:rsidRPr="009B4996" w:rsidRDefault="009B4996" w:rsidP="009B4996">
      <w:pPr>
        <w:rPr>
          <w:lang w:val="en-US" w:eastAsia="zh-CN" w:bidi="bn-IN"/>
        </w:rPr>
      </w:pPr>
      <w:r w:rsidRPr="009B4996">
        <w:rPr>
          <w:lang w:val="en-US" w:eastAsia="zh-CN" w:bidi="bn-IN"/>
        </w:rPr>
        <w:t xml:space="preserve">TBL Model is a performance assessment model created by Elkington (1997) that covers not just financial performance of a company but also covers social and environmental results. In the fashion industry, the TBL framework </w:t>
      </w:r>
      <w:proofErr w:type="spellStart"/>
      <w:r w:rsidRPr="009B4996">
        <w:rPr>
          <w:lang w:val="en-US" w:eastAsia="zh-CN" w:bidi="bn-IN"/>
        </w:rPr>
        <w:t>emphasises</w:t>
      </w:r>
      <w:proofErr w:type="spellEnd"/>
      <w:r w:rsidRPr="009B4996">
        <w:rPr>
          <w:lang w:val="en-US" w:eastAsia="zh-CN" w:bidi="bn-IN"/>
        </w:rPr>
        <w:t xml:space="preserve"> the profit, people, and planet interdependence and promotes the firms to equally focus on economic growth and ethical labour </w:t>
      </w:r>
      <w:proofErr w:type="spellStart"/>
      <w:r w:rsidRPr="009B4996">
        <w:rPr>
          <w:lang w:val="en-US" w:eastAsia="zh-CN" w:bidi="bn-IN"/>
        </w:rPr>
        <w:t>practises</w:t>
      </w:r>
      <w:proofErr w:type="spellEnd"/>
      <w:r w:rsidRPr="009B4996">
        <w:rPr>
          <w:lang w:val="en-US" w:eastAsia="zh-CN" w:bidi="bn-IN"/>
        </w:rPr>
        <w:t>, as well as environmental sustainability (</w:t>
      </w:r>
      <w:proofErr w:type="spellStart"/>
      <w:r w:rsidRPr="009B4996">
        <w:rPr>
          <w:lang w:val="en-US" w:eastAsia="zh-CN" w:bidi="bn-IN"/>
        </w:rPr>
        <w:t>Habtemaryam</w:t>
      </w:r>
      <w:proofErr w:type="spellEnd"/>
      <w:r w:rsidRPr="009B4996">
        <w:rPr>
          <w:lang w:val="en-US" w:eastAsia="zh-CN" w:bidi="bn-IN"/>
        </w:rPr>
        <w:t>, Degoma &amp; Tsegaye, 2025; Nigatu, Degoma &amp; Tsegaye, 2024). It is also easy to evaluate authenticity using this model because substantive improvements are focused on all three of the dimensions and not individual or symbolic actions. Therefore, TBL can be used as a criterion in determining greenwashing in situations whereby corporate reporting or marketing focuses on economic or reputational benefits over authentic social and environmental effects.</w:t>
      </w:r>
    </w:p>
    <w:p w14:paraId="47B6F678" w14:textId="41A6B520" w:rsidR="00C57E74" w:rsidRPr="00C57E74" w:rsidRDefault="009B4996" w:rsidP="009B4996">
      <w:pPr>
        <w:rPr>
          <w:lang w:val="en-US" w:eastAsia="zh-CN" w:bidi="bn-IN"/>
        </w:rPr>
      </w:pPr>
      <w:r w:rsidRPr="009B4996">
        <w:rPr>
          <w:lang w:val="en-US" w:eastAsia="zh-CN" w:bidi="bn-IN"/>
        </w:rPr>
        <w:t xml:space="preserve">All three of the Stakeholder Theory, </w:t>
      </w:r>
      <w:proofErr w:type="spellStart"/>
      <w:r w:rsidRPr="009B4996">
        <w:rPr>
          <w:lang w:val="en-US" w:eastAsia="zh-CN" w:bidi="bn-IN"/>
        </w:rPr>
        <w:t>Signalling</w:t>
      </w:r>
      <w:proofErr w:type="spellEnd"/>
      <w:r w:rsidRPr="009B4996">
        <w:rPr>
          <w:lang w:val="en-US" w:eastAsia="zh-CN" w:bidi="bn-IN"/>
        </w:rPr>
        <w:t xml:space="preserve"> Theory, and the TBL Model present a complementary approach to the study of sustainability and greenwashing in the fashion industry. The Stakeholder Theory describes the forces behind ethical </w:t>
      </w:r>
      <w:proofErr w:type="gramStart"/>
      <w:r w:rsidRPr="009B4996">
        <w:rPr>
          <w:lang w:val="en-US" w:eastAsia="zh-CN" w:bidi="bn-IN"/>
        </w:rPr>
        <w:t>behaviour,</w:t>
      </w:r>
      <w:proofErr w:type="gramEnd"/>
      <w:r w:rsidRPr="009B4996">
        <w:rPr>
          <w:lang w:val="en-US" w:eastAsia="zh-CN" w:bidi="bn-IN"/>
        </w:rPr>
        <w:t xml:space="preserve"> </w:t>
      </w:r>
      <w:proofErr w:type="spellStart"/>
      <w:r w:rsidRPr="009B4996">
        <w:rPr>
          <w:lang w:val="en-US" w:eastAsia="zh-CN" w:bidi="bn-IN"/>
        </w:rPr>
        <w:t>Signalling</w:t>
      </w:r>
      <w:proofErr w:type="spellEnd"/>
      <w:r w:rsidRPr="009B4996">
        <w:rPr>
          <w:lang w:val="en-US" w:eastAsia="zh-CN" w:bidi="bn-IN"/>
        </w:rPr>
        <w:t xml:space="preserve"> Theory describes the processes of communication and perception and the TBL Model provides the criteria of assessing the content of sustainability initiatives. The combination of these frameworks helps to analyse the balance of ethical demands, market expectations, and communication strategies </w:t>
      </w:r>
      <w:r w:rsidRPr="009B4996">
        <w:rPr>
          <w:lang w:val="en-US" w:eastAsia="zh-CN" w:bidi="bn-IN"/>
        </w:rPr>
        <w:lastRenderedPageBreak/>
        <w:t xml:space="preserve">maintained by brands, which constitute the conceptual base of the discussion of relations between the actual sustainability </w:t>
      </w:r>
      <w:proofErr w:type="spellStart"/>
      <w:r w:rsidRPr="009B4996">
        <w:rPr>
          <w:lang w:val="en-US" w:eastAsia="zh-CN" w:bidi="bn-IN"/>
        </w:rPr>
        <w:t>practises</w:t>
      </w:r>
      <w:proofErr w:type="spellEnd"/>
      <w:r w:rsidRPr="009B4996">
        <w:rPr>
          <w:lang w:val="en-US" w:eastAsia="zh-CN" w:bidi="bn-IN"/>
        </w:rPr>
        <w:t xml:space="preserve"> and greenwashing.</w:t>
      </w:r>
    </w:p>
    <w:p w14:paraId="5C113ACD" w14:textId="334A22F2" w:rsidR="00AB6AC0" w:rsidRDefault="00AB6AC0" w:rsidP="00AB6AC0">
      <w:pPr>
        <w:pStyle w:val="Heading3"/>
        <w:rPr>
          <w:lang w:val="en-US"/>
        </w:rPr>
      </w:pPr>
      <w:bookmarkStart w:id="25" w:name="_Toc218445673"/>
      <w:r w:rsidRPr="00AB6AC0">
        <w:rPr>
          <w:lang w:val="en-US"/>
        </w:rPr>
        <w:t>Sustainability in the Fashion Industry</w:t>
      </w:r>
      <w:bookmarkEnd w:id="25"/>
    </w:p>
    <w:p w14:paraId="6BDA209A" w14:textId="77777777" w:rsidR="009B4996" w:rsidRPr="009B4996" w:rsidRDefault="009B4996" w:rsidP="009B4996">
      <w:pPr>
        <w:rPr>
          <w:lang w:val="en-US"/>
        </w:rPr>
      </w:pPr>
      <w:r w:rsidRPr="009B4996">
        <w:rPr>
          <w:lang w:val="en-US"/>
        </w:rPr>
        <w:t xml:space="preserve">Sustainability as a concept in the fashion industry has become more prominent in the past two decades due to the growing environmental and ethical demands as well as the changing consumer expectations. Traditionally, fashion manufacture was focused on speed, cost-effectiveness and trend-responsiveness at the cost of environmental and social factors (Henninger, </w:t>
      </w:r>
      <w:proofErr w:type="spellStart"/>
      <w:r w:rsidRPr="009B4996">
        <w:rPr>
          <w:lang w:val="en-US"/>
        </w:rPr>
        <w:t>Alevizou</w:t>
      </w:r>
      <w:proofErr w:type="spellEnd"/>
      <w:r w:rsidRPr="009B4996">
        <w:rPr>
          <w:lang w:val="en-US"/>
        </w:rPr>
        <w:t xml:space="preserve"> &amp; Oates, 2016). With the rise of fast fashion, where design-to-retail cycles are short, and mass consumption is the order of the day, calls were raised to adopt more sustainable models, as it is causing a greater depletion of resources, pollution, and exploitation of labour (Lovric &amp; </w:t>
      </w:r>
      <w:proofErr w:type="spellStart"/>
      <w:r w:rsidRPr="009B4996">
        <w:rPr>
          <w:lang w:val="en-US"/>
        </w:rPr>
        <w:t>Cagalj</w:t>
      </w:r>
      <w:proofErr w:type="spellEnd"/>
      <w:r w:rsidRPr="009B4996">
        <w:rPr>
          <w:lang w:val="en-US"/>
        </w:rPr>
        <w:t>, 2025).</w:t>
      </w:r>
    </w:p>
    <w:p w14:paraId="2A21A025" w14:textId="77777777" w:rsidR="009B4996" w:rsidRPr="009B4996" w:rsidRDefault="009B4996" w:rsidP="009B4996">
      <w:pPr>
        <w:rPr>
          <w:lang w:val="en-US"/>
        </w:rPr>
      </w:pPr>
      <w:r w:rsidRPr="009B4996">
        <w:rPr>
          <w:lang w:val="en-US"/>
        </w:rPr>
        <w:t xml:space="preserve">The concept of sustainable fashion, as Henninger, </w:t>
      </w:r>
      <w:proofErr w:type="spellStart"/>
      <w:r w:rsidRPr="009B4996">
        <w:rPr>
          <w:lang w:val="en-US"/>
        </w:rPr>
        <w:t>Alevizou</w:t>
      </w:r>
      <w:proofErr w:type="spellEnd"/>
      <w:r w:rsidRPr="009B4996">
        <w:rPr>
          <w:lang w:val="en-US"/>
        </w:rPr>
        <w:t xml:space="preserve"> and Oates (2016) define it, includes the </w:t>
      </w:r>
      <w:proofErr w:type="spellStart"/>
      <w:r w:rsidRPr="009B4996">
        <w:rPr>
          <w:lang w:val="en-US"/>
        </w:rPr>
        <w:t>practises</w:t>
      </w:r>
      <w:proofErr w:type="spellEnd"/>
      <w:r w:rsidRPr="009B4996">
        <w:rPr>
          <w:lang w:val="en-US"/>
        </w:rPr>
        <w:t xml:space="preserve"> that have minimal environmental impact and encourage social equity, such as responsible sourcing of materials, ethical production, and the adoption of the circular economy. As a reaction, brands have introduced more and more initiatives like the use of organic cotton, dye technologies that save water, or environmentally friendly logistics, trying to mitigate their environmental impact (</w:t>
      </w:r>
      <w:proofErr w:type="spellStart"/>
      <w:r w:rsidRPr="009B4996">
        <w:rPr>
          <w:lang w:val="en-US"/>
        </w:rPr>
        <w:t>Habtemaryam</w:t>
      </w:r>
      <w:proofErr w:type="spellEnd"/>
      <w:r w:rsidRPr="009B4996">
        <w:rPr>
          <w:lang w:val="en-US"/>
        </w:rPr>
        <w:t xml:space="preserve">, Degoma &amp; Tsegaye, 2025; Mofokeng, 2025). The green innovation has also been of great importance with companies embracing technological and </w:t>
      </w:r>
      <w:proofErr w:type="spellStart"/>
      <w:r w:rsidRPr="009B4996">
        <w:rPr>
          <w:lang w:val="en-US"/>
        </w:rPr>
        <w:t>organisational</w:t>
      </w:r>
      <w:proofErr w:type="spellEnd"/>
      <w:r w:rsidRPr="009B4996">
        <w:rPr>
          <w:lang w:val="en-US"/>
        </w:rPr>
        <w:t xml:space="preserve"> approaches to ensure that sustainability is incorporated in their supply chains, production and marketing strategies (</w:t>
      </w:r>
      <w:proofErr w:type="spellStart"/>
      <w:r w:rsidRPr="009B4996">
        <w:rPr>
          <w:lang w:val="en-US"/>
        </w:rPr>
        <w:t>Habtemaryam</w:t>
      </w:r>
      <w:proofErr w:type="spellEnd"/>
      <w:r w:rsidRPr="009B4996">
        <w:rPr>
          <w:lang w:val="en-US"/>
        </w:rPr>
        <w:t>, Degoma &amp; Tsegaye, 2025).</w:t>
      </w:r>
    </w:p>
    <w:p w14:paraId="67096A01" w14:textId="6E8D393C" w:rsidR="009B4996" w:rsidRPr="009B4996" w:rsidRDefault="009B4996" w:rsidP="009B4996">
      <w:pPr>
        <w:rPr>
          <w:lang w:val="en-US"/>
        </w:rPr>
      </w:pPr>
      <w:r w:rsidRPr="009B4996">
        <w:rPr>
          <w:lang w:val="en-US"/>
        </w:rPr>
        <w:t xml:space="preserve">Sustainable </w:t>
      </w:r>
      <w:proofErr w:type="spellStart"/>
      <w:r w:rsidRPr="009B4996">
        <w:rPr>
          <w:lang w:val="en-US"/>
        </w:rPr>
        <w:t>practises</w:t>
      </w:r>
      <w:proofErr w:type="spellEnd"/>
      <w:r w:rsidRPr="009B4996">
        <w:rPr>
          <w:lang w:val="en-US"/>
        </w:rPr>
        <w:t xml:space="preserve"> have also been driven by the consumer demand. Andria </w:t>
      </w:r>
      <w:r w:rsidR="001D1CA2" w:rsidRPr="001D1CA2">
        <w:rPr>
          <w:i/>
          <w:iCs/>
          <w:lang w:val="en-US"/>
        </w:rPr>
        <w:t>et al</w:t>
      </w:r>
      <w:r w:rsidRPr="009B4996">
        <w:rPr>
          <w:lang w:val="en-US"/>
        </w:rPr>
        <w:t>. (2023) state that perceived environmental responsibility and brand transparency have a positive effect on the adoption of sustainable fashion. Companies that meet this demand have tried to express their sustainability claim by eco-labelling, green marketing campaigns, and CSR initiatives (</w:t>
      </w:r>
      <w:proofErr w:type="spellStart"/>
      <w:r w:rsidRPr="009B4996">
        <w:rPr>
          <w:lang w:val="en-US"/>
        </w:rPr>
        <w:t>Hairudinor</w:t>
      </w:r>
      <w:proofErr w:type="spellEnd"/>
      <w:r w:rsidRPr="009B4996">
        <w:rPr>
          <w:lang w:val="en-US"/>
        </w:rPr>
        <w:t xml:space="preserve"> &amp; Barkatullah, 2020; </w:t>
      </w:r>
      <w:proofErr w:type="spellStart"/>
      <w:r w:rsidRPr="009B4996">
        <w:rPr>
          <w:lang w:val="en-US"/>
        </w:rPr>
        <w:t>Vehbi</w:t>
      </w:r>
      <w:proofErr w:type="spellEnd"/>
      <w:r w:rsidRPr="009B4996">
        <w:rPr>
          <w:lang w:val="en-US"/>
        </w:rPr>
        <w:t xml:space="preserve"> </w:t>
      </w:r>
      <w:r w:rsidR="001D1CA2" w:rsidRPr="001D1CA2">
        <w:rPr>
          <w:i/>
          <w:iCs/>
          <w:lang w:val="en-US"/>
        </w:rPr>
        <w:t>et al</w:t>
      </w:r>
      <w:r w:rsidRPr="009B4996">
        <w:rPr>
          <w:lang w:val="en-US"/>
        </w:rPr>
        <w:t xml:space="preserve">., 2025). Nevertheless, sustainability messaging has grown fast and achieved significant diversity in definition, perception and </w:t>
      </w:r>
      <w:proofErr w:type="spellStart"/>
      <w:r w:rsidRPr="009B4996">
        <w:rPr>
          <w:lang w:val="en-US"/>
        </w:rPr>
        <w:t>operationalisation</w:t>
      </w:r>
      <w:proofErr w:type="spellEnd"/>
      <w:r w:rsidRPr="009B4996">
        <w:rPr>
          <w:lang w:val="en-US"/>
        </w:rPr>
        <w:t xml:space="preserve"> across brands and locations (Brydges, Henninger and Hanlon, 2022). Such uncertainties tend to confuse consumers, making sustainable efforts less credible and effective (Evans and Peirson-Smith, 2018).</w:t>
      </w:r>
    </w:p>
    <w:p w14:paraId="6F349BE6" w14:textId="4C41DDEB" w:rsidR="009B4996" w:rsidRPr="009B4996" w:rsidRDefault="009B4996" w:rsidP="009B4996">
      <w:pPr>
        <w:rPr>
          <w:lang w:val="en-US"/>
        </w:rPr>
      </w:pPr>
      <w:r w:rsidRPr="009B4996">
        <w:rPr>
          <w:lang w:val="en-US"/>
        </w:rPr>
        <w:lastRenderedPageBreak/>
        <w:t xml:space="preserve">Sustainability is also becoming a multidimensional concept that includes both environmental and social as well as economic factors. The circular fashion </w:t>
      </w:r>
      <w:proofErr w:type="spellStart"/>
      <w:r w:rsidRPr="009B4996">
        <w:rPr>
          <w:lang w:val="en-US"/>
        </w:rPr>
        <w:t>practises</w:t>
      </w:r>
      <w:proofErr w:type="spellEnd"/>
      <w:r w:rsidRPr="009B4996">
        <w:rPr>
          <w:lang w:val="en-US"/>
        </w:rPr>
        <w:t xml:space="preserve">, including product longevity, recycling, and resource efficiency, are frequently mentioned as the way to sustainability as they </w:t>
      </w:r>
      <w:proofErr w:type="spellStart"/>
      <w:r w:rsidRPr="009B4996">
        <w:rPr>
          <w:lang w:val="en-US"/>
        </w:rPr>
        <w:t>minimise</w:t>
      </w:r>
      <w:proofErr w:type="spellEnd"/>
      <w:r w:rsidRPr="009B4996">
        <w:rPr>
          <w:lang w:val="en-US"/>
        </w:rPr>
        <w:t xml:space="preserve"> wastes and promote responsible consumption (Burnstine and Ghattas, 2025; Tolentino-Zondervan and DiVito, 2024). In the meantime, the examples of green business practices that combine the environmental performance with the operational efficiency have proven that the concept of sustainability can be economically profitable as well and thus a combination between profitability and responsibility (Nigatu, Degoma &amp; Tsegaye, 2024; Mofokeng, 2025). Slow fashion with its philosophy of less consumption, ethical sourcing, and consumer awareness is another paradigm that challenges the logic of growth that is inherent to mainstream fashion (Velasco-</w:t>
      </w:r>
      <w:proofErr w:type="spellStart"/>
      <w:r w:rsidRPr="009B4996">
        <w:rPr>
          <w:lang w:val="en-US"/>
        </w:rPr>
        <w:t>Molpeceres</w:t>
      </w:r>
      <w:proofErr w:type="spellEnd"/>
      <w:r w:rsidRPr="009B4996">
        <w:rPr>
          <w:lang w:val="en-US"/>
        </w:rPr>
        <w:t xml:space="preserve"> </w:t>
      </w:r>
      <w:r w:rsidR="001D1CA2" w:rsidRPr="001D1CA2">
        <w:rPr>
          <w:i/>
          <w:iCs/>
          <w:lang w:val="en-US"/>
        </w:rPr>
        <w:t>et al</w:t>
      </w:r>
      <w:r w:rsidRPr="009B4996">
        <w:rPr>
          <w:lang w:val="en-US"/>
        </w:rPr>
        <w:t>., 2023).</w:t>
      </w:r>
    </w:p>
    <w:p w14:paraId="504DCA34" w14:textId="19010F1E" w:rsidR="009B4996" w:rsidRPr="009B4996" w:rsidRDefault="009B4996" w:rsidP="009B4996">
      <w:pPr>
        <w:rPr>
          <w:lang w:val="en-US"/>
        </w:rPr>
      </w:pPr>
      <w:r w:rsidRPr="009B4996">
        <w:rPr>
          <w:lang w:val="en-US"/>
        </w:rPr>
        <w:t xml:space="preserve">With these developments, there remain controversies on the authenticity and effectiveness of sustainability in the fashion industry. The lack of systemic change, i.e., overproduction, inequities in supply chains, and material waste, has been pointed out by numerous scholars as the presence of a sustainability initiative alongside symbolic or partial actions (Brydges, Henninger &amp; Hanlon, 2022; Garcia-Ortega </w:t>
      </w:r>
      <w:r w:rsidR="001D1CA2" w:rsidRPr="001D1CA2">
        <w:rPr>
          <w:i/>
          <w:iCs/>
          <w:lang w:val="en-US"/>
        </w:rPr>
        <w:t>et al</w:t>
      </w:r>
      <w:r w:rsidRPr="009B4996">
        <w:rPr>
          <w:lang w:val="en-US"/>
        </w:rPr>
        <w:t xml:space="preserve">., 2023). Selective disclosure, marketing exaggeration, and dependency on the certification without any substantive change are some of the </w:t>
      </w:r>
      <w:proofErr w:type="spellStart"/>
      <w:r w:rsidRPr="009B4996">
        <w:rPr>
          <w:lang w:val="en-US"/>
        </w:rPr>
        <w:t>practises</w:t>
      </w:r>
      <w:proofErr w:type="spellEnd"/>
      <w:r w:rsidRPr="009B4996">
        <w:rPr>
          <w:lang w:val="en-US"/>
        </w:rPr>
        <w:t xml:space="preserve"> that have increased the tension between true sustainability and superficial compliance and, in the process, mislead consumers and stakeholders (Boateng </w:t>
      </w:r>
      <w:r w:rsidR="001D1CA2" w:rsidRPr="001D1CA2">
        <w:rPr>
          <w:i/>
          <w:iCs/>
          <w:lang w:val="en-US"/>
        </w:rPr>
        <w:t>et al</w:t>
      </w:r>
      <w:r w:rsidRPr="009B4996">
        <w:rPr>
          <w:lang w:val="en-US"/>
        </w:rPr>
        <w:t xml:space="preserve">., 2025; Burnstine and Ghattas, 2025). According to </w:t>
      </w:r>
      <w:proofErr w:type="spellStart"/>
      <w:r w:rsidRPr="009B4996">
        <w:rPr>
          <w:lang w:val="en-US"/>
        </w:rPr>
        <w:t>Hairudinor</w:t>
      </w:r>
      <w:proofErr w:type="spellEnd"/>
      <w:r w:rsidRPr="009B4996">
        <w:rPr>
          <w:lang w:val="en-US"/>
        </w:rPr>
        <w:t xml:space="preserve"> and Barkatullah (2020), green marketing and eco-labels may at times serve as mediators of greenwashing, especially in instances where the corporate commitment is partial or unauthenticated.</w:t>
      </w:r>
    </w:p>
    <w:p w14:paraId="53530C46" w14:textId="289F56AB" w:rsidR="009B4996" w:rsidRPr="009B4996" w:rsidRDefault="009B4996" w:rsidP="009B4996">
      <w:pPr>
        <w:rPr>
          <w:lang w:val="en-US"/>
        </w:rPr>
      </w:pPr>
      <w:r w:rsidRPr="009B4996">
        <w:rPr>
          <w:lang w:val="en-US"/>
        </w:rPr>
        <w:t xml:space="preserve">The consumer perception also makes it difficult. Studies indicate that even though Generation Z and conscious consumers are becoming more concerned about sustainable brands, doubt in unverifiable statements might negate trust and purchase intentions (Do </w:t>
      </w:r>
      <w:r w:rsidR="001D1CA2" w:rsidRPr="001D1CA2">
        <w:rPr>
          <w:i/>
          <w:iCs/>
          <w:lang w:val="en-US"/>
        </w:rPr>
        <w:t>et al</w:t>
      </w:r>
      <w:r w:rsidRPr="009B4996">
        <w:rPr>
          <w:lang w:val="en-US"/>
        </w:rPr>
        <w:t xml:space="preserve">., 2025; Lu </w:t>
      </w:r>
      <w:r w:rsidR="001D1CA2" w:rsidRPr="001D1CA2">
        <w:rPr>
          <w:i/>
          <w:iCs/>
          <w:lang w:val="en-US"/>
        </w:rPr>
        <w:t>et al</w:t>
      </w:r>
      <w:r w:rsidRPr="009B4996">
        <w:rPr>
          <w:lang w:val="en-US"/>
        </w:rPr>
        <w:t xml:space="preserve">., 2022). Research also shows that credibility is essential in the process of effective communication, transparency, and authentic relationship building with sustainability goals (Fang, 2024; Li, Cavender and Lee, 2025). On the other hand, the lack of consistency in messaging or addressing important matters, often called greenhushing, may lead to mistrust between the </w:t>
      </w:r>
      <w:r w:rsidRPr="009B4996">
        <w:rPr>
          <w:lang w:val="en-US"/>
        </w:rPr>
        <w:lastRenderedPageBreak/>
        <w:t>stakeholders and decrease the perceived validity of sustainability efforts (</w:t>
      </w:r>
      <w:proofErr w:type="spellStart"/>
      <w:r w:rsidRPr="009B4996">
        <w:rPr>
          <w:lang w:val="en-US"/>
        </w:rPr>
        <w:t>Hejlova</w:t>
      </w:r>
      <w:proofErr w:type="spellEnd"/>
      <w:r w:rsidRPr="009B4996">
        <w:rPr>
          <w:lang w:val="en-US"/>
        </w:rPr>
        <w:t xml:space="preserve"> </w:t>
      </w:r>
      <w:r w:rsidR="001D1CA2" w:rsidRPr="001D1CA2">
        <w:rPr>
          <w:i/>
          <w:iCs/>
          <w:lang w:val="en-US"/>
        </w:rPr>
        <w:t>et al</w:t>
      </w:r>
      <w:r w:rsidRPr="009B4996">
        <w:rPr>
          <w:lang w:val="en-US"/>
        </w:rPr>
        <w:t>., 2025).</w:t>
      </w:r>
    </w:p>
    <w:p w14:paraId="340ABC09" w14:textId="5CF709DA" w:rsidR="009B4996" w:rsidRPr="009B4996" w:rsidRDefault="009B4996" w:rsidP="009B4996">
      <w:pPr>
        <w:rPr>
          <w:lang w:val="en-US"/>
        </w:rPr>
      </w:pPr>
      <w:r w:rsidRPr="009B4996">
        <w:rPr>
          <w:lang w:val="en-US"/>
        </w:rPr>
        <w:t xml:space="preserve">The regulatory and policy environment has become a key determinant to sustainable </w:t>
      </w:r>
      <w:proofErr w:type="spellStart"/>
      <w:r w:rsidRPr="009B4996">
        <w:rPr>
          <w:lang w:val="en-US"/>
        </w:rPr>
        <w:t>practises</w:t>
      </w:r>
      <w:proofErr w:type="spellEnd"/>
      <w:r w:rsidRPr="009B4996">
        <w:rPr>
          <w:lang w:val="en-US"/>
        </w:rPr>
        <w:t xml:space="preserve">. According to scholars, there is a need to have strong governance, standard reporting and enforcement strategies in place to make sure sustainability claims are correct, quantifiable and verifiable (Dobos &amp; </w:t>
      </w:r>
      <w:proofErr w:type="spellStart"/>
      <w:r w:rsidRPr="009B4996">
        <w:rPr>
          <w:lang w:val="en-US"/>
        </w:rPr>
        <w:t>Elteto</w:t>
      </w:r>
      <w:proofErr w:type="spellEnd"/>
      <w:r w:rsidRPr="009B4996">
        <w:rPr>
          <w:lang w:val="en-US"/>
        </w:rPr>
        <w:t xml:space="preserve">, 2023; Redman, 2025). This is because the lack of </w:t>
      </w:r>
      <w:proofErr w:type="spellStart"/>
      <w:r w:rsidRPr="009B4996">
        <w:rPr>
          <w:lang w:val="en-US"/>
        </w:rPr>
        <w:t>standardised</w:t>
      </w:r>
      <w:proofErr w:type="spellEnd"/>
      <w:r w:rsidRPr="009B4996">
        <w:rPr>
          <w:lang w:val="en-US"/>
        </w:rPr>
        <w:t xml:space="preserve"> regulations and requirements enables the continuation of greenwashing, which is why the systematic research of the nature, extent, and outcomes of both real and fake sustainability </w:t>
      </w:r>
      <w:proofErr w:type="spellStart"/>
      <w:r w:rsidRPr="009B4996">
        <w:rPr>
          <w:lang w:val="en-US"/>
        </w:rPr>
        <w:t>practises</w:t>
      </w:r>
      <w:proofErr w:type="spellEnd"/>
      <w:r w:rsidRPr="009B4996">
        <w:rPr>
          <w:lang w:val="en-US"/>
        </w:rPr>
        <w:t xml:space="preserve"> is required (Mousavi </w:t>
      </w:r>
      <w:r w:rsidR="001D1CA2" w:rsidRPr="001D1CA2">
        <w:rPr>
          <w:i/>
          <w:iCs/>
          <w:lang w:val="en-US"/>
        </w:rPr>
        <w:t>et al</w:t>
      </w:r>
      <w:r w:rsidRPr="009B4996">
        <w:rPr>
          <w:lang w:val="en-US"/>
        </w:rPr>
        <w:t>., 2025; Pozzo, 2023).</w:t>
      </w:r>
    </w:p>
    <w:p w14:paraId="5E08816D" w14:textId="1ADC809C" w:rsidR="001F2018" w:rsidRPr="001F2018" w:rsidRDefault="009B4996" w:rsidP="009B4996">
      <w:pPr>
        <w:rPr>
          <w:lang w:val="en-US"/>
        </w:rPr>
      </w:pPr>
      <w:r w:rsidRPr="009B4996">
        <w:rPr>
          <w:lang w:val="en-US"/>
        </w:rPr>
        <w:t xml:space="preserve">Altogether, the literature demonstrates that sustainability within the fashion sector has turned into the marginal corporate issue into the strategic necessity, which is motivated by environmental factors, consumer preferences, and regulatory requirements. Simultaneously, the industry is still struggling to make sure that these efforts are meaningful but not tokenistic. Such complexity, along with the variety of </w:t>
      </w:r>
      <w:proofErr w:type="spellStart"/>
      <w:r w:rsidRPr="009B4996">
        <w:rPr>
          <w:lang w:val="en-US"/>
        </w:rPr>
        <w:t>practises</w:t>
      </w:r>
      <w:proofErr w:type="spellEnd"/>
      <w:r w:rsidRPr="009B4996">
        <w:rPr>
          <w:lang w:val="en-US"/>
        </w:rPr>
        <w:t xml:space="preserve"> and perceptions, highlights the need of a systematic overview to assess critically both real sustainability initiatives and greenwashing </w:t>
      </w:r>
      <w:proofErr w:type="spellStart"/>
      <w:r w:rsidRPr="009B4996">
        <w:rPr>
          <w:lang w:val="en-US"/>
        </w:rPr>
        <w:t>practises</w:t>
      </w:r>
      <w:proofErr w:type="spellEnd"/>
      <w:r w:rsidRPr="009B4996">
        <w:rPr>
          <w:lang w:val="en-US"/>
        </w:rPr>
        <w:t xml:space="preserve"> and give some clarity on the effects, the drivers, and the implications of these </w:t>
      </w:r>
      <w:proofErr w:type="spellStart"/>
      <w:r w:rsidRPr="009B4996">
        <w:rPr>
          <w:lang w:val="en-US"/>
        </w:rPr>
        <w:t>practises</w:t>
      </w:r>
      <w:proofErr w:type="spellEnd"/>
      <w:r w:rsidRPr="009B4996">
        <w:rPr>
          <w:lang w:val="en-US"/>
        </w:rPr>
        <w:t xml:space="preserve"> on brand value.</w:t>
      </w:r>
    </w:p>
    <w:p w14:paraId="1C09A597" w14:textId="4A400BD5" w:rsidR="00AB6AC0" w:rsidRDefault="00AB6AC0" w:rsidP="00AB6AC0">
      <w:pPr>
        <w:pStyle w:val="Heading3"/>
        <w:rPr>
          <w:lang w:val="en-US"/>
        </w:rPr>
      </w:pPr>
      <w:bookmarkStart w:id="26" w:name="_Toc218445674"/>
      <w:r w:rsidRPr="00AB6AC0">
        <w:rPr>
          <w:lang w:val="en-US"/>
        </w:rPr>
        <w:t>Greenwashing Practices in Fashion</w:t>
      </w:r>
      <w:bookmarkEnd w:id="26"/>
    </w:p>
    <w:p w14:paraId="2685E5C4" w14:textId="16700381" w:rsidR="001D1CA2" w:rsidRPr="001D1CA2" w:rsidRDefault="001D1CA2" w:rsidP="001D1CA2">
      <w:pPr>
        <w:rPr>
          <w:lang w:val="en-US"/>
        </w:rPr>
      </w:pPr>
      <w:r w:rsidRPr="001D1CA2">
        <w:rPr>
          <w:lang w:val="en-US"/>
        </w:rPr>
        <w:t xml:space="preserve">The problem of greenwashing has been spreading across the fashion industry, as the trend appeared as a direct response to the increasing consumer consciousness and the need to pursue sustainable business </w:t>
      </w:r>
      <w:proofErr w:type="spellStart"/>
      <w:r w:rsidRPr="001D1CA2">
        <w:rPr>
          <w:lang w:val="en-US"/>
        </w:rPr>
        <w:t>practises</w:t>
      </w:r>
      <w:proofErr w:type="spellEnd"/>
      <w:r w:rsidRPr="001D1CA2">
        <w:rPr>
          <w:lang w:val="en-US"/>
        </w:rPr>
        <w:t xml:space="preserve">. Although the number of brands that are taking sustainability initiatives has been growing, most have also been involved in activities that inflate, distort, or cherry-picking their environmental and social performance, leading to a gap in their claims and their actual performance (Mousavi </w:t>
      </w:r>
      <w:r w:rsidRPr="001D1CA2">
        <w:rPr>
          <w:i/>
          <w:iCs/>
          <w:lang w:val="en-US"/>
        </w:rPr>
        <w:t>et al</w:t>
      </w:r>
      <w:r w:rsidRPr="001D1CA2">
        <w:rPr>
          <w:lang w:val="en-US"/>
        </w:rPr>
        <w:t xml:space="preserve">., 2025; Brugman, van </w:t>
      </w:r>
      <w:proofErr w:type="spellStart"/>
      <w:r w:rsidRPr="001D1CA2">
        <w:rPr>
          <w:lang w:val="en-US"/>
        </w:rPr>
        <w:t>Huijstee</w:t>
      </w:r>
      <w:proofErr w:type="spellEnd"/>
      <w:r w:rsidRPr="001D1CA2">
        <w:rPr>
          <w:lang w:val="en-US"/>
        </w:rPr>
        <w:t xml:space="preserve"> &amp; Droog, 2024). The phenomenon lowers consumer confidence, the integrity of brands, and makes it more difficult to understand the sustainability efforts within the industry (Boateng </w:t>
      </w:r>
      <w:r w:rsidRPr="001D1CA2">
        <w:rPr>
          <w:i/>
          <w:iCs/>
          <w:lang w:val="en-US"/>
        </w:rPr>
        <w:t>et al</w:t>
      </w:r>
      <w:r w:rsidRPr="001D1CA2">
        <w:rPr>
          <w:lang w:val="en-US"/>
        </w:rPr>
        <w:t xml:space="preserve">., 2025; Garcia-Ortega </w:t>
      </w:r>
      <w:r w:rsidRPr="001D1CA2">
        <w:rPr>
          <w:i/>
          <w:iCs/>
          <w:lang w:val="en-US"/>
        </w:rPr>
        <w:t>et al</w:t>
      </w:r>
      <w:r w:rsidRPr="001D1CA2">
        <w:rPr>
          <w:lang w:val="en-US"/>
        </w:rPr>
        <w:t>., 2025).</w:t>
      </w:r>
    </w:p>
    <w:p w14:paraId="79CC4DDE" w14:textId="77777777" w:rsidR="001D1CA2" w:rsidRPr="001D1CA2" w:rsidRDefault="001D1CA2" w:rsidP="001D1CA2">
      <w:pPr>
        <w:rPr>
          <w:lang w:val="en-US"/>
        </w:rPr>
      </w:pPr>
      <w:r w:rsidRPr="001D1CA2">
        <w:rPr>
          <w:lang w:val="en-US"/>
        </w:rPr>
        <w:t xml:space="preserve">Greenwashing in fashion can be dated back to the conflict between commercial expansion requirements and sustainability pledges. In particular, fast fashion companies have been under pressure to create the impression of environmental </w:t>
      </w:r>
      <w:r w:rsidRPr="001D1CA2">
        <w:rPr>
          <w:lang w:val="en-US"/>
        </w:rPr>
        <w:lastRenderedPageBreak/>
        <w:t xml:space="preserve">responsibility and sustain a high level of production and a fast turnover, which can often lead to token or cosmetic efforts (Lovrić and Čagalj, 2025; Goswami and Jaiswal, 2023). Brydges, Henninger and Hanlon (2022) </w:t>
      </w:r>
      <w:proofErr w:type="spellStart"/>
      <w:r w:rsidRPr="001D1CA2">
        <w:rPr>
          <w:lang w:val="en-US"/>
        </w:rPr>
        <w:t>emphasise</w:t>
      </w:r>
      <w:proofErr w:type="spellEnd"/>
      <w:r w:rsidRPr="001D1CA2">
        <w:rPr>
          <w:lang w:val="en-US"/>
        </w:rPr>
        <w:t xml:space="preserve"> the fact that because of the lack of uniform definitions and standards of sustainability, companies can use ambiguity to their benefit, positioning themselves as green without necessarily decreasing their environmental footprint. These are selective disclosure, ambiguous labelling, and exaggeration of small environmental gains.</w:t>
      </w:r>
    </w:p>
    <w:p w14:paraId="2DD42A4C" w14:textId="021978EB" w:rsidR="001D1CA2" w:rsidRPr="001D1CA2" w:rsidRDefault="001D1CA2" w:rsidP="001D1CA2">
      <w:pPr>
        <w:rPr>
          <w:lang w:val="en-US"/>
        </w:rPr>
      </w:pPr>
      <w:r w:rsidRPr="001D1CA2">
        <w:rPr>
          <w:lang w:val="en-US"/>
        </w:rPr>
        <w:t>The dangers and the exposure of greenwashing have been increased through social media. Instagram and Tik Tok allow companies to create framed sustainability messages, which in most cases are focused on aesthetic messages rather than actual results. According to Fang (2024), consumers often think of these campaigns as being authentic or deceptive, with authenticity mediating the decision to buy. On the same note, Diaz-Bustamante-</w:t>
      </w:r>
      <w:proofErr w:type="spellStart"/>
      <w:r w:rsidRPr="001D1CA2">
        <w:rPr>
          <w:lang w:val="en-US"/>
        </w:rPr>
        <w:t>Ventisca</w:t>
      </w:r>
      <w:proofErr w:type="spellEnd"/>
      <w:r w:rsidRPr="001D1CA2">
        <w:rPr>
          <w:lang w:val="en-US"/>
        </w:rPr>
        <w:t xml:space="preserve"> </w:t>
      </w:r>
      <w:r w:rsidRPr="001D1CA2">
        <w:rPr>
          <w:i/>
          <w:iCs/>
          <w:lang w:val="en-US"/>
        </w:rPr>
        <w:t>et al</w:t>
      </w:r>
      <w:r w:rsidRPr="001D1CA2">
        <w:rPr>
          <w:lang w:val="en-US"/>
        </w:rPr>
        <w:t xml:space="preserve">. (2025) believe that the perception of greenwashing can be supported by influencer endorsements and digital content when the claims are not transparent or verifiable. The level of </w:t>
      </w:r>
      <w:proofErr w:type="spellStart"/>
      <w:r w:rsidRPr="001D1CA2">
        <w:rPr>
          <w:lang w:val="en-US"/>
        </w:rPr>
        <w:t>scepticism</w:t>
      </w:r>
      <w:proofErr w:type="spellEnd"/>
      <w:r w:rsidRPr="001D1CA2">
        <w:rPr>
          <w:lang w:val="en-US"/>
        </w:rPr>
        <w:t xml:space="preserve"> among the Generation Z and other conscious consumers is especially high, with the perceived discrepancies between what companies say and what they do undermining trust (Do </w:t>
      </w:r>
      <w:r w:rsidRPr="001D1CA2">
        <w:rPr>
          <w:i/>
          <w:iCs/>
          <w:lang w:val="en-US"/>
        </w:rPr>
        <w:t>et al</w:t>
      </w:r>
      <w:r w:rsidRPr="001D1CA2">
        <w:rPr>
          <w:lang w:val="en-US"/>
        </w:rPr>
        <w:t xml:space="preserve">., 2025; Lu </w:t>
      </w:r>
      <w:r w:rsidRPr="001D1CA2">
        <w:rPr>
          <w:i/>
          <w:iCs/>
          <w:lang w:val="en-US"/>
        </w:rPr>
        <w:t>et al</w:t>
      </w:r>
      <w:r w:rsidRPr="001D1CA2">
        <w:rPr>
          <w:lang w:val="en-US"/>
        </w:rPr>
        <w:t>., 2022).</w:t>
      </w:r>
    </w:p>
    <w:p w14:paraId="3F6767C5" w14:textId="1164AD7A" w:rsidR="001D1CA2" w:rsidRPr="001D1CA2" w:rsidRDefault="001D1CA2" w:rsidP="001D1CA2">
      <w:pPr>
        <w:rPr>
          <w:lang w:val="en-US"/>
        </w:rPr>
      </w:pPr>
      <w:r w:rsidRPr="001D1CA2">
        <w:rPr>
          <w:lang w:val="en-US"/>
        </w:rPr>
        <w:t xml:space="preserve">The act of greenwashing may be in various forms. According to Goswami and Jaiswal (2023), the authors differentiate between paltering, where the technically true statements are misleading in </w:t>
      </w:r>
      <w:proofErr w:type="spellStart"/>
      <w:r w:rsidRPr="001D1CA2">
        <w:rPr>
          <w:lang w:val="en-US"/>
        </w:rPr>
        <w:t>practise</w:t>
      </w:r>
      <w:proofErr w:type="spellEnd"/>
      <w:r w:rsidRPr="001D1CA2">
        <w:rPr>
          <w:lang w:val="en-US"/>
        </w:rPr>
        <w:t xml:space="preserve">, and hypocrisy, where the corporate behaviour is opposite to what the sustainability commitments state. Brugman, van </w:t>
      </w:r>
      <w:proofErr w:type="spellStart"/>
      <w:r w:rsidRPr="001D1CA2">
        <w:rPr>
          <w:lang w:val="en-US"/>
        </w:rPr>
        <w:t>Huijstee</w:t>
      </w:r>
      <w:proofErr w:type="spellEnd"/>
      <w:r w:rsidRPr="001D1CA2">
        <w:rPr>
          <w:lang w:val="en-US"/>
        </w:rPr>
        <w:t xml:space="preserve"> and Droog (2024) go further to discuss CSR-washing, and its sub-categories, such as </w:t>
      </w:r>
      <w:proofErr w:type="spellStart"/>
      <w:r w:rsidRPr="001D1CA2">
        <w:rPr>
          <w:lang w:val="en-US"/>
        </w:rPr>
        <w:t>bluewashing</w:t>
      </w:r>
      <w:proofErr w:type="spellEnd"/>
      <w:r w:rsidRPr="001D1CA2">
        <w:rPr>
          <w:lang w:val="en-US"/>
        </w:rPr>
        <w:t xml:space="preserve"> (exaggerating the social efforts) and </w:t>
      </w:r>
      <w:proofErr w:type="spellStart"/>
      <w:r w:rsidRPr="001D1CA2">
        <w:rPr>
          <w:lang w:val="en-US"/>
        </w:rPr>
        <w:t>purplewashing</w:t>
      </w:r>
      <w:proofErr w:type="spellEnd"/>
      <w:r w:rsidRPr="001D1CA2">
        <w:rPr>
          <w:lang w:val="en-US"/>
        </w:rPr>
        <w:t xml:space="preserve"> (exaggerating the diversity and inclusion). A subtle variant of this is strategic silence or greenhushing, when the brands intentionally report less about their effects on the environment or scandals to avoid investigation (</w:t>
      </w:r>
      <w:proofErr w:type="spellStart"/>
      <w:r w:rsidRPr="001D1CA2">
        <w:rPr>
          <w:lang w:val="en-US"/>
        </w:rPr>
        <w:t>Hejlova</w:t>
      </w:r>
      <w:proofErr w:type="spellEnd"/>
      <w:r w:rsidRPr="001D1CA2">
        <w:rPr>
          <w:lang w:val="en-US"/>
        </w:rPr>
        <w:t xml:space="preserve"> </w:t>
      </w:r>
      <w:r w:rsidRPr="001D1CA2">
        <w:rPr>
          <w:i/>
          <w:iCs/>
          <w:lang w:val="en-US"/>
        </w:rPr>
        <w:t>et al</w:t>
      </w:r>
      <w:r w:rsidRPr="001D1CA2">
        <w:rPr>
          <w:lang w:val="en-US"/>
        </w:rPr>
        <w:t xml:space="preserve">., 2025; </w:t>
      </w:r>
      <w:proofErr w:type="spellStart"/>
      <w:r w:rsidRPr="001D1CA2">
        <w:rPr>
          <w:lang w:val="en-US"/>
        </w:rPr>
        <w:t>Schwoy</w:t>
      </w:r>
      <w:proofErr w:type="spellEnd"/>
      <w:r w:rsidRPr="001D1CA2">
        <w:rPr>
          <w:lang w:val="en-US"/>
        </w:rPr>
        <w:t xml:space="preserve">, </w:t>
      </w:r>
      <w:proofErr w:type="spellStart"/>
      <w:r w:rsidRPr="001D1CA2">
        <w:rPr>
          <w:lang w:val="en-US"/>
        </w:rPr>
        <w:t>Dutzi</w:t>
      </w:r>
      <w:proofErr w:type="spellEnd"/>
      <w:r w:rsidRPr="001D1CA2">
        <w:rPr>
          <w:lang w:val="en-US"/>
        </w:rPr>
        <w:t xml:space="preserve"> &amp; Messing, 2025). These </w:t>
      </w:r>
      <w:proofErr w:type="spellStart"/>
      <w:r w:rsidRPr="001D1CA2">
        <w:rPr>
          <w:lang w:val="en-US"/>
        </w:rPr>
        <w:t>practises</w:t>
      </w:r>
      <w:proofErr w:type="spellEnd"/>
      <w:r w:rsidRPr="001D1CA2">
        <w:rPr>
          <w:lang w:val="en-US"/>
        </w:rPr>
        <w:t xml:space="preserve"> are varied, which proves that greenwashing is not restricted to outright false claims but also omissions, exaggerations, and selective framing.</w:t>
      </w:r>
    </w:p>
    <w:p w14:paraId="7D04D950" w14:textId="21309CB8" w:rsidR="001D1CA2" w:rsidRPr="001D1CA2" w:rsidRDefault="001D1CA2" w:rsidP="001D1CA2">
      <w:pPr>
        <w:rPr>
          <w:lang w:val="en-US"/>
        </w:rPr>
      </w:pPr>
      <w:r w:rsidRPr="001D1CA2">
        <w:rPr>
          <w:lang w:val="en-US"/>
        </w:rPr>
        <w:t xml:space="preserve">The effects of greenwashing are very serious. Misleading claims can confuse consumers, make them </w:t>
      </w:r>
      <w:proofErr w:type="spellStart"/>
      <w:r w:rsidRPr="001D1CA2">
        <w:rPr>
          <w:lang w:val="en-US"/>
        </w:rPr>
        <w:t>sceptical</w:t>
      </w:r>
      <w:proofErr w:type="spellEnd"/>
      <w:r w:rsidRPr="001D1CA2">
        <w:rPr>
          <w:lang w:val="en-US"/>
        </w:rPr>
        <w:t xml:space="preserve">, and decrease brand loyalty, sabotaging the market of truly sustainable products (Evans and Peirson-Smith, 2018; Policarpo </w:t>
      </w:r>
      <w:r w:rsidRPr="001D1CA2">
        <w:rPr>
          <w:i/>
          <w:iCs/>
          <w:lang w:val="en-US"/>
        </w:rPr>
        <w:t>et al</w:t>
      </w:r>
      <w:r w:rsidRPr="001D1CA2">
        <w:rPr>
          <w:lang w:val="en-US"/>
        </w:rPr>
        <w:t xml:space="preserve">., 2023). Research indicates that greenwashing has the potential to have detrimental effects on </w:t>
      </w:r>
      <w:r w:rsidRPr="001D1CA2">
        <w:rPr>
          <w:lang w:val="en-US"/>
        </w:rPr>
        <w:lastRenderedPageBreak/>
        <w:t>green word-of-mouth and purchase intentions, as well as occasionally lead to complaints or reputational harm when the consumers discover discrepancies (</w:t>
      </w:r>
      <w:proofErr w:type="spellStart"/>
      <w:r w:rsidRPr="001D1CA2">
        <w:rPr>
          <w:lang w:val="en-US"/>
        </w:rPr>
        <w:t>Promalessy</w:t>
      </w:r>
      <w:proofErr w:type="spellEnd"/>
      <w:r w:rsidRPr="001D1CA2">
        <w:rPr>
          <w:lang w:val="en-US"/>
        </w:rPr>
        <w:t xml:space="preserve"> &amp; </w:t>
      </w:r>
      <w:proofErr w:type="spellStart"/>
      <w:r w:rsidRPr="001D1CA2">
        <w:rPr>
          <w:lang w:val="en-US"/>
        </w:rPr>
        <w:t>Handriana</w:t>
      </w:r>
      <w:proofErr w:type="spellEnd"/>
      <w:r w:rsidRPr="001D1CA2">
        <w:rPr>
          <w:lang w:val="en-US"/>
        </w:rPr>
        <w:t>, 2024; Wang and Jung, 2025). Additionally, the lack of regulatory control is what enables such practices to continue, which indicates the lack of accountability and enforceable norms (Dobos &amp; Éltető, 2023; Redman, 2025).</w:t>
      </w:r>
    </w:p>
    <w:p w14:paraId="3E11CFB8" w14:textId="3806CDB6" w:rsidR="001D1CA2" w:rsidRPr="001D1CA2" w:rsidRDefault="001D1CA2" w:rsidP="001D1CA2">
      <w:pPr>
        <w:rPr>
          <w:lang w:val="en-US"/>
        </w:rPr>
      </w:pPr>
      <w:r w:rsidRPr="001D1CA2">
        <w:rPr>
          <w:lang w:val="en-US"/>
        </w:rPr>
        <w:t xml:space="preserve">The studies also indicate the interaction of the greenwashing and corporate identity. de Magalhães Silva </w:t>
      </w:r>
      <w:r w:rsidRPr="001D1CA2">
        <w:rPr>
          <w:i/>
          <w:iCs/>
          <w:lang w:val="en-US"/>
        </w:rPr>
        <w:t>et al</w:t>
      </w:r>
      <w:r w:rsidRPr="001D1CA2">
        <w:rPr>
          <w:lang w:val="en-US"/>
        </w:rPr>
        <w:t xml:space="preserve">. (2025) postulate that companies can focus on brand image conservation more than on meaningful sustainability, which leads to the selective publication of ESG. Equally, Burnstine and Ghattas (2025) caution against systemic greenwashing within supply chains, where superficial circular efforts cover up wider environmental and social evils. NGO pressure and activism may serve as a corrective measure, forcing greater transparency and deterring false claims, but this effect depends on how much an industry is involved and how much it is </w:t>
      </w:r>
      <w:proofErr w:type="spellStart"/>
      <w:r w:rsidRPr="001D1CA2">
        <w:rPr>
          <w:lang w:val="en-US"/>
        </w:rPr>
        <w:t>scrutinised</w:t>
      </w:r>
      <w:proofErr w:type="spellEnd"/>
      <w:r w:rsidRPr="001D1CA2">
        <w:rPr>
          <w:lang w:val="en-US"/>
        </w:rPr>
        <w:t xml:space="preserve"> (</w:t>
      </w:r>
      <w:proofErr w:type="spellStart"/>
      <w:r w:rsidRPr="001D1CA2">
        <w:rPr>
          <w:lang w:val="en-US"/>
        </w:rPr>
        <w:t>Crapa</w:t>
      </w:r>
      <w:proofErr w:type="spellEnd"/>
      <w:r w:rsidRPr="001D1CA2">
        <w:rPr>
          <w:lang w:val="en-US"/>
        </w:rPr>
        <w:t xml:space="preserve"> </w:t>
      </w:r>
      <w:r w:rsidRPr="001D1CA2">
        <w:rPr>
          <w:i/>
          <w:iCs/>
          <w:lang w:val="en-US"/>
        </w:rPr>
        <w:t>et al</w:t>
      </w:r>
      <w:r w:rsidRPr="001D1CA2">
        <w:rPr>
          <w:lang w:val="en-US"/>
        </w:rPr>
        <w:t>., 2025).</w:t>
      </w:r>
    </w:p>
    <w:p w14:paraId="30B5A6D3" w14:textId="5FDE6567" w:rsidR="001F2018" w:rsidRPr="001F2018" w:rsidRDefault="001D1CA2" w:rsidP="001D1CA2">
      <w:pPr>
        <w:rPr>
          <w:lang w:val="en-US"/>
        </w:rPr>
      </w:pPr>
      <w:r w:rsidRPr="001D1CA2">
        <w:rPr>
          <w:lang w:val="en-US"/>
        </w:rPr>
        <w:t xml:space="preserve">The literature shows the difficulty in dealing with greenwashing. Although consumer education, third-party verification, and digital transparency mechanisms have the potential to curb the deceptive </w:t>
      </w:r>
      <w:proofErr w:type="spellStart"/>
      <w:r w:rsidRPr="001D1CA2">
        <w:rPr>
          <w:lang w:val="en-US"/>
        </w:rPr>
        <w:t>practises</w:t>
      </w:r>
      <w:proofErr w:type="spellEnd"/>
      <w:r w:rsidRPr="001D1CA2">
        <w:rPr>
          <w:lang w:val="en-US"/>
        </w:rPr>
        <w:t xml:space="preserve">, the fact that the definition is ambiguous, inconsistent, and other manipulative communication strategies makes the enforcement and assessment challenging (Mousavi </w:t>
      </w:r>
      <w:r w:rsidRPr="001D1CA2">
        <w:rPr>
          <w:i/>
          <w:iCs/>
          <w:lang w:val="en-US"/>
        </w:rPr>
        <w:t>et al</w:t>
      </w:r>
      <w:r w:rsidRPr="001D1CA2">
        <w:rPr>
          <w:lang w:val="en-US"/>
        </w:rPr>
        <w:t>., 2025; Dalecki, 2023). These issues highlight the need to systematically review and analyse the greenwashing of the fashion industry with the aim of explaining its prevalence, typologies, motivations, and effects on consumer behaviour and brand trust. The evaluation of genuine sustainability actions and greenwashing along with a critical analysis of the two examples will help the field to advance to better directions of advising the brands, policymakers, and consumers.</w:t>
      </w:r>
    </w:p>
    <w:p w14:paraId="39224089" w14:textId="1C4CE0FF" w:rsidR="00AB6AC0" w:rsidRDefault="00AB6AC0" w:rsidP="00AB6AC0">
      <w:pPr>
        <w:pStyle w:val="Heading3"/>
        <w:rPr>
          <w:lang w:val="en-US"/>
        </w:rPr>
      </w:pPr>
      <w:bookmarkStart w:id="27" w:name="_Toc218445675"/>
      <w:r w:rsidRPr="00AB6AC0">
        <w:rPr>
          <w:lang w:val="en-US"/>
        </w:rPr>
        <w:t>Consumer Perception of Sustainability and Greenwashing</w:t>
      </w:r>
      <w:bookmarkEnd w:id="27"/>
    </w:p>
    <w:p w14:paraId="764DBD58" w14:textId="2C1E0E74" w:rsidR="001D1CA2" w:rsidRPr="001D1CA2" w:rsidRDefault="001D1CA2" w:rsidP="001D1CA2">
      <w:pPr>
        <w:rPr>
          <w:lang w:val="en-US"/>
        </w:rPr>
      </w:pPr>
      <w:r w:rsidRPr="001D1CA2">
        <w:rPr>
          <w:lang w:val="en-US"/>
        </w:rPr>
        <w:t xml:space="preserve">The perception of the consumers is the key to the effectiveness and credibility of the sustainability projects in the fashion industry. With the growing interest in brands adopting environmentally and socially responsible </w:t>
      </w:r>
      <w:proofErr w:type="spellStart"/>
      <w:r w:rsidRPr="001D1CA2">
        <w:rPr>
          <w:lang w:val="en-US"/>
        </w:rPr>
        <w:t>practises</w:t>
      </w:r>
      <w:proofErr w:type="spellEnd"/>
      <w:r w:rsidRPr="001D1CA2">
        <w:rPr>
          <w:lang w:val="en-US"/>
        </w:rPr>
        <w:t xml:space="preserve">, the extent to which consumers acknowledge, believe, and act on those activities defines their impact and influence on the market and brand value (Andria </w:t>
      </w:r>
      <w:r w:rsidRPr="001D1CA2">
        <w:rPr>
          <w:i/>
          <w:iCs/>
          <w:lang w:val="en-US"/>
        </w:rPr>
        <w:t>et al</w:t>
      </w:r>
      <w:r w:rsidRPr="001D1CA2">
        <w:rPr>
          <w:lang w:val="en-US"/>
        </w:rPr>
        <w:t xml:space="preserve">., 2023; Kim and Oh, 2020). The emergence of the new generation of environmentally conscious consumption, </w:t>
      </w:r>
      <w:r w:rsidRPr="001D1CA2">
        <w:rPr>
          <w:lang w:val="en-US"/>
        </w:rPr>
        <w:lastRenderedPageBreak/>
        <w:t xml:space="preserve">especially in younger generations like Generation Z, has heightened the necessity of brands to convey a positive message of sustainability without making deceptive claims (Do </w:t>
      </w:r>
      <w:r w:rsidRPr="001D1CA2">
        <w:rPr>
          <w:i/>
          <w:iCs/>
          <w:lang w:val="en-US"/>
        </w:rPr>
        <w:t>et al</w:t>
      </w:r>
      <w:r w:rsidRPr="001D1CA2">
        <w:rPr>
          <w:lang w:val="en-US"/>
        </w:rPr>
        <w:t xml:space="preserve">., 2025; Lu </w:t>
      </w:r>
      <w:r w:rsidRPr="001D1CA2">
        <w:rPr>
          <w:i/>
          <w:iCs/>
          <w:lang w:val="en-US"/>
        </w:rPr>
        <w:t>et al</w:t>
      </w:r>
      <w:r w:rsidRPr="001D1CA2">
        <w:rPr>
          <w:lang w:val="en-US"/>
        </w:rPr>
        <w:t>., 2022).</w:t>
      </w:r>
    </w:p>
    <w:p w14:paraId="1F65C551" w14:textId="77777777" w:rsidR="001D1CA2" w:rsidRPr="001D1CA2" w:rsidRDefault="001D1CA2" w:rsidP="001D1CA2">
      <w:pPr>
        <w:rPr>
          <w:lang w:val="en-US"/>
        </w:rPr>
      </w:pPr>
      <w:r w:rsidRPr="001D1CA2">
        <w:rPr>
          <w:lang w:val="en-US"/>
        </w:rPr>
        <w:t xml:space="preserve">According to research, consumers typically find it hard to distinguish between truly sustainable </w:t>
      </w:r>
      <w:proofErr w:type="spellStart"/>
      <w:r w:rsidRPr="001D1CA2">
        <w:rPr>
          <w:lang w:val="en-US"/>
        </w:rPr>
        <w:t>practises</w:t>
      </w:r>
      <w:proofErr w:type="spellEnd"/>
      <w:r w:rsidRPr="001D1CA2">
        <w:rPr>
          <w:lang w:val="en-US"/>
        </w:rPr>
        <w:t xml:space="preserve"> and greenwashing most of the time, and this is because of the use of vague terminology and inconsistent messages (Evans and Peirson-Smith, 2018; Brydges, Henninger and Hanlon, 2022). The terms such as eco-friendly, responsible or green are common terms in marketing with no established benchmark to refer to, which is confusing and </w:t>
      </w:r>
      <w:proofErr w:type="spellStart"/>
      <w:r w:rsidRPr="001D1CA2">
        <w:rPr>
          <w:lang w:val="en-US"/>
        </w:rPr>
        <w:t>sceptical</w:t>
      </w:r>
      <w:proofErr w:type="spellEnd"/>
      <w:r w:rsidRPr="001D1CA2">
        <w:rPr>
          <w:lang w:val="en-US"/>
        </w:rPr>
        <w:t xml:space="preserve">. Regarding the fact that corporate </w:t>
      </w:r>
      <w:proofErr w:type="spellStart"/>
      <w:r w:rsidRPr="001D1CA2">
        <w:rPr>
          <w:lang w:val="en-US"/>
        </w:rPr>
        <w:t>practises</w:t>
      </w:r>
      <w:proofErr w:type="spellEnd"/>
      <w:r w:rsidRPr="001D1CA2">
        <w:rPr>
          <w:lang w:val="en-US"/>
        </w:rPr>
        <w:t xml:space="preserve"> are not transparent or verifiable, </w:t>
      </w:r>
      <w:proofErr w:type="spellStart"/>
      <w:r w:rsidRPr="001D1CA2">
        <w:rPr>
          <w:lang w:val="en-US"/>
        </w:rPr>
        <w:t>Hairudinor</w:t>
      </w:r>
      <w:proofErr w:type="spellEnd"/>
      <w:r w:rsidRPr="001D1CA2">
        <w:rPr>
          <w:lang w:val="en-US"/>
        </w:rPr>
        <w:t xml:space="preserve"> and Barkatullah (2020) add that even good intentions to sustainability can be perceived as instrumental or superficial. On the same note, Fang (2024) notes that the perception of greenwashing by the consumers mediates the </w:t>
      </w:r>
      <w:proofErr w:type="spellStart"/>
      <w:r w:rsidRPr="001D1CA2">
        <w:rPr>
          <w:lang w:val="en-US"/>
        </w:rPr>
        <w:t>connexion</w:t>
      </w:r>
      <w:proofErr w:type="spellEnd"/>
      <w:r w:rsidRPr="001D1CA2">
        <w:rPr>
          <w:lang w:val="en-US"/>
        </w:rPr>
        <w:t xml:space="preserve"> between sustainability communication and purchase intent, which highlights the significance of authenticity in brand communication.</w:t>
      </w:r>
    </w:p>
    <w:p w14:paraId="1E4F8114" w14:textId="50DA4A9B" w:rsidR="001D1CA2" w:rsidRPr="001D1CA2" w:rsidRDefault="001D1CA2" w:rsidP="001D1CA2">
      <w:pPr>
        <w:rPr>
          <w:lang w:val="en-US"/>
        </w:rPr>
      </w:pPr>
      <w:r w:rsidRPr="001D1CA2">
        <w:rPr>
          <w:lang w:val="en-US"/>
        </w:rPr>
        <w:t xml:space="preserve">In this case, generation Z is especially sensitive to greenwashing. Research on emerging and developed markets demonstrates that this customer group is quite critical of the brands, as they base their sustainability assertion on social media, influencer content, and online dialogue (Do </w:t>
      </w:r>
      <w:r w:rsidRPr="001D1CA2">
        <w:rPr>
          <w:i/>
          <w:iCs/>
          <w:lang w:val="en-US"/>
        </w:rPr>
        <w:t>et al</w:t>
      </w:r>
      <w:r w:rsidRPr="001D1CA2">
        <w:rPr>
          <w:lang w:val="en-US"/>
        </w:rPr>
        <w:t xml:space="preserve">., 2025; Li, Cavender and Lee, 2025). Lu </w:t>
      </w:r>
      <w:r w:rsidRPr="001D1CA2">
        <w:rPr>
          <w:i/>
          <w:iCs/>
          <w:lang w:val="en-US"/>
        </w:rPr>
        <w:t>et al</w:t>
      </w:r>
      <w:r w:rsidRPr="001D1CA2">
        <w:rPr>
          <w:lang w:val="en-US"/>
        </w:rPr>
        <w:t xml:space="preserve">. (2022) </w:t>
      </w:r>
      <w:proofErr w:type="spellStart"/>
      <w:r w:rsidRPr="001D1CA2">
        <w:rPr>
          <w:lang w:val="en-US"/>
        </w:rPr>
        <w:t>emphasise</w:t>
      </w:r>
      <w:proofErr w:type="spellEnd"/>
      <w:r w:rsidRPr="001D1CA2">
        <w:rPr>
          <w:lang w:val="en-US"/>
        </w:rPr>
        <w:t xml:space="preserve"> that the perceived greenwashing is a potential negative moderator of green purchase intention and consumers can change their behaviour depending on credibility evaluations. Likewise, Haque and Lang (2025) state that affective reactions like </w:t>
      </w:r>
      <w:proofErr w:type="spellStart"/>
      <w:r w:rsidRPr="001D1CA2">
        <w:rPr>
          <w:lang w:val="en-US"/>
        </w:rPr>
        <w:t>scepticism</w:t>
      </w:r>
      <w:proofErr w:type="spellEnd"/>
      <w:r w:rsidRPr="001D1CA2">
        <w:rPr>
          <w:lang w:val="en-US"/>
        </w:rPr>
        <w:t>, moral judgement or optimism bias affect brand engagement and show that consumer perception is not just cognitive but is linked with emotional and ethical assessment.</w:t>
      </w:r>
    </w:p>
    <w:p w14:paraId="6B17AF22" w14:textId="300B94DC" w:rsidR="001D1CA2" w:rsidRPr="001D1CA2" w:rsidRDefault="001D1CA2" w:rsidP="001D1CA2">
      <w:pPr>
        <w:rPr>
          <w:lang w:val="en-US"/>
        </w:rPr>
      </w:pPr>
      <w:r w:rsidRPr="001D1CA2">
        <w:rPr>
          <w:lang w:val="en-US"/>
        </w:rPr>
        <w:t xml:space="preserve">Sustainability communication is also effective when it is based on transparency, third-party validation and cross-channel consistency. According to Dalecki (2023), the evidence of actual environmental performance (not a certification or a label) enhances consumer trust, whereas inconsistent or selective disclosures undermine credibility. </w:t>
      </w:r>
      <w:proofErr w:type="spellStart"/>
      <w:r w:rsidRPr="001D1CA2">
        <w:rPr>
          <w:lang w:val="en-US"/>
        </w:rPr>
        <w:t>Jestratijevic</w:t>
      </w:r>
      <w:proofErr w:type="spellEnd"/>
      <w:r w:rsidRPr="001D1CA2">
        <w:rPr>
          <w:lang w:val="en-US"/>
        </w:rPr>
        <w:t xml:space="preserve">, </w:t>
      </w:r>
      <w:proofErr w:type="spellStart"/>
      <w:r w:rsidRPr="001D1CA2">
        <w:rPr>
          <w:lang w:val="en-US"/>
        </w:rPr>
        <w:t>Uanhoro</w:t>
      </w:r>
      <w:proofErr w:type="spellEnd"/>
      <w:r w:rsidRPr="001D1CA2">
        <w:rPr>
          <w:lang w:val="en-US"/>
        </w:rPr>
        <w:t xml:space="preserve"> and Rana (2024) also state that longitudinal transparency reporting also increases consumer trust, especially when brands are transparent about both achievements and setbacks in sustainability reporting. On the other hand, strategic silence or underreporting, which is also known as greenhushing, can make </w:t>
      </w:r>
      <w:proofErr w:type="spellStart"/>
      <w:r w:rsidRPr="001D1CA2">
        <w:rPr>
          <w:lang w:val="en-US"/>
        </w:rPr>
        <w:lastRenderedPageBreak/>
        <w:t>scepticism</w:t>
      </w:r>
      <w:proofErr w:type="spellEnd"/>
      <w:r w:rsidRPr="001D1CA2">
        <w:rPr>
          <w:lang w:val="en-US"/>
        </w:rPr>
        <w:t xml:space="preserve"> worse and reduce brand legitimacy (</w:t>
      </w:r>
      <w:proofErr w:type="spellStart"/>
      <w:r w:rsidRPr="001D1CA2">
        <w:rPr>
          <w:lang w:val="en-US"/>
        </w:rPr>
        <w:t>Hejlova</w:t>
      </w:r>
      <w:proofErr w:type="spellEnd"/>
      <w:r w:rsidRPr="001D1CA2">
        <w:rPr>
          <w:lang w:val="en-US"/>
        </w:rPr>
        <w:t xml:space="preserve"> </w:t>
      </w:r>
      <w:r w:rsidRPr="001D1CA2">
        <w:rPr>
          <w:i/>
          <w:iCs/>
          <w:lang w:val="en-US"/>
        </w:rPr>
        <w:t>et al</w:t>
      </w:r>
      <w:r w:rsidRPr="001D1CA2">
        <w:rPr>
          <w:lang w:val="en-US"/>
        </w:rPr>
        <w:t xml:space="preserve">., 2025; </w:t>
      </w:r>
      <w:proofErr w:type="spellStart"/>
      <w:r w:rsidRPr="001D1CA2">
        <w:rPr>
          <w:lang w:val="en-US"/>
        </w:rPr>
        <w:t>Schwoy</w:t>
      </w:r>
      <w:proofErr w:type="spellEnd"/>
      <w:r w:rsidRPr="001D1CA2">
        <w:rPr>
          <w:lang w:val="en-US"/>
        </w:rPr>
        <w:t xml:space="preserve">, </w:t>
      </w:r>
      <w:proofErr w:type="spellStart"/>
      <w:r w:rsidRPr="001D1CA2">
        <w:rPr>
          <w:lang w:val="en-US"/>
        </w:rPr>
        <w:t>Dutzi</w:t>
      </w:r>
      <w:proofErr w:type="spellEnd"/>
      <w:r w:rsidRPr="001D1CA2">
        <w:rPr>
          <w:lang w:val="en-US"/>
        </w:rPr>
        <w:t xml:space="preserve"> and Messing, 2025).</w:t>
      </w:r>
    </w:p>
    <w:p w14:paraId="06A6A783" w14:textId="19A3E8E9" w:rsidR="001D1CA2" w:rsidRPr="001D1CA2" w:rsidRDefault="001D1CA2" w:rsidP="001D1CA2">
      <w:pPr>
        <w:rPr>
          <w:lang w:val="en-US"/>
        </w:rPr>
      </w:pPr>
      <w:r w:rsidRPr="001D1CA2">
        <w:rPr>
          <w:lang w:val="en-US"/>
        </w:rPr>
        <w:t xml:space="preserve">Cultural and social factors also determine consumer perception. As Policarpo </w:t>
      </w:r>
      <w:r w:rsidRPr="001D1CA2">
        <w:rPr>
          <w:i/>
          <w:iCs/>
          <w:lang w:val="en-US"/>
        </w:rPr>
        <w:t>et al</w:t>
      </w:r>
      <w:r w:rsidRPr="001D1CA2">
        <w:rPr>
          <w:lang w:val="en-US"/>
        </w:rPr>
        <w:t xml:space="preserve">. (2023) point out, the perceived greenwashing responses are moderated by personality characteristics, including social cynicism or conspicuous consumption to influence brand trust and brand loyalty. Garcia-Ortega </w:t>
      </w:r>
      <w:r w:rsidRPr="001D1CA2">
        <w:rPr>
          <w:i/>
          <w:iCs/>
          <w:lang w:val="en-US"/>
        </w:rPr>
        <w:t>et al</w:t>
      </w:r>
      <w:r w:rsidRPr="001D1CA2">
        <w:rPr>
          <w:lang w:val="en-US"/>
        </w:rPr>
        <w:t>. (2023; 2025) contend that consumers do not receive sufficiency-oriented or anti-consumerist messages identically based on the correspondence of corporate assertions and perceived behaviour and show how subtly sustainability narratives can be perceived.</w:t>
      </w:r>
    </w:p>
    <w:p w14:paraId="6971BCD4" w14:textId="48F622FE" w:rsidR="001F2018" w:rsidRPr="001F2018" w:rsidRDefault="001D1CA2" w:rsidP="001D1CA2">
      <w:pPr>
        <w:rPr>
          <w:lang w:val="en-US"/>
        </w:rPr>
      </w:pPr>
      <w:r w:rsidRPr="001D1CA2">
        <w:rPr>
          <w:lang w:val="en-US"/>
        </w:rPr>
        <w:t xml:space="preserve">All these facts indicate how complicated consumer perception is in the fashion industry. Awareness and demand towards sustainability are on the rise, but the problems of greenwashing, vague messages, and selective disclosures are also quite challenging. Consumer perception is important both to facilitate the genuine sustainability approach and to define the gaps and threats that the fashion requires a systematic study of both the real </w:t>
      </w:r>
      <w:proofErr w:type="spellStart"/>
      <w:r w:rsidRPr="001D1CA2">
        <w:rPr>
          <w:lang w:val="en-US"/>
        </w:rPr>
        <w:t>practises</w:t>
      </w:r>
      <w:proofErr w:type="spellEnd"/>
      <w:r w:rsidRPr="001D1CA2">
        <w:rPr>
          <w:lang w:val="en-US"/>
        </w:rPr>
        <w:t xml:space="preserve"> and the false statements (Fang, 2024; Do </w:t>
      </w:r>
      <w:r w:rsidRPr="001D1CA2">
        <w:rPr>
          <w:i/>
          <w:iCs/>
          <w:lang w:val="en-US"/>
        </w:rPr>
        <w:t>et al</w:t>
      </w:r>
      <w:r w:rsidRPr="001D1CA2">
        <w:rPr>
          <w:lang w:val="en-US"/>
        </w:rPr>
        <w:t>., 2025; Li, Cavender and Lee, 2025).</w:t>
      </w:r>
    </w:p>
    <w:p w14:paraId="7212A7D3" w14:textId="3C7EEA17" w:rsidR="00AB6AC0" w:rsidRDefault="00AB6AC0" w:rsidP="00AB6AC0">
      <w:pPr>
        <w:pStyle w:val="Heading3"/>
        <w:rPr>
          <w:lang w:val="en-US"/>
        </w:rPr>
      </w:pPr>
      <w:bookmarkStart w:id="28" w:name="_Toc218445676"/>
      <w:r w:rsidRPr="00AB6AC0">
        <w:rPr>
          <w:lang w:val="en-US"/>
        </w:rPr>
        <w:t>Corporate Social Responsibility and ESG Reporting</w:t>
      </w:r>
      <w:bookmarkEnd w:id="28"/>
    </w:p>
    <w:p w14:paraId="1061A55A" w14:textId="77777777" w:rsidR="001D1CA2" w:rsidRPr="001D1CA2" w:rsidRDefault="001D1CA2" w:rsidP="001D1CA2">
      <w:pPr>
        <w:rPr>
          <w:lang w:val="en-US"/>
        </w:rPr>
      </w:pPr>
      <w:r w:rsidRPr="001D1CA2">
        <w:rPr>
          <w:lang w:val="en-US"/>
        </w:rPr>
        <w:t>2.2.6 Corporate Social Responsibility and ESG Reporting.</w:t>
      </w:r>
    </w:p>
    <w:p w14:paraId="0D112EE3" w14:textId="6BD1A53F" w:rsidR="001D1CA2" w:rsidRPr="001D1CA2" w:rsidRDefault="001D1CA2" w:rsidP="001D1CA2">
      <w:pPr>
        <w:rPr>
          <w:lang w:val="en-US"/>
        </w:rPr>
      </w:pPr>
      <w:r w:rsidRPr="001D1CA2">
        <w:rPr>
          <w:lang w:val="en-US"/>
        </w:rPr>
        <w:t xml:space="preserve">Corporate Social Responsibility (CSR) and Environmental, Social, and Governance (ESG) reporting are some of the key mechanisms where fashion brands express their interest in sustainability and ethical actions. CSR is a set of voluntary activities of a company to deal with social, environmental, and economic effects, including fair labour practices, community involvement, and environmental management (Goswami and Jaiswal, 2023; Reza and Du Plessis, 2022). Through CSR in the fashion industry, it has been used to improve brand image as well as show responsibility to consumers, stakeholders, and regulatory bodies (Boateng </w:t>
      </w:r>
      <w:r w:rsidRPr="001D1CA2">
        <w:rPr>
          <w:i/>
          <w:iCs/>
          <w:lang w:val="en-US"/>
        </w:rPr>
        <w:t>et al</w:t>
      </w:r>
      <w:r w:rsidRPr="001D1CA2">
        <w:rPr>
          <w:lang w:val="en-US"/>
        </w:rPr>
        <w:t>., 2025).</w:t>
      </w:r>
    </w:p>
    <w:p w14:paraId="67406EFD" w14:textId="23709494" w:rsidR="001D1CA2" w:rsidRPr="001D1CA2" w:rsidRDefault="001D1CA2" w:rsidP="001D1CA2">
      <w:pPr>
        <w:rPr>
          <w:lang w:val="en-US"/>
        </w:rPr>
      </w:pPr>
      <w:r w:rsidRPr="001D1CA2">
        <w:rPr>
          <w:lang w:val="en-US"/>
        </w:rPr>
        <w:t xml:space="preserve">ESG reporting brings about a systematic method of reporting the performance of a company in terms of its sustainability and governance. Brown </w:t>
      </w:r>
      <w:r w:rsidRPr="001D1CA2">
        <w:rPr>
          <w:i/>
          <w:iCs/>
          <w:lang w:val="en-US"/>
        </w:rPr>
        <w:t>et al</w:t>
      </w:r>
      <w:r w:rsidRPr="001D1CA2">
        <w:rPr>
          <w:lang w:val="en-US"/>
        </w:rPr>
        <w:t xml:space="preserve">. (2019) point out that open ESG reporting contributes to corporate credibility, as it allows consumers and investors to evaluate whether sustainability reporting is real or hollow, focusing on positive effects and excluding the negative ones. de Magalhães Silva </w:t>
      </w:r>
      <w:r w:rsidRPr="001D1CA2">
        <w:rPr>
          <w:i/>
          <w:iCs/>
          <w:lang w:val="en-US"/>
        </w:rPr>
        <w:t>et al</w:t>
      </w:r>
      <w:r w:rsidRPr="001D1CA2">
        <w:rPr>
          <w:lang w:val="en-US"/>
        </w:rPr>
        <w:t xml:space="preserve">. (2025) mention that selective ESG reporting can, in fact, propagate greenwashing, when </w:t>
      </w:r>
      <w:r w:rsidRPr="001D1CA2">
        <w:rPr>
          <w:lang w:val="en-US"/>
        </w:rPr>
        <w:lastRenderedPageBreak/>
        <w:t>sustainability reporting focuses on positive effects and leaves out the negative ones. Such biassed disclosure affects the trust of consumers and it may subject a brand to reputational risks.</w:t>
      </w:r>
    </w:p>
    <w:p w14:paraId="2DEEC66A" w14:textId="046AC3B0" w:rsidR="001D1CA2" w:rsidRPr="001D1CA2" w:rsidRDefault="001D1CA2" w:rsidP="001D1CA2">
      <w:pPr>
        <w:rPr>
          <w:lang w:val="en-US"/>
        </w:rPr>
      </w:pPr>
      <w:r w:rsidRPr="001D1CA2">
        <w:rPr>
          <w:lang w:val="en-US"/>
        </w:rPr>
        <w:t xml:space="preserve">The combination of CSR and ESG reporting is becoming a strategic requirement of fashion brands that aim to balance the business activities with the sustainability goals. </w:t>
      </w:r>
      <w:proofErr w:type="spellStart"/>
      <w:r w:rsidRPr="001D1CA2">
        <w:rPr>
          <w:lang w:val="en-US"/>
        </w:rPr>
        <w:t>Crapa</w:t>
      </w:r>
      <w:proofErr w:type="spellEnd"/>
      <w:r w:rsidRPr="001D1CA2">
        <w:rPr>
          <w:lang w:val="en-US"/>
        </w:rPr>
        <w:t xml:space="preserve"> </w:t>
      </w:r>
      <w:r w:rsidRPr="001D1CA2">
        <w:rPr>
          <w:i/>
          <w:iCs/>
          <w:lang w:val="en-US"/>
        </w:rPr>
        <w:t>et al</w:t>
      </w:r>
      <w:r w:rsidRPr="001D1CA2">
        <w:rPr>
          <w:lang w:val="en-US"/>
        </w:rPr>
        <w:t xml:space="preserve">. (2025) show that working with NGOs and using strong reporting systems can enhance the quality of disclosure and mitigate the effect of greenwashing. Simultaneously, regulatory control is important to </w:t>
      </w:r>
      <w:proofErr w:type="spellStart"/>
      <w:r w:rsidRPr="001D1CA2">
        <w:rPr>
          <w:lang w:val="en-US"/>
        </w:rPr>
        <w:t>standardise</w:t>
      </w:r>
      <w:proofErr w:type="spellEnd"/>
      <w:r w:rsidRPr="001D1CA2">
        <w:rPr>
          <w:lang w:val="en-US"/>
        </w:rPr>
        <w:t xml:space="preserve"> ESG metrics and be able to compare them between brands (Dobos &amp; Éltető, 2023; Redman, 2025). The studies imply that believable CSR and ESG activities positively affect consumer behaviour with verified reporting boosting brand trust and purchase intention, whereas unverified and selective assertions evoke distrust and may provoke a backlash (Fang, 2024; Li, Cavender and Lee, 2025).</w:t>
      </w:r>
    </w:p>
    <w:p w14:paraId="5EA9B214" w14:textId="3C3E9691" w:rsidR="00290907" w:rsidRPr="00290907" w:rsidRDefault="001D1CA2" w:rsidP="001D1CA2">
      <w:pPr>
        <w:rPr>
          <w:lang w:val="en-US"/>
        </w:rPr>
      </w:pPr>
      <w:r w:rsidRPr="001D1CA2">
        <w:rPr>
          <w:lang w:val="en-US"/>
        </w:rPr>
        <w:t xml:space="preserve">Overall, CSR and ESG reporting are crucial tools that can be used to show sustainable and ethical business </w:t>
      </w:r>
      <w:proofErr w:type="spellStart"/>
      <w:r w:rsidRPr="001D1CA2">
        <w:rPr>
          <w:lang w:val="en-US"/>
        </w:rPr>
        <w:t>practises</w:t>
      </w:r>
      <w:proofErr w:type="spellEnd"/>
      <w:r w:rsidRPr="001D1CA2">
        <w:rPr>
          <w:lang w:val="en-US"/>
        </w:rPr>
        <w:t xml:space="preserve"> in the fashion industry. When implemented in an open and authentic manner, they help build trust among the stakeholders, enhance adherence to the rules and regulations, and brand differentiation in a competitive market. On the other hand, irregularities or disclose selectively, are all part of greenwashing and this is where strong frameworks, verification, and accountability can be considered vital to effective sustainability communication.</w:t>
      </w:r>
    </w:p>
    <w:p w14:paraId="07B51C7F" w14:textId="30BD0057" w:rsidR="00AB6AC0" w:rsidRDefault="00AB6AC0" w:rsidP="00AB6AC0">
      <w:pPr>
        <w:pStyle w:val="Heading3"/>
        <w:rPr>
          <w:lang w:val="en-US"/>
        </w:rPr>
      </w:pPr>
      <w:bookmarkStart w:id="29" w:name="_Toc218445677"/>
      <w:r w:rsidRPr="00AB6AC0">
        <w:rPr>
          <w:lang w:val="en-US"/>
        </w:rPr>
        <w:t>Regulatory and Policy Frameworks</w:t>
      </w:r>
      <w:bookmarkEnd w:id="29"/>
    </w:p>
    <w:p w14:paraId="48DC2887" w14:textId="091376E7" w:rsidR="001D1CA2" w:rsidRPr="001D1CA2" w:rsidRDefault="001D1CA2" w:rsidP="001D1CA2">
      <w:pPr>
        <w:rPr>
          <w:lang w:val="en-US"/>
        </w:rPr>
      </w:pPr>
      <w:r w:rsidRPr="001D1CA2">
        <w:rPr>
          <w:lang w:val="en-US"/>
        </w:rPr>
        <w:t xml:space="preserve">Policies and regulatory frameworks are important in informing the sustainability </w:t>
      </w:r>
      <w:proofErr w:type="spellStart"/>
      <w:r w:rsidRPr="001D1CA2">
        <w:rPr>
          <w:lang w:val="en-US"/>
        </w:rPr>
        <w:t>practises</w:t>
      </w:r>
      <w:proofErr w:type="spellEnd"/>
      <w:r w:rsidRPr="001D1CA2">
        <w:rPr>
          <w:lang w:val="en-US"/>
        </w:rPr>
        <w:t xml:space="preserve"> and eliminating greenwashing in fashion. The world has mechanisms like the United Nations Sustainable Development Goals (SDGs), especially SDG 12 on responsible consumption and production, which offer general guidelines on the way business can be conducted sustainably (Garcia-Ortega </w:t>
      </w:r>
      <w:r w:rsidRPr="001D1CA2">
        <w:rPr>
          <w:i/>
          <w:iCs/>
          <w:lang w:val="en-US"/>
        </w:rPr>
        <w:t>et al</w:t>
      </w:r>
      <w:r w:rsidRPr="001D1CA2">
        <w:rPr>
          <w:lang w:val="en-US"/>
        </w:rPr>
        <w:t>., 2023). On the same note, the Corporate Sustainability Reporting Directive (CSRD) by the European Union and the EU Ecolabel also set the standard of environmental disclosure and eco-labelling to improve transparency and comparison of brands (Pozzo, 2023; Redman, 2025). These frameworks provide clear direction on how to report on the environment, promote the idea of a circular economy and develop a system of accountability of corporate behaviour.</w:t>
      </w:r>
    </w:p>
    <w:p w14:paraId="410B90F8" w14:textId="77777777" w:rsidR="001D1CA2" w:rsidRPr="001D1CA2" w:rsidRDefault="001D1CA2" w:rsidP="001D1CA2">
      <w:pPr>
        <w:rPr>
          <w:lang w:val="en-US"/>
        </w:rPr>
      </w:pPr>
      <w:r w:rsidRPr="001D1CA2">
        <w:rPr>
          <w:lang w:val="en-US"/>
        </w:rPr>
        <w:lastRenderedPageBreak/>
        <w:t>Regulatory measures differ significantly on the regional level. In the US, there are efforts to avoid misleading environmental claims in advertising, including the Federal Trade Commission Green Guides, and new policies in other countries, including the Netherlands and China, on mandatory disclosure and traceability of the supply chain (Dobos &amp; Éltető, 2023; Tolentino-Zondervan and DiVito, 2024). The regulations will reduce the occurrence of greenwashing by obligating evidence-based sustainability claims and supporting real practices.</w:t>
      </w:r>
    </w:p>
    <w:p w14:paraId="73C55055" w14:textId="3DA3B1CF" w:rsidR="001D1CA2" w:rsidRPr="001D1CA2" w:rsidRDefault="001D1CA2" w:rsidP="001D1CA2">
      <w:pPr>
        <w:rPr>
          <w:lang w:val="en-US"/>
        </w:rPr>
      </w:pPr>
      <w:r w:rsidRPr="001D1CA2">
        <w:rPr>
          <w:lang w:val="en-US"/>
        </w:rPr>
        <w:t xml:space="preserve">Although they have advantages, the current frameworks have a number of weaknesses. Brands can use loopholes in enforcing these policies, unequal measures, voluntary compliance frameworks, and selective disclosure, or other forms of exaggerated sustainability reporting (Boateng </w:t>
      </w:r>
      <w:r w:rsidRPr="001D1CA2">
        <w:rPr>
          <w:i/>
          <w:iCs/>
          <w:lang w:val="en-US"/>
        </w:rPr>
        <w:t>et al</w:t>
      </w:r>
      <w:r w:rsidRPr="001D1CA2">
        <w:rPr>
          <w:lang w:val="en-US"/>
        </w:rPr>
        <w:t xml:space="preserve">., 2025; Mousavi </w:t>
      </w:r>
      <w:r w:rsidRPr="001D1CA2">
        <w:rPr>
          <w:i/>
          <w:iCs/>
          <w:lang w:val="en-US"/>
        </w:rPr>
        <w:t>et al</w:t>
      </w:r>
      <w:r w:rsidRPr="001D1CA2">
        <w:rPr>
          <w:lang w:val="en-US"/>
        </w:rPr>
        <w:t>., 2025). There can also be loopholes in cross-border operation due to the differences in standards and reporting requirements in the region, which allow brands to take advantage of less stringent regulatory settings (Pozzo, 2023). Besides, new structures, though potentially promising, are frequently hard to implement because of technological, logistical, and resources limitations, especially by smaller or mass-market fashion companies (Redman, 2025).</w:t>
      </w:r>
    </w:p>
    <w:p w14:paraId="76708170" w14:textId="4A51388E" w:rsidR="00C57E74" w:rsidRPr="00C57E74" w:rsidRDefault="001D1CA2" w:rsidP="001D1CA2">
      <w:pPr>
        <w:rPr>
          <w:lang w:val="en-US"/>
        </w:rPr>
      </w:pPr>
      <w:r w:rsidRPr="001D1CA2">
        <w:rPr>
          <w:lang w:val="en-US"/>
        </w:rPr>
        <w:t xml:space="preserve">All in all, regulatory and policy frameworks can offer the necessary direction in driving true sustainability and preventing greenwashing. But they are only effective when they are </w:t>
      </w:r>
      <w:proofErr w:type="spellStart"/>
      <w:r w:rsidRPr="001D1CA2">
        <w:rPr>
          <w:lang w:val="en-US"/>
        </w:rPr>
        <w:t>standardised</w:t>
      </w:r>
      <w:proofErr w:type="spellEnd"/>
      <w:r w:rsidRPr="001D1CA2">
        <w:rPr>
          <w:lang w:val="en-US"/>
        </w:rPr>
        <w:t xml:space="preserve">, strictly enforced and linked to the consumer and stakeholder expectations. These frameworks should be reinforced, as well as transparency and third-party checks, to make sustainability efforts in the fashion industry plausible, quantifiable, and effective (Mousavi </w:t>
      </w:r>
      <w:r w:rsidRPr="001D1CA2">
        <w:rPr>
          <w:i/>
          <w:iCs/>
          <w:lang w:val="en-US"/>
        </w:rPr>
        <w:t>et al</w:t>
      </w:r>
      <w:r w:rsidRPr="001D1CA2">
        <w:rPr>
          <w:lang w:val="en-US"/>
        </w:rPr>
        <w:t>., 2025; Dobos and Éltető, 2023).</w:t>
      </w:r>
    </w:p>
    <w:p w14:paraId="732C85F6" w14:textId="6095E4CE" w:rsidR="000336AF" w:rsidRDefault="00391EB6" w:rsidP="000336AF">
      <w:pPr>
        <w:pStyle w:val="Heading2"/>
      </w:pPr>
      <w:bookmarkStart w:id="30" w:name="_Toc218445678"/>
      <w:r w:rsidRPr="008C5097">
        <w:lastRenderedPageBreak/>
        <w:t>Conceptual Framework</w:t>
      </w:r>
      <w:bookmarkEnd w:id="30"/>
    </w:p>
    <w:p w14:paraId="14EEEA8B" w14:textId="35CE9CC6" w:rsidR="0096254D" w:rsidRDefault="00A7080E" w:rsidP="00A7080E">
      <w:pPr>
        <w:spacing w:before="0"/>
        <w:jc w:val="center"/>
      </w:pPr>
      <w:r>
        <w:rPr>
          <w:noProof/>
        </w:rPr>
        <w:drawing>
          <wp:inline distT="0" distB="0" distL="0" distR="0" wp14:anchorId="75BBB342" wp14:editId="087758D5">
            <wp:extent cx="4979035" cy="3037579"/>
            <wp:effectExtent l="0" t="0" r="0" b="0"/>
            <wp:docPr id="119011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00242" cy="3050517"/>
                    </a:xfrm>
                    <a:prstGeom prst="rect">
                      <a:avLst/>
                    </a:prstGeom>
                    <a:noFill/>
                  </pic:spPr>
                </pic:pic>
              </a:graphicData>
            </a:graphic>
          </wp:inline>
        </w:drawing>
      </w:r>
    </w:p>
    <w:p w14:paraId="5E8CB1B7" w14:textId="7706610B" w:rsidR="00A7080E" w:rsidRPr="002B796F" w:rsidRDefault="00A7080E" w:rsidP="002B796F">
      <w:pPr>
        <w:pStyle w:val="NoSpacing"/>
      </w:pPr>
      <w:bookmarkStart w:id="31" w:name="_Toc216197018"/>
      <w:bookmarkStart w:id="32" w:name="_Toc218439232"/>
      <w:bookmarkStart w:id="33" w:name="_Toc218441802"/>
      <w:bookmarkStart w:id="34" w:name="_Toc218446359"/>
      <w:r w:rsidRPr="002B796F">
        <w:t xml:space="preserve">Figure </w:t>
      </w:r>
      <w:fldSimple w:instr=" SEQ Figure \* ARABIC ">
        <w:r w:rsidR="001C774D">
          <w:rPr>
            <w:noProof/>
          </w:rPr>
          <w:t>6</w:t>
        </w:r>
      </w:fldSimple>
      <w:r w:rsidRPr="002B796F">
        <w:t xml:space="preserve"> Conceptual Framework of Sustainability and Greenwashing in Fashion </w:t>
      </w:r>
      <w:bookmarkEnd w:id="31"/>
      <w:r w:rsidR="002B796F">
        <w:t>(Author)</w:t>
      </w:r>
      <w:bookmarkEnd w:id="32"/>
      <w:bookmarkEnd w:id="33"/>
      <w:bookmarkEnd w:id="34"/>
    </w:p>
    <w:p w14:paraId="16958037" w14:textId="0BE5EBAC" w:rsidR="00A7080E" w:rsidRPr="00E53F87" w:rsidRDefault="001D1CA2" w:rsidP="00A7080E">
      <w:r w:rsidRPr="001D1CA2">
        <w:t>The theoretical framework of this research demonstrates the connexion between the real-world sustainability practises and greenwashing in the fashion sector. It determines such drivers as internal corporate culture and CSR commitment, consumer demand and stakeholder pressure, and regulatory and industry standards, which determine whether brands pursue genuine or fraudulent sustainability activities. The perception of consumers and stakeholders regarding the practise is mediated by the marketing and communication strategies, ESG reporting and certifications, and supply chain transparency. The scheme also emphasises the results of such practises such as consumer trust, purchase intention, brand loyalty, and the general corporate reputation. The framework conceptualises grounded in Stakeholder Theory, Signalling Theory, and Triple Bottom Line model to offer a systematic manner of identifying and comparing sustainability practises undertaken by fashion brands, analysing the type and frequency of greenwashing used as a signal of sustainability, and assessing the differences between actual sustainability initiatives and greenwashing practises to derive the gaps and strategic recommendations based on the literature.</w:t>
      </w:r>
    </w:p>
    <w:p w14:paraId="1DAB1F3D" w14:textId="7CB2D249" w:rsidR="00B56C66" w:rsidRDefault="00391EB6" w:rsidP="008C5097">
      <w:pPr>
        <w:pStyle w:val="Heading2"/>
      </w:pPr>
      <w:bookmarkStart w:id="35" w:name="_Toc218445679"/>
      <w:r w:rsidRPr="008C5097">
        <w:t>Conclusion of Chapter</w:t>
      </w:r>
      <w:bookmarkEnd w:id="35"/>
    </w:p>
    <w:p w14:paraId="6AC004E1" w14:textId="2045545C" w:rsidR="001D1CA2" w:rsidRDefault="001D1CA2" w:rsidP="00A7080E">
      <w:pPr>
        <w:rPr>
          <w:lang w:val="en-US"/>
        </w:rPr>
      </w:pPr>
      <w:r w:rsidRPr="001D1CA2">
        <w:rPr>
          <w:lang w:val="en-US"/>
        </w:rPr>
        <w:t xml:space="preserve">The chapter has critically examined the literature on the sustainability </w:t>
      </w:r>
      <w:proofErr w:type="spellStart"/>
      <w:r w:rsidRPr="001D1CA2">
        <w:rPr>
          <w:lang w:val="en-US"/>
        </w:rPr>
        <w:t>practise</w:t>
      </w:r>
      <w:proofErr w:type="spellEnd"/>
      <w:r w:rsidRPr="001D1CA2">
        <w:rPr>
          <w:lang w:val="en-US"/>
        </w:rPr>
        <w:t xml:space="preserve"> and greenwashing in the fashion industry, and has offered an in-depth insight on the main </w:t>
      </w:r>
      <w:r w:rsidRPr="001D1CA2">
        <w:rPr>
          <w:lang w:val="en-US"/>
        </w:rPr>
        <w:lastRenderedPageBreak/>
        <w:t xml:space="preserve">ideas, theoretical views, and empirical evidence. It has made an emphasis on the development of sustainable </w:t>
      </w:r>
      <w:proofErr w:type="spellStart"/>
      <w:r w:rsidRPr="001D1CA2">
        <w:rPr>
          <w:lang w:val="en-US"/>
        </w:rPr>
        <w:t>practises</w:t>
      </w:r>
      <w:proofErr w:type="spellEnd"/>
      <w:r w:rsidRPr="001D1CA2">
        <w:rPr>
          <w:lang w:val="en-US"/>
        </w:rPr>
        <w:t xml:space="preserve">, how brands convey their efforts, and the issues of greenwashing and unclear sustainability statements. Consumer perceptions were also reviewed and it was found that trust, </w:t>
      </w:r>
      <w:proofErr w:type="spellStart"/>
      <w:r w:rsidRPr="001D1CA2">
        <w:rPr>
          <w:lang w:val="en-US"/>
        </w:rPr>
        <w:t>scepticism</w:t>
      </w:r>
      <w:proofErr w:type="spellEnd"/>
      <w:r w:rsidRPr="001D1CA2">
        <w:rPr>
          <w:lang w:val="en-US"/>
        </w:rPr>
        <w:t xml:space="preserve"> and verification are key determinants of engagement in sustainability efforts. Also, the chapter mentioned the importance of CSR, ESG reporting, and regulatory environments in enhancing accountability and transparency. Based on the Stakeholder Theory, </w:t>
      </w:r>
      <w:proofErr w:type="spellStart"/>
      <w:r w:rsidRPr="001D1CA2">
        <w:rPr>
          <w:lang w:val="en-US"/>
        </w:rPr>
        <w:t>Signalling</w:t>
      </w:r>
      <w:proofErr w:type="spellEnd"/>
      <w:r w:rsidRPr="001D1CA2">
        <w:rPr>
          <w:lang w:val="en-US"/>
        </w:rPr>
        <w:t xml:space="preserve"> Theory and Triple Bottom Line model, a conceptual framework will be presented to see the relationships between the drivers, mediators and the results of both authentic and fake sustainability </w:t>
      </w:r>
      <w:proofErr w:type="spellStart"/>
      <w:r w:rsidRPr="001D1CA2">
        <w:rPr>
          <w:lang w:val="en-US"/>
        </w:rPr>
        <w:t>practises</w:t>
      </w:r>
      <w:proofErr w:type="spellEnd"/>
      <w:r w:rsidRPr="001D1CA2">
        <w:rPr>
          <w:lang w:val="en-US"/>
        </w:rPr>
        <w:t>. On the whole, the chapter sets the basis of the systematic research of the prevalence, impact, and efficiency of the sustainability strategies in the sphere of fashion.</w:t>
      </w:r>
    </w:p>
    <w:p w14:paraId="4736E6E9" w14:textId="158C3381" w:rsidR="00A7080E" w:rsidRPr="00A7080E" w:rsidRDefault="001D1CA2" w:rsidP="001D1CA2">
      <w:pPr>
        <w:spacing w:before="0" w:after="160" w:line="259" w:lineRule="auto"/>
        <w:jc w:val="left"/>
        <w:rPr>
          <w:lang w:val="en-US"/>
        </w:rPr>
      </w:pPr>
      <w:r>
        <w:rPr>
          <w:lang w:val="en-US"/>
        </w:rPr>
        <w:br w:type="page"/>
      </w:r>
    </w:p>
    <w:p w14:paraId="733A4416" w14:textId="79F724EB" w:rsidR="00B56C66" w:rsidRDefault="00B56C66">
      <w:pPr>
        <w:spacing w:before="0" w:after="160" w:line="259" w:lineRule="auto"/>
        <w:jc w:val="left"/>
        <w:rPr>
          <w:rFonts w:eastAsiaTheme="majorEastAsia" w:cstheme="majorBidi"/>
          <w:b/>
          <w:bCs/>
          <w:color w:val="000000" w:themeColor="text1"/>
          <w:sz w:val="28"/>
          <w:szCs w:val="28"/>
        </w:rPr>
      </w:pPr>
    </w:p>
    <w:p w14:paraId="48DA35E9" w14:textId="6B0F5498" w:rsidR="00391EB6" w:rsidRPr="008C5097" w:rsidRDefault="00786750" w:rsidP="00B56C66">
      <w:pPr>
        <w:pStyle w:val="Heading1"/>
      </w:pPr>
      <w:bookmarkStart w:id="36" w:name="_Toc218445680"/>
      <w:r w:rsidRPr="008C5097">
        <w:t>CHAPTER 3: RESEARCH METHODOLOGY</w:t>
      </w:r>
      <w:bookmarkEnd w:id="36"/>
      <w:r w:rsidRPr="008C5097">
        <w:t xml:space="preserve"> </w:t>
      </w:r>
    </w:p>
    <w:p w14:paraId="765301CF" w14:textId="3EB49590" w:rsidR="00391EB6" w:rsidRDefault="00391EB6" w:rsidP="008C5097">
      <w:pPr>
        <w:pStyle w:val="Heading2"/>
      </w:pPr>
      <w:bookmarkStart w:id="37" w:name="_Toc218445681"/>
      <w:r w:rsidRPr="008C5097">
        <w:t>Introduction</w:t>
      </w:r>
      <w:bookmarkEnd w:id="37"/>
    </w:p>
    <w:p w14:paraId="49513842" w14:textId="6FBF1693" w:rsidR="00D478F9" w:rsidRPr="00D478F9" w:rsidRDefault="00A9674A" w:rsidP="00D478F9">
      <w:pPr>
        <w:rPr>
          <w:lang w:val="en-US"/>
        </w:rPr>
      </w:pPr>
      <w:r w:rsidRPr="00A9674A">
        <w:rPr>
          <w:lang w:val="en-US"/>
        </w:rPr>
        <w:t xml:space="preserve">This chapter is used to describe the research methodology that was used to conduct the systematic review of the sustainability and greenwashing </w:t>
      </w:r>
      <w:proofErr w:type="spellStart"/>
      <w:r w:rsidRPr="00A9674A">
        <w:rPr>
          <w:lang w:val="en-US"/>
        </w:rPr>
        <w:t>practises</w:t>
      </w:r>
      <w:proofErr w:type="spellEnd"/>
      <w:r w:rsidRPr="00A9674A">
        <w:rPr>
          <w:lang w:val="en-US"/>
        </w:rPr>
        <w:t xml:space="preserve"> in the fashion industry. It gives a systematic explanation of the philosophical foundation, research design, methods, and approaches of data collection and analysis. The ethical considerations of the process of review are also taken care of. The methodology will be designed to be transparent, rigorous and replicable to give a clear guideline on how to </w:t>
      </w:r>
      <w:proofErr w:type="spellStart"/>
      <w:r w:rsidRPr="00A9674A">
        <w:rPr>
          <w:lang w:val="en-US"/>
        </w:rPr>
        <w:t>synthesise</w:t>
      </w:r>
      <w:proofErr w:type="spellEnd"/>
      <w:r w:rsidRPr="00A9674A">
        <w:rPr>
          <w:lang w:val="en-US"/>
        </w:rPr>
        <w:t xml:space="preserve"> the literature available. The chapter provides a description of every step of the research process and therefore it forms the basis of credibility and reliability of the results found in other chapters.</w:t>
      </w:r>
    </w:p>
    <w:p w14:paraId="69795E0E" w14:textId="5BB0DD0C" w:rsidR="00391EB6" w:rsidRDefault="00391EB6" w:rsidP="008C5097">
      <w:pPr>
        <w:pStyle w:val="Heading2"/>
      </w:pPr>
      <w:bookmarkStart w:id="38" w:name="_Toc218445682"/>
      <w:r w:rsidRPr="008C5097">
        <w:t>Research Philosophies and Assumptions</w:t>
      </w:r>
      <w:bookmarkEnd w:id="38"/>
      <w:r w:rsidRPr="008C5097">
        <w:t xml:space="preserve"> </w:t>
      </w:r>
    </w:p>
    <w:p w14:paraId="7476DBE9" w14:textId="77777777" w:rsidR="00A9674A" w:rsidRPr="00A9674A" w:rsidRDefault="00A9674A" w:rsidP="00A9674A">
      <w:pPr>
        <w:rPr>
          <w:lang w:val="en-US" w:eastAsia="zh-CN" w:bidi="bn-IN"/>
        </w:rPr>
      </w:pPr>
      <w:r w:rsidRPr="00A9674A">
        <w:rPr>
          <w:lang w:val="en-US" w:eastAsia="zh-CN" w:bidi="bn-IN"/>
        </w:rPr>
        <w:t xml:space="preserve">Research philosophy refers to the assumptions about the nature of knowledge and the way that one can get it. It determines the methodological decisions of </w:t>
      </w:r>
      <w:proofErr w:type="gramStart"/>
      <w:r w:rsidRPr="00A9674A">
        <w:rPr>
          <w:lang w:val="en-US" w:eastAsia="zh-CN" w:bidi="bn-IN"/>
        </w:rPr>
        <w:t>a research</w:t>
      </w:r>
      <w:proofErr w:type="gramEnd"/>
      <w:r w:rsidRPr="00A9674A">
        <w:rPr>
          <w:lang w:val="en-US" w:eastAsia="zh-CN" w:bidi="bn-IN"/>
        </w:rPr>
        <w:t>, which has an impact on the process of data collection, analysis, and interpretation (Tsang, 2016). In general, the philosophies of research may be divided into positivism, interpretivism, realism, and pragmatism, which are the philosophies with different epistemological and ontological positions.</w:t>
      </w:r>
    </w:p>
    <w:p w14:paraId="0EDF7F52" w14:textId="77777777" w:rsidR="00A9674A" w:rsidRPr="00A9674A" w:rsidRDefault="00A9674A" w:rsidP="00A9674A">
      <w:pPr>
        <w:rPr>
          <w:lang w:val="en-US" w:eastAsia="zh-CN" w:bidi="bn-IN"/>
        </w:rPr>
      </w:pPr>
      <w:r w:rsidRPr="00A9674A">
        <w:rPr>
          <w:lang w:val="en-US" w:eastAsia="zh-CN" w:bidi="bn-IN"/>
        </w:rPr>
        <w:t xml:space="preserve">Research philosophies are basic assumptions regarding the reality and knowledge. Positivism presupposes the existence of an objective reality that can be measured by empirical means and </w:t>
      </w:r>
      <w:proofErr w:type="spellStart"/>
      <w:r w:rsidRPr="00A9674A">
        <w:rPr>
          <w:lang w:val="en-US" w:eastAsia="zh-CN" w:bidi="bn-IN"/>
        </w:rPr>
        <w:t>analysed</w:t>
      </w:r>
      <w:proofErr w:type="spellEnd"/>
      <w:r w:rsidRPr="00A9674A">
        <w:rPr>
          <w:lang w:val="en-US" w:eastAsia="zh-CN" w:bidi="bn-IN"/>
        </w:rPr>
        <w:t xml:space="preserve"> quantitatively but is insufficient in terms of complex social processes like sustainability and perceptions of greenwashing. On the contrary, interpretivism focuses on the social construction of reality and puts more emphasis on context and meaning, which is why it is suitable in </w:t>
      </w:r>
      <w:proofErr w:type="spellStart"/>
      <w:r w:rsidRPr="00A9674A">
        <w:rPr>
          <w:lang w:val="en-US" w:eastAsia="zh-CN" w:bidi="bn-IN"/>
        </w:rPr>
        <w:t>synthesising</w:t>
      </w:r>
      <w:proofErr w:type="spellEnd"/>
      <w:r w:rsidRPr="00A9674A">
        <w:rPr>
          <w:lang w:val="en-US" w:eastAsia="zh-CN" w:bidi="bn-IN"/>
        </w:rPr>
        <w:t xml:space="preserve"> various qualitative views. Critical realism accepts the existence of an objective reality but accepts that knowledge is mediated by social and mental processes and thus makes it possible to assess not only observable </w:t>
      </w:r>
      <w:proofErr w:type="spellStart"/>
      <w:r w:rsidRPr="00A9674A">
        <w:rPr>
          <w:lang w:val="en-US" w:eastAsia="zh-CN" w:bidi="bn-IN"/>
        </w:rPr>
        <w:t>practises</w:t>
      </w:r>
      <w:proofErr w:type="spellEnd"/>
      <w:r w:rsidRPr="00A9674A">
        <w:rPr>
          <w:lang w:val="en-US" w:eastAsia="zh-CN" w:bidi="bn-IN"/>
        </w:rPr>
        <w:t xml:space="preserve"> but also interpretations. Pragmatism focuses on solving practical problems and combines subjectivity and objectivity to achieve flexible and practical research (Tsang, 2016; Cooper, 1984).</w:t>
      </w:r>
    </w:p>
    <w:p w14:paraId="2F242210" w14:textId="77777777" w:rsidR="00A9674A" w:rsidRPr="00A9674A" w:rsidRDefault="00A9674A" w:rsidP="00A9674A">
      <w:pPr>
        <w:rPr>
          <w:lang w:val="en-US" w:eastAsia="zh-CN" w:bidi="bn-IN"/>
        </w:rPr>
      </w:pPr>
      <w:r w:rsidRPr="00A9674A">
        <w:rPr>
          <w:lang w:val="en-US" w:eastAsia="zh-CN" w:bidi="bn-IN"/>
        </w:rPr>
        <w:lastRenderedPageBreak/>
        <w:t xml:space="preserve">The philosophy that will be used in this systematic review is that of the interpretivist because the study is aimed at explaining the complex, contextual, and socially mediated constructs of sustainability and greenwashing in the fashion industry. The methodology allows making a subtle integration of the literature as it allows the researcher to investigate the differences in definitions, </w:t>
      </w:r>
      <w:proofErr w:type="spellStart"/>
      <w:r w:rsidRPr="00A9674A">
        <w:rPr>
          <w:lang w:val="en-US" w:eastAsia="zh-CN" w:bidi="bn-IN"/>
        </w:rPr>
        <w:t>practises</w:t>
      </w:r>
      <w:proofErr w:type="spellEnd"/>
      <w:r w:rsidRPr="00A9674A">
        <w:rPr>
          <w:lang w:val="en-US" w:eastAsia="zh-CN" w:bidi="bn-IN"/>
        </w:rPr>
        <w:t>, perceptions, and reporting systems across brands, markets, and regulatory settings (Boland, Cherry &amp; Dickson, 2017; Afifi, Stryhn and Sanchez, 2023). The interpretivist position acknowledges that the knowledge in this field is not so objective or quantifiable as it is a result of corporate activities, consumer perception, and institutional structures.</w:t>
      </w:r>
    </w:p>
    <w:p w14:paraId="6AE51FDF" w14:textId="2171A628" w:rsidR="00D478F9" w:rsidRPr="00D478F9" w:rsidRDefault="00A9674A" w:rsidP="00A9674A">
      <w:pPr>
        <w:rPr>
          <w:lang w:val="en-US" w:eastAsia="zh-CN" w:bidi="bn-IN"/>
        </w:rPr>
      </w:pPr>
      <w:r w:rsidRPr="00A9674A">
        <w:rPr>
          <w:lang w:val="en-US" w:eastAsia="zh-CN" w:bidi="bn-IN"/>
        </w:rPr>
        <w:t xml:space="preserve">Furthermore, the choice of interpretivism contributes to the enrichment of several theoretical approaches, including Stakeholder Theory, </w:t>
      </w:r>
      <w:proofErr w:type="spellStart"/>
      <w:r w:rsidRPr="00A9674A">
        <w:rPr>
          <w:lang w:val="en-US" w:eastAsia="zh-CN" w:bidi="bn-IN"/>
        </w:rPr>
        <w:t>Signalling</w:t>
      </w:r>
      <w:proofErr w:type="spellEnd"/>
      <w:r w:rsidRPr="00A9674A">
        <w:rPr>
          <w:lang w:val="en-US" w:eastAsia="zh-CN" w:bidi="bn-IN"/>
        </w:rPr>
        <w:t xml:space="preserve"> Theory, and the Triple Bottom Line Model, which will make it possible to understand the </w:t>
      </w:r>
      <w:proofErr w:type="spellStart"/>
      <w:r w:rsidRPr="00A9674A">
        <w:rPr>
          <w:lang w:val="en-US" w:eastAsia="zh-CN" w:bidi="bn-IN"/>
        </w:rPr>
        <w:t>practise</w:t>
      </w:r>
      <w:proofErr w:type="spellEnd"/>
      <w:r w:rsidRPr="00A9674A">
        <w:rPr>
          <w:lang w:val="en-US" w:eastAsia="zh-CN" w:bidi="bn-IN"/>
        </w:rPr>
        <w:t xml:space="preserve"> of authenticity and greenwashing more richly and critically (Shaheen </w:t>
      </w:r>
      <w:r w:rsidR="001D1CA2" w:rsidRPr="001D1CA2">
        <w:rPr>
          <w:i/>
          <w:iCs/>
          <w:lang w:val="en-US" w:eastAsia="zh-CN" w:bidi="bn-IN"/>
        </w:rPr>
        <w:t>et al</w:t>
      </w:r>
      <w:r w:rsidRPr="00A9674A">
        <w:rPr>
          <w:lang w:val="en-US" w:eastAsia="zh-CN" w:bidi="bn-IN"/>
        </w:rPr>
        <w:t>., 2023; Foster and Jewell, 2017). This philosophical decision therefore concurs with the objective of making meaningful and contextually-based inferences out of the existing literature, which forms a plausible basis to the following methodological procedures.</w:t>
      </w:r>
    </w:p>
    <w:p w14:paraId="701A22AA" w14:textId="30A97CCB" w:rsidR="00391EB6" w:rsidRDefault="00391EB6" w:rsidP="008C5097">
      <w:pPr>
        <w:pStyle w:val="Heading2"/>
      </w:pPr>
      <w:bookmarkStart w:id="39" w:name="_Toc218445683"/>
      <w:r w:rsidRPr="008C5097">
        <w:t>Research Design</w:t>
      </w:r>
      <w:bookmarkEnd w:id="39"/>
    </w:p>
    <w:p w14:paraId="12063256" w14:textId="77777777" w:rsidR="00A9674A" w:rsidRPr="00A9674A" w:rsidRDefault="00A9674A" w:rsidP="00A9674A">
      <w:pPr>
        <w:rPr>
          <w:lang w:val="en-US" w:eastAsia="zh-CN" w:bidi="bn-IN"/>
        </w:rPr>
      </w:pPr>
      <w:r w:rsidRPr="00A9674A">
        <w:rPr>
          <w:lang w:val="en-US" w:eastAsia="zh-CN" w:bidi="bn-IN"/>
        </w:rPr>
        <w:t>The study also assumes a systematic review design, which offers a systematic, transparent, and replicable approach to the synthesis of existing literature on the topic of sustainability and greenwashing in the fashion industry (Boland, Cherry &amp; Dickson, 2017; Cooper, 1984). This is a design that is especially applicable to answering complex and multifaceted research questions because this research design allows incorporating evidence related to a variety of studies, both empirical research, theoretical analyses, and case studies, and reducing bias and increasing reliability (Gough, Oliver and Thomas, 2017; Afifi, Stryhn and Sanchez, 2023).</w:t>
      </w:r>
    </w:p>
    <w:p w14:paraId="3E4209FA" w14:textId="3E9C5567" w:rsidR="00D478F9" w:rsidRPr="00D478F9" w:rsidRDefault="00A9674A" w:rsidP="00A9674A">
      <w:pPr>
        <w:rPr>
          <w:lang w:val="en-US" w:eastAsia="zh-CN" w:bidi="bn-IN"/>
        </w:rPr>
      </w:pPr>
      <w:r w:rsidRPr="00A9674A">
        <w:rPr>
          <w:lang w:val="en-US" w:eastAsia="zh-CN" w:bidi="bn-IN"/>
        </w:rPr>
        <w:t xml:space="preserve">The systematic review design can be used to compare genuine sustainability efforts with the greenwashing activities critically and identify the patterns, gaps, and inconsistencies between various brands, regions, and regulatory frameworks. The design is methodologically rigorous and reproducible because of adherence to the protocols, including PRISMA 2020 (Page </w:t>
      </w:r>
      <w:r w:rsidR="001D1CA2" w:rsidRPr="001D1CA2">
        <w:rPr>
          <w:i/>
          <w:iCs/>
          <w:lang w:val="en-US" w:eastAsia="zh-CN" w:bidi="bn-IN"/>
        </w:rPr>
        <w:t>et al</w:t>
      </w:r>
      <w:r w:rsidRPr="00A9674A">
        <w:rPr>
          <w:lang w:val="en-US" w:eastAsia="zh-CN" w:bidi="bn-IN"/>
        </w:rPr>
        <w:t xml:space="preserve">., 2021), and methodological guidelines provided by Cochrane Handbook (Higgins and Green, 2019). Moreover, the stated methodology facilitates a qualitative synthesis, which allows developing a more </w:t>
      </w:r>
      <w:r w:rsidRPr="00A9674A">
        <w:rPr>
          <w:lang w:val="en-US" w:eastAsia="zh-CN" w:bidi="bn-IN"/>
        </w:rPr>
        <w:lastRenderedPageBreak/>
        <w:t xml:space="preserve">balanced picture of the social, environmental, and </w:t>
      </w:r>
      <w:proofErr w:type="spellStart"/>
      <w:r w:rsidRPr="00A9674A">
        <w:rPr>
          <w:lang w:val="en-US" w:eastAsia="zh-CN" w:bidi="bn-IN"/>
        </w:rPr>
        <w:t>organisational</w:t>
      </w:r>
      <w:proofErr w:type="spellEnd"/>
      <w:r w:rsidRPr="00A9674A">
        <w:rPr>
          <w:lang w:val="en-US" w:eastAsia="zh-CN" w:bidi="bn-IN"/>
        </w:rPr>
        <w:t xml:space="preserve"> aspects of fashion sustainability. On the whole, the systematic review design complies with the interpretivist philosophy of the study and offers a strong framework of producing valuable and evidence-based conclusions about the corporate </w:t>
      </w:r>
      <w:proofErr w:type="spellStart"/>
      <w:r w:rsidRPr="00A9674A">
        <w:rPr>
          <w:lang w:val="en-US" w:eastAsia="zh-CN" w:bidi="bn-IN"/>
        </w:rPr>
        <w:t>practises</w:t>
      </w:r>
      <w:proofErr w:type="spellEnd"/>
      <w:r w:rsidRPr="00A9674A">
        <w:rPr>
          <w:lang w:val="en-US" w:eastAsia="zh-CN" w:bidi="bn-IN"/>
        </w:rPr>
        <w:t xml:space="preserve"> and consumer perceptions.</w:t>
      </w:r>
    </w:p>
    <w:p w14:paraId="35B0BCF5" w14:textId="7F1C7700" w:rsidR="00391EB6" w:rsidRDefault="00391EB6" w:rsidP="008C5097">
      <w:pPr>
        <w:pStyle w:val="Heading2"/>
      </w:pPr>
      <w:bookmarkStart w:id="40" w:name="_Toc218445684"/>
      <w:r w:rsidRPr="008C5097">
        <w:t xml:space="preserve">Research Approaches </w:t>
      </w:r>
      <w:r w:rsidR="00D478F9">
        <w:t>&amp; Jus</w:t>
      </w:r>
      <w:r w:rsidR="00521270">
        <w:t>tification</w:t>
      </w:r>
      <w:bookmarkEnd w:id="40"/>
    </w:p>
    <w:p w14:paraId="70BDD603" w14:textId="77777777" w:rsidR="00A9674A" w:rsidRDefault="00A9674A" w:rsidP="00A9674A">
      <w:r>
        <w:t>Research methods determine the application of theories and empirical research in answering research questions. In general, studies may be deductive, inductive, or abductive. Inductive approach is based on observations to formulate theory, focusing on searching and identifying patterns, frequently appropriate to more qualitative research. Abductive methods involve both deduction and induction in that researchers can repeatedly alternate between theory and data to produce or test explanations. Deductive methods, on the contrary, start with a set of already existing theories or propositions and work out whether the empirical evidence can prove these theoretical constructs, or extend them, or disprove them (Tsang, 2016; Cooper, 1984).</w:t>
      </w:r>
    </w:p>
    <w:p w14:paraId="0E2CDF00" w14:textId="25541BEB" w:rsidR="00521270" w:rsidRPr="00521270" w:rsidRDefault="00A9674A" w:rsidP="00A9674A">
      <w:r>
        <w:t xml:space="preserve">In this research, the deductive method is used as it aims at evaluating whether the findings of the systematic review confirm, add or challenge the recognised theoretical frameworks, namely, Stakeholder Theory, Signalling Theory, and Triple Bottom Line Model. The study appraises the explanatory ability of these theories in the framework of sustainability and greenwashing in the fashion industry by synthesising and mapping the evidence against them systematically (Shaheen </w:t>
      </w:r>
      <w:r w:rsidR="001D1CA2" w:rsidRPr="001D1CA2">
        <w:rPr>
          <w:i/>
          <w:iCs/>
        </w:rPr>
        <w:t>et al</w:t>
      </w:r>
      <w:r>
        <w:t>., 2023; Afifi, Stryhn and Sanchez, 2023). The deductive methodology guarantees a systematic analytical system, making it easier to critically compare the theoretical assumptions and the practises in practise and allows concluding on the basis of the evidence on the validity and usefulness of the chosen theories.</w:t>
      </w:r>
    </w:p>
    <w:p w14:paraId="584DDDBE" w14:textId="749AE74F" w:rsidR="00391EB6" w:rsidRDefault="00391EB6" w:rsidP="008C5097">
      <w:pPr>
        <w:pStyle w:val="Heading2"/>
      </w:pPr>
      <w:bookmarkStart w:id="41" w:name="_Toc218445685"/>
      <w:r w:rsidRPr="008C5097">
        <w:t>Data Collection Methods</w:t>
      </w:r>
      <w:bookmarkEnd w:id="41"/>
    </w:p>
    <w:p w14:paraId="593033E5" w14:textId="3F59EC32" w:rsidR="003B099C" w:rsidRDefault="00A9674A" w:rsidP="003B099C">
      <w:r w:rsidRPr="00A9674A">
        <w:t xml:space="preserve">The current study is based on the use of only secondary data collection, which is in line with the existing recommendations regarding systematic reviews (Higgins and Green, 2019; Page </w:t>
      </w:r>
      <w:r w:rsidR="001D1CA2" w:rsidRPr="001D1CA2">
        <w:rPr>
          <w:i/>
          <w:iCs/>
        </w:rPr>
        <w:t>et al</w:t>
      </w:r>
      <w:r w:rsidRPr="00A9674A">
        <w:t xml:space="preserve">., 2021). The approach will be to identify, screen and extract information on the sustainability and greenwashing in fashion using peer-reviewed articles, industry publications, and regulatory sources. Secondary data can increase </w:t>
      </w:r>
      <w:r w:rsidRPr="00A9674A">
        <w:lastRenderedPageBreak/>
        <w:t xml:space="preserve">transparency, reproducibility and methodological rigour; all data obtained is based on documented and verifiable sources (Afifi, Stryhn and Sanchez, 2023; Shaheen </w:t>
      </w:r>
      <w:r w:rsidR="001D1CA2" w:rsidRPr="001D1CA2">
        <w:rPr>
          <w:i/>
          <w:iCs/>
        </w:rPr>
        <w:t>et al</w:t>
      </w:r>
      <w:r w:rsidRPr="00A9674A">
        <w:t>., 2023).</w:t>
      </w:r>
    </w:p>
    <w:p w14:paraId="17EE59B1" w14:textId="77777777" w:rsidR="009462E1" w:rsidRDefault="003B099C" w:rsidP="009462E1">
      <w:pPr>
        <w:pStyle w:val="Heading3"/>
        <w:rPr>
          <w:lang w:val="en-US"/>
        </w:rPr>
      </w:pPr>
      <w:bookmarkStart w:id="42" w:name="_Toc218445686"/>
      <w:r w:rsidRPr="003B099C">
        <w:rPr>
          <w:lang w:val="en-US"/>
        </w:rPr>
        <w:t>Databases and Search Strategy</w:t>
      </w:r>
      <w:bookmarkEnd w:id="42"/>
    </w:p>
    <w:p w14:paraId="5E43833D" w14:textId="28E1B85C" w:rsidR="00A9674A" w:rsidRPr="00A9674A" w:rsidRDefault="00A9674A" w:rsidP="00A9674A">
      <w:pPr>
        <w:rPr>
          <w:lang w:val="en-US" w:eastAsia="zh-CN" w:bidi="bn-IN"/>
        </w:rPr>
      </w:pPr>
      <w:r w:rsidRPr="00A9674A">
        <w:rPr>
          <w:lang w:val="en-US" w:eastAsia="zh-CN" w:bidi="bn-IN"/>
        </w:rPr>
        <w:t>The key element of making a systematic review rigorous and reproducible is a systematic and transparent search strategy (</w:t>
      </w:r>
      <w:proofErr w:type="spellStart"/>
      <w:r w:rsidRPr="00A9674A">
        <w:rPr>
          <w:lang w:val="en-US" w:eastAsia="zh-CN" w:bidi="bn-IN"/>
        </w:rPr>
        <w:t>Gusenbauer</w:t>
      </w:r>
      <w:proofErr w:type="spellEnd"/>
      <w:r w:rsidRPr="00A9674A">
        <w:rPr>
          <w:lang w:val="en-US" w:eastAsia="zh-CN" w:bidi="bn-IN"/>
        </w:rPr>
        <w:t xml:space="preserve"> and </w:t>
      </w:r>
      <w:proofErr w:type="spellStart"/>
      <w:r w:rsidRPr="00A9674A">
        <w:rPr>
          <w:lang w:val="en-US" w:eastAsia="zh-CN" w:bidi="bn-IN"/>
        </w:rPr>
        <w:t>Gauster</w:t>
      </w:r>
      <w:proofErr w:type="spellEnd"/>
      <w:r w:rsidRPr="00A9674A">
        <w:rPr>
          <w:lang w:val="en-US" w:eastAsia="zh-CN" w:bidi="bn-IN"/>
        </w:rPr>
        <w:t xml:space="preserve">, 2024; Page </w:t>
      </w:r>
      <w:r w:rsidR="001D1CA2" w:rsidRPr="001D1CA2">
        <w:rPr>
          <w:i/>
          <w:iCs/>
          <w:lang w:val="en-US" w:eastAsia="zh-CN" w:bidi="bn-IN"/>
        </w:rPr>
        <w:t>et al</w:t>
      </w:r>
      <w:r w:rsidRPr="00A9674A">
        <w:rPr>
          <w:lang w:val="en-US" w:eastAsia="zh-CN" w:bidi="bn-IN"/>
        </w:rPr>
        <w:t>., 2021). A number of databases were firstly taken into consideration, such as Web of science, Google scholar, ScienceDirect and Scopus. The Scopus was chosen as the main source because it indexes a great number of peer-reviewed journals, and it covers a wide range of disciplines with the additional search options that facilitate the narrowing of the search results and retrieval of the needed studies. Its deep research in the field of sustainability, corporate responsibility and the fashion industry also supported its appropriateness in the context of this review (Foster and Jewell, 2017; Boland, Cherry and Dickson, 2017).</w:t>
      </w:r>
    </w:p>
    <w:p w14:paraId="12160CFE" w14:textId="4F164FF2" w:rsidR="009462E1" w:rsidRPr="009462E1" w:rsidRDefault="00A9674A" w:rsidP="00A9674A">
      <w:pPr>
        <w:rPr>
          <w:lang w:val="en-US" w:eastAsia="zh-CN" w:bidi="bn-IN"/>
        </w:rPr>
      </w:pPr>
      <w:r w:rsidRPr="00A9674A">
        <w:rPr>
          <w:lang w:val="en-US" w:eastAsia="zh-CN" w:bidi="bn-IN"/>
        </w:rPr>
        <w:t>A systematic search was used whereby the search strategy consisted of a combination of keywords and Boolean operators to find literature on the sustainability, greenwashing and the fashion industry.</w:t>
      </w:r>
      <w:r>
        <w:rPr>
          <w:lang w:val="en-US" w:eastAsia="zh-CN" w:bidi="bn-IN"/>
        </w:rPr>
        <w:t xml:space="preserve"> </w:t>
      </w:r>
      <w:r w:rsidR="009462E1" w:rsidRPr="009462E1">
        <w:rPr>
          <w:lang w:val="en-US" w:eastAsia="zh-CN" w:bidi="bn-IN"/>
        </w:rPr>
        <w:t>The final search string was:</w:t>
      </w:r>
    </w:p>
    <w:p w14:paraId="75CE825D" w14:textId="2E238723" w:rsidR="009462E1" w:rsidRPr="009462E1" w:rsidRDefault="009462E1" w:rsidP="009462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ind w:left="864"/>
        <w:jc w:val="left"/>
        <w:rPr>
          <w:rFonts w:ascii="Courier New" w:eastAsia="Times New Roman" w:hAnsi="Courier New" w:cs="Courier New"/>
          <w:color w:val="000000" w:themeColor="text1"/>
          <w:sz w:val="20"/>
          <w:szCs w:val="20"/>
          <w:lang w:val="en-US" w:eastAsia="zh-CN" w:bidi="bn-IN"/>
        </w:rPr>
      </w:pPr>
      <w:r w:rsidRPr="009462E1">
        <w:rPr>
          <w:rFonts w:ascii="Courier New" w:eastAsia="Times New Roman" w:hAnsi="Courier New" w:cs="Courier New"/>
          <w:color w:val="000000" w:themeColor="text1"/>
          <w:sz w:val="20"/>
          <w:szCs w:val="20"/>
          <w:lang w:val="en-US" w:eastAsia="zh-CN" w:bidi="bn-IN"/>
        </w:rPr>
        <w:t>(TITLE-ABS-KEY (</w:t>
      </w:r>
      <w:proofErr w:type="spellStart"/>
      <w:r w:rsidRPr="009462E1">
        <w:rPr>
          <w:rFonts w:ascii="Courier New" w:eastAsia="Times New Roman" w:hAnsi="Courier New" w:cs="Courier New"/>
          <w:color w:val="000000" w:themeColor="text1"/>
          <w:sz w:val="20"/>
          <w:szCs w:val="20"/>
          <w:lang w:val="en-US" w:eastAsia="zh-CN" w:bidi="bn-IN"/>
        </w:rPr>
        <w:t>sustainab</w:t>
      </w:r>
      <w:proofErr w:type="spellEnd"/>
      <w:r w:rsidRPr="009462E1">
        <w:rPr>
          <w:rFonts w:ascii="Courier New" w:eastAsia="Times New Roman" w:hAnsi="Courier New" w:cs="Courier New"/>
          <w:color w:val="000000" w:themeColor="text1"/>
          <w:sz w:val="20"/>
          <w:szCs w:val="20"/>
          <w:lang w:val="en-US" w:eastAsia="zh-CN" w:bidi="bn-IN"/>
        </w:rPr>
        <w:t xml:space="preserve">* OR "environmental responsibility" OR "corporate social responsibility" OR "ESG" OR "ethical practice*" OR "sustainable development" OR "sustainable fashion" </w:t>
      </w:r>
    </w:p>
    <w:p w14:paraId="78ABC05A" w14:textId="6103339A" w:rsidR="009462E1" w:rsidRPr="009462E1" w:rsidRDefault="009462E1" w:rsidP="00A9674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240" w:after="240" w:line="240" w:lineRule="auto"/>
        <w:ind w:left="864"/>
        <w:jc w:val="left"/>
        <w:rPr>
          <w:rFonts w:ascii="Courier New" w:eastAsia="Times New Roman" w:hAnsi="Courier New" w:cs="Courier New"/>
          <w:color w:val="000000" w:themeColor="text1"/>
          <w:sz w:val="20"/>
          <w:szCs w:val="20"/>
          <w:lang w:val="en-US" w:eastAsia="zh-CN" w:bidi="bn-IN"/>
        </w:rPr>
      </w:pPr>
      <w:r w:rsidRPr="009462E1">
        <w:rPr>
          <w:rFonts w:ascii="Courier New" w:eastAsia="Times New Roman" w:hAnsi="Courier New" w:cs="Courier New"/>
          <w:color w:val="000000" w:themeColor="text1"/>
          <w:sz w:val="20"/>
          <w:szCs w:val="20"/>
          <w:lang w:val="en-US" w:eastAsia="zh-CN" w:bidi="bn-IN"/>
        </w:rPr>
        <w:t>OR "green practice*" OR "eco-friendly")) AND</w:t>
      </w:r>
      <w:r>
        <w:rPr>
          <w:rFonts w:ascii="Courier New" w:eastAsia="Times New Roman" w:hAnsi="Courier New" w:cs="Courier New"/>
          <w:color w:val="000000" w:themeColor="text1"/>
          <w:sz w:val="20"/>
          <w:szCs w:val="20"/>
          <w:lang w:val="en-US" w:eastAsia="zh-CN" w:bidi="bn-IN"/>
        </w:rPr>
        <w:t xml:space="preserve"> </w:t>
      </w:r>
      <w:r w:rsidRPr="009462E1">
        <w:rPr>
          <w:rFonts w:ascii="Courier New" w:eastAsia="Times New Roman" w:hAnsi="Courier New" w:cs="Courier New"/>
          <w:color w:val="000000" w:themeColor="text1"/>
          <w:sz w:val="20"/>
          <w:szCs w:val="20"/>
          <w:lang w:val="en-US" w:eastAsia="zh-CN" w:bidi="bn-IN"/>
        </w:rPr>
        <w:t>(TITLE-ABS-KEY ("greenwash*" OR "misleading environmental claim*" OR "false sustainability" OR "deceptive marketing" OR "green marketing" OR "CSR washing")) AND (TITLE-ABS-KEY ("fashion" OR "fashion industry" OR "apparel industry" OR "textile industry" OR clothing OR garment OR "luxury fashion" OR "fast fashion")) AND PUBYEAR &gt; 2014 AND PUBYEAR &lt; 2027 AND (LIMIT-TO (DOCTYPE, "</w:t>
      </w:r>
      <w:proofErr w:type="spellStart"/>
      <w:r w:rsidRPr="009462E1">
        <w:rPr>
          <w:rFonts w:ascii="Courier New" w:eastAsia="Times New Roman" w:hAnsi="Courier New" w:cs="Courier New"/>
          <w:color w:val="000000" w:themeColor="text1"/>
          <w:sz w:val="20"/>
          <w:szCs w:val="20"/>
          <w:lang w:val="en-US" w:eastAsia="zh-CN" w:bidi="bn-IN"/>
        </w:rPr>
        <w:t>ar</w:t>
      </w:r>
      <w:proofErr w:type="spellEnd"/>
      <w:r w:rsidRPr="009462E1">
        <w:rPr>
          <w:rFonts w:ascii="Courier New" w:eastAsia="Times New Roman" w:hAnsi="Courier New" w:cs="Courier New"/>
          <w:color w:val="000000" w:themeColor="text1"/>
          <w:sz w:val="20"/>
          <w:szCs w:val="20"/>
          <w:lang w:val="en-US" w:eastAsia="zh-CN" w:bidi="bn-IN"/>
        </w:rPr>
        <w:t>") OR LIMIT-TO (DOCTYPE, "cp"))AND (LIMIT-TO (LANGUAGE, "English"))</w:t>
      </w:r>
    </w:p>
    <w:p w14:paraId="15510B43" w14:textId="2EF3C46E" w:rsidR="00A9674A" w:rsidRPr="00A9674A" w:rsidRDefault="00A9674A" w:rsidP="00A9674A">
      <w:pPr>
        <w:rPr>
          <w:lang w:val="en-US" w:eastAsia="zh-CN" w:bidi="bn-IN"/>
        </w:rPr>
      </w:pPr>
      <w:r w:rsidRPr="00A9674A">
        <w:rPr>
          <w:lang w:val="en-US" w:eastAsia="zh-CN" w:bidi="bn-IN"/>
        </w:rPr>
        <w:t xml:space="preserve">Relevancy and quality </w:t>
      </w:r>
      <w:r>
        <w:rPr>
          <w:lang w:val="en-US" w:eastAsia="zh-CN" w:bidi="bn-IN"/>
        </w:rPr>
        <w:t>filters</w:t>
      </w:r>
      <w:r w:rsidRPr="00A9674A">
        <w:rPr>
          <w:lang w:val="en-US" w:eastAsia="zh-CN" w:bidi="bn-IN"/>
        </w:rPr>
        <w:t xml:space="preserve"> were used. The range of publications (2015-2026) helped to include the current research that covers the actual tendencies in the topic of sustainability and greenwashing. The limitation of document type to journal articles and conference papers was to identify academically validated and peer reviewed evidence. The search was restricted to English-language articles to provide accuracy and consistency in interpretation.</w:t>
      </w:r>
    </w:p>
    <w:p w14:paraId="286A480A" w14:textId="6B3EAB15" w:rsidR="003B099C" w:rsidRPr="009462E1" w:rsidRDefault="00A9674A" w:rsidP="00A9674A">
      <w:pPr>
        <w:rPr>
          <w:lang w:val="en-US" w:eastAsia="zh-CN" w:bidi="bn-IN"/>
        </w:rPr>
      </w:pPr>
      <w:r w:rsidRPr="00A9674A">
        <w:rPr>
          <w:lang w:val="en-US" w:eastAsia="zh-CN" w:bidi="bn-IN"/>
        </w:rPr>
        <w:t xml:space="preserve">This systematic and filtered search procedure is consistent with the set of guidelines regarding the implementation of the systematic reviews and contributes to the </w:t>
      </w:r>
      <w:r w:rsidRPr="00A9674A">
        <w:rPr>
          <w:lang w:val="en-US" w:eastAsia="zh-CN" w:bidi="bn-IN"/>
        </w:rPr>
        <w:lastRenderedPageBreak/>
        <w:t xml:space="preserve">transparency, replicability, and completeness of the high-quality evidence synthesis (Higgins and Green, 2019; Shaheen </w:t>
      </w:r>
      <w:r w:rsidR="001D1CA2" w:rsidRPr="001D1CA2">
        <w:rPr>
          <w:i/>
          <w:iCs/>
          <w:lang w:val="en-US" w:eastAsia="zh-CN" w:bidi="bn-IN"/>
        </w:rPr>
        <w:t>et al</w:t>
      </w:r>
      <w:r w:rsidRPr="00A9674A">
        <w:rPr>
          <w:lang w:val="en-US" w:eastAsia="zh-CN" w:bidi="bn-IN"/>
        </w:rPr>
        <w:t>., 2023).</w:t>
      </w:r>
    </w:p>
    <w:p w14:paraId="202EC911" w14:textId="60DF3748" w:rsidR="00295FB2" w:rsidRDefault="00295FB2" w:rsidP="00295FB2">
      <w:pPr>
        <w:pStyle w:val="Heading3"/>
      </w:pPr>
      <w:bookmarkStart w:id="43" w:name="_Hlk218439084"/>
      <w:bookmarkStart w:id="44" w:name="_Toc218445687"/>
      <w:r>
        <w:t>Inclusion and exclusion criteria</w:t>
      </w:r>
      <w:bookmarkEnd w:id="44"/>
    </w:p>
    <w:bookmarkEnd w:id="43"/>
    <w:p w14:paraId="0511350B" w14:textId="035D57F3" w:rsidR="009462E1" w:rsidRDefault="00A9674A" w:rsidP="009462E1">
      <w:r w:rsidRPr="00A9674A">
        <w:t>Transparency, rigour and consistency in the selection of studies to be included in a systematic review can only be attained by having a clear set of inclusion and exclusion criteria. These criteria will direct the process of screening by determining the sources that are relevant, credible and applicable to answer the research questions. The criteria used in this research were created in accordance with the methodological recommendation about systematic reviews and were used in the screening of the titles and abstracts and in the screening of the full-text review.</w:t>
      </w:r>
    </w:p>
    <w:p w14:paraId="67815C7E" w14:textId="7C89471F" w:rsidR="002B796F" w:rsidRDefault="002B796F" w:rsidP="002B796F">
      <w:bookmarkStart w:id="45" w:name="_Toc218439128"/>
      <w:r>
        <w:t xml:space="preserve">Table </w:t>
      </w:r>
      <w:fldSimple w:instr=" SEQ Table \* ARABIC ">
        <w:r>
          <w:rPr>
            <w:noProof/>
          </w:rPr>
          <w:t>1</w:t>
        </w:r>
      </w:fldSimple>
      <w:r>
        <w:t xml:space="preserve"> </w:t>
      </w:r>
      <w:r w:rsidRPr="002B796F">
        <w:t>Inclusion and exclusion criteria</w:t>
      </w:r>
      <w:bookmarkEnd w:id="45"/>
    </w:p>
    <w:tbl>
      <w:tblPr>
        <w:tblStyle w:val="TableGridLight"/>
        <w:tblW w:w="0" w:type="auto"/>
        <w:tblLook w:val="04A0" w:firstRow="1" w:lastRow="0" w:firstColumn="1" w:lastColumn="0" w:noHBand="0" w:noVBand="1"/>
      </w:tblPr>
      <w:tblGrid>
        <w:gridCol w:w="4495"/>
        <w:gridCol w:w="4521"/>
      </w:tblGrid>
      <w:tr w:rsidR="009462E1" w:rsidRPr="009462E1" w14:paraId="085C7D51" w14:textId="77777777" w:rsidTr="009462E1">
        <w:tc>
          <w:tcPr>
            <w:tcW w:w="4500" w:type="dxa"/>
            <w:vAlign w:val="center"/>
            <w:hideMark/>
          </w:tcPr>
          <w:p w14:paraId="142A30C5" w14:textId="77777777" w:rsidR="009462E1" w:rsidRPr="009462E1" w:rsidRDefault="009462E1" w:rsidP="009462E1">
            <w:pPr>
              <w:jc w:val="left"/>
              <w:rPr>
                <w:b/>
                <w:bCs/>
                <w:lang w:val="en-US" w:bidi="ar-SA"/>
              </w:rPr>
            </w:pPr>
            <w:r w:rsidRPr="009462E1">
              <w:rPr>
                <w:b/>
                <w:bCs/>
                <w:lang w:val="en-US" w:bidi="ar-SA"/>
              </w:rPr>
              <w:t>Inclusion Criteria</w:t>
            </w:r>
          </w:p>
        </w:tc>
        <w:tc>
          <w:tcPr>
            <w:tcW w:w="4526" w:type="dxa"/>
            <w:vAlign w:val="center"/>
            <w:hideMark/>
          </w:tcPr>
          <w:p w14:paraId="319DA8AB" w14:textId="77777777" w:rsidR="009462E1" w:rsidRPr="009462E1" w:rsidRDefault="009462E1" w:rsidP="009462E1">
            <w:pPr>
              <w:jc w:val="left"/>
              <w:rPr>
                <w:b/>
                <w:bCs/>
                <w:lang w:val="en-US" w:bidi="ar-SA"/>
              </w:rPr>
            </w:pPr>
            <w:r w:rsidRPr="009462E1">
              <w:rPr>
                <w:b/>
                <w:bCs/>
                <w:lang w:val="en-US" w:bidi="ar-SA"/>
              </w:rPr>
              <w:t>Exclusion Criteria</w:t>
            </w:r>
          </w:p>
        </w:tc>
      </w:tr>
      <w:tr w:rsidR="009462E1" w:rsidRPr="009462E1" w14:paraId="1ECA88D6" w14:textId="77777777" w:rsidTr="009462E1">
        <w:tc>
          <w:tcPr>
            <w:tcW w:w="4500" w:type="dxa"/>
            <w:vAlign w:val="center"/>
            <w:hideMark/>
          </w:tcPr>
          <w:p w14:paraId="5F40540E" w14:textId="77777777" w:rsidR="009462E1" w:rsidRPr="009462E1" w:rsidRDefault="009462E1" w:rsidP="009462E1">
            <w:pPr>
              <w:jc w:val="left"/>
              <w:rPr>
                <w:lang w:val="en-US" w:bidi="ar-SA"/>
              </w:rPr>
            </w:pPr>
            <w:r w:rsidRPr="009462E1">
              <w:rPr>
                <w:lang w:val="en-US" w:bidi="ar-SA"/>
              </w:rPr>
              <w:t>Peer-reviewed journal articles and conference papers</w:t>
            </w:r>
          </w:p>
        </w:tc>
        <w:tc>
          <w:tcPr>
            <w:tcW w:w="4526" w:type="dxa"/>
            <w:vAlign w:val="center"/>
            <w:hideMark/>
          </w:tcPr>
          <w:p w14:paraId="41E58FCD" w14:textId="77777777" w:rsidR="009462E1" w:rsidRPr="009462E1" w:rsidRDefault="009462E1" w:rsidP="009462E1">
            <w:pPr>
              <w:jc w:val="left"/>
              <w:rPr>
                <w:lang w:val="en-US" w:bidi="ar-SA"/>
              </w:rPr>
            </w:pPr>
            <w:r w:rsidRPr="009462E1">
              <w:rPr>
                <w:lang w:val="en-US" w:bidi="ar-SA"/>
              </w:rPr>
              <w:t>Non-peer-reviewed sources (blogs, news articles, opinion pieces)</w:t>
            </w:r>
          </w:p>
        </w:tc>
      </w:tr>
      <w:tr w:rsidR="009462E1" w:rsidRPr="009462E1" w14:paraId="643B0FB1" w14:textId="77777777" w:rsidTr="009462E1">
        <w:tc>
          <w:tcPr>
            <w:tcW w:w="4500" w:type="dxa"/>
            <w:vAlign w:val="center"/>
            <w:hideMark/>
          </w:tcPr>
          <w:p w14:paraId="5AF039A8" w14:textId="77777777" w:rsidR="009462E1" w:rsidRPr="009462E1" w:rsidRDefault="009462E1" w:rsidP="009462E1">
            <w:pPr>
              <w:jc w:val="left"/>
              <w:rPr>
                <w:lang w:val="en-US" w:bidi="ar-SA"/>
              </w:rPr>
            </w:pPr>
            <w:r w:rsidRPr="009462E1">
              <w:rPr>
                <w:lang w:val="en-US" w:bidi="ar-SA"/>
              </w:rPr>
              <w:t>Publications in English</w:t>
            </w:r>
          </w:p>
        </w:tc>
        <w:tc>
          <w:tcPr>
            <w:tcW w:w="4526" w:type="dxa"/>
            <w:vAlign w:val="center"/>
            <w:hideMark/>
          </w:tcPr>
          <w:p w14:paraId="4CE0B98C" w14:textId="77777777" w:rsidR="009462E1" w:rsidRPr="009462E1" w:rsidRDefault="009462E1" w:rsidP="009462E1">
            <w:pPr>
              <w:jc w:val="left"/>
              <w:rPr>
                <w:lang w:val="en-US" w:bidi="ar-SA"/>
              </w:rPr>
            </w:pPr>
            <w:r w:rsidRPr="009462E1">
              <w:rPr>
                <w:lang w:val="en-US" w:bidi="ar-SA"/>
              </w:rPr>
              <w:t>Publications in languages other than English</w:t>
            </w:r>
          </w:p>
        </w:tc>
      </w:tr>
      <w:tr w:rsidR="009462E1" w:rsidRPr="009462E1" w14:paraId="554A5451" w14:textId="77777777" w:rsidTr="009462E1">
        <w:tc>
          <w:tcPr>
            <w:tcW w:w="4500" w:type="dxa"/>
            <w:vAlign w:val="center"/>
            <w:hideMark/>
          </w:tcPr>
          <w:p w14:paraId="48D5DF5A" w14:textId="77777777" w:rsidR="009462E1" w:rsidRPr="009462E1" w:rsidRDefault="009462E1" w:rsidP="009462E1">
            <w:pPr>
              <w:jc w:val="left"/>
              <w:rPr>
                <w:lang w:val="en-US" w:bidi="ar-SA"/>
              </w:rPr>
            </w:pPr>
            <w:r w:rsidRPr="009462E1">
              <w:rPr>
                <w:lang w:val="en-US" w:bidi="ar-SA"/>
              </w:rPr>
              <w:t>Studies published between 2015 and 2026</w:t>
            </w:r>
          </w:p>
        </w:tc>
        <w:tc>
          <w:tcPr>
            <w:tcW w:w="4526" w:type="dxa"/>
            <w:vAlign w:val="center"/>
            <w:hideMark/>
          </w:tcPr>
          <w:p w14:paraId="4FE668AB" w14:textId="77777777" w:rsidR="009462E1" w:rsidRPr="009462E1" w:rsidRDefault="009462E1" w:rsidP="009462E1">
            <w:pPr>
              <w:jc w:val="left"/>
              <w:rPr>
                <w:lang w:val="en-US" w:bidi="ar-SA"/>
              </w:rPr>
            </w:pPr>
            <w:r w:rsidRPr="009462E1">
              <w:rPr>
                <w:lang w:val="en-US" w:bidi="ar-SA"/>
              </w:rPr>
              <w:t>Studies published before 2015</w:t>
            </w:r>
          </w:p>
        </w:tc>
      </w:tr>
      <w:tr w:rsidR="009462E1" w:rsidRPr="009462E1" w14:paraId="11F37716" w14:textId="77777777" w:rsidTr="009462E1">
        <w:tc>
          <w:tcPr>
            <w:tcW w:w="4500" w:type="dxa"/>
            <w:vAlign w:val="center"/>
            <w:hideMark/>
          </w:tcPr>
          <w:p w14:paraId="1F918C5B" w14:textId="77777777" w:rsidR="009462E1" w:rsidRPr="009462E1" w:rsidRDefault="009462E1" w:rsidP="009462E1">
            <w:pPr>
              <w:jc w:val="left"/>
              <w:rPr>
                <w:lang w:val="en-US" w:bidi="ar-SA"/>
              </w:rPr>
            </w:pPr>
            <w:r w:rsidRPr="009462E1">
              <w:rPr>
                <w:lang w:val="en-US" w:bidi="ar-SA"/>
              </w:rPr>
              <w:t>Research focused on sustainability, greenwashing or ESG/CSR within the fashion, apparel or textile industry</w:t>
            </w:r>
          </w:p>
        </w:tc>
        <w:tc>
          <w:tcPr>
            <w:tcW w:w="4526" w:type="dxa"/>
            <w:vAlign w:val="center"/>
            <w:hideMark/>
          </w:tcPr>
          <w:p w14:paraId="2DC24C3C" w14:textId="77777777" w:rsidR="009462E1" w:rsidRPr="009462E1" w:rsidRDefault="009462E1" w:rsidP="009462E1">
            <w:pPr>
              <w:jc w:val="left"/>
              <w:rPr>
                <w:lang w:val="en-US" w:bidi="ar-SA"/>
              </w:rPr>
            </w:pPr>
            <w:r w:rsidRPr="009462E1">
              <w:rPr>
                <w:lang w:val="en-US" w:bidi="ar-SA"/>
              </w:rPr>
              <w:t>Studies unrelated to sustainability or greenwashing, or not linked to the fashion sector</w:t>
            </w:r>
          </w:p>
        </w:tc>
      </w:tr>
      <w:tr w:rsidR="009462E1" w:rsidRPr="009462E1" w14:paraId="6D553F1C" w14:textId="77777777" w:rsidTr="009462E1">
        <w:tc>
          <w:tcPr>
            <w:tcW w:w="4500" w:type="dxa"/>
            <w:vAlign w:val="center"/>
            <w:hideMark/>
          </w:tcPr>
          <w:p w14:paraId="442C3FF0" w14:textId="77777777" w:rsidR="009462E1" w:rsidRPr="009462E1" w:rsidRDefault="009462E1" w:rsidP="009462E1">
            <w:pPr>
              <w:jc w:val="left"/>
              <w:rPr>
                <w:lang w:val="en-US" w:bidi="ar-SA"/>
              </w:rPr>
            </w:pPr>
            <w:r w:rsidRPr="009462E1">
              <w:rPr>
                <w:lang w:val="en-US" w:bidi="ar-SA"/>
              </w:rPr>
              <w:t>Empirical, conceptual or theoretical studies relevant to industry practices or consumer perceptions</w:t>
            </w:r>
          </w:p>
        </w:tc>
        <w:tc>
          <w:tcPr>
            <w:tcW w:w="4526" w:type="dxa"/>
            <w:vAlign w:val="center"/>
            <w:hideMark/>
          </w:tcPr>
          <w:p w14:paraId="709DB5D2" w14:textId="77777777" w:rsidR="009462E1" w:rsidRPr="009462E1" w:rsidRDefault="009462E1" w:rsidP="009462E1">
            <w:pPr>
              <w:jc w:val="left"/>
              <w:rPr>
                <w:lang w:val="en-US" w:bidi="ar-SA"/>
              </w:rPr>
            </w:pPr>
            <w:r w:rsidRPr="009462E1">
              <w:rPr>
                <w:lang w:val="en-US" w:bidi="ar-SA"/>
              </w:rPr>
              <w:t>Duplicates, inaccessible full texts or studies lacking relevance to the research questions</w:t>
            </w:r>
          </w:p>
        </w:tc>
      </w:tr>
    </w:tbl>
    <w:p w14:paraId="056CD479" w14:textId="453C8F51" w:rsidR="009462E1" w:rsidRDefault="009462E1" w:rsidP="002B796F">
      <w:pPr>
        <w:pStyle w:val="Heading3"/>
        <w:spacing w:before="240"/>
      </w:pPr>
      <w:bookmarkStart w:id="46" w:name="_Toc218445688"/>
      <w:r>
        <w:t>Study Selection, Screening, Inclusion</w:t>
      </w:r>
      <w:r w:rsidR="00662D3A">
        <w:t xml:space="preserve"> and Quality Assessment.</w:t>
      </w:r>
      <w:bookmarkEnd w:id="46"/>
    </w:p>
    <w:p w14:paraId="7B604068" w14:textId="77777777" w:rsidR="00A9674A" w:rsidRPr="00A9674A" w:rsidRDefault="00A9674A" w:rsidP="00A9674A">
      <w:pPr>
        <w:rPr>
          <w:lang w:val="en-US" w:eastAsia="zh-CN" w:bidi="bn-IN"/>
        </w:rPr>
      </w:pPr>
      <w:r w:rsidRPr="00A9674A">
        <w:rPr>
          <w:lang w:val="en-US" w:eastAsia="zh-CN" w:bidi="bn-IN"/>
        </w:rPr>
        <w:t xml:space="preserve">The PRISMA 2020 guidelines were used to select the study to provide a clear, consistent and repeatable method of finding and filtering out the relevant literature. All </w:t>
      </w:r>
      <w:r w:rsidRPr="00A9674A">
        <w:rPr>
          <w:lang w:val="en-US" w:eastAsia="zh-CN" w:bidi="bn-IN"/>
        </w:rPr>
        <w:lastRenderedPageBreak/>
        <w:t>the records were obtained in Scopus and were subjected to multi-stage screening process including identification, screening, assessment of eligibility and final inclusion.</w:t>
      </w:r>
    </w:p>
    <w:p w14:paraId="12602D8B" w14:textId="3693E293" w:rsidR="006A6E25" w:rsidRPr="00662D3A" w:rsidRDefault="00A9674A" w:rsidP="00A9674A">
      <w:pPr>
        <w:rPr>
          <w:lang w:val="en-US" w:eastAsia="zh-CN" w:bidi="bn-IN"/>
        </w:rPr>
      </w:pPr>
      <w:r w:rsidRPr="00A9674A">
        <w:rPr>
          <w:lang w:val="en-US" w:eastAsia="zh-CN" w:bidi="bn-IN"/>
        </w:rPr>
        <w:t xml:space="preserve">Quality appraisal was done to make sure that all the studies included in it were of satisfactory standards in terms of methodological </w:t>
      </w:r>
      <w:proofErr w:type="spellStart"/>
      <w:r w:rsidRPr="00A9674A">
        <w:rPr>
          <w:lang w:val="en-US" w:eastAsia="zh-CN" w:bidi="bn-IN"/>
        </w:rPr>
        <w:t>rigour</w:t>
      </w:r>
      <w:proofErr w:type="spellEnd"/>
      <w:r w:rsidRPr="00A9674A">
        <w:rPr>
          <w:lang w:val="en-US" w:eastAsia="zh-CN" w:bidi="bn-IN"/>
        </w:rPr>
        <w:t xml:space="preserve">, credibility and relevance. To do that, a series of Critical Appraisal Skills </w:t>
      </w:r>
      <w:proofErr w:type="spellStart"/>
      <w:r w:rsidRPr="00A9674A">
        <w:rPr>
          <w:lang w:val="en-US" w:eastAsia="zh-CN" w:bidi="bn-IN"/>
        </w:rPr>
        <w:t>Programme</w:t>
      </w:r>
      <w:proofErr w:type="spellEnd"/>
      <w:r w:rsidRPr="00A9674A">
        <w:rPr>
          <w:lang w:val="en-US" w:eastAsia="zh-CN" w:bidi="bn-IN"/>
        </w:rPr>
        <w:t xml:space="preserve"> (CASP) instruments were put into </w:t>
      </w:r>
      <w:proofErr w:type="spellStart"/>
      <w:r w:rsidRPr="00A9674A">
        <w:rPr>
          <w:lang w:val="en-US" w:eastAsia="zh-CN" w:bidi="bn-IN"/>
        </w:rPr>
        <w:t>practise</w:t>
      </w:r>
      <w:proofErr w:type="spellEnd"/>
      <w:r w:rsidRPr="00A9674A">
        <w:rPr>
          <w:lang w:val="en-US" w:eastAsia="zh-CN" w:bidi="bn-IN"/>
        </w:rPr>
        <w:t xml:space="preserve">, which was chosen based on the methodological design of a study. All studies were evaluated under the applicable domains of the CASP included in the clarity of aims, methodological adequacy, data collection </w:t>
      </w:r>
      <w:proofErr w:type="spellStart"/>
      <w:r w:rsidRPr="00A9674A">
        <w:rPr>
          <w:lang w:val="en-US" w:eastAsia="zh-CN" w:bidi="bn-IN"/>
        </w:rPr>
        <w:t>rigour</w:t>
      </w:r>
      <w:proofErr w:type="spellEnd"/>
      <w:r w:rsidRPr="00A9674A">
        <w:rPr>
          <w:lang w:val="en-US" w:eastAsia="zh-CN" w:bidi="bn-IN"/>
        </w:rPr>
        <w:t xml:space="preserve">, data analysis quality, ethical integrity and the degree to which the findings were based on the data. The results of each study are given in scores and in detail in Appendix 1 and indicate that the studies that were tolerated to be </w:t>
      </w:r>
      <w:proofErr w:type="spellStart"/>
      <w:r w:rsidRPr="00A9674A">
        <w:rPr>
          <w:lang w:val="en-US" w:eastAsia="zh-CN" w:bidi="bn-IN"/>
        </w:rPr>
        <w:t>synthesised</w:t>
      </w:r>
      <w:proofErr w:type="spellEnd"/>
      <w:r w:rsidRPr="00A9674A">
        <w:rPr>
          <w:lang w:val="en-US" w:eastAsia="zh-CN" w:bidi="bn-IN"/>
        </w:rPr>
        <w:t xml:space="preserve"> had to have an adequate quality threshold. This methodical review enhanced the credibility of the review and that the synthesis of narration was guided by quality evidence.</w:t>
      </w:r>
    </w:p>
    <w:p w14:paraId="75DE5E5B" w14:textId="1C2ED75F" w:rsidR="0037671D" w:rsidRDefault="0037671D" w:rsidP="0037671D">
      <w:pPr>
        <w:pStyle w:val="Heading2"/>
      </w:pPr>
      <w:bookmarkStart w:id="47" w:name="_Toc218445689"/>
      <w:r>
        <w:t>Data Extraction and Synthesis</w:t>
      </w:r>
      <w:bookmarkEnd w:id="47"/>
    </w:p>
    <w:p w14:paraId="13F9F732" w14:textId="77777777" w:rsidR="00A9674A" w:rsidRPr="00A9674A" w:rsidRDefault="00A9674A" w:rsidP="00A9674A">
      <w:pPr>
        <w:rPr>
          <w:lang w:val="en-US"/>
        </w:rPr>
      </w:pPr>
      <w:r w:rsidRPr="00A9674A">
        <w:rPr>
          <w:lang w:val="en-US"/>
        </w:rPr>
        <w:t xml:space="preserve">Systematic extraction of data was performed with the help of a structured extraction table which was provided in Chapter 4 as Table 1: Summary of the Included Articles (N = 50). The table </w:t>
      </w:r>
      <w:proofErr w:type="spellStart"/>
      <w:r w:rsidRPr="00A9674A">
        <w:rPr>
          <w:lang w:val="en-US"/>
        </w:rPr>
        <w:t>summarises</w:t>
      </w:r>
      <w:proofErr w:type="spellEnd"/>
      <w:r w:rsidRPr="00A9674A">
        <w:rPr>
          <w:lang w:val="en-US"/>
        </w:rPr>
        <w:t xml:space="preserve"> the key features of each study i.e. author(s), year of publication, article title, methodology, i.e., study design, sample and analysis methodology, and the main themes of the research questions. This </w:t>
      </w:r>
      <w:proofErr w:type="spellStart"/>
      <w:r w:rsidRPr="00A9674A">
        <w:rPr>
          <w:lang w:val="en-US"/>
        </w:rPr>
        <w:t>organised</w:t>
      </w:r>
      <w:proofErr w:type="spellEnd"/>
      <w:r w:rsidRPr="00A9674A">
        <w:rPr>
          <w:lang w:val="en-US"/>
        </w:rPr>
        <w:t xml:space="preserve"> format provided consistency, transparency and comparability among the various body of literature that was contained in the review.</w:t>
      </w:r>
    </w:p>
    <w:p w14:paraId="421913E5" w14:textId="778CFF12" w:rsidR="0037671D" w:rsidRPr="0037671D" w:rsidRDefault="00A9674A" w:rsidP="00A9674A">
      <w:pPr>
        <w:rPr>
          <w:lang w:val="en-US"/>
        </w:rPr>
      </w:pPr>
      <w:r w:rsidRPr="00A9674A">
        <w:rPr>
          <w:lang w:val="en-US"/>
        </w:rPr>
        <w:t xml:space="preserve">A synthesis was done by a mixture of thematic analysis and narrative synthesis. The thematic analysis facilitated the discovery, classification and explanation of the common patterns within the studies as the foundation of the thematic tables that outline Chapter 4. These themes were then </w:t>
      </w:r>
      <w:proofErr w:type="spellStart"/>
      <w:r w:rsidRPr="00A9674A">
        <w:rPr>
          <w:lang w:val="en-US"/>
        </w:rPr>
        <w:t>synthesised</w:t>
      </w:r>
      <w:proofErr w:type="spellEnd"/>
      <w:r w:rsidRPr="00A9674A">
        <w:rPr>
          <w:lang w:val="en-US"/>
        </w:rPr>
        <w:t xml:space="preserve"> through narrative synthesis to make up a coherent interpretive account to be able to critically and contextually informed discuss sustainable </w:t>
      </w:r>
      <w:proofErr w:type="spellStart"/>
      <w:r w:rsidRPr="00A9674A">
        <w:rPr>
          <w:lang w:val="en-US"/>
        </w:rPr>
        <w:t>practises</w:t>
      </w:r>
      <w:proofErr w:type="spellEnd"/>
      <w:r w:rsidRPr="00A9674A">
        <w:rPr>
          <w:lang w:val="en-US"/>
        </w:rPr>
        <w:t>, forms of greenwashing and their implications. This two-pronged strategy was necessary to make sure that the synthesis would cover the scope of the evidence, as well as the depth of theoretical and empirical knowledge.</w:t>
      </w:r>
    </w:p>
    <w:p w14:paraId="3E409A97" w14:textId="77777777" w:rsidR="00391EB6" w:rsidRDefault="00391EB6" w:rsidP="008C5097">
      <w:pPr>
        <w:pStyle w:val="Heading2"/>
      </w:pPr>
      <w:bookmarkStart w:id="48" w:name="_Toc218445690"/>
      <w:r w:rsidRPr="008C5097">
        <w:lastRenderedPageBreak/>
        <w:t>Ethical Considerations</w:t>
      </w:r>
      <w:bookmarkEnd w:id="48"/>
    </w:p>
    <w:p w14:paraId="7821E956" w14:textId="77777777" w:rsidR="00A9674A" w:rsidRPr="00A9674A" w:rsidRDefault="00A9674A" w:rsidP="00A9674A">
      <w:pPr>
        <w:rPr>
          <w:lang w:val="en-US"/>
        </w:rPr>
      </w:pPr>
      <w:r w:rsidRPr="00A9674A">
        <w:rPr>
          <w:lang w:val="en-US"/>
        </w:rPr>
        <w:t xml:space="preserve">Ethical considerations in research are the principles and standards that govern the responsible nature of research, respecting the participants, integrity in data gathering and analysis and accountability in reporting the research. In informed consent, protection of vulnerable populations and </w:t>
      </w:r>
      <w:proofErr w:type="spellStart"/>
      <w:r w:rsidRPr="00A9674A">
        <w:rPr>
          <w:lang w:val="en-US"/>
        </w:rPr>
        <w:t>minimisation</w:t>
      </w:r>
      <w:proofErr w:type="spellEnd"/>
      <w:r w:rsidRPr="00A9674A">
        <w:rPr>
          <w:lang w:val="en-US"/>
        </w:rPr>
        <w:t xml:space="preserve"> of harm are usually associated with these in primary research. Nevertheless, since the research is a systematic review where all the data will be obtained through secondary sources, the direct ethical concerns regarding human subjects are not applicable.</w:t>
      </w:r>
    </w:p>
    <w:p w14:paraId="1CD9D60F" w14:textId="4801830D" w:rsidR="0037671D" w:rsidRPr="0037671D" w:rsidRDefault="00A9674A" w:rsidP="00A9674A">
      <w:pPr>
        <w:rPr>
          <w:lang w:val="en-US"/>
        </w:rPr>
      </w:pPr>
      <w:r w:rsidRPr="00A9674A">
        <w:rPr>
          <w:lang w:val="en-US"/>
        </w:rPr>
        <w:t xml:space="preserve">However, the ethical consideration is also applicable to systematic review conducts. These are transparency and </w:t>
      </w:r>
      <w:proofErr w:type="spellStart"/>
      <w:r w:rsidRPr="00A9674A">
        <w:rPr>
          <w:lang w:val="en-US"/>
        </w:rPr>
        <w:t>rigour</w:t>
      </w:r>
      <w:proofErr w:type="spellEnd"/>
      <w:r w:rsidRPr="00A9674A">
        <w:rPr>
          <w:lang w:val="en-US"/>
        </w:rPr>
        <w:t xml:space="preserve"> in literature search, selection, appraisal, and synthesis, faithful representation of the results, plagiarism, and proper attribution to the original authors (Suri, 2020; Wager and Wiffen, 2011). This review was conducted according to the existing ethical principles of systematic reviews, such as those presented by the University of Wales Trinity Saint David (UWTSD, 2022), and maintained integrity, reproducibility, and objective reporting in the research process. Critical appraisal of all sources was done, properly referenced, and </w:t>
      </w:r>
      <w:proofErr w:type="spellStart"/>
      <w:r w:rsidRPr="00A9674A">
        <w:rPr>
          <w:lang w:val="en-US"/>
        </w:rPr>
        <w:t>synthesised</w:t>
      </w:r>
      <w:proofErr w:type="spellEnd"/>
      <w:r w:rsidRPr="00A9674A">
        <w:rPr>
          <w:lang w:val="en-US"/>
        </w:rPr>
        <w:t xml:space="preserve"> with transparency to maintain ethical requirements in the synthesis of knowledge.</w:t>
      </w:r>
    </w:p>
    <w:p w14:paraId="4F776128" w14:textId="6DAE4722" w:rsidR="00391EB6" w:rsidRDefault="00391EB6" w:rsidP="008C5097">
      <w:pPr>
        <w:pStyle w:val="Heading2"/>
      </w:pPr>
      <w:bookmarkStart w:id="49" w:name="_Toc218445691"/>
      <w:r w:rsidRPr="008C5097">
        <w:t>Conclusion</w:t>
      </w:r>
      <w:bookmarkEnd w:id="49"/>
    </w:p>
    <w:p w14:paraId="183C9965" w14:textId="55954FAE" w:rsidR="008C5097" w:rsidRDefault="00A9674A">
      <w:r w:rsidRPr="00A9674A">
        <w:t>This chapter has provided the methodological basis of the study, which entails the research philosophy, research design, research approach and data collection procedures underpinning the systematic review. The reasons to implement an interpretivist-oriented philosophy, qualitative deductive approach, and the secondary-data methodology, based on peer-reviewed literature, were justified. Methodological rigour and transparency were guaranteed by the search strategy, inclusion and exclusion criteria, study selection process and quality appraisal. The systematic reviews were upheld by ethical considerations. All these methodological decisions offer a powerful structure of organising the literature synthesis, which will be followed by the analysis and discussion regarding sustainable and greenwashing practises in the fashion industry. The data analysis processes and results are also discussed and outlined in Chapter 4.</w:t>
      </w:r>
    </w:p>
    <w:p w14:paraId="31D70E41" w14:textId="6D41E2A5" w:rsidR="00391EB6" w:rsidRPr="008C5097" w:rsidRDefault="00786750" w:rsidP="008C5097">
      <w:pPr>
        <w:pStyle w:val="Heading1"/>
      </w:pPr>
      <w:bookmarkStart w:id="50" w:name="_Toc218445692"/>
      <w:r w:rsidRPr="008C5097">
        <w:lastRenderedPageBreak/>
        <w:t>CHAPTER 4: FINDINGS, ANALYSIS AND DISCUSSION</w:t>
      </w:r>
      <w:bookmarkEnd w:id="50"/>
    </w:p>
    <w:p w14:paraId="6ED36AF7" w14:textId="202ECEB1" w:rsidR="00AB6AC0" w:rsidRPr="0037671D" w:rsidRDefault="00AB6AC0" w:rsidP="00AB6AC0">
      <w:pPr>
        <w:pStyle w:val="Heading2"/>
      </w:pPr>
      <w:bookmarkStart w:id="51" w:name="_Toc218445693"/>
      <w:r>
        <w:t>Introduction</w:t>
      </w:r>
      <w:bookmarkEnd w:id="51"/>
    </w:p>
    <w:p w14:paraId="59DAE7FB" w14:textId="107E1FB8" w:rsidR="00B56C66" w:rsidRDefault="00A9674A" w:rsidP="0037671D">
      <w:pPr>
        <w:rPr>
          <w:lang w:val="en-US"/>
        </w:rPr>
      </w:pPr>
      <w:r w:rsidRPr="00A9674A">
        <w:t>The chapter shows the results, discussion, and analysis of the systematic review of literature on sustainability and greenwashing practises in the fashion industry. It starts with an overview of the researched articles, their methodological peculiarities, major themes, and the significance of each article to the research questions. The chapter then gives a thematic analysis of finding common patterns and insights in the literature, and then a narrative synthesis, which incorporates the findings into a coherent narrative. The discussion is finally made comparing the evidence synthesized to the theoretical frameworks presented in Chapter 2, where the implications of the findings are critically discussed in terms of supporting, extending or refuting already existing theory.</w:t>
      </w:r>
    </w:p>
    <w:p w14:paraId="7EF71B0A" w14:textId="77777777" w:rsidR="00662D3A" w:rsidRDefault="00662D3A" w:rsidP="00662D3A">
      <w:pPr>
        <w:jc w:val="center"/>
        <w:rPr>
          <w:lang w:val="en-US" w:eastAsia="zh-CN" w:bidi="bn-IN"/>
        </w:rPr>
      </w:pPr>
      <w:r w:rsidRPr="00D03F60">
        <w:rPr>
          <w:noProof/>
        </w:rPr>
        <w:drawing>
          <wp:inline distT="0" distB="0" distL="0" distR="0" wp14:anchorId="77822884" wp14:editId="155DF27D">
            <wp:extent cx="3839214" cy="4107180"/>
            <wp:effectExtent l="0" t="0" r="8890" b="7620"/>
            <wp:docPr id="23" name="Picture 22">
              <a:extLst xmlns:a="http://schemas.openxmlformats.org/drawingml/2006/main">
                <a:ext uri="{FF2B5EF4-FFF2-40B4-BE49-F238E27FC236}">
                  <a16:creationId xmlns:a16="http://schemas.microsoft.com/office/drawing/2014/main" id="{F5D5C01F-64AB-FD39-8358-488B43A225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2">
                      <a:extLst>
                        <a:ext uri="{FF2B5EF4-FFF2-40B4-BE49-F238E27FC236}">
                          <a16:creationId xmlns:a16="http://schemas.microsoft.com/office/drawing/2014/main" id="{F5D5C01F-64AB-FD39-8358-488B43A225D1}"/>
                        </a:ext>
                      </a:extLst>
                    </pic:cNvPr>
                    <pic:cNvPicPr>
                      <a:picLocks noChangeAspect="1"/>
                    </pic:cNvPicPr>
                  </pic:nvPicPr>
                  <pic:blipFill>
                    <a:blip r:embed="rId17"/>
                    <a:stretch>
                      <a:fillRect/>
                    </a:stretch>
                  </pic:blipFill>
                  <pic:spPr>
                    <a:xfrm>
                      <a:off x="0" y="0"/>
                      <a:ext cx="3866913" cy="4136812"/>
                    </a:xfrm>
                    <a:prstGeom prst="rect">
                      <a:avLst/>
                    </a:prstGeom>
                  </pic:spPr>
                </pic:pic>
              </a:graphicData>
            </a:graphic>
          </wp:inline>
        </w:drawing>
      </w:r>
    </w:p>
    <w:p w14:paraId="68D53A74" w14:textId="103F1A92" w:rsidR="00662D3A" w:rsidRPr="009462E1" w:rsidRDefault="00662D3A" w:rsidP="00662D3A">
      <w:pPr>
        <w:pStyle w:val="NoSpacing"/>
        <w:rPr>
          <w:lang w:val="en-US" w:eastAsia="zh-CN" w:bidi="bn-IN"/>
        </w:rPr>
      </w:pPr>
      <w:bookmarkStart w:id="52" w:name="_Toc216197019"/>
      <w:bookmarkStart w:id="53" w:name="_Toc218439233"/>
      <w:bookmarkStart w:id="54" w:name="_Toc218441803"/>
      <w:bookmarkStart w:id="55" w:name="_Toc218446360"/>
      <w:r>
        <w:t xml:space="preserve">Figure </w:t>
      </w:r>
      <w:r>
        <w:fldChar w:fldCharType="begin"/>
      </w:r>
      <w:r>
        <w:instrText xml:space="preserve"> SEQ Figure \* ARABIC </w:instrText>
      </w:r>
      <w:r>
        <w:fldChar w:fldCharType="separate"/>
      </w:r>
      <w:r w:rsidR="001C774D">
        <w:rPr>
          <w:noProof/>
        </w:rPr>
        <w:t>7</w:t>
      </w:r>
      <w:r>
        <w:rPr>
          <w:noProof/>
        </w:rPr>
        <w:fldChar w:fldCharType="end"/>
      </w:r>
      <w:r>
        <w:t xml:space="preserve"> </w:t>
      </w:r>
      <w:r>
        <w:rPr>
          <w:lang w:val="en-US" w:eastAsia="zh-CN" w:bidi="bn-IN"/>
        </w:rPr>
        <w:t>PRISMA Framework (Adapted by the Author)</w:t>
      </w:r>
      <w:bookmarkEnd w:id="52"/>
      <w:bookmarkEnd w:id="53"/>
      <w:bookmarkEnd w:id="54"/>
      <w:bookmarkEnd w:id="55"/>
    </w:p>
    <w:p w14:paraId="62D4B422" w14:textId="77777777" w:rsidR="00A9674A" w:rsidRPr="00A9674A" w:rsidRDefault="00A9674A" w:rsidP="00A9674A">
      <w:pPr>
        <w:rPr>
          <w:lang w:val="en-US" w:eastAsia="zh-CN" w:bidi="bn-IN"/>
        </w:rPr>
      </w:pPr>
      <w:r>
        <w:rPr>
          <w:lang w:val="en-US" w:eastAsia="zh-CN" w:bidi="bn-IN"/>
        </w:rPr>
        <w:t xml:space="preserve"> </w:t>
      </w:r>
      <w:r w:rsidRPr="00A9674A">
        <w:rPr>
          <w:lang w:val="en-US" w:eastAsia="zh-CN" w:bidi="bn-IN"/>
        </w:rPr>
        <w:t xml:space="preserve">During the identification stage, 106 records were obtained in Scopus. These records went on to title and abstract screening where 25 were eliminated due to lack of </w:t>
      </w:r>
      <w:r w:rsidRPr="00A9674A">
        <w:rPr>
          <w:lang w:val="en-US" w:eastAsia="zh-CN" w:bidi="bn-IN"/>
        </w:rPr>
        <w:lastRenderedPageBreak/>
        <w:t xml:space="preserve">relevance to the research topic. The rest 81 records were requested to be retrieved though 3 were inaccessible because of availability. Eligibility assessment of full-text studies then was done on 78 studies. In this step, the studies were filtered out based on the following reasons: not relevant research goals (n = 9), systematic reviews (n = 6), narrative reviews (n = 4), other non-empirical sources (n = 5) and low quality or methodological </w:t>
      </w:r>
      <w:proofErr w:type="spellStart"/>
      <w:r w:rsidRPr="00A9674A">
        <w:rPr>
          <w:lang w:val="en-US" w:eastAsia="zh-CN" w:bidi="bn-IN"/>
        </w:rPr>
        <w:t>rigour</w:t>
      </w:r>
      <w:proofErr w:type="spellEnd"/>
      <w:r w:rsidRPr="00A9674A">
        <w:rPr>
          <w:lang w:val="en-US" w:eastAsia="zh-CN" w:bidi="bn-IN"/>
        </w:rPr>
        <w:t xml:space="preserve"> (n = 4).</w:t>
      </w:r>
    </w:p>
    <w:p w14:paraId="150F75F7" w14:textId="77777777" w:rsidR="00A9674A" w:rsidRPr="00A9674A" w:rsidRDefault="00A9674A" w:rsidP="00A9674A">
      <w:pPr>
        <w:rPr>
          <w:lang w:val="en-US" w:eastAsia="zh-CN" w:bidi="bn-IN"/>
        </w:rPr>
      </w:pPr>
      <w:r w:rsidRPr="00A9674A">
        <w:rPr>
          <w:lang w:val="en-US" w:eastAsia="zh-CN" w:bidi="bn-IN"/>
        </w:rPr>
        <w:t xml:space="preserve">After this systematic evaluation, 50 articles were included in the final review and satisfied all the requirements of inclusion criteria. This procedure guaranteed the resulting dataset was methodologically sound, answered the research questions directly, and in line with the best </w:t>
      </w:r>
      <w:proofErr w:type="spellStart"/>
      <w:r w:rsidRPr="00A9674A">
        <w:rPr>
          <w:lang w:val="en-US" w:eastAsia="zh-CN" w:bidi="bn-IN"/>
        </w:rPr>
        <w:t>practise</w:t>
      </w:r>
      <w:proofErr w:type="spellEnd"/>
      <w:r w:rsidRPr="00A9674A">
        <w:rPr>
          <w:lang w:val="en-US" w:eastAsia="zh-CN" w:bidi="bn-IN"/>
        </w:rPr>
        <w:t xml:space="preserve"> guidelines of carrying out high-quality systematic reviews.</w:t>
      </w:r>
    </w:p>
    <w:p w14:paraId="7BCB1D2E" w14:textId="0D2D30A4" w:rsidR="00662D3A" w:rsidRPr="0037671D" w:rsidRDefault="00A9674A" w:rsidP="00A9674A">
      <w:pPr>
        <w:rPr>
          <w:lang w:val="en-US"/>
        </w:rPr>
        <w:sectPr w:rsidR="00662D3A" w:rsidRPr="0037671D" w:rsidSect="001F7590">
          <w:footerReference w:type="default" r:id="rId18"/>
          <w:pgSz w:w="11906" w:h="16838" w:code="9"/>
          <w:pgMar w:top="1440" w:right="1440" w:bottom="1440" w:left="1440" w:header="708" w:footer="708" w:gutter="0"/>
          <w:cols w:space="708"/>
          <w:titlePg/>
          <w:docGrid w:linePitch="360"/>
        </w:sectPr>
      </w:pPr>
      <w:r w:rsidRPr="00A9674A">
        <w:rPr>
          <w:lang w:val="en-US" w:eastAsia="zh-CN" w:bidi="bn-IN"/>
        </w:rPr>
        <w:t xml:space="preserve">The CASP evaluation of the 50 sustainable fashion and greenwashing articles discovered that 37 articles (74 percent) were of high quality and 13 articles (26 percent) medium quality (Appendix 1). Quality researches had clear objectives, proper methodology, critical analysis, and clear data collection that gave a strong evidence base on the perceptions of consumers, greenwashing behaviour, and sustainability communication. Medium-quality studies, which were mostly conceptual, legal, or narrative in nature, provided useful information but were not completely transparent in their methodology and did not possess empirical </w:t>
      </w:r>
      <w:proofErr w:type="spellStart"/>
      <w:r w:rsidRPr="00A9674A">
        <w:rPr>
          <w:lang w:val="en-US" w:eastAsia="zh-CN" w:bidi="bn-IN"/>
        </w:rPr>
        <w:t>rigour</w:t>
      </w:r>
      <w:proofErr w:type="spellEnd"/>
      <w:r w:rsidRPr="00A9674A">
        <w:rPr>
          <w:lang w:val="en-US" w:eastAsia="zh-CN" w:bidi="bn-IN"/>
        </w:rPr>
        <w:t>, and needed to be approached with caution. In general, the high quality of studies predominance contributes to the reliability of the conclusions made in the review, whereas medium-quality studies point to the areas of the methodological improvement and further research.</w:t>
      </w:r>
    </w:p>
    <w:p w14:paraId="3D3D9CC1" w14:textId="2FE9429F" w:rsidR="00AB6AC0" w:rsidRDefault="00AB6AC0" w:rsidP="00AB6AC0">
      <w:pPr>
        <w:pStyle w:val="Heading2"/>
        <w:rPr>
          <w:lang w:bidi="bn-IN"/>
        </w:rPr>
      </w:pPr>
      <w:bookmarkStart w:id="56" w:name="_Toc218445694"/>
      <w:r w:rsidRPr="00AB6AC0">
        <w:rPr>
          <w:lang w:bidi="bn-IN"/>
        </w:rPr>
        <w:lastRenderedPageBreak/>
        <w:t>Summary of Included Studies for the Systematic Review</w:t>
      </w:r>
      <w:bookmarkEnd w:id="56"/>
    </w:p>
    <w:p w14:paraId="6BE09327" w14:textId="77777777" w:rsidR="00A9674A" w:rsidRDefault="00A9674A" w:rsidP="002B796F">
      <w:pPr>
        <w:pStyle w:val="NoSpacing"/>
        <w:jc w:val="left"/>
        <w:rPr>
          <w:rFonts w:ascii="Arial" w:hAnsi="Arial"/>
          <w:i w:val="0"/>
          <w:color w:val="auto"/>
          <w:sz w:val="24"/>
        </w:rPr>
      </w:pPr>
      <w:bookmarkStart w:id="57" w:name="_Toc216197050"/>
      <w:bookmarkStart w:id="58" w:name="_Toc218439129"/>
      <w:r w:rsidRPr="00A9674A">
        <w:rPr>
          <w:rFonts w:ascii="Arial" w:hAnsi="Arial"/>
          <w:i w:val="0"/>
          <w:color w:val="auto"/>
          <w:sz w:val="24"/>
        </w:rPr>
        <w:t>This table provides a summarised record of the fifty studies that were eligible to become included in the systematic review. It presents the main bibliographic and analytical data of every article such as author(s), title, methodological approach, and the main themes which are identified. The themes relate to the three research questions informing the review and give an initial mapping of the literature coverage of these areas. Such thematic insights are a basis of the further, more detailed analysis, which comes after the summary table.</w:t>
      </w:r>
    </w:p>
    <w:p w14:paraId="283AEDBF" w14:textId="14E337CE" w:rsidR="00B56C66" w:rsidRPr="002B796F" w:rsidRDefault="00B56C66" w:rsidP="002B796F">
      <w:pPr>
        <w:pStyle w:val="NoSpacing"/>
        <w:jc w:val="left"/>
      </w:pPr>
      <w:r w:rsidRPr="002B796F">
        <w:t xml:space="preserve">Table </w:t>
      </w:r>
      <w:fldSimple w:instr=" SEQ Table \* ARABIC ">
        <w:r w:rsidR="002B796F">
          <w:rPr>
            <w:noProof/>
          </w:rPr>
          <w:t>2</w:t>
        </w:r>
      </w:fldSimple>
      <w:r w:rsidRPr="002B796F">
        <w:t xml:space="preserve"> Summary of the Included Articles (N = 50)</w:t>
      </w:r>
      <w:bookmarkEnd w:id="57"/>
      <w:bookmarkEnd w:id="58"/>
    </w:p>
    <w:tbl>
      <w:tblPr>
        <w:tblStyle w:val="TableGridLight"/>
        <w:tblW w:w="13945" w:type="dxa"/>
        <w:tblLook w:val="04A0" w:firstRow="1" w:lastRow="0" w:firstColumn="1" w:lastColumn="0" w:noHBand="0" w:noVBand="1"/>
      </w:tblPr>
      <w:tblGrid>
        <w:gridCol w:w="843"/>
        <w:gridCol w:w="1790"/>
        <w:gridCol w:w="3881"/>
        <w:gridCol w:w="3111"/>
        <w:gridCol w:w="4320"/>
      </w:tblGrid>
      <w:tr w:rsidR="007A6353" w:rsidRPr="002B796F" w14:paraId="5B8D314B" w14:textId="77777777" w:rsidTr="007A6353">
        <w:trPr>
          <w:trHeight w:val="288"/>
        </w:trPr>
        <w:tc>
          <w:tcPr>
            <w:tcW w:w="843" w:type="dxa"/>
            <w:noWrap/>
            <w:vAlign w:val="center"/>
            <w:hideMark/>
          </w:tcPr>
          <w:p w14:paraId="58425DEA" w14:textId="77777777" w:rsidR="007A6353" w:rsidRPr="002B796F" w:rsidRDefault="007A6353" w:rsidP="002B796F">
            <w:pPr>
              <w:jc w:val="center"/>
              <w:rPr>
                <w:rFonts w:eastAsia="Times New Roman" w:cs="Arial"/>
                <w:b/>
                <w:bCs/>
                <w:color w:val="000000"/>
                <w:lang w:val="en-US"/>
              </w:rPr>
            </w:pPr>
            <w:r w:rsidRPr="002B796F">
              <w:rPr>
                <w:rFonts w:eastAsia="Times New Roman" w:cs="Arial"/>
                <w:b/>
                <w:bCs/>
                <w:color w:val="000000"/>
                <w:lang w:val="en-US"/>
              </w:rPr>
              <w:t>Index</w:t>
            </w:r>
          </w:p>
        </w:tc>
        <w:tc>
          <w:tcPr>
            <w:tcW w:w="1790" w:type="dxa"/>
            <w:noWrap/>
            <w:vAlign w:val="center"/>
            <w:hideMark/>
          </w:tcPr>
          <w:p w14:paraId="0519BC78" w14:textId="13C6846E" w:rsidR="007A6353" w:rsidRPr="002B796F" w:rsidRDefault="00D03F60" w:rsidP="002B796F">
            <w:pPr>
              <w:jc w:val="center"/>
              <w:rPr>
                <w:rFonts w:eastAsia="Times New Roman" w:cs="Arial"/>
                <w:b/>
                <w:bCs/>
                <w:color w:val="000000"/>
                <w:lang w:val="en-US"/>
              </w:rPr>
            </w:pPr>
            <w:r w:rsidRPr="002B796F">
              <w:rPr>
                <w:rFonts w:eastAsia="Times New Roman" w:cs="Arial"/>
                <w:b/>
                <w:bCs/>
                <w:color w:val="000000"/>
                <w:lang w:val="en-US"/>
              </w:rPr>
              <w:t>Author(s)</w:t>
            </w:r>
          </w:p>
        </w:tc>
        <w:tc>
          <w:tcPr>
            <w:tcW w:w="3881" w:type="dxa"/>
            <w:vAlign w:val="center"/>
            <w:hideMark/>
          </w:tcPr>
          <w:p w14:paraId="475FEEA2" w14:textId="77777777" w:rsidR="007A6353" w:rsidRPr="002B796F" w:rsidRDefault="007A6353" w:rsidP="002B796F">
            <w:pPr>
              <w:jc w:val="center"/>
              <w:rPr>
                <w:rFonts w:eastAsia="Times New Roman" w:cs="Arial"/>
                <w:b/>
                <w:bCs/>
                <w:color w:val="000000"/>
                <w:lang w:val="en-US"/>
              </w:rPr>
            </w:pPr>
            <w:r w:rsidRPr="002B796F">
              <w:rPr>
                <w:rFonts w:eastAsia="Times New Roman" w:cs="Arial"/>
                <w:b/>
                <w:bCs/>
                <w:color w:val="000000"/>
              </w:rPr>
              <w:t>Title</w:t>
            </w:r>
          </w:p>
        </w:tc>
        <w:tc>
          <w:tcPr>
            <w:tcW w:w="3111" w:type="dxa"/>
            <w:noWrap/>
            <w:vAlign w:val="center"/>
            <w:hideMark/>
          </w:tcPr>
          <w:p w14:paraId="465288AE" w14:textId="77777777" w:rsidR="007A6353" w:rsidRPr="002B796F" w:rsidRDefault="007A6353" w:rsidP="002B796F">
            <w:pPr>
              <w:jc w:val="center"/>
              <w:rPr>
                <w:rFonts w:eastAsia="Times New Roman" w:cs="Arial"/>
                <w:b/>
                <w:bCs/>
                <w:color w:val="000000"/>
                <w:lang w:val="en-US"/>
              </w:rPr>
            </w:pPr>
            <w:r w:rsidRPr="002B796F">
              <w:rPr>
                <w:rFonts w:eastAsia="Times New Roman" w:cs="Arial"/>
                <w:b/>
                <w:bCs/>
                <w:color w:val="000000"/>
              </w:rPr>
              <w:t>Methodology</w:t>
            </w:r>
          </w:p>
        </w:tc>
        <w:tc>
          <w:tcPr>
            <w:tcW w:w="4320" w:type="dxa"/>
            <w:noWrap/>
            <w:vAlign w:val="center"/>
            <w:hideMark/>
          </w:tcPr>
          <w:p w14:paraId="67524E28" w14:textId="77777777" w:rsidR="007A6353" w:rsidRPr="002B796F" w:rsidRDefault="007A6353" w:rsidP="002B796F">
            <w:pPr>
              <w:jc w:val="center"/>
              <w:rPr>
                <w:rFonts w:eastAsia="Times New Roman" w:cs="Arial"/>
                <w:b/>
                <w:bCs/>
                <w:color w:val="000000"/>
                <w:lang w:val="en-US"/>
              </w:rPr>
            </w:pPr>
            <w:r w:rsidRPr="002B796F">
              <w:rPr>
                <w:rFonts w:eastAsia="Times New Roman" w:cs="Arial"/>
                <w:b/>
                <w:bCs/>
                <w:color w:val="000000"/>
                <w:lang w:val="en-US"/>
              </w:rPr>
              <w:t>Key Themes</w:t>
            </w:r>
          </w:p>
        </w:tc>
      </w:tr>
      <w:tr w:rsidR="007A6353" w:rsidRPr="002B796F" w14:paraId="5DCE058C" w14:textId="77777777" w:rsidTr="007A6353">
        <w:trPr>
          <w:trHeight w:val="288"/>
        </w:trPr>
        <w:tc>
          <w:tcPr>
            <w:tcW w:w="843" w:type="dxa"/>
            <w:noWrap/>
            <w:vAlign w:val="center"/>
            <w:hideMark/>
          </w:tcPr>
          <w:p w14:paraId="52A8DF2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w:t>
            </w:r>
          </w:p>
        </w:tc>
        <w:tc>
          <w:tcPr>
            <w:tcW w:w="1790" w:type="dxa"/>
            <w:noWrap/>
            <w:vAlign w:val="center"/>
            <w:hideMark/>
          </w:tcPr>
          <w:p w14:paraId="33853A33" w14:textId="4CCD7F88"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Andria </w:t>
            </w:r>
            <w:r w:rsidR="001D1CA2" w:rsidRPr="001D1CA2">
              <w:rPr>
                <w:rFonts w:eastAsia="Times New Roman" w:cs="Arial"/>
                <w:i/>
                <w:iCs/>
                <w:color w:val="000000"/>
                <w:lang w:val="en-US"/>
              </w:rPr>
              <w:t>et al</w:t>
            </w:r>
            <w:r w:rsidRPr="002B796F">
              <w:rPr>
                <w:rFonts w:eastAsia="Times New Roman" w:cs="Arial"/>
                <w:color w:val="000000"/>
                <w:lang w:val="en-US"/>
              </w:rPr>
              <w:t>. (2023)</w:t>
            </w:r>
          </w:p>
        </w:tc>
        <w:tc>
          <w:tcPr>
            <w:tcW w:w="3881" w:type="dxa"/>
            <w:noWrap/>
            <w:vAlign w:val="center"/>
            <w:hideMark/>
          </w:tcPr>
          <w:p w14:paraId="1916935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Encouraging Consumption Enhancement: Green Marketing Mix Study with Customer Satisfaction in Indonesians Sustainable Fashion</w:t>
            </w:r>
          </w:p>
        </w:tc>
        <w:tc>
          <w:tcPr>
            <w:tcW w:w="3111" w:type="dxa"/>
            <w:noWrap/>
            <w:vAlign w:val="center"/>
            <w:hideMark/>
          </w:tcPr>
          <w:p w14:paraId="122032A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 xml:space="preserve">Descriptive &amp; exploratory methods; classification &amp; clustering analysis (R-Studio, </w:t>
            </w:r>
            <w:proofErr w:type="spellStart"/>
            <w:r w:rsidRPr="002B796F">
              <w:rPr>
                <w:rFonts w:eastAsia="Times New Roman" w:cs="Arial"/>
                <w:color w:val="000000"/>
              </w:rPr>
              <w:t>Rapidminer</w:t>
            </w:r>
            <w:proofErr w:type="spellEnd"/>
            <w:r w:rsidRPr="002B796F">
              <w:rPr>
                <w:rFonts w:eastAsia="Times New Roman" w:cs="Arial"/>
                <w:color w:val="000000"/>
              </w:rPr>
              <w:t>)</w:t>
            </w:r>
          </w:p>
        </w:tc>
        <w:tc>
          <w:tcPr>
            <w:tcW w:w="4320" w:type="dxa"/>
            <w:noWrap/>
            <w:vAlign w:val="center"/>
            <w:hideMark/>
          </w:tcPr>
          <w:p w14:paraId="7843D84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 marketing mix; consumer satisfaction; sustainable fashion adoption (RQ1)</w:t>
            </w:r>
          </w:p>
        </w:tc>
      </w:tr>
      <w:tr w:rsidR="007A6353" w:rsidRPr="002B796F" w14:paraId="4502FF7B" w14:textId="77777777" w:rsidTr="007A6353">
        <w:trPr>
          <w:trHeight w:val="288"/>
        </w:trPr>
        <w:tc>
          <w:tcPr>
            <w:tcW w:w="843" w:type="dxa"/>
            <w:noWrap/>
            <w:vAlign w:val="center"/>
            <w:hideMark/>
          </w:tcPr>
          <w:p w14:paraId="43B7A43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w:t>
            </w:r>
          </w:p>
        </w:tc>
        <w:tc>
          <w:tcPr>
            <w:tcW w:w="1790" w:type="dxa"/>
            <w:noWrap/>
            <w:vAlign w:val="center"/>
            <w:hideMark/>
          </w:tcPr>
          <w:p w14:paraId="77231848" w14:textId="2973CF28"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Boateng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1867879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Unravelling the motivations for the environmental harm posed by the unsustainable practices by the apparel industry in Ghana</w:t>
            </w:r>
          </w:p>
        </w:tc>
        <w:tc>
          <w:tcPr>
            <w:tcW w:w="3111" w:type="dxa"/>
            <w:noWrap/>
            <w:vAlign w:val="center"/>
            <w:hideMark/>
          </w:tcPr>
          <w:p w14:paraId="56CA0C1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Qualitative interviews (n=25 designers); RAT framework</w:t>
            </w:r>
          </w:p>
        </w:tc>
        <w:tc>
          <w:tcPr>
            <w:tcW w:w="4320" w:type="dxa"/>
            <w:noWrap/>
            <w:vAlign w:val="center"/>
            <w:hideMark/>
          </w:tcPr>
          <w:p w14:paraId="203FA75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Unsustainable practices &amp; greenwashing as barrier; enforcement gaps; need for credible sustainability strategies (RQ2 / RQ3)</w:t>
            </w:r>
          </w:p>
        </w:tc>
      </w:tr>
      <w:tr w:rsidR="007A6353" w:rsidRPr="002B796F" w14:paraId="4F7A6AAC" w14:textId="77777777" w:rsidTr="007A6353">
        <w:trPr>
          <w:trHeight w:val="288"/>
        </w:trPr>
        <w:tc>
          <w:tcPr>
            <w:tcW w:w="843" w:type="dxa"/>
            <w:noWrap/>
            <w:vAlign w:val="center"/>
            <w:hideMark/>
          </w:tcPr>
          <w:p w14:paraId="1F0FF3D8"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3</w:t>
            </w:r>
          </w:p>
        </w:tc>
        <w:tc>
          <w:tcPr>
            <w:tcW w:w="1790" w:type="dxa"/>
            <w:noWrap/>
            <w:vAlign w:val="center"/>
            <w:hideMark/>
          </w:tcPr>
          <w:p w14:paraId="420A56FF"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Brugman, van </w:t>
            </w:r>
            <w:proofErr w:type="spellStart"/>
            <w:r w:rsidRPr="002B796F">
              <w:rPr>
                <w:rFonts w:eastAsia="Times New Roman" w:cs="Arial"/>
                <w:color w:val="000000"/>
                <w:lang w:val="en-US"/>
              </w:rPr>
              <w:t>Huijstee</w:t>
            </w:r>
            <w:proofErr w:type="spellEnd"/>
            <w:r w:rsidRPr="002B796F">
              <w:rPr>
                <w:rFonts w:eastAsia="Times New Roman" w:cs="Arial"/>
                <w:color w:val="000000"/>
                <w:lang w:val="en-US"/>
              </w:rPr>
              <w:t xml:space="preserve"> &amp; Droog (2024)</w:t>
            </w:r>
          </w:p>
        </w:tc>
        <w:tc>
          <w:tcPr>
            <w:tcW w:w="3881" w:type="dxa"/>
            <w:noWrap/>
            <w:vAlign w:val="center"/>
            <w:hideMark/>
          </w:tcPr>
          <w:p w14:paraId="21B850F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Debunking the corporate paint shop: Examining the effects of misleading corporate social responsibility claims on social media</w:t>
            </w:r>
          </w:p>
        </w:tc>
        <w:tc>
          <w:tcPr>
            <w:tcW w:w="3111" w:type="dxa"/>
            <w:noWrap/>
            <w:vAlign w:val="center"/>
            <w:hideMark/>
          </w:tcPr>
          <w:p w14:paraId="37064BB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Preregistered 2×3 between-subjects online experiment (N=657, UK)</w:t>
            </w:r>
          </w:p>
        </w:tc>
        <w:tc>
          <w:tcPr>
            <w:tcW w:w="4320" w:type="dxa"/>
            <w:noWrap/>
            <w:vAlign w:val="center"/>
            <w:hideMark/>
          </w:tcPr>
          <w:p w14:paraId="0793E30F"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CSR-washing (green/blue/</w:t>
            </w:r>
            <w:proofErr w:type="spellStart"/>
            <w:r w:rsidRPr="002B796F">
              <w:rPr>
                <w:rFonts w:eastAsia="Times New Roman" w:cs="Arial"/>
                <w:color w:val="000000"/>
                <w:lang w:val="en-US"/>
              </w:rPr>
              <w:t>purplewashing</w:t>
            </w:r>
            <w:proofErr w:type="spellEnd"/>
            <w:r w:rsidRPr="002B796F">
              <w:rPr>
                <w:rFonts w:eastAsia="Times New Roman" w:cs="Arial"/>
                <w:color w:val="000000"/>
                <w:lang w:val="en-US"/>
              </w:rPr>
              <w:t>); effectiveness of debunks; reduced purchase intentions; correcting misleading sustainability claims (RQ2)</w:t>
            </w:r>
          </w:p>
        </w:tc>
      </w:tr>
      <w:tr w:rsidR="007A6353" w:rsidRPr="002B796F" w14:paraId="17C871F0" w14:textId="77777777" w:rsidTr="007A6353">
        <w:trPr>
          <w:trHeight w:val="288"/>
        </w:trPr>
        <w:tc>
          <w:tcPr>
            <w:tcW w:w="843" w:type="dxa"/>
            <w:noWrap/>
            <w:vAlign w:val="center"/>
            <w:hideMark/>
          </w:tcPr>
          <w:p w14:paraId="265B397A"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w:t>
            </w:r>
          </w:p>
        </w:tc>
        <w:tc>
          <w:tcPr>
            <w:tcW w:w="1790" w:type="dxa"/>
            <w:noWrap/>
            <w:vAlign w:val="center"/>
            <w:hideMark/>
          </w:tcPr>
          <w:p w14:paraId="14B8D3DE"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Brydges, Henninger &amp; Hanlon (2022)</w:t>
            </w:r>
          </w:p>
        </w:tc>
        <w:tc>
          <w:tcPr>
            <w:tcW w:w="3881" w:type="dxa"/>
            <w:noWrap/>
            <w:vAlign w:val="center"/>
            <w:hideMark/>
          </w:tcPr>
          <w:p w14:paraId="11A4974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Selling sustainability: investigating how Swedish fashion brands communicate sustainability to consumers</w:t>
            </w:r>
          </w:p>
        </w:tc>
        <w:tc>
          <w:tcPr>
            <w:tcW w:w="3111" w:type="dxa"/>
            <w:noWrap/>
            <w:vAlign w:val="center"/>
            <w:hideMark/>
          </w:tcPr>
          <w:p w14:paraId="724B8DE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Multi-site communication analysis (websites/CSR, social media, in-store)</w:t>
            </w:r>
          </w:p>
        </w:tc>
        <w:tc>
          <w:tcPr>
            <w:tcW w:w="4320" w:type="dxa"/>
            <w:noWrap/>
            <w:vAlign w:val="center"/>
            <w:hideMark/>
          </w:tcPr>
          <w:p w14:paraId="578EAE7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Varied/ambiguous definitions of “sustainability”; history of greenwashing and call for clearer standards; authenticity of narratives (RQ2 / RQ3)</w:t>
            </w:r>
          </w:p>
        </w:tc>
      </w:tr>
      <w:tr w:rsidR="007A6353" w:rsidRPr="002B796F" w14:paraId="26807997" w14:textId="77777777" w:rsidTr="007A6353">
        <w:trPr>
          <w:trHeight w:val="288"/>
        </w:trPr>
        <w:tc>
          <w:tcPr>
            <w:tcW w:w="843" w:type="dxa"/>
            <w:noWrap/>
            <w:vAlign w:val="center"/>
            <w:hideMark/>
          </w:tcPr>
          <w:p w14:paraId="7FC7C21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5</w:t>
            </w:r>
          </w:p>
        </w:tc>
        <w:tc>
          <w:tcPr>
            <w:tcW w:w="1790" w:type="dxa"/>
            <w:noWrap/>
            <w:vAlign w:val="center"/>
            <w:hideMark/>
          </w:tcPr>
          <w:p w14:paraId="2D6D547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Burnstine &amp; Ghattas (2025)</w:t>
            </w:r>
          </w:p>
        </w:tc>
        <w:tc>
          <w:tcPr>
            <w:tcW w:w="3881" w:type="dxa"/>
            <w:noWrap/>
            <w:vAlign w:val="center"/>
            <w:hideMark/>
          </w:tcPr>
          <w:p w14:paraId="564DC23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Assessing the Sustainable Circular Fashion Supply Chain as a Model for Achieving Economic Growth in the Global Market</w:t>
            </w:r>
          </w:p>
        </w:tc>
        <w:tc>
          <w:tcPr>
            <w:tcW w:w="3111" w:type="dxa"/>
            <w:noWrap/>
            <w:vAlign w:val="center"/>
            <w:hideMark/>
          </w:tcPr>
          <w:p w14:paraId="00210DF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Conceptual framework + illustrative case studies (brands &amp; policy)</w:t>
            </w:r>
          </w:p>
        </w:tc>
        <w:tc>
          <w:tcPr>
            <w:tcW w:w="4320" w:type="dxa"/>
            <w:noWrap/>
            <w:vAlign w:val="center"/>
            <w:hideMark/>
          </w:tcPr>
          <w:p w14:paraId="0F2200A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Circularity vs. systemic greenwashing; waste colonialism; transparency; policy shift beyond incrementalism (RQ3)</w:t>
            </w:r>
          </w:p>
        </w:tc>
      </w:tr>
      <w:tr w:rsidR="007A6353" w:rsidRPr="002B796F" w14:paraId="0B1DE3A7" w14:textId="77777777" w:rsidTr="007A6353">
        <w:trPr>
          <w:trHeight w:val="288"/>
        </w:trPr>
        <w:tc>
          <w:tcPr>
            <w:tcW w:w="843" w:type="dxa"/>
            <w:noWrap/>
            <w:vAlign w:val="center"/>
            <w:hideMark/>
          </w:tcPr>
          <w:p w14:paraId="29C5530E"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6</w:t>
            </w:r>
          </w:p>
        </w:tc>
        <w:tc>
          <w:tcPr>
            <w:tcW w:w="1790" w:type="dxa"/>
            <w:noWrap/>
            <w:vAlign w:val="center"/>
            <w:hideMark/>
          </w:tcPr>
          <w:p w14:paraId="12100ACB" w14:textId="36B3677E"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Crapa</w:t>
            </w:r>
            <w:proofErr w:type="spellEnd"/>
            <w:r w:rsidRPr="002B796F">
              <w:rPr>
                <w:rFonts w:eastAsia="Times New Roman" w:cs="Arial"/>
                <w:color w:val="000000"/>
                <w:lang w:val="en-US"/>
              </w:rPr>
              <w:t xml:space="preserve">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0C7AC4E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The influence of NGO-corporate relationship on environmental disclosure: Evidence from the fashion industry</w:t>
            </w:r>
          </w:p>
        </w:tc>
        <w:tc>
          <w:tcPr>
            <w:tcW w:w="3111" w:type="dxa"/>
            <w:noWrap/>
            <w:vAlign w:val="center"/>
            <w:hideMark/>
          </w:tcPr>
          <w:p w14:paraId="5CE0530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Qualitative longitudinal study; interviews (Greenpeace Detox lead) + corporate comms content analysis</w:t>
            </w:r>
          </w:p>
        </w:tc>
        <w:tc>
          <w:tcPr>
            <w:tcW w:w="4320" w:type="dxa"/>
            <w:noWrap/>
            <w:vAlign w:val="center"/>
            <w:hideMark/>
          </w:tcPr>
          <w:p w14:paraId="24DE9C4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NGO pressure &amp; greenwashing risk; conflict vs. collaboration effects on disclosure quality; activism intensity; selective transparency (RQ3)</w:t>
            </w:r>
          </w:p>
        </w:tc>
      </w:tr>
      <w:tr w:rsidR="007A6353" w:rsidRPr="002B796F" w14:paraId="6F1088AC" w14:textId="77777777" w:rsidTr="007A6353">
        <w:trPr>
          <w:trHeight w:val="288"/>
        </w:trPr>
        <w:tc>
          <w:tcPr>
            <w:tcW w:w="843" w:type="dxa"/>
            <w:noWrap/>
            <w:vAlign w:val="center"/>
            <w:hideMark/>
          </w:tcPr>
          <w:p w14:paraId="14B33651"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7</w:t>
            </w:r>
          </w:p>
        </w:tc>
        <w:tc>
          <w:tcPr>
            <w:tcW w:w="1790" w:type="dxa"/>
            <w:noWrap/>
            <w:vAlign w:val="center"/>
            <w:hideMark/>
          </w:tcPr>
          <w:p w14:paraId="3A378131"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Dalecki (2023)</w:t>
            </w:r>
          </w:p>
        </w:tc>
        <w:tc>
          <w:tcPr>
            <w:tcW w:w="3881" w:type="dxa"/>
            <w:noWrap/>
            <w:vAlign w:val="center"/>
            <w:hideMark/>
          </w:tcPr>
          <w:p w14:paraId="7E63FE60" w14:textId="77777777" w:rsidR="007A6353" w:rsidRPr="002B796F" w:rsidRDefault="007A6353" w:rsidP="002B796F">
            <w:pPr>
              <w:jc w:val="left"/>
              <w:rPr>
                <w:rFonts w:eastAsia="Times New Roman" w:cs="Arial"/>
                <w:color w:val="000000"/>
                <w:lang w:val="en-US"/>
              </w:rPr>
            </w:pPr>
            <w:proofErr w:type="spellStart"/>
            <w:r w:rsidRPr="002B796F">
              <w:rPr>
                <w:rFonts w:eastAsia="Times New Roman" w:cs="Arial"/>
                <w:color w:val="000000"/>
              </w:rPr>
              <w:t>Ecotton</w:t>
            </w:r>
            <w:proofErr w:type="spellEnd"/>
            <w:r w:rsidRPr="002B796F">
              <w:rPr>
                <w:rFonts w:eastAsia="Times New Roman" w:cs="Arial"/>
                <w:color w:val="000000"/>
              </w:rPr>
              <w:t>: Rebranding a substantiable, sustainable ingredient brand</w:t>
            </w:r>
          </w:p>
        </w:tc>
        <w:tc>
          <w:tcPr>
            <w:tcW w:w="3111" w:type="dxa"/>
            <w:noWrap/>
            <w:vAlign w:val="center"/>
            <w:hideMark/>
          </w:tcPr>
          <w:p w14:paraId="5D22B75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Managerial case study (B2B rebrand)</w:t>
            </w:r>
          </w:p>
        </w:tc>
        <w:tc>
          <w:tcPr>
            <w:tcW w:w="4320" w:type="dxa"/>
            <w:noWrap/>
            <w:vAlign w:val="center"/>
            <w:hideMark/>
          </w:tcPr>
          <w:p w14:paraId="17DF5D71"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Overcoming greenwashing </w:t>
            </w:r>
            <w:proofErr w:type="spellStart"/>
            <w:r w:rsidRPr="002B796F">
              <w:rPr>
                <w:rFonts w:eastAsia="Times New Roman" w:cs="Arial"/>
                <w:color w:val="000000"/>
                <w:lang w:val="en-US"/>
              </w:rPr>
              <w:t>scepticism</w:t>
            </w:r>
            <w:proofErr w:type="spellEnd"/>
            <w:r w:rsidRPr="002B796F">
              <w:rPr>
                <w:rFonts w:eastAsia="Times New Roman" w:cs="Arial"/>
                <w:color w:val="000000"/>
                <w:lang w:val="en-US"/>
              </w:rPr>
              <w:t>; proof vs. mere certification; litigation/regulatory pressure; authenticity/verification of claims (RQ2 / RQ3)</w:t>
            </w:r>
          </w:p>
        </w:tc>
      </w:tr>
      <w:tr w:rsidR="007A6353" w:rsidRPr="002B796F" w14:paraId="5A170BE1" w14:textId="77777777" w:rsidTr="007A6353">
        <w:trPr>
          <w:trHeight w:val="288"/>
        </w:trPr>
        <w:tc>
          <w:tcPr>
            <w:tcW w:w="843" w:type="dxa"/>
            <w:noWrap/>
            <w:vAlign w:val="center"/>
            <w:hideMark/>
          </w:tcPr>
          <w:p w14:paraId="68581968"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8</w:t>
            </w:r>
          </w:p>
        </w:tc>
        <w:tc>
          <w:tcPr>
            <w:tcW w:w="1790" w:type="dxa"/>
            <w:noWrap/>
            <w:vAlign w:val="center"/>
            <w:hideMark/>
          </w:tcPr>
          <w:p w14:paraId="16D38C6A" w14:textId="6AC72188" w:rsidR="007A6353" w:rsidRPr="002B796F" w:rsidRDefault="007A6353" w:rsidP="002B796F">
            <w:pPr>
              <w:jc w:val="center"/>
              <w:rPr>
                <w:rFonts w:eastAsia="Times New Roman" w:cs="Arial"/>
                <w:color w:val="000000"/>
                <w:lang w:val="nl-NL"/>
              </w:rPr>
            </w:pPr>
            <w:r w:rsidRPr="002B796F">
              <w:rPr>
                <w:rFonts w:eastAsia="Times New Roman" w:cs="Arial"/>
                <w:color w:val="000000"/>
                <w:lang w:val="nl-NL"/>
              </w:rPr>
              <w:t xml:space="preserve">de Magalhães Silva </w:t>
            </w:r>
            <w:r w:rsidR="001D1CA2" w:rsidRPr="001D1CA2">
              <w:rPr>
                <w:rFonts w:eastAsia="Times New Roman" w:cs="Arial"/>
                <w:i/>
                <w:iCs/>
                <w:color w:val="000000"/>
                <w:lang w:val="nl-NL"/>
              </w:rPr>
              <w:t>et al</w:t>
            </w:r>
            <w:r w:rsidRPr="002B796F">
              <w:rPr>
                <w:rFonts w:eastAsia="Times New Roman" w:cs="Arial"/>
                <w:color w:val="000000"/>
                <w:lang w:val="nl-NL"/>
              </w:rPr>
              <w:t>. (2025)</w:t>
            </w:r>
          </w:p>
        </w:tc>
        <w:tc>
          <w:tcPr>
            <w:tcW w:w="3881" w:type="dxa"/>
            <w:noWrap/>
            <w:vAlign w:val="center"/>
            <w:hideMark/>
          </w:tcPr>
          <w:p w14:paraId="4CBE8BF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Greenwashing and the preservation of corporate identity: A study of ESG actions in luxury fashion</w:t>
            </w:r>
          </w:p>
        </w:tc>
        <w:tc>
          <w:tcPr>
            <w:tcW w:w="3111" w:type="dxa"/>
            <w:noWrap/>
            <w:vAlign w:val="center"/>
            <w:hideMark/>
          </w:tcPr>
          <w:p w14:paraId="450D155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Qualitative discourse analysis (IRaMuTeQ) of ESG communication by luxury groups</w:t>
            </w:r>
          </w:p>
        </w:tc>
        <w:tc>
          <w:tcPr>
            <w:tcW w:w="4320" w:type="dxa"/>
            <w:noWrap/>
            <w:vAlign w:val="center"/>
            <w:hideMark/>
          </w:tcPr>
          <w:p w14:paraId="21F89FC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ESG disclosure authenticity; corporate identity vs. greenwashing; transparency; stakeholder engagement; accountability (RQ3)</w:t>
            </w:r>
          </w:p>
        </w:tc>
      </w:tr>
      <w:tr w:rsidR="007A6353" w:rsidRPr="002B796F" w14:paraId="548BC5B1" w14:textId="77777777" w:rsidTr="007A6353">
        <w:trPr>
          <w:trHeight w:val="288"/>
        </w:trPr>
        <w:tc>
          <w:tcPr>
            <w:tcW w:w="843" w:type="dxa"/>
            <w:noWrap/>
            <w:vAlign w:val="center"/>
            <w:hideMark/>
          </w:tcPr>
          <w:p w14:paraId="412FAE79"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9</w:t>
            </w:r>
          </w:p>
        </w:tc>
        <w:tc>
          <w:tcPr>
            <w:tcW w:w="1790" w:type="dxa"/>
            <w:noWrap/>
            <w:vAlign w:val="center"/>
            <w:hideMark/>
          </w:tcPr>
          <w:p w14:paraId="5D453BD6" w14:textId="619A2CDA"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Díaz-Bustamante-</w:t>
            </w:r>
            <w:proofErr w:type="spellStart"/>
            <w:r w:rsidRPr="002B796F">
              <w:rPr>
                <w:rFonts w:eastAsia="Times New Roman" w:cs="Arial"/>
                <w:color w:val="000000"/>
                <w:lang w:val="en-US"/>
              </w:rPr>
              <w:t>Ventisca</w:t>
            </w:r>
            <w:proofErr w:type="spellEnd"/>
            <w:r w:rsidRPr="002B796F">
              <w:rPr>
                <w:rFonts w:eastAsia="Times New Roman" w:cs="Arial"/>
                <w:color w:val="000000"/>
                <w:lang w:val="en-US"/>
              </w:rPr>
              <w:t xml:space="preserve">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44155F7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 xml:space="preserve">Greenwashing perception in Spanish fast-fashion brands’ communication: modelling sustainable </w:t>
            </w:r>
            <w:proofErr w:type="spellStart"/>
            <w:r w:rsidRPr="002B796F">
              <w:rPr>
                <w:rFonts w:eastAsia="Times New Roman" w:cs="Arial"/>
                <w:color w:val="000000"/>
              </w:rPr>
              <w:t>behaviours</w:t>
            </w:r>
            <w:proofErr w:type="spellEnd"/>
            <w:r w:rsidRPr="002B796F">
              <w:rPr>
                <w:rFonts w:eastAsia="Times New Roman" w:cs="Arial"/>
                <w:color w:val="000000"/>
              </w:rPr>
              <w:t xml:space="preserve"> and attitudes</w:t>
            </w:r>
          </w:p>
        </w:tc>
        <w:tc>
          <w:tcPr>
            <w:tcW w:w="3111" w:type="dxa"/>
            <w:noWrap/>
            <w:vAlign w:val="center"/>
            <w:hideMark/>
          </w:tcPr>
          <w:p w14:paraId="02FBAF6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Cross-sectional online survey; modelling links between perception and behaviour</w:t>
            </w:r>
          </w:p>
        </w:tc>
        <w:tc>
          <w:tcPr>
            <w:tcW w:w="4320" w:type="dxa"/>
            <w:noWrap/>
            <w:vAlign w:val="center"/>
            <w:hideMark/>
          </w:tcPr>
          <w:p w14:paraId="0C848FC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Consumer perception of greenwashing; effects of influencer/website campaigns; </w:t>
            </w:r>
            <w:proofErr w:type="spellStart"/>
            <w:r w:rsidRPr="002B796F">
              <w:rPr>
                <w:rFonts w:eastAsia="Times New Roman" w:cs="Arial"/>
                <w:color w:val="000000"/>
                <w:lang w:val="en-US"/>
              </w:rPr>
              <w:t>scepticism</w:t>
            </w:r>
            <w:proofErr w:type="spellEnd"/>
            <w:r w:rsidRPr="002B796F">
              <w:rPr>
                <w:rFonts w:eastAsia="Times New Roman" w:cs="Arial"/>
                <w:color w:val="000000"/>
                <w:lang w:val="en-US"/>
              </w:rPr>
              <w:t>; links to sustainable behaviour (RQ2)</w:t>
            </w:r>
          </w:p>
        </w:tc>
      </w:tr>
      <w:tr w:rsidR="007A6353" w:rsidRPr="002B796F" w14:paraId="3D63157C" w14:textId="77777777" w:rsidTr="007A6353">
        <w:trPr>
          <w:trHeight w:val="288"/>
        </w:trPr>
        <w:tc>
          <w:tcPr>
            <w:tcW w:w="843" w:type="dxa"/>
            <w:noWrap/>
            <w:vAlign w:val="center"/>
            <w:hideMark/>
          </w:tcPr>
          <w:p w14:paraId="112BFB5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10</w:t>
            </w:r>
          </w:p>
        </w:tc>
        <w:tc>
          <w:tcPr>
            <w:tcW w:w="1790" w:type="dxa"/>
            <w:noWrap/>
            <w:vAlign w:val="center"/>
            <w:hideMark/>
          </w:tcPr>
          <w:p w14:paraId="5F555626" w14:textId="05B2BE60"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Do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67D6D61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Antecedents of Gen Z’s green purchase intention in Vietnam’s fashion industry with the moderating role of greenwash perception</w:t>
            </w:r>
          </w:p>
        </w:tc>
        <w:tc>
          <w:tcPr>
            <w:tcW w:w="3111" w:type="dxa"/>
            <w:noWrap/>
            <w:vAlign w:val="center"/>
            <w:hideMark/>
          </w:tcPr>
          <w:p w14:paraId="37DFBB25"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Survey (n=467); SEM with bootstrapping</w:t>
            </w:r>
          </w:p>
        </w:tc>
        <w:tc>
          <w:tcPr>
            <w:tcW w:w="4320" w:type="dxa"/>
            <w:noWrap/>
            <w:vAlign w:val="center"/>
            <w:hideMark/>
          </w:tcPr>
          <w:p w14:paraId="1D1B5A4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Greenwash perception as negative moderator; transparency, third-party certification; authentic communication (RQ2 / RQ3)</w:t>
            </w:r>
          </w:p>
        </w:tc>
      </w:tr>
      <w:tr w:rsidR="007A6353" w:rsidRPr="002B796F" w14:paraId="4D165929" w14:textId="77777777" w:rsidTr="007A6353">
        <w:trPr>
          <w:trHeight w:val="288"/>
        </w:trPr>
        <w:tc>
          <w:tcPr>
            <w:tcW w:w="843" w:type="dxa"/>
            <w:noWrap/>
            <w:vAlign w:val="center"/>
            <w:hideMark/>
          </w:tcPr>
          <w:p w14:paraId="1D3BF8A9"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11</w:t>
            </w:r>
          </w:p>
        </w:tc>
        <w:tc>
          <w:tcPr>
            <w:tcW w:w="1790" w:type="dxa"/>
            <w:noWrap/>
            <w:vAlign w:val="center"/>
            <w:hideMark/>
          </w:tcPr>
          <w:p w14:paraId="20BF313B"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Dobos &amp; Éltető (2023)</w:t>
            </w:r>
          </w:p>
        </w:tc>
        <w:tc>
          <w:tcPr>
            <w:tcW w:w="3881" w:type="dxa"/>
            <w:noWrap/>
            <w:vAlign w:val="center"/>
            <w:hideMark/>
          </w:tcPr>
          <w:p w14:paraId="61D062FF"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Regulation of the fashion supply chains and the sustainability–growth balance</w:t>
            </w:r>
          </w:p>
        </w:tc>
        <w:tc>
          <w:tcPr>
            <w:tcW w:w="3111" w:type="dxa"/>
            <w:noWrap/>
            <w:vAlign w:val="center"/>
            <w:hideMark/>
          </w:tcPr>
          <w:p w14:paraId="1272C42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Documentary analysis + single-firm case</w:t>
            </w:r>
          </w:p>
        </w:tc>
        <w:tc>
          <w:tcPr>
            <w:tcW w:w="4320" w:type="dxa"/>
            <w:noWrap/>
            <w:vAlign w:val="center"/>
            <w:hideMark/>
          </w:tcPr>
          <w:p w14:paraId="57DCCFA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Misleading/exaggerated claims; regulatory gaps; monitoring/oversight proposals; growth vs. genuine sustainability (RQ2)</w:t>
            </w:r>
          </w:p>
        </w:tc>
      </w:tr>
      <w:tr w:rsidR="007A6353" w:rsidRPr="002B796F" w14:paraId="7D797BAC" w14:textId="77777777" w:rsidTr="007A6353">
        <w:trPr>
          <w:trHeight w:val="288"/>
        </w:trPr>
        <w:tc>
          <w:tcPr>
            <w:tcW w:w="843" w:type="dxa"/>
            <w:noWrap/>
            <w:vAlign w:val="center"/>
            <w:hideMark/>
          </w:tcPr>
          <w:p w14:paraId="6D675588"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12</w:t>
            </w:r>
          </w:p>
        </w:tc>
        <w:tc>
          <w:tcPr>
            <w:tcW w:w="1790" w:type="dxa"/>
            <w:noWrap/>
            <w:vAlign w:val="center"/>
            <w:hideMark/>
          </w:tcPr>
          <w:p w14:paraId="304921DE"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Eppinger (2022)</w:t>
            </w:r>
          </w:p>
        </w:tc>
        <w:tc>
          <w:tcPr>
            <w:tcW w:w="3881" w:type="dxa"/>
            <w:noWrap/>
            <w:vAlign w:val="center"/>
            <w:hideMark/>
          </w:tcPr>
          <w:p w14:paraId="00A5050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Recycling technologies for enabling sustainability transitions of the fashion industry</w:t>
            </w:r>
          </w:p>
        </w:tc>
        <w:tc>
          <w:tcPr>
            <w:tcW w:w="3111" w:type="dxa"/>
            <w:noWrap/>
            <w:vAlign w:val="center"/>
            <w:hideMark/>
          </w:tcPr>
          <w:p w14:paraId="55BE02E1"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Case studies + expert interviews</w:t>
            </w:r>
          </w:p>
        </w:tc>
        <w:tc>
          <w:tcPr>
            <w:tcW w:w="4320" w:type="dxa"/>
            <w:noWrap/>
            <w:vAlign w:val="center"/>
            <w:hideMark/>
          </w:tcPr>
          <w:p w14:paraId="758153D1"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Greenwashing via recycled PET bottle narratives; incentive distortion; transparency standards in recycling claims (RQ2)</w:t>
            </w:r>
          </w:p>
        </w:tc>
      </w:tr>
      <w:tr w:rsidR="007A6353" w:rsidRPr="002B796F" w14:paraId="010B2BDF" w14:textId="77777777" w:rsidTr="007A6353">
        <w:trPr>
          <w:trHeight w:val="288"/>
        </w:trPr>
        <w:tc>
          <w:tcPr>
            <w:tcW w:w="843" w:type="dxa"/>
            <w:noWrap/>
            <w:vAlign w:val="center"/>
            <w:hideMark/>
          </w:tcPr>
          <w:p w14:paraId="388A745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13</w:t>
            </w:r>
          </w:p>
        </w:tc>
        <w:tc>
          <w:tcPr>
            <w:tcW w:w="1790" w:type="dxa"/>
            <w:noWrap/>
            <w:vAlign w:val="center"/>
            <w:hideMark/>
          </w:tcPr>
          <w:p w14:paraId="329DF50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Evans &amp; Peirson-Smith (2018)</w:t>
            </w:r>
          </w:p>
        </w:tc>
        <w:tc>
          <w:tcPr>
            <w:tcW w:w="3881" w:type="dxa"/>
            <w:noWrap/>
            <w:vAlign w:val="center"/>
            <w:hideMark/>
          </w:tcPr>
          <w:p w14:paraId="70CD51E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The sustainability word challenge: Exploring consumer interpretations of frequently used words to promote sustainable fashion brand behaviors and imagery</w:t>
            </w:r>
          </w:p>
        </w:tc>
        <w:tc>
          <w:tcPr>
            <w:tcW w:w="3111" w:type="dxa"/>
            <w:noWrap/>
            <w:vAlign w:val="center"/>
            <w:hideMark/>
          </w:tcPr>
          <w:p w14:paraId="0FCBCE4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Survey (n=100) + 20 ethnographic interviews</w:t>
            </w:r>
          </w:p>
        </w:tc>
        <w:tc>
          <w:tcPr>
            <w:tcW w:w="4320" w:type="dxa"/>
            <w:noWrap/>
            <w:vAlign w:val="center"/>
            <w:hideMark/>
          </w:tcPr>
          <w:p w14:paraId="18B55F0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Misunderstood sustainability terms → confusion &amp; </w:t>
            </w:r>
            <w:proofErr w:type="spellStart"/>
            <w:r w:rsidRPr="002B796F">
              <w:rPr>
                <w:rFonts w:eastAsia="Times New Roman" w:cs="Arial"/>
                <w:color w:val="000000"/>
                <w:lang w:val="en-US"/>
              </w:rPr>
              <w:t>scepticism</w:t>
            </w:r>
            <w:proofErr w:type="spellEnd"/>
            <w:r w:rsidRPr="002B796F">
              <w:rPr>
                <w:rFonts w:eastAsia="Times New Roman" w:cs="Arial"/>
                <w:color w:val="000000"/>
                <w:lang w:val="en-US"/>
              </w:rPr>
              <w:t>; clarity to reduce perceived greenwashing; brand trust (RQ2 / RQ3)</w:t>
            </w:r>
          </w:p>
        </w:tc>
      </w:tr>
      <w:tr w:rsidR="007A6353" w:rsidRPr="002B796F" w14:paraId="099969F9" w14:textId="77777777" w:rsidTr="007A6353">
        <w:trPr>
          <w:trHeight w:val="288"/>
        </w:trPr>
        <w:tc>
          <w:tcPr>
            <w:tcW w:w="843" w:type="dxa"/>
            <w:noWrap/>
            <w:vAlign w:val="center"/>
            <w:hideMark/>
          </w:tcPr>
          <w:p w14:paraId="249EB07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14</w:t>
            </w:r>
          </w:p>
        </w:tc>
        <w:tc>
          <w:tcPr>
            <w:tcW w:w="1790" w:type="dxa"/>
            <w:noWrap/>
            <w:vAlign w:val="center"/>
            <w:hideMark/>
          </w:tcPr>
          <w:p w14:paraId="76E40C95"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Fang (2024)</w:t>
            </w:r>
          </w:p>
        </w:tc>
        <w:tc>
          <w:tcPr>
            <w:tcW w:w="3881" w:type="dxa"/>
            <w:noWrap/>
            <w:vAlign w:val="center"/>
            <w:hideMark/>
          </w:tcPr>
          <w:p w14:paraId="25C3AF8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Greenwashing Versus Green Authenticity: How Green Social Media Influences Consumer Perceptions and Green Purchase Decisions</w:t>
            </w:r>
          </w:p>
        </w:tc>
        <w:tc>
          <w:tcPr>
            <w:tcW w:w="3111" w:type="dxa"/>
            <w:noWrap/>
            <w:vAlign w:val="center"/>
            <w:hideMark/>
          </w:tcPr>
          <w:p w14:paraId="5F325005"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Survey (n=413, Guangzhou, China); PLS-SEM (SmartPLS)</w:t>
            </w:r>
          </w:p>
        </w:tc>
        <w:tc>
          <w:tcPr>
            <w:tcW w:w="4320" w:type="dxa"/>
            <w:noWrap/>
            <w:vAlign w:val="center"/>
            <w:hideMark/>
          </w:tcPr>
          <w:p w14:paraId="2834B891"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Green social media influence; perceived greenwashing vs authenticity; authenticity mediates purchase decisions; implications for </w:t>
            </w:r>
            <w:r w:rsidRPr="002B796F">
              <w:rPr>
                <w:rFonts w:eastAsia="Times New Roman" w:cs="Arial"/>
                <w:color w:val="000000"/>
                <w:lang w:val="en-US"/>
              </w:rPr>
              <w:lastRenderedPageBreak/>
              <w:t>fashion brand communication (RQ2 / RQ3)</w:t>
            </w:r>
          </w:p>
        </w:tc>
      </w:tr>
      <w:tr w:rsidR="007A6353" w:rsidRPr="002B796F" w14:paraId="7BCC5BE2" w14:textId="77777777" w:rsidTr="007A6353">
        <w:trPr>
          <w:trHeight w:val="288"/>
        </w:trPr>
        <w:tc>
          <w:tcPr>
            <w:tcW w:w="843" w:type="dxa"/>
            <w:noWrap/>
            <w:vAlign w:val="center"/>
            <w:hideMark/>
          </w:tcPr>
          <w:p w14:paraId="5D831A05"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15</w:t>
            </w:r>
          </w:p>
        </w:tc>
        <w:tc>
          <w:tcPr>
            <w:tcW w:w="1790" w:type="dxa"/>
            <w:noWrap/>
            <w:vAlign w:val="center"/>
            <w:hideMark/>
          </w:tcPr>
          <w:p w14:paraId="098A243C" w14:textId="2B0BF7C8"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Garcia-Ortega </w:t>
            </w:r>
            <w:r w:rsidR="001D1CA2" w:rsidRPr="001D1CA2">
              <w:rPr>
                <w:rFonts w:eastAsia="Times New Roman" w:cs="Arial"/>
                <w:i/>
                <w:iCs/>
                <w:color w:val="000000"/>
                <w:lang w:val="en-US"/>
              </w:rPr>
              <w:t>et al</w:t>
            </w:r>
            <w:r w:rsidRPr="002B796F">
              <w:rPr>
                <w:rFonts w:eastAsia="Times New Roman" w:cs="Arial"/>
                <w:color w:val="000000"/>
                <w:lang w:val="en-US"/>
              </w:rPr>
              <w:t>. (2023)</w:t>
            </w:r>
          </w:p>
        </w:tc>
        <w:tc>
          <w:tcPr>
            <w:tcW w:w="3881" w:type="dxa"/>
            <w:noWrap/>
            <w:vAlign w:val="center"/>
            <w:hideMark/>
          </w:tcPr>
          <w:p w14:paraId="139CD34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Sufficient consumption as a missing link toward sustainability: The case of fast fashion</w:t>
            </w:r>
          </w:p>
        </w:tc>
        <w:tc>
          <w:tcPr>
            <w:tcW w:w="3111" w:type="dxa"/>
            <w:noWrap/>
            <w:vAlign w:val="center"/>
            <w:hideMark/>
          </w:tcPr>
          <w:p w14:paraId="026267E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Multiple case study; qualitative content analysis of annual reports (2013–14; 2020–21) of 10 fast-fashion firms</w:t>
            </w:r>
          </w:p>
        </w:tc>
        <w:tc>
          <w:tcPr>
            <w:tcW w:w="4320" w:type="dxa"/>
            <w:noWrap/>
            <w:vAlign w:val="center"/>
            <w:hideMark/>
          </w:tcPr>
          <w:p w14:paraId="1439786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Sufficiency vs. growth logic; SDG12 laxity; anti-consumerist washing (variant of greenwashing); credibility of corporate sufficiency claims (RQ2)</w:t>
            </w:r>
          </w:p>
        </w:tc>
      </w:tr>
      <w:tr w:rsidR="007A6353" w:rsidRPr="002B796F" w14:paraId="661FA867" w14:textId="77777777" w:rsidTr="007A6353">
        <w:trPr>
          <w:trHeight w:val="288"/>
        </w:trPr>
        <w:tc>
          <w:tcPr>
            <w:tcW w:w="843" w:type="dxa"/>
            <w:noWrap/>
            <w:vAlign w:val="center"/>
            <w:hideMark/>
          </w:tcPr>
          <w:p w14:paraId="69EDEFD9"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16</w:t>
            </w:r>
          </w:p>
        </w:tc>
        <w:tc>
          <w:tcPr>
            <w:tcW w:w="1790" w:type="dxa"/>
            <w:noWrap/>
            <w:vAlign w:val="center"/>
            <w:hideMark/>
          </w:tcPr>
          <w:p w14:paraId="681756AF" w14:textId="3EAE5D6A"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Garcia-Ortega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6265654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Decoding business strategies toward sufficient consumption in the fashion industry</w:t>
            </w:r>
          </w:p>
        </w:tc>
        <w:tc>
          <w:tcPr>
            <w:tcW w:w="3111" w:type="dxa"/>
            <w:noWrap/>
            <w:vAlign w:val="center"/>
            <w:hideMark/>
          </w:tcPr>
          <w:p w14:paraId="66EADEE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Qualitative content analysis of corporate reports, websites &amp; social media across 15 firms</w:t>
            </w:r>
          </w:p>
        </w:tc>
        <w:tc>
          <w:tcPr>
            <w:tcW w:w="4320" w:type="dxa"/>
            <w:noWrap/>
            <w:vAlign w:val="center"/>
            <w:hideMark/>
          </w:tcPr>
          <w:p w14:paraId="5B76582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Sufficiency vs. anti-consumerist washing; consistency of sustainability messaging; credibility of sufficiency claims; cross-channel alignment (RQ2 / RQ3)</w:t>
            </w:r>
          </w:p>
        </w:tc>
      </w:tr>
      <w:tr w:rsidR="007A6353" w:rsidRPr="002B796F" w14:paraId="2982AF6B" w14:textId="77777777" w:rsidTr="007A6353">
        <w:trPr>
          <w:trHeight w:val="288"/>
        </w:trPr>
        <w:tc>
          <w:tcPr>
            <w:tcW w:w="843" w:type="dxa"/>
            <w:noWrap/>
            <w:vAlign w:val="center"/>
            <w:hideMark/>
          </w:tcPr>
          <w:p w14:paraId="678C5D05"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17</w:t>
            </w:r>
          </w:p>
        </w:tc>
        <w:tc>
          <w:tcPr>
            <w:tcW w:w="1790" w:type="dxa"/>
            <w:noWrap/>
            <w:vAlign w:val="center"/>
            <w:hideMark/>
          </w:tcPr>
          <w:p w14:paraId="0ED96E59"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Goswami &amp; Jaiswal (2023)</w:t>
            </w:r>
          </w:p>
        </w:tc>
        <w:tc>
          <w:tcPr>
            <w:tcW w:w="3881" w:type="dxa"/>
            <w:noWrap/>
            <w:vAlign w:val="center"/>
            <w:hideMark/>
          </w:tcPr>
          <w:p w14:paraId="466B048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Lying by telling the truth – the risks of deception by paltering and hypocrisy in corporate social responsibilities context</w:t>
            </w:r>
          </w:p>
        </w:tc>
        <w:tc>
          <w:tcPr>
            <w:tcW w:w="3111" w:type="dxa"/>
            <w:noWrap/>
            <w:vAlign w:val="center"/>
            <w:hideMark/>
          </w:tcPr>
          <w:p w14:paraId="129991B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Two-factor online experiment (paltering × message replication); PROCESS mediation</w:t>
            </w:r>
          </w:p>
        </w:tc>
        <w:tc>
          <w:tcPr>
            <w:tcW w:w="4320" w:type="dxa"/>
            <w:noWrap/>
            <w:vAlign w:val="center"/>
            <w:hideMark/>
          </w:tcPr>
          <w:p w14:paraId="2878488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Paltering (technically true but misleading claims); perceived hypocrisy; reputational/relational harm; purchase-intention effects in fashion CSR (RQ2)</w:t>
            </w:r>
          </w:p>
        </w:tc>
      </w:tr>
      <w:tr w:rsidR="007A6353" w:rsidRPr="002B796F" w14:paraId="5B7C76B3" w14:textId="77777777" w:rsidTr="007A6353">
        <w:trPr>
          <w:trHeight w:val="288"/>
        </w:trPr>
        <w:tc>
          <w:tcPr>
            <w:tcW w:w="843" w:type="dxa"/>
            <w:noWrap/>
            <w:vAlign w:val="center"/>
            <w:hideMark/>
          </w:tcPr>
          <w:p w14:paraId="15906FF2"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18</w:t>
            </w:r>
          </w:p>
        </w:tc>
        <w:tc>
          <w:tcPr>
            <w:tcW w:w="1790" w:type="dxa"/>
            <w:noWrap/>
            <w:vAlign w:val="center"/>
            <w:hideMark/>
          </w:tcPr>
          <w:p w14:paraId="612342BF" w14:textId="77777777"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Habtemaryam</w:t>
            </w:r>
            <w:proofErr w:type="spellEnd"/>
            <w:r w:rsidRPr="002B796F">
              <w:rPr>
                <w:rFonts w:eastAsia="Times New Roman" w:cs="Arial"/>
                <w:color w:val="000000"/>
                <w:lang w:val="en-US"/>
              </w:rPr>
              <w:t>, Degoma &amp; Tsegaye (2025)</w:t>
            </w:r>
          </w:p>
        </w:tc>
        <w:tc>
          <w:tcPr>
            <w:tcW w:w="3881" w:type="dxa"/>
            <w:noWrap/>
            <w:vAlign w:val="center"/>
            <w:hideMark/>
          </w:tcPr>
          <w:p w14:paraId="20C47D3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Driving environmental sustainability through synergistic green business practices and green innovation in developing economies’ leather, textile and garment industries</w:t>
            </w:r>
          </w:p>
        </w:tc>
        <w:tc>
          <w:tcPr>
            <w:tcW w:w="3111" w:type="dxa"/>
            <w:noWrap/>
            <w:vAlign w:val="center"/>
            <w:hideMark/>
          </w:tcPr>
          <w:p w14:paraId="2D03988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Quantitative cross-sectional survey; PLS-SEM analysis</w:t>
            </w:r>
          </w:p>
        </w:tc>
        <w:tc>
          <w:tcPr>
            <w:tcW w:w="4320" w:type="dxa"/>
            <w:noWrap/>
            <w:vAlign w:val="center"/>
            <w:hideMark/>
          </w:tcPr>
          <w:p w14:paraId="7DFFDAD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 innovation (GINO); green marketing orientation (GMO); manufacturing and HR practices; genuine environmental performance improvement (RQ1)</w:t>
            </w:r>
          </w:p>
        </w:tc>
      </w:tr>
      <w:tr w:rsidR="007A6353" w:rsidRPr="002B796F" w14:paraId="051045E1" w14:textId="77777777" w:rsidTr="007A6353">
        <w:trPr>
          <w:trHeight w:val="288"/>
        </w:trPr>
        <w:tc>
          <w:tcPr>
            <w:tcW w:w="843" w:type="dxa"/>
            <w:noWrap/>
            <w:vAlign w:val="center"/>
            <w:hideMark/>
          </w:tcPr>
          <w:p w14:paraId="50E29B3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19</w:t>
            </w:r>
          </w:p>
        </w:tc>
        <w:tc>
          <w:tcPr>
            <w:tcW w:w="1790" w:type="dxa"/>
            <w:noWrap/>
            <w:vAlign w:val="center"/>
            <w:hideMark/>
          </w:tcPr>
          <w:p w14:paraId="2068DC21" w14:textId="77777777"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Hairudinor</w:t>
            </w:r>
            <w:proofErr w:type="spellEnd"/>
            <w:r w:rsidRPr="002B796F">
              <w:rPr>
                <w:rFonts w:eastAsia="Times New Roman" w:cs="Arial"/>
                <w:color w:val="000000"/>
                <w:lang w:val="en-US"/>
              </w:rPr>
              <w:t xml:space="preserve"> &amp; Barkatullah (2020)</w:t>
            </w:r>
          </w:p>
        </w:tc>
        <w:tc>
          <w:tcPr>
            <w:tcW w:w="3881" w:type="dxa"/>
            <w:noWrap/>
            <w:vAlign w:val="center"/>
            <w:hideMark/>
          </w:tcPr>
          <w:p w14:paraId="71D1A75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 xml:space="preserve">Implications of </w:t>
            </w:r>
            <w:proofErr w:type="spellStart"/>
            <w:r w:rsidRPr="002B796F">
              <w:rPr>
                <w:rFonts w:eastAsia="Times New Roman" w:cs="Arial"/>
                <w:color w:val="000000"/>
              </w:rPr>
              <w:t>Enviropreneurial</w:t>
            </w:r>
            <w:proofErr w:type="spellEnd"/>
            <w:r w:rsidRPr="002B796F">
              <w:rPr>
                <w:rFonts w:eastAsia="Times New Roman" w:cs="Arial"/>
                <w:color w:val="000000"/>
              </w:rPr>
              <w:t xml:space="preserve"> Orientation for Garments Brands in Indonesia: Can Suitability be Achieved through Green Marketing, Eco-Labeling and Greenwashing Strategies?</w:t>
            </w:r>
          </w:p>
        </w:tc>
        <w:tc>
          <w:tcPr>
            <w:tcW w:w="3111" w:type="dxa"/>
            <w:noWrap/>
            <w:vAlign w:val="center"/>
            <w:hideMark/>
          </w:tcPr>
          <w:p w14:paraId="130DAE2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Online survey; CFA + SEM</w:t>
            </w:r>
          </w:p>
        </w:tc>
        <w:tc>
          <w:tcPr>
            <w:tcW w:w="4320" w:type="dxa"/>
            <w:noWrap/>
            <w:vAlign w:val="center"/>
            <w:hideMark/>
          </w:tcPr>
          <w:p w14:paraId="0EDE6689"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Garment sector; green marketing/eco-labels/greenwashing as mediators; (in)authentic sustainability performance; risks of instrumental greenwashing (RQ1 / RQ2)</w:t>
            </w:r>
          </w:p>
        </w:tc>
      </w:tr>
      <w:tr w:rsidR="007A6353" w:rsidRPr="002B796F" w14:paraId="05029874" w14:textId="77777777" w:rsidTr="007A6353">
        <w:trPr>
          <w:trHeight w:val="288"/>
        </w:trPr>
        <w:tc>
          <w:tcPr>
            <w:tcW w:w="843" w:type="dxa"/>
            <w:noWrap/>
            <w:vAlign w:val="center"/>
            <w:hideMark/>
          </w:tcPr>
          <w:p w14:paraId="5C556D60"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20</w:t>
            </w:r>
          </w:p>
        </w:tc>
        <w:tc>
          <w:tcPr>
            <w:tcW w:w="1790" w:type="dxa"/>
            <w:noWrap/>
            <w:vAlign w:val="center"/>
            <w:hideMark/>
          </w:tcPr>
          <w:p w14:paraId="5451F542"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Haque &amp; Lang (2025)</w:t>
            </w:r>
          </w:p>
        </w:tc>
        <w:tc>
          <w:tcPr>
            <w:tcW w:w="3881" w:type="dxa"/>
            <w:noWrap/>
            <w:vAlign w:val="center"/>
            <w:hideMark/>
          </w:tcPr>
          <w:p w14:paraId="673AC8B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Unraveling the Green Veil: Investigating the Affective Responses of U.S. Generation Z to Fast Fashion Greenwashing Through C-A-B Theory</w:t>
            </w:r>
          </w:p>
        </w:tc>
        <w:tc>
          <w:tcPr>
            <w:tcW w:w="3111" w:type="dxa"/>
            <w:noWrap/>
            <w:vAlign w:val="center"/>
            <w:hideMark/>
          </w:tcPr>
          <w:p w14:paraId="5532988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 xml:space="preserve">Survey (n=345 </w:t>
            </w:r>
            <w:proofErr w:type="spellStart"/>
            <w:r w:rsidRPr="002B796F">
              <w:rPr>
                <w:rFonts w:eastAsia="Times New Roman" w:cs="Arial"/>
                <w:color w:val="000000"/>
              </w:rPr>
              <w:t>MTurk</w:t>
            </w:r>
            <w:proofErr w:type="spellEnd"/>
            <w:r w:rsidRPr="002B796F">
              <w:rPr>
                <w:rFonts w:eastAsia="Times New Roman" w:cs="Arial"/>
                <w:color w:val="000000"/>
              </w:rPr>
              <w:t>); two-step SEM; 5,000-bootstrapped indirect effects</w:t>
            </w:r>
          </w:p>
        </w:tc>
        <w:tc>
          <w:tcPr>
            <w:tcW w:w="4320" w:type="dxa"/>
            <w:noWrap/>
            <w:vAlign w:val="center"/>
            <w:hideMark/>
          </w:tcPr>
          <w:p w14:paraId="1112458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Fast-fashion greenwashing; </w:t>
            </w:r>
            <w:proofErr w:type="spellStart"/>
            <w:r w:rsidRPr="002B796F">
              <w:rPr>
                <w:rFonts w:eastAsia="Times New Roman" w:cs="Arial"/>
                <w:color w:val="000000"/>
                <w:lang w:val="en-US"/>
              </w:rPr>
              <w:t>scepticism</w:t>
            </w:r>
            <w:proofErr w:type="spellEnd"/>
            <w:r w:rsidRPr="002B796F">
              <w:rPr>
                <w:rFonts w:eastAsia="Times New Roman" w:cs="Arial"/>
                <w:color w:val="000000"/>
                <w:lang w:val="en-US"/>
              </w:rPr>
              <w:t xml:space="preserve"> vs. purchase intention paradox; affective responses; optimism bias; message design boundaries (RQ2)</w:t>
            </w:r>
          </w:p>
        </w:tc>
      </w:tr>
      <w:tr w:rsidR="007A6353" w:rsidRPr="002B796F" w14:paraId="4D2A077B" w14:textId="77777777" w:rsidTr="007A6353">
        <w:trPr>
          <w:trHeight w:val="288"/>
        </w:trPr>
        <w:tc>
          <w:tcPr>
            <w:tcW w:w="843" w:type="dxa"/>
            <w:noWrap/>
            <w:vAlign w:val="center"/>
            <w:hideMark/>
          </w:tcPr>
          <w:p w14:paraId="4F9F3B09"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21</w:t>
            </w:r>
          </w:p>
        </w:tc>
        <w:tc>
          <w:tcPr>
            <w:tcW w:w="1790" w:type="dxa"/>
            <w:noWrap/>
            <w:vAlign w:val="center"/>
            <w:hideMark/>
          </w:tcPr>
          <w:p w14:paraId="2AA89825" w14:textId="77777777"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Heidenstrøm</w:t>
            </w:r>
            <w:proofErr w:type="spellEnd"/>
            <w:r w:rsidRPr="002B796F">
              <w:rPr>
                <w:rFonts w:eastAsia="Times New Roman" w:cs="Arial"/>
                <w:color w:val="000000"/>
                <w:lang w:val="en-US"/>
              </w:rPr>
              <w:t xml:space="preserve"> (2024)</w:t>
            </w:r>
          </w:p>
        </w:tc>
        <w:tc>
          <w:tcPr>
            <w:tcW w:w="3881" w:type="dxa"/>
            <w:noWrap/>
            <w:vAlign w:val="center"/>
            <w:hideMark/>
          </w:tcPr>
          <w:p w14:paraId="20E18F0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Green marketing in the fashion industry: a critical analysis of sustainability narratives</w:t>
            </w:r>
          </w:p>
        </w:tc>
        <w:tc>
          <w:tcPr>
            <w:tcW w:w="3111" w:type="dxa"/>
            <w:noWrap/>
            <w:vAlign w:val="center"/>
            <w:hideMark/>
          </w:tcPr>
          <w:p w14:paraId="08397D6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Critical/deconstructive textual analysis of narratives across 41 fashion stores</w:t>
            </w:r>
          </w:p>
        </w:tc>
        <w:tc>
          <w:tcPr>
            <w:tcW w:w="4320" w:type="dxa"/>
            <w:noWrap/>
            <w:vAlign w:val="center"/>
            <w:hideMark/>
          </w:tcPr>
          <w:p w14:paraId="208C9B2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Authenticity of “sustainability” narratives; myth-making (tech-utopia, sovereign consumer); narrative greenwashing; legitimacy vs. reality (RQ2 / RQ3)</w:t>
            </w:r>
          </w:p>
        </w:tc>
      </w:tr>
      <w:tr w:rsidR="007A6353" w:rsidRPr="002B796F" w14:paraId="42EA6844" w14:textId="77777777" w:rsidTr="007A6353">
        <w:trPr>
          <w:trHeight w:val="288"/>
        </w:trPr>
        <w:tc>
          <w:tcPr>
            <w:tcW w:w="843" w:type="dxa"/>
            <w:noWrap/>
            <w:vAlign w:val="center"/>
            <w:hideMark/>
          </w:tcPr>
          <w:p w14:paraId="606DD65E"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22</w:t>
            </w:r>
          </w:p>
        </w:tc>
        <w:tc>
          <w:tcPr>
            <w:tcW w:w="1790" w:type="dxa"/>
            <w:noWrap/>
            <w:vAlign w:val="center"/>
            <w:hideMark/>
          </w:tcPr>
          <w:p w14:paraId="70C5C86F" w14:textId="0BD78675"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Hejlova</w:t>
            </w:r>
            <w:proofErr w:type="spellEnd"/>
            <w:r w:rsidRPr="002B796F">
              <w:rPr>
                <w:rFonts w:eastAsia="Times New Roman" w:cs="Arial"/>
                <w:color w:val="000000"/>
                <w:lang w:val="en-US"/>
              </w:rPr>
              <w:t xml:space="preserve">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6EA746E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Strategic silence in corporate communication concerning deadstock and overstock in the fashion industry</w:t>
            </w:r>
          </w:p>
        </w:tc>
        <w:tc>
          <w:tcPr>
            <w:tcW w:w="3111" w:type="dxa"/>
            <w:noWrap/>
            <w:vAlign w:val="center"/>
            <w:hideMark/>
          </w:tcPr>
          <w:p w14:paraId="2258F50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Content analysis of sustainability/CSR reports from 95 Fashion Charter signatories; NVivo deep-dive on 23</w:t>
            </w:r>
          </w:p>
        </w:tc>
        <w:tc>
          <w:tcPr>
            <w:tcW w:w="4320" w:type="dxa"/>
            <w:noWrap/>
            <w:vAlign w:val="center"/>
            <w:hideMark/>
          </w:tcPr>
          <w:p w14:paraId="49BBC11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Strategic silence / greenhushing on overproduction; discrepancy between claims and disclosures; transparency gaps; authenticity of reporting (RQ2 / RQ3)</w:t>
            </w:r>
          </w:p>
        </w:tc>
      </w:tr>
      <w:tr w:rsidR="007A6353" w:rsidRPr="002B796F" w14:paraId="5C56DC3C" w14:textId="77777777" w:rsidTr="007A6353">
        <w:trPr>
          <w:trHeight w:val="288"/>
        </w:trPr>
        <w:tc>
          <w:tcPr>
            <w:tcW w:w="843" w:type="dxa"/>
            <w:noWrap/>
            <w:vAlign w:val="center"/>
            <w:hideMark/>
          </w:tcPr>
          <w:p w14:paraId="35AED04C"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23</w:t>
            </w:r>
          </w:p>
        </w:tc>
        <w:tc>
          <w:tcPr>
            <w:tcW w:w="1790" w:type="dxa"/>
            <w:noWrap/>
            <w:vAlign w:val="center"/>
            <w:hideMark/>
          </w:tcPr>
          <w:p w14:paraId="0E79B40D"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Henninger, </w:t>
            </w:r>
            <w:proofErr w:type="spellStart"/>
            <w:r w:rsidRPr="002B796F">
              <w:rPr>
                <w:rFonts w:eastAsia="Times New Roman" w:cs="Arial"/>
                <w:color w:val="000000"/>
                <w:lang w:val="en-US"/>
              </w:rPr>
              <w:t>Alevizou</w:t>
            </w:r>
            <w:proofErr w:type="spellEnd"/>
            <w:r w:rsidRPr="002B796F">
              <w:rPr>
                <w:rFonts w:eastAsia="Times New Roman" w:cs="Arial"/>
                <w:color w:val="000000"/>
                <w:lang w:val="en-US"/>
              </w:rPr>
              <w:t xml:space="preserve"> &amp; Oates (2016)</w:t>
            </w:r>
          </w:p>
        </w:tc>
        <w:tc>
          <w:tcPr>
            <w:tcW w:w="3881" w:type="dxa"/>
            <w:noWrap/>
            <w:vAlign w:val="center"/>
            <w:hideMark/>
          </w:tcPr>
          <w:p w14:paraId="6DFD124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What is sustainable fashion?</w:t>
            </w:r>
          </w:p>
        </w:tc>
        <w:tc>
          <w:tcPr>
            <w:tcW w:w="3111" w:type="dxa"/>
            <w:noWrap/>
            <w:vAlign w:val="center"/>
            <w:hideMark/>
          </w:tcPr>
          <w:p w14:paraId="20B38A3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Multi-method qualitative case study (interviews, semiotics, questionnaires); grounded analysis</w:t>
            </w:r>
          </w:p>
        </w:tc>
        <w:tc>
          <w:tcPr>
            <w:tcW w:w="4320" w:type="dxa"/>
            <w:noWrap/>
            <w:vAlign w:val="center"/>
            <w:hideMark/>
          </w:tcPr>
          <w:p w14:paraId="22CAE24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Definitional clarity to avoid greenwashing; criteria matrix for micro-brands; consumer assurance (fair wages/conditions) (RQ1)</w:t>
            </w:r>
          </w:p>
        </w:tc>
      </w:tr>
      <w:tr w:rsidR="007A6353" w:rsidRPr="002B796F" w14:paraId="374E7E9B" w14:textId="77777777" w:rsidTr="007A6353">
        <w:trPr>
          <w:trHeight w:val="288"/>
        </w:trPr>
        <w:tc>
          <w:tcPr>
            <w:tcW w:w="843" w:type="dxa"/>
            <w:noWrap/>
            <w:vAlign w:val="center"/>
            <w:hideMark/>
          </w:tcPr>
          <w:p w14:paraId="0B4BD6F9"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24</w:t>
            </w:r>
          </w:p>
        </w:tc>
        <w:tc>
          <w:tcPr>
            <w:tcW w:w="1790" w:type="dxa"/>
            <w:noWrap/>
            <w:vAlign w:val="center"/>
            <w:hideMark/>
          </w:tcPr>
          <w:p w14:paraId="7782B484" w14:textId="77777777"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Jestratijevic</w:t>
            </w:r>
            <w:proofErr w:type="spellEnd"/>
            <w:r w:rsidRPr="002B796F">
              <w:rPr>
                <w:rFonts w:eastAsia="Times New Roman" w:cs="Arial"/>
                <w:color w:val="000000"/>
                <w:lang w:val="en-US"/>
              </w:rPr>
              <w:t xml:space="preserve">, </w:t>
            </w:r>
            <w:proofErr w:type="spellStart"/>
            <w:r w:rsidRPr="002B796F">
              <w:rPr>
                <w:rFonts w:eastAsia="Times New Roman" w:cs="Arial"/>
                <w:color w:val="000000"/>
                <w:lang w:val="en-US"/>
              </w:rPr>
              <w:t>Uanhoro</w:t>
            </w:r>
            <w:proofErr w:type="spellEnd"/>
            <w:r w:rsidRPr="002B796F">
              <w:rPr>
                <w:rFonts w:eastAsia="Times New Roman" w:cs="Arial"/>
                <w:color w:val="000000"/>
                <w:lang w:val="en-US"/>
              </w:rPr>
              <w:t xml:space="preserve"> &amp; Rana (2024)</w:t>
            </w:r>
          </w:p>
        </w:tc>
        <w:tc>
          <w:tcPr>
            <w:tcW w:w="3881" w:type="dxa"/>
            <w:noWrap/>
            <w:vAlign w:val="center"/>
            <w:hideMark/>
          </w:tcPr>
          <w:p w14:paraId="6C5436A5"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Transparency of sustainability disclosures among luxury and mass-market fashion brands: Longitudinal approach</w:t>
            </w:r>
          </w:p>
        </w:tc>
        <w:tc>
          <w:tcPr>
            <w:tcW w:w="3111" w:type="dxa"/>
            <w:noWrap/>
            <w:vAlign w:val="center"/>
            <w:hideMark/>
          </w:tcPr>
          <w:p w14:paraId="75C13A2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Longitudinal quantitative–qualitative content analysis of 90 fashion brands’ disclosures (2017–2023)</w:t>
            </w:r>
          </w:p>
        </w:tc>
        <w:tc>
          <w:tcPr>
            <w:tcW w:w="4320" w:type="dxa"/>
            <w:noWrap/>
            <w:vAlign w:val="center"/>
            <w:hideMark/>
          </w:tcPr>
          <w:p w14:paraId="10E188E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Selective sustainability disclosure; greenwashing vs. true transparency; luxury vs. mass-market differences; need for audited reporting; policy </w:t>
            </w:r>
            <w:r w:rsidRPr="002B796F">
              <w:rPr>
                <w:rFonts w:eastAsia="Times New Roman" w:cs="Arial"/>
                <w:color w:val="000000"/>
                <w:lang w:val="en-US"/>
              </w:rPr>
              <w:lastRenderedPageBreak/>
              <w:t>enforcement against “window dressing” (RQ2 / RQ3)</w:t>
            </w:r>
          </w:p>
        </w:tc>
      </w:tr>
      <w:tr w:rsidR="007A6353" w:rsidRPr="002B796F" w14:paraId="73DCC9A3" w14:textId="77777777" w:rsidTr="007A6353">
        <w:trPr>
          <w:trHeight w:val="288"/>
        </w:trPr>
        <w:tc>
          <w:tcPr>
            <w:tcW w:w="843" w:type="dxa"/>
            <w:noWrap/>
            <w:vAlign w:val="center"/>
            <w:hideMark/>
          </w:tcPr>
          <w:p w14:paraId="595BD4FA"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25</w:t>
            </w:r>
          </w:p>
        </w:tc>
        <w:tc>
          <w:tcPr>
            <w:tcW w:w="1790" w:type="dxa"/>
            <w:noWrap/>
            <w:vAlign w:val="center"/>
            <w:hideMark/>
          </w:tcPr>
          <w:p w14:paraId="33065E6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Kim &amp; Oh (2020)</w:t>
            </w:r>
          </w:p>
        </w:tc>
        <w:tc>
          <w:tcPr>
            <w:tcW w:w="3881" w:type="dxa"/>
            <w:noWrap/>
            <w:vAlign w:val="center"/>
            <w:hideMark/>
          </w:tcPr>
          <w:p w14:paraId="1660584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Which consumer associations can build a sustainable fashion brand image? Evidence from fast fashion brands</w:t>
            </w:r>
          </w:p>
        </w:tc>
        <w:tc>
          <w:tcPr>
            <w:tcW w:w="3111" w:type="dxa"/>
            <w:noWrap/>
            <w:vAlign w:val="center"/>
            <w:hideMark/>
          </w:tcPr>
          <w:p w14:paraId="0926905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Qualitative interviews + quantitative survey; network analysis</w:t>
            </w:r>
          </w:p>
        </w:tc>
        <w:tc>
          <w:tcPr>
            <w:tcW w:w="4320" w:type="dxa"/>
            <w:noWrap/>
            <w:vAlign w:val="center"/>
            <w:hideMark/>
          </w:tcPr>
          <w:p w14:paraId="277CA54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Consumer perception; eco-friendly image building; greenwash marketing signals (RQ2)</w:t>
            </w:r>
          </w:p>
        </w:tc>
      </w:tr>
      <w:tr w:rsidR="007A6353" w:rsidRPr="002B796F" w14:paraId="3996678C" w14:textId="77777777" w:rsidTr="007A6353">
        <w:trPr>
          <w:trHeight w:val="288"/>
        </w:trPr>
        <w:tc>
          <w:tcPr>
            <w:tcW w:w="843" w:type="dxa"/>
            <w:noWrap/>
            <w:vAlign w:val="center"/>
            <w:hideMark/>
          </w:tcPr>
          <w:p w14:paraId="78306B4C"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26</w:t>
            </w:r>
          </w:p>
        </w:tc>
        <w:tc>
          <w:tcPr>
            <w:tcW w:w="1790" w:type="dxa"/>
            <w:noWrap/>
            <w:vAlign w:val="center"/>
            <w:hideMark/>
          </w:tcPr>
          <w:p w14:paraId="749130D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Li, Cavender &amp; Lee (2025)</w:t>
            </w:r>
          </w:p>
        </w:tc>
        <w:tc>
          <w:tcPr>
            <w:tcW w:w="3881" w:type="dxa"/>
            <w:noWrap/>
            <w:vAlign w:val="center"/>
            <w:hideMark/>
          </w:tcPr>
          <w:p w14:paraId="010B165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Consumer Awareness of Fashion Greenwashing: Insights from Social Media Discussions</w:t>
            </w:r>
          </w:p>
        </w:tc>
        <w:tc>
          <w:tcPr>
            <w:tcW w:w="3111" w:type="dxa"/>
            <w:noWrap/>
            <w:vAlign w:val="center"/>
            <w:hideMark/>
          </w:tcPr>
          <w:p w14:paraId="21652C6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Text-mining (LDA) + manual content analysis of Reddit &amp; Instagram posts</w:t>
            </w:r>
          </w:p>
        </w:tc>
        <w:tc>
          <w:tcPr>
            <w:tcW w:w="4320" w:type="dxa"/>
            <w:noWrap/>
            <w:vAlign w:val="center"/>
            <w:hideMark/>
          </w:tcPr>
          <w:p w14:paraId="416422C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Consumer </w:t>
            </w:r>
            <w:proofErr w:type="spellStart"/>
            <w:r w:rsidRPr="002B796F">
              <w:rPr>
                <w:rFonts w:eastAsia="Times New Roman" w:cs="Arial"/>
                <w:color w:val="000000"/>
                <w:lang w:val="en-US"/>
              </w:rPr>
              <w:t>scepticism</w:t>
            </w:r>
            <w:proofErr w:type="spellEnd"/>
            <w:r w:rsidRPr="002B796F">
              <w:rPr>
                <w:rFonts w:eastAsia="Times New Roman" w:cs="Arial"/>
                <w:color w:val="000000"/>
                <w:lang w:val="en-US"/>
              </w:rPr>
              <w:t>; advocacy; authentic communication; transparency (RQ2 / RQ3)</w:t>
            </w:r>
          </w:p>
        </w:tc>
      </w:tr>
      <w:tr w:rsidR="007A6353" w:rsidRPr="002B796F" w14:paraId="575CBC1C" w14:textId="77777777" w:rsidTr="007A6353">
        <w:trPr>
          <w:trHeight w:val="288"/>
        </w:trPr>
        <w:tc>
          <w:tcPr>
            <w:tcW w:w="843" w:type="dxa"/>
            <w:noWrap/>
            <w:vAlign w:val="center"/>
            <w:hideMark/>
          </w:tcPr>
          <w:p w14:paraId="5A0F39C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27</w:t>
            </w:r>
          </w:p>
        </w:tc>
        <w:tc>
          <w:tcPr>
            <w:tcW w:w="1790" w:type="dxa"/>
            <w:noWrap/>
            <w:vAlign w:val="center"/>
            <w:hideMark/>
          </w:tcPr>
          <w:p w14:paraId="152871EB" w14:textId="5701C940"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Liedong</w:t>
            </w:r>
            <w:proofErr w:type="spellEnd"/>
            <w:r w:rsidRPr="002B796F">
              <w:rPr>
                <w:rFonts w:eastAsia="Times New Roman" w:cs="Arial"/>
                <w:color w:val="000000"/>
                <w:lang w:val="en-US"/>
              </w:rPr>
              <w:t xml:space="preserve"> </w:t>
            </w:r>
            <w:r w:rsidR="001D1CA2" w:rsidRPr="001D1CA2">
              <w:rPr>
                <w:rFonts w:eastAsia="Times New Roman" w:cs="Arial"/>
                <w:i/>
                <w:iCs/>
                <w:color w:val="000000"/>
                <w:lang w:val="en-US"/>
              </w:rPr>
              <w:t>et al</w:t>
            </w:r>
            <w:r w:rsidRPr="002B796F">
              <w:rPr>
                <w:rFonts w:eastAsia="Times New Roman" w:cs="Arial"/>
                <w:color w:val="000000"/>
                <w:lang w:val="en-US"/>
              </w:rPr>
              <w:t>. (2022)</w:t>
            </w:r>
          </w:p>
        </w:tc>
        <w:tc>
          <w:tcPr>
            <w:tcW w:w="3881" w:type="dxa"/>
            <w:noWrap/>
            <w:vAlign w:val="center"/>
            <w:hideMark/>
          </w:tcPr>
          <w:p w14:paraId="4BA70A0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Gracious growth: How to manage the trade-off between corporate greening and corporate growth</w:t>
            </w:r>
          </w:p>
        </w:tc>
        <w:tc>
          <w:tcPr>
            <w:tcW w:w="3111" w:type="dxa"/>
            <w:noWrap/>
            <w:vAlign w:val="center"/>
            <w:hideMark/>
          </w:tcPr>
          <w:p w14:paraId="6239921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Single-firm qualitative case (Brunello Cucinelli); process framework</w:t>
            </w:r>
          </w:p>
        </w:tc>
        <w:tc>
          <w:tcPr>
            <w:tcW w:w="4320" w:type="dxa"/>
            <w:noWrap/>
            <w:vAlign w:val="center"/>
            <w:hideMark/>
          </w:tcPr>
          <w:p w14:paraId="55A5DEAF"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Substantive vs. symbolic sustainability; avoiding greenwashing; growth–sustainability trade-off; managerial framework (RQ3)</w:t>
            </w:r>
          </w:p>
        </w:tc>
      </w:tr>
      <w:tr w:rsidR="007A6353" w:rsidRPr="002B796F" w14:paraId="25844929" w14:textId="77777777" w:rsidTr="007A6353">
        <w:trPr>
          <w:trHeight w:val="288"/>
        </w:trPr>
        <w:tc>
          <w:tcPr>
            <w:tcW w:w="843" w:type="dxa"/>
            <w:noWrap/>
            <w:vAlign w:val="center"/>
            <w:hideMark/>
          </w:tcPr>
          <w:p w14:paraId="1BA9648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28</w:t>
            </w:r>
          </w:p>
        </w:tc>
        <w:tc>
          <w:tcPr>
            <w:tcW w:w="1790" w:type="dxa"/>
            <w:noWrap/>
            <w:vAlign w:val="center"/>
            <w:hideMark/>
          </w:tcPr>
          <w:p w14:paraId="4C82472A"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Lovrić &amp; Čagalj (2025)</w:t>
            </w:r>
          </w:p>
        </w:tc>
        <w:tc>
          <w:tcPr>
            <w:tcW w:w="3881" w:type="dxa"/>
            <w:noWrap/>
            <w:vAlign w:val="center"/>
            <w:hideMark/>
          </w:tcPr>
          <w:p w14:paraId="3CF0F1F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Fast Fashion as a Reflection of Risk Society and the Culture of Unsustainability</w:t>
            </w:r>
          </w:p>
        </w:tc>
        <w:tc>
          <w:tcPr>
            <w:tcW w:w="3111" w:type="dxa"/>
            <w:noWrap/>
            <w:vAlign w:val="center"/>
            <w:hideMark/>
          </w:tcPr>
          <w:p w14:paraId="027F9D8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Quantitative survey (802 Croatian youth)</w:t>
            </w:r>
          </w:p>
        </w:tc>
        <w:tc>
          <w:tcPr>
            <w:tcW w:w="4320" w:type="dxa"/>
            <w:noWrap/>
            <w:vAlign w:val="center"/>
            <w:hideMark/>
          </w:tcPr>
          <w:p w14:paraId="74CADCC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Youth attitudes; brand trust vs ignorance of greenwashing; consumer culture and unsustainability (RQ2)</w:t>
            </w:r>
          </w:p>
        </w:tc>
      </w:tr>
      <w:tr w:rsidR="007A6353" w:rsidRPr="002B796F" w14:paraId="463E9D0C" w14:textId="77777777" w:rsidTr="007A6353">
        <w:trPr>
          <w:trHeight w:val="288"/>
        </w:trPr>
        <w:tc>
          <w:tcPr>
            <w:tcW w:w="843" w:type="dxa"/>
            <w:noWrap/>
            <w:vAlign w:val="center"/>
            <w:hideMark/>
          </w:tcPr>
          <w:p w14:paraId="5EF78156"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29</w:t>
            </w:r>
          </w:p>
        </w:tc>
        <w:tc>
          <w:tcPr>
            <w:tcW w:w="1790" w:type="dxa"/>
            <w:noWrap/>
            <w:vAlign w:val="center"/>
            <w:hideMark/>
          </w:tcPr>
          <w:p w14:paraId="5829991B" w14:textId="60D19621"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Lu </w:t>
            </w:r>
            <w:r w:rsidR="001D1CA2" w:rsidRPr="001D1CA2">
              <w:rPr>
                <w:rFonts w:eastAsia="Times New Roman" w:cs="Arial"/>
                <w:i/>
                <w:iCs/>
                <w:color w:val="000000"/>
                <w:lang w:val="en-US"/>
              </w:rPr>
              <w:t>et al</w:t>
            </w:r>
            <w:r w:rsidRPr="002B796F">
              <w:rPr>
                <w:rFonts w:eastAsia="Times New Roman" w:cs="Arial"/>
                <w:color w:val="000000"/>
                <w:lang w:val="en-US"/>
              </w:rPr>
              <w:t>. (2022)</w:t>
            </w:r>
          </w:p>
        </w:tc>
        <w:tc>
          <w:tcPr>
            <w:tcW w:w="3881" w:type="dxa"/>
            <w:noWrap/>
            <w:vAlign w:val="center"/>
            <w:hideMark/>
          </w:tcPr>
          <w:p w14:paraId="4EE38AF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How Does Young Consumers’ Greenwashing Perception Impact Their Green Purchase Intention in the Fast Fashion Industry?</w:t>
            </w:r>
          </w:p>
        </w:tc>
        <w:tc>
          <w:tcPr>
            <w:tcW w:w="3111" w:type="dxa"/>
            <w:noWrap/>
            <w:vAlign w:val="center"/>
            <w:hideMark/>
          </w:tcPr>
          <w:p w14:paraId="0A57A7C9"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Quantitative survey (433 respondents); PLS-SEM</w:t>
            </w:r>
          </w:p>
        </w:tc>
        <w:tc>
          <w:tcPr>
            <w:tcW w:w="4320" w:type="dxa"/>
            <w:noWrap/>
            <w:vAlign w:val="center"/>
            <w:hideMark/>
          </w:tcPr>
          <w:p w14:paraId="5FCC935F"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Perceived greenwashing; risk perception; purchase intention; consumer trust (RQ2)</w:t>
            </w:r>
          </w:p>
        </w:tc>
      </w:tr>
      <w:tr w:rsidR="007A6353" w:rsidRPr="002B796F" w14:paraId="04D1E760" w14:textId="77777777" w:rsidTr="007A6353">
        <w:trPr>
          <w:trHeight w:val="288"/>
        </w:trPr>
        <w:tc>
          <w:tcPr>
            <w:tcW w:w="843" w:type="dxa"/>
            <w:noWrap/>
            <w:vAlign w:val="center"/>
            <w:hideMark/>
          </w:tcPr>
          <w:p w14:paraId="6B1BA0A9"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30</w:t>
            </w:r>
          </w:p>
        </w:tc>
        <w:tc>
          <w:tcPr>
            <w:tcW w:w="1790" w:type="dxa"/>
            <w:noWrap/>
            <w:vAlign w:val="center"/>
            <w:hideMark/>
          </w:tcPr>
          <w:p w14:paraId="1DEF624A"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Marko &amp; </w:t>
            </w:r>
            <w:proofErr w:type="spellStart"/>
            <w:r w:rsidRPr="002B796F">
              <w:rPr>
                <w:rFonts w:eastAsia="Times New Roman" w:cs="Arial"/>
                <w:color w:val="000000"/>
                <w:lang w:val="en-US"/>
              </w:rPr>
              <w:t>Kusá</w:t>
            </w:r>
            <w:proofErr w:type="spellEnd"/>
            <w:r w:rsidRPr="002B796F">
              <w:rPr>
                <w:rFonts w:eastAsia="Times New Roman" w:cs="Arial"/>
                <w:color w:val="000000"/>
                <w:lang w:val="en-US"/>
              </w:rPr>
              <w:t xml:space="preserve"> (2023)</w:t>
            </w:r>
          </w:p>
        </w:tc>
        <w:tc>
          <w:tcPr>
            <w:tcW w:w="3881" w:type="dxa"/>
            <w:noWrap/>
            <w:vAlign w:val="center"/>
            <w:hideMark/>
          </w:tcPr>
          <w:p w14:paraId="039A8422" w14:textId="07840698" w:rsidR="007A6353" w:rsidRPr="002B796F" w:rsidRDefault="00050EB0" w:rsidP="002B796F">
            <w:pPr>
              <w:jc w:val="left"/>
              <w:rPr>
                <w:rFonts w:eastAsia="Times New Roman" w:cs="Arial"/>
                <w:color w:val="000000"/>
                <w:lang w:val="en-US"/>
              </w:rPr>
            </w:pPr>
            <w:r w:rsidRPr="002B796F">
              <w:rPr>
                <w:rFonts w:eastAsia="Times New Roman" w:cs="Arial"/>
                <w:color w:val="000000"/>
              </w:rPr>
              <w:t>Greenwashing and the Nature of Education in Relation to Consumer Trust in Fast Fashion Marketing Communication</w:t>
            </w:r>
          </w:p>
        </w:tc>
        <w:tc>
          <w:tcPr>
            <w:tcW w:w="3111" w:type="dxa"/>
            <w:noWrap/>
            <w:vAlign w:val="center"/>
            <w:hideMark/>
          </w:tcPr>
          <w:p w14:paraId="59CBB84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Neuromarketing experiment comparing informed vs. uninformed Gen Y/Z consumers</w:t>
            </w:r>
          </w:p>
        </w:tc>
        <w:tc>
          <w:tcPr>
            <w:tcW w:w="4320" w:type="dxa"/>
            <w:noWrap/>
            <w:vAlign w:val="center"/>
            <w:hideMark/>
          </w:tcPr>
          <w:p w14:paraId="7768A6BF"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Greenwashing in fast fashion; consumer trust; role of environmental education; authenticity of sustainability claims (RQ2 / RQ3)</w:t>
            </w:r>
          </w:p>
        </w:tc>
      </w:tr>
      <w:tr w:rsidR="007A6353" w:rsidRPr="002B796F" w14:paraId="11169F2D" w14:textId="77777777" w:rsidTr="007A6353">
        <w:trPr>
          <w:trHeight w:val="288"/>
        </w:trPr>
        <w:tc>
          <w:tcPr>
            <w:tcW w:w="843" w:type="dxa"/>
            <w:noWrap/>
            <w:vAlign w:val="center"/>
            <w:hideMark/>
          </w:tcPr>
          <w:p w14:paraId="03A5F64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31</w:t>
            </w:r>
          </w:p>
        </w:tc>
        <w:tc>
          <w:tcPr>
            <w:tcW w:w="1790" w:type="dxa"/>
            <w:noWrap/>
            <w:vAlign w:val="center"/>
            <w:hideMark/>
          </w:tcPr>
          <w:p w14:paraId="10E53E8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Mofokeng (2025)</w:t>
            </w:r>
          </w:p>
        </w:tc>
        <w:tc>
          <w:tcPr>
            <w:tcW w:w="3881" w:type="dxa"/>
            <w:noWrap/>
            <w:vAlign w:val="center"/>
            <w:hideMark/>
          </w:tcPr>
          <w:p w14:paraId="459BD6B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Mediating and moderating effects of green practices on environmental and operational performance in South African textiles</w:t>
            </w:r>
          </w:p>
        </w:tc>
        <w:tc>
          <w:tcPr>
            <w:tcW w:w="3111" w:type="dxa"/>
            <w:noWrap/>
            <w:vAlign w:val="center"/>
            <w:hideMark/>
          </w:tcPr>
          <w:p w14:paraId="0689345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Quantitative correlational survey; PLS-SEM</w:t>
            </w:r>
          </w:p>
        </w:tc>
        <w:tc>
          <w:tcPr>
            <w:tcW w:w="4320" w:type="dxa"/>
            <w:noWrap/>
            <w:vAlign w:val="center"/>
            <w:hideMark/>
          </w:tcPr>
          <w:p w14:paraId="58AA1C9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 logistics and marketing practices; environmental performance; strategic sustainability integration (RQ1)</w:t>
            </w:r>
          </w:p>
        </w:tc>
      </w:tr>
      <w:tr w:rsidR="007A6353" w:rsidRPr="002B796F" w14:paraId="14F91068" w14:textId="77777777" w:rsidTr="007A6353">
        <w:trPr>
          <w:trHeight w:val="288"/>
        </w:trPr>
        <w:tc>
          <w:tcPr>
            <w:tcW w:w="843" w:type="dxa"/>
            <w:noWrap/>
            <w:vAlign w:val="center"/>
            <w:hideMark/>
          </w:tcPr>
          <w:p w14:paraId="2BE5332D"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32</w:t>
            </w:r>
          </w:p>
        </w:tc>
        <w:tc>
          <w:tcPr>
            <w:tcW w:w="1790" w:type="dxa"/>
            <w:noWrap/>
            <w:vAlign w:val="center"/>
            <w:hideMark/>
          </w:tcPr>
          <w:p w14:paraId="12E9172C" w14:textId="3FB31472"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Mousavi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132AB3F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A comprehensive review of greenwashing in the textile industry (life cycle assessment, life cycle cost, and eco-labeling)</w:t>
            </w:r>
          </w:p>
        </w:tc>
        <w:tc>
          <w:tcPr>
            <w:tcW w:w="3111" w:type="dxa"/>
            <w:noWrap/>
            <w:vAlign w:val="center"/>
            <w:hideMark/>
          </w:tcPr>
          <w:p w14:paraId="6846374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Narrative/systematic review across LCA/LCC, eco-labels</w:t>
            </w:r>
          </w:p>
        </w:tc>
        <w:tc>
          <w:tcPr>
            <w:tcW w:w="4320" w:type="dxa"/>
            <w:noWrap/>
            <w:vAlign w:val="center"/>
            <w:hideMark/>
          </w:tcPr>
          <w:p w14:paraId="68C2D1D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Greenwashing typologies; LCA evidence; eco-label credibility; policy/</w:t>
            </w:r>
            <w:proofErr w:type="spellStart"/>
            <w:r w:rsidRPr="002B796F">
              <w:rPr>
                <w:rFonts w:eastAsia="Times New Roman" w:cs="Arial"/>
                <w:color w:val="000000"/>
                <w:lang w:val="en-US"/>
              </w:rPr>
              <w:t>standardisation</w:t>
            </w:r>
            <w:proofErr w:type="spellEnd"/>
            <w:r w:rsidRPr="002B796F">
              <w:rPr>
                <w:rFonts w:eastAsia="Times New Roman" w:cs="Arial"/>
                <w:color w:val="000000"/>
                <w:lang w:val="en-US"/>
              </w:rPr>
              <w:t xml:space="preserve"> against misleading claims (RQ2 / RQ3)</w:t>
            </w:r>
          </w:p>
        </w:tc>
      </w:tr>
      <w:tr w:rsidR="007A6353" w:rsidRPr="002B796F" w14:paraId="472BDBC2" w14:textId="77777777" w:rsidTr="007A6353">
        <w:trPr>
          <w:trHeight w:val="288"/>
        </w:trPr>
        <w:tc>
          <w:tcPr>
            <w:tcW w:w="843" w:type="dxa"/>
            <w:noWrap/>
            <w:vAlign w:val="center"/>
            <w:hideMark/>
          </w:tcPr>
          <w:p w14:paraId="31F71D7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33</w:t>
            </w:r>
          </w:p>
        </w:tc>
        <w:tc>
          <w:tcPr>
            <w:tcW w:w="1790" w:type="dxa"/>
            <w:noWrap/>
            <w:vAlign w:val="center"/>
            <w:hideMark/>
          </w:tcPr>
          <w:p w14:paraId="7031C36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Nigatu, Degoma &amp; Tsegaye (2024)</w:t>
            </w:r>
          </w:p>
        </w:tc>
        <w:tc>
          <w:tcPr>
            <w:tcW w:w="3881" w:type="dxa"/>
            <w:noWrap/>
            <w:vAlign w:val="center"/>
            <w:hideMark/>
          </w:tcPr>
          <w:p w14:paraId="4022459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Green practices and economic performance: Mediating role of green innovation in Ethiopian leather, textile, and garment industries</w:t>
            </w:r>
          </w:p>
        </w:tc>
        <w:tc>
          <w:tcPr>
            <w:tcW w:w="3111" w:type="dxa"/>
            <w:noWrap/>
            <w:vAlign w:val="center"/>
            <w:hideMark/>
          </w:tcPr>
          <w:p w14:paraId="7DD3D551"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Quantitative survey; PLS-SEM</w:t>
            </w:r>
          </w:p>
        </w:tc>
        <w:tc>
          <w:tcPr>
            <w:tcW w:w="4320" w:type="dxa"/>
            <w:noWrap/>
            <w:vAlign w:val="center"/>
            <w:hideMark/>
          </w:tcPr>
          <w:p w14:paraId="42AB781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 manufacturing, marketing, investment; innovation link to economic and environmental outcomes (RQ1)</w:t>
            </w:r>
          </w:p>
        </w:tc>
      </w:tr>
      <w:tr w:rsidR="007A6353" w:rsidRPr="002B796F" w14:paraId="65823FA8" w14:textId="77777777" w:rsidTr="007A6353">
        <w:trPr>
          <w:trHeight w:val="288"/>
        </w:trPr>
        <w:tc>
          <w:tcPr>
            <w:tcW w:w="843" w:type="dxa"/>
            <w:noWrap/>
            <w:vAlign w:val="center"/>
            <w:hideMark/>
          </w:tcPr>
          <w:p w14:paraId="789A788A"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34</w:t>
            </w:r>
          </w:p>
        </w:tc>
        <w:tc>
          <w:tcPr>
            <w:tcW w:w="1790" w:type="dxa"/>
            <w:noWrap/>
            <w:vAlign w:val="center"/>
            <w:hideMark/>
          </w:tcPr>
          <w:p w14:paraId="590F48E2" w14:textId="0BA6D819"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Policarpo </w:t>
            </w:r>
            <w:r w:rsidR="001D1CA2" w:rsidRPr="001D1CA2">
              <w:rPr>
                <w:rFonts w:eastAsia="Times New Roman" w:cs="Arial"/>
                <w:i/>
                <w:iCs/>
                <w:color w:val="000000"/>
                <w:lang w:val="en-US"/>
              </w:rPr>
              <w:t>et al</w:t>
            </w:r>
            <w:r w:rsidRPr="002B796F">
              <w:rPr>
                <w:rFonts w:eastAsia="Times New Roman" w:cs="Arial"/>
                <w:color w:val="000000"/>
                <w:lang w:val="en-US"/>
              </w:rPr>
              <w:t>. (2023)</w:t>
            </w:r>
          </w:p>
        </w:tc>
        <w:tc>
          <w:tcPr>
            <w:tcW w:w="3881" w:type="dxa"/>
            <w:noWrap/>
            <w:vAlign w:val="center"/>
            <w:hideMark/>
          </w:tcPr>
          <w:p w14:paraId="3A6BDE9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Social cynicism, greenwashing, and trust in green clothing brands</w:t>
            </w:r>
          </w:p>
        </w:tc>
        <w:tc>
          <w:tcPr>
            <w:tcW w:w="3111" w:type="dxa"/>
            <w:noWrap/>
            <w:vAlign w:val="center"/>
            <w:hideMark/>
          </w:tcPr>
          <w:p w14:paraId="5747348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National online survey (Australia); structural modeling</w:t>
            </w:r>
          </w:p>
        </w:tc>
        <w:tc>
          <w:tcPr>
            <w:tcW w:w="4320" w:type="dxa"/>
            <w:noWrap/>
            <w:vAlign w:val="center"/>
            <w:hideMark/>
          </w:tcPr>
          <w:p w14:paraId="61B7DC1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Perceived greenwashing → lower brand trust; personality (social cynicism) and conspicuous consumption as moderators (RQ2)</w:t>
            </w:r>
          </w:p>
        </w:tc>
      </w:tr>
      <w:tr w:rsidR="007A6353" w:rsidRPr="002B796F" w14:paraId="67AECEAF" w14:textId="77777777" w:rsidTr="007A6353">
        <w:trPr>
          <w:trHeight w:val="288"/>
        </w:trPr>
        <w:tc>
          <w:tcPr>
            <w:tcW w:w="843" w:type="dxa"/>
            <w:noWrap/>
            <w:vAlign w:val="center"/>
            <w:hideMark/>
          </w:tcPr>
          <w:p w14:paraId="50D0F4CF"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35</w:t>
            </w:r>
          </w:p>
        </w:tc>
        <w:tc>
          <w:tcPr>
            <w:tcW w:w="1790" w:type="dxa"/>
            <w:noWrap/>
            <w:vAlign w:val="center"/>
            <w:hideMark/>
          </w:tcPr>
          <w:p w14:paraId="7B4C8ECC"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Pozzo (2023)</w:t>
            </w:r>
          </w:p>
        </w:tc>
        <w:tc>
          <w:tcPr>
            <w:tcW w:w="3881" w:type="dxa"/>
            <w:noWrap/>
            <w:vAlign w:val="center"/>
            <w:hideMark/>
          </w:tcPr>
          <w:p w14:paraId="430F340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Sustainable Fashion… Italian Style!</w:t>
            </w:r>
          </w:p>
        </w:tc>
        <w:tc>
          <w:tcPr>
            <w:tcW w:w="3111" w:type="dxa"/>
            <w:noWrap/>
            <w:vAlign w:val="center"/>
            <w:hideMark/>
          </w:tcPr>
          <w:p w14:paraId="394AC2A3"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Legal/policy analysis (EU framework; industry codes)</w:t>
            </w:r>
          </w:p>
        </w:tc>
        <w:tc>
          <w:tcPr>
            <w:tcW w:w="4320" w:type="dxa"/>
            <w:noWrap/>
            <w:vAlign w:val="center"/>
            <w:hideMark/>
          </w:tcPr>
          <w:p w14:paraId="0419AA81"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Prevalence of greenwashing within EU legal context; labelling/registration norms; accountability mechanisms (RQ2)</w:t>
            </w:r>
          </w:p>
        </w:tc>
      </w:tr>
      <w:tr w:rsidR="007A6353" w:rsidRPr="002B796F" w14:paraId="02BED77C" w14:textId="77777777" w:rsidTr="007A6353">
        <w:trPr>
          <w:trHeight w:val="288"/>
        </w:trPr>
        <w:tc>
          <w:tcPr>
            <w:tcW w:w="843" w:type="dxa"/>
            <w:noWrap/>
            <w:vAlign w:val="center"/>
            <w:hideMark/>
          </w:tcPr>
          <w:p w14:paraId="383BF5C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36</w:t>
            </w:r>
          </w:p>
        </w:tc>
        <w:tc>
          <w:tcPr>
            <w:tcW w:w="1790" w:type="dxa"/>
            <w:noWrap/>
            <w:vAlign w:val="center"/>
            <w:hideMark/>
          </w:tcPr>
          <w:p w14:paraId="6F50A3D7" w14:textId="77777777"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Promalessy</w:t>
            </w:r>
            <w:proofErr w:type="spellEnd"/>
            <w:r w:rsidRPr="002B796F">
              <w:rPr>
                <w:rFonts w:eastAsia="Times New Roman" w:cs="Arial"/>
                <w:color w:val="000000"/>
                <w:lang w:val="en-US"/>
              </w:rPr>
              <w:t xml:space="preserve"> &amp; </w:t>
            </w:r>
            <w:proofErr w:type="spellStart"/>
            <w:r w:rsidRPr="002B796F">
              <w:rPr>
                <w:rFonts w:eastAsia="Times New Roman" w:cs="Arial"/>
                <w:color w:val="000000"/>
                <w:lang w:val="en-US"/>
              </w:rPr>
              <w:t>Handriana</w:t>
            </w:r>
            <w:proofErr w:type="spellEnd"/>
            <w:r w:rsidRPr="002B796F">
              <w:rPr>
                <w:rFonts w:eastAsia="Times New Roman" w:cs="Arial"/>
                <w:color w:val="000000"/>
                <w:lang w:val="en-US"/>
              </w:rPr>
              <w:t xml:space="preserve"> (2024)</w:t>
            </w:r>
          </w:p>
        </w:tc>
        <w:tc>
          <w:tcPr>
            <w:tcW w:w="3881" w:type="dxa"/>
            <w:noWrap/>
            <w:vAlign w:val="center"/>
            <w:hideMark/>
          </w:tcPr>
          <w:p w14:paraId="03AA531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How does greenwashing affect green word of mouth through green skepticism? Empirical research for fast fashion business</w:t>
            </w:r>
          </w:p>
        </w:tc>
        <w:tc>
          <w:tcPr>
            <w:tcW w:w="3111" w:type="dxa"/>
            <w:noWrap/>
            <w:vAlign w:val="center"/>
            <w:hideMark/>
          </w:tcPr>
          <w:p w14:paraId="38414C4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Survey (n=397 Gen Z, Indonesia); PLS-SEM</w:t>
            </w:r>
          </w:p>
        </w:tc>
        <w:tc>
          <w:tcPr>
            <w:tcW w:w="4320" w:type="dxa"/>
            <w:noWrap/>
            <w:vAlign w:val="center"/>
            <w:hideMark/>
          </w:tcPr>
          <w:p w14:paraId="3C1813D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Greenwashing → green </w:t>
            </w:r>
            <w:proofErr w:type="spellStart"/>
            <w:r w:rsidRPr="002B796F">
              <w:rPr>
                <w:rFonts w:eastAsia="Times New Roman" w:cs="Arial"/>
                <w:color w:val="000000"/>
                <w:lang w:val="en-US"/>
              </w:rPr>
              <w:t>scepticism</w:t>
            </w:r>
            <w:proofErr w:type="spellEnd"/>
            <w:r w:rsidRPr="002B796F">
              <w:rPr>
                <w:rFonts w:eastAsia="Times New Roman" w:cs="Arial"/>
                <w:color w:val="000000"/>
                <w:lang w:val="en-US"/>
              </w:rPr>
              <w:t xml:space="preserve"> → negative WOM; consumer protection/regulation implications (RQ2)</w:t>
            </w:r>
          </w:p>
        </w:tc>
      </w:tr>
      <w:tr w:rsidR="007A6353" w:rsidRPr="002B796F" w14:paraId="5BA070F0" w14:textId="77777777" w:rsidTr="007A6353">
        <w:trPr>
          <w:trHeight w:val="288"/>
        </w:trPr>
        <w:tc>
          <w:tcPr>
            <w:tcW w:w="843" w:type="dxa"/>
            <w:noWrap/>
            <w:vAlign w:val="center"/>
            <w:hideMark/>
          </w:tcPr>
          <w:p w14:paraId="6E5D6D7C"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37</w:t>
            </w:r>
          </w:p>
        </w:tc>
        <w:tc>
          <w:tcPr>
            <w:tcW w:w="1790" w:type="dxa"/>
            <w:noWrap/>
            <w:vAlign w:val="center"/>
            <w:hideMark/>
          </w:tcPr>
          <w:p w14:paraId="113E2C28"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Rausch &amp; Kopplin (2021)</w:t>
            </w:r>
          </w:p>
        </w:tc>
        <w:tc>
          <w:tcPr>
            <w:tcW w:w="3881" w:type="dxa"/>
            <w:noWrap/>
            <w:vAlign w:val="center"/>
            <w:hideMark/>
          </w:tcPr>
          <w:p w14:paraId="1930B98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Bridge the gap: Consumers’ purchase intention and behavior regarding sustainable clothing</w:t>
            </w:r>
          </w:p>
        </w:tc>
        <w:tc>
          <w:tcPr>
            <w:tcW w:w="3111" w:type="dxa"/>
            <w:noWrap/>
            <w:vAlign w:val="center"/>
            <w:hideMark/>
          </w:tcPr>
          <w:p w14:paraId="7D4B007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Survey (n=464); extended TRA with greenwashing concerns, risk constructs</w:t>
            </w:r>
          </w:p>
        </w:tc>
        <w:tc>
          <w:tcPr>
            <w:tcW w:w="4320" w:type="dxa"/>
            <w:noWrap/>
            <w:vAlign w:val="center"/>
            <w:hideMark/>
          </w:tcPr>
          <w:p w14:paraId="415E599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Greenwashing concerns weaken attitude → intention link; intention–behaviour gap; credibility of sustainability claims (RQ2)</w:t>
            </w:r>
          </w:p>
        </w:tc>
      </w:tr>
      <w:tr w:rsidR="007A6353" w:rsidRPr="002B796F" w14:paraId="5D183D2B" w14:textId="77777777" w:rsidTr="007A6353">
        <w:trPr>
          <w:trHeight w:val="288"/>
        </w:trPr>
        <w:tc>
          <w:tcPr>
            <w:tcW w:w="843" w:type="dxa"/>
            <w:noWrap/>
            <w:vAlign w:val="center"/>
            <w:hideMark/>
          </w:tcPr>
          <w:p w14:paraId="35199B0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38</w:t>
            </w:r>
          </w:p>
        </w:tc>
        <w:tc>
          <w:tcPr>
            <w:tcW w:w="1790" w:type="dxa"/>
            <w:noWrap/>
            <w:vAlign w:val="center"/>
            <w:hideMark/>
          </w:tcPr>
          <w:p w14:paraId="325D2E57" w14:textId="5F53A108"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Reck </w:t>
            </w:r>
            <w:r w:rsidR="001D1CA2" w:rsidRPr="001D1CA2">
              <w:rPr>
                <w:rFonts w:eastAsia="Times New Roman" w:cs="Arial"/>
                <w:i/>
                <w:iCs/>
                <w:color w:val="000000"/>
                <w:lang w:val="en-US"/>
              </w:rPr>
              <w:t>et al</w:t>
            </w:r>
            <w:r w:rsidRPr="002B796F">
              <w:rPr>
                <w:rFonts w:eastAsia="Times New Roman" w:cs="Arial"/>
                <w:color w:val="000000"/>
                <w:lang w:val="en-US"/>
              </w:rPr>
              <w:t>. (2022)</w:t>
            </w:r>
          </w:p>
        </w:tc>
        <w:tc>
          <w:tcPr>
            <w:tcW w:w="3881" w:type="dxa"/>
            <w:noWrap/>
            <w:vAlign w:val="center"/>
            <w:hideMark/>
          </w:tcPr>
          <w:p w14:paraId="3BC78E6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The transparency paradox: When transparency cues helps or backfires for brands?</w:t>
            </w:r>
          </w:p>
        </w:tc>
        <w:tc>
          <w:tcPr>
            <w:tcW w:w="3111" w:type="dxa"/>
            <w:noWrap/>
            <w:vAlign w:val="center"/>
            <w:hideMark/>
          </w:tcPr>
          <w:p w14:paraId="71AFEF1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Series of experiments on fashion products (transparency cues × brand strength), trust mediation</w:t>
            </w:r>
          </w:p>
        </w:tc>
        <w:tc>
          <w:tcPr>
            <w:tcW w:w="4320" w:type="dxa"/>
            <w:noWrap/>
            <w:vAlign w:val="center"/>
            <w:hideMark/>
          </w:tcPr>
          <w:p w14:paraId="05746375"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Transparency cues; boundary condition of greenwashing vs. honest CSR; trust; differential effects for small vs. large brands (RQ2 / RQ3)</w:t>
            </w:r>
          </w:p>
        </w:tc>
      </w:tr>
      <w:tr w:rsidR="007A6353" w:rsidRPr="002B796F" w14:paraId="500907C3" w14:textId="77777777" w:rsidTr="007A6353">
        <w:trPr>
          <w:trHeight w:val="288"/>
        </w:trPr>
        <w:tc>
          <w:tcPr>
            <w:tcW w:w="843" w:type="dxa"/>
            <w:noWrap/>
            <w:vAlign w:val="center"/>
            <w:hideMark/>
          </w:tcPr>
          <w:p w14:paraId="05EF8745"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39</w:t>
            </w:r>
          </w:p>
        </w:tc>
        <w:tc>
          <w:tcPr>
            <w:tcW w:w="1790" w:type="dxa"/>
            <w:noWrap/>
            <w:vAlign w:val="center"/>
            <w:hideMark/>
          </w:tcPr>
          <w:p w14:paraId="5125241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Redman (2025)</w:t>
            </w:r>
          </w:p>
        </w:tc>
        <w:tc>
          <w:tcPr>
            <w:tcW w:w="3881" w:type="dxa"/>
            <w:noWrap/>
            <w:vAlign w:val="center"/>
            <w:hideMark/>
          </w:tcPr>
          <w:p w14:paraId="18E5EE15"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“There Is No Fashion on a Dead Planet:” Mandatory US-EU reporting directive centered on transparency</w:t>
            </w:r>
          </w:p>
        </w:tc>
        <w:tc>
          <w:tcPr>
            <w:tcW w:w="3111" w:type="dxa"/>
            <w:noWrap/>
            <w:vAlign w:val="center"/>
            <w:hideMark/>
          </w:tcPr>
          <w:p w14:paraId="47EB54C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Legal/policy analysis; comparative framework</w:t>
            </w:r>
          </w:p>
        </w:tc>
        <w:tc>
          <w:tcPr>
            <w:tcW w:w="4320" w:type="dxa"/>
            <w:noWrap/>
            <w:vAlign w:val="center"/>
            <w:hideMark/>
          </w:tcPr>
          <w:p w14:paraId="2A2106A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Mandatory disclosure to curb greenwashing; </w:t>
            </w:r>
            <w:proofErr w:type="spellStart"/>
            <w:r w:rsidRPr="002B796F">
              <w:rPr>
                <w:rFonts w:eastAsia="Times New Roman" w:cs="Arial"/>
                <w:color w:val="000000"/>
                <w:lang w:val="en-US"/>
              </w:rPr>
              <w:t>standardised</w:t>
            </w:r>
            <w:proofErr w:type="spellEnd"/>
            <w:r w:rsidRPr="002B796F">
              <w:rPr>
                <w:rFonts w:eastAsia="Times New Roman" w:cs="Arial"/>
                <w:color w:val="000000"/>
                <w:lang w:val="en-US"/>
              </w:rPr>
              <w:t xml:space="preserve"> transparency; accountability mechanisms for fashion supply chains (RQ3)</w:t>
            </w:r>
          </w:p>
        </w:tc>
      </w:tr>
      <w:tr w:rsidR="007A6353" w:rsidRPr="002B796F" w14:paraId="114A58D3" w14:textId="77777777" w:rsidTr="007A6353">
        <w:trPr>
          <w:trHeight w:val="288"/>
        </w:trPr>
        <w:tc>
          <w:tcPr>
            <w:tcW w:w="843" w:type="dxa"/>
            <w:noWrap/>
            <w:vAlign w:val="center"/>
            <w:hideMark/>
          </w:tcPr>
          <w:p w14:paraId="057BAE8B"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40</w:t>
            </w:r>
          </w:p>
        </w:tc>
        <w:tc>
          <w:tcPr>
            <w:tcW w:w="1790" w:type="dxa"/>
            <w:noWrap/>
            <w:vAlign w:val="center"/>
            <w:hideMark/>
          </w:tcPr>
          <w:p w14:paraId="74E3B0C8"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Reza &amp; Du Plessis (2022)</w:t>
            </w:r>
          </w:p>
        </w:tc>
        <w:tc>
          <w:tcPr>
            <w:tcW w:w="3881" w:type="dxa"/>
            <w:noWrap/>
            <w:vAlign w:val="center"/>
            <w:hideMark/>
          </w:tcPr>
          <w:p w14:paraId="5E01E1E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The Garment Industry in Bangladesh, CSR of Multinational Corporations, and the Impact of COVID-19</w:t>
            </w:r>
          </w:p>
        </w:tc>
        <w:tc>
          <w:tcPr>
            <w:tcW w:w="3111" w:type="dxa"/>
            <w:noWrap/>
            <w:vAlign w:val="center"/>
            <w:hideMark/>
          </w:tcPr>
          <w:p w14:paraId="0943BDC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Doctrinal/legal analysis + meta-analysis of cases</w:t>
            </w:r>
          </w:p>
        </w:tc>
        <w:tc>
          <w:tcPr>
            <w:tcW w:w="4320" w:type="dxa"/>
            <w:noWrap/>
            <w:vAlign w:val="center"/>
            <w:hideMark/>
          </w:tcPr>
          <w:p w14:paraId="06D41586"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CSR claims vs. supply-chain realities; CSR-as-greenwashing risk; reporting requirements; governance gaps (RQ2)</w:t>
            </w:r>
          </w:p>
        </w:tc>
      </w:tr>
      <w:tr w:rsidR="007A6353" w:rsidRPr="002B796F" w14:paraId="06F07BB0" w14:textId="77777777" w:rsidTr="007A6353">
        <w:trPr>
          <w:trHeight w:val="288"/>
        </w:trPr>
        <w:tc>
          <w:tcPr>
            <w:tcW w:w="843" w:type="dxa"/>
            <w:noWrap/>
            <w:vAlign w:val="center"/>
            <w:hideMark/>
          </w:tcPr>
          <w:p w14:paraId="6C3E5165"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41</w:t>
            </w:r>
          </w:p>
        </w:tc>
        <w:tc>
          <w:tcPr>
            <w:tcW w:w="1790" w:type="dxa"/>
            <w:noWrap/>
            <w:vAlign w:val="center"/>
            <w:hideMark/>
          </w:tcPr>
          <w:p w14:paraId="2DC5791E"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Roozen, </w:t>
            </w:r>
            <w:proofErr w:type="spellStart"/>
            <w:r w:rsidRPr="002B796F">
              <w:rPr>
                <w:rFonts w:eastAsia="Times New Roman" w:cs="Arial"/>
                <w:color w:val="000000"/>
                <w:lang w:val="en-US"/>
              </w:rPr>
              <w:t>Raedts</w:t>
            </w:r>
            <w:proofErr w:type="spellEnd"/>
            <w:r w:rsidRPr="002B796F">
              <w:rPr>
                <w:rFonts w:eastAsia="Times New Roman" w:cs="Arial"/>
                <w:color w:val="000000"/>
                <w:lang w:val="en-US"/>
              </w:rPr>
              <w:t xml:space="preserve"> &amp; </w:t>
            </w:r>
            <w:proofErr w:type="spellStart"/>
            <w:r w:rsidRPr="002B796F">
              <w:rPr>
                <w:rFonts w:eastAsia="Times New Roman" w:cs="Arial"/>
                <w:color w:val="000000"/>
                <w:lang w:val="en-US"/>
              </w:rPr>
              <w:t>Henderix</w:t>
            </w:r>
            <w:proofErr w:type="spellEnd"/>
            <w:r w:rsidRPr="002B796F">
              <w:rPr>
                <w:rFonts w:eastAsia="Times New Roman" w:cs="Arial"/>
                <w:color w:val="000000"/>
                <w:lang w:val="en-US"/>
              </w:rPr>
              <w:t xml:space="preserve"> (2025)</w:t>
            </w:r>
          </w:p>
        </w:tc>
        <w:tc>
          <w:tcPr>
            <w:tcW w:w="3881" w:type="dxa"/>
            <w:noWrap/>
            <w:vAlign w:val="center"/>
            <w:hideMark/>
          </w:tcPr>
          <w:p w14:paraId="0BC43D4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Exploring the role of green brand extensions and greenwashing in the fashion industry</w:t>
            </w:r>
          </w:p>
        </w:tc>
        <w:tc>
          <w:tcPr>
            <w:tcW w:w="3111" w:type="dxa"/>
            <w:noWrap/>
            <w:vAlign w:val="center"/>
            <w:hideMark/>
          </w:tcPr>
          <w:p w14:paraId="026EB9C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2×2 between-subjects experiment (brand strategy × greenwashing claims)</w:t>
            </w:r>
          </w:p>
        </w:tc>
        <w:tc>
          <w:tcPr>
            <w:tcW w:w="4320" w:type="dxa"/>
            <w:noWrap/>
            <w:vAlign w:val="center"/>
            <w:hideMark/>
          </w:tcPr>
          <w:p w14:paraId="6CDA1F5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Greenwashing impact on purchase intention; brand-extension strategy vs. new brand; credibility of sustainability claims (RQ2)</w:t>
            </w:r>
          </w:p>
        </w:tc>
      </w:tr>
      <w:tr w:rsidR="007A6353" w:rsidRPr="002B796F" w14:paraId="7F2448A0" w14:textId="77777777" w:rsidTr="007A6353">
        <w:trPr>
          <w:trHeight w:val="288"/>
        </w:trPr>
        <w:tc>
          <w:tcPr>
            <w:tcW w:w="843" w:type="dxa"/>
            <w:noWrap/>
            <w:vAlign w:val="center"/>
            <w:hideMark/>
          </w:tcPr>
          <w:p w14:paraId="52C5D2E6"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42</w:t>
            </w:r>
          </w:p>
        </w:tc>
        <w:tc>
          <w:tcPr>
            <w:tcW w:w="1790" w:type="dxa"/>
            <w:noWrap/>
            <w:vAlign w:val="center"/>
            <w:hideMark/>
          </w:tcPr>
          <w:p w14:paraId="0A3891BB"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Sailer, Wilfing &amp; Straus (2022)</w:t>
            </w:r>
          </w:p>
        </w:tc>
        <w:tc>
          <w:tcPr>
            <w:tcW w:w="3881" w:type="dxa"/>
            <w:noWrap/>
            <w:vAlign w:val="center"/>
            <w:hideMark/>
          </w:tcPr>
          <w:p w14:paraId="373B740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 xml:space="preserve">Greenwashing and </w:t>
            </w:r>
            <w:proofErr w:type="spellStart"/>
            <w:r w:rsidRPr="002B796F">
              <w:rPr>
                <w:rFonts w:eastAsia="Times New Roman" w:cs="Arial"/>
                <w:color w:val="000000"/>
              </w:rPr>
              <w:t>Bluewashing</w:t>
            </w:r>
            <w:proofErr w:type="spellEnd"/>
            <w:r w:rsidRPr="002B796F">
              <w:rPr>
                <w:rFonts w:eastAsia="Times New Roman" w:cs="Arial"/>
                <w:color w:val="000000"/>
              </w:rPr>
              <w:t xml:space="preserve"> in Black Friday-Related Sustainable Fashion Marketing on Instagram</w:t>
            </w:r>
          </w:p>
        </w:tc>
        <w:tc>
          <w:tcPr>
            <w:tcW w:w="3111" w:type="dxa"/>
            <w:noWrap/>
            <w:vAlign w:val="center"/>
            <w:hideMark/>
          </w:tcPr>
          <w:p w14:paraId="7EDFC447"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Quantitative &amp; qualitative content analysis + online survey (regression)</w:t>
            </w:r>
          </w:p>
        </w:tc>
        <w:tc>
          <w:tcPr>
            <w:tcW w:w="4320" w:type="dxa"/>
            <w:noWrap/>
            <w:vAlign w:val="center"/>
            <w:hideMark/>
          </w:tcPr>
          <w:p w14:paraId="6979C26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Social-media green/</w:t>
            </w:r>
            <w:proofErr w:type="spellStart"/>
            <w:r w:rsidRPr="002B796F">
              <w:rPr>
                <w:rFonts w:eastAsia="Times New Roman" w:cs="Arial"/>
                <w:color w:val="000000"/>
                <w:lang w:val="en-US"/>
              </w:rPr>
              <w:t>bluewashing</w:t>
            </w:r>
            <w:proofErr w:type="spellEnd"/>
            <w:r w:rsidRPr="002B796F">
              <w:rPr>
                <w:rFonts w:eastAsia="Times New Roman" w:cs="Arial"/>
                <w:color w:val="000000"/>
                <w:lang w:val="en-US"/>
              </w:rPr>
              <w:t xml:space="preserve"> strategies (9-strategy model); ad </w:t>
            </w:r>
            <w:proofErr w:type="spellStart"/>
            <w:r w:rsidRPr="002B796F">
              <w:rPr>
                <w:rFonts w:eastAsia="Times New Roman" w:cs="Arial"/>
                <w:color w:val="000000"/>
                <w:lang w:val="en-US"/>
              </w:rPr>
              <w:t>scepticism</w:t>
            </w:r>
            <w:proofErr w:type="spellEnd"/>
            <w:r w:rsidRPr="002B796F">
              <w:rPr>
                <w:rFonts w:eastAsia="Times New Roman" w:cs="Arial"/>
                <w:color w:val="000000"/>
                <w:lang w:val="en-US"/>
              </w:rPr>
              <w:t>; campaign evaluation drivers (RQ2)</w:t>
            </w:r>
          </w:p>
        </w:tc>
      </w:tr>
      <w:tr w:rsidR="007A6353" w:rsidRPr="002B796F" w14:paraId="07CA7B5E" w14:textId="77777777" w:rsidTr="007A6353">
        <w:trPr>
          <w:trHeight w:val="288"/>
        </w:trPr>
        <w:tc>
          <w:tcPr>
            <w:tcW w:w="843" w:type="dxa"/>
            <w:noWrap/>
            <w:vAlign w:val="center"/>
            <w:hideMark/>
          </w:tcPr>
          <w:p w14:paraId="2E032673"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43</w:t>
            </w:r>
          </w:p>
        </w:tc>
        <w:tc>
          <w:tcPr>
            <w:tcW w:w="1790" w:type="dxa"/>
            <w:noWrap/>
            <w:vAlign w:val="center"/>
            <w:hideMark/>
          </w:tcPr>
          <w:p w14:paraId="49E6DB39" w14:textId="77777777"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Schwoy</w:t>
            </w:r>
            <w:proofErr w:type="spellEnd"/>
            <w:r w:rsidRPr="002B796F">
              <w:rPr>
                <w:rFonts w:eastAsia="Times New Roman" w:cs="Arial"/>
                <w:color w:val="000000"/>
                <w:lang w:val="en-US"/>
              </w:rPr>
              <w:t xml:space="preserve">, </w:t>
            </w:r>
            <w:proofErr w:type="spellStart"/>
            <w:r w:rsidRPr="002B796F">
              <w:rPr>
                <w:rFonts w:eastAsia="Times New Roman" w:cs="Arial"/>
                <w:color w:val="000000"/>
                <w:lang w:val="en-US"/>
              </w:rPr>
              <w:t>Dutzi</w:t>
            </w:r>
            <w:proofErr w:type="spellEnd"/>
            <w:r w:rsidRPr="002B796F">
              <w:rPr>
                <w:rFonts w:eastAsia="Times New Roman" w:cs="Arial"/>
                <w:color w:val="000000"/>
                <w:lang w:val="en-US"/>
              </w:rPr>
              <w:t xml:space="preserve"> &amp; Messing (2025)</w:t>
            </w:r>
          </w:p>
        </w:tc>
        <w:tc>
          <w:tcPr>
            <w:tcW w:w="3881" w:type="dxa"/>
            <w:noWrap/>
            <w:vAlign w:val="center"/>
            <w:hideMark/>
          </w:tcPr>
          <w:p w14:paraId="3875048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Silence is golden? – Analysing the transparency of ESG controversies in corporate reporting within the pharmaceutical and textile industry</w:t>
            </w:r>
          </w:p>
        </w:tc>
        <w:tc>
          <w:tcPr>
            <w:tcW w:w="3111" w:type="dxa"/>
            <w:noWrap/>
            <w:vAlign w:val="center"/>
            <w:hideMark/>
          </w:tcPr>
          <w:p w14:paraId="7C3C962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Conceptual content analysis of 190 ESG controversies across 104 reports (2018–2020); counter-accounting approach</w:t>
            </w:r>
          </w:p>
        </w:tc>
        <w:tc>
          <w:tcPr>
            <w:tcW w:w="4320" w:type="dxa"/>
            <w:noWrap/>
            <w:vAlign w:val="center"/>
            <w:hideMark/>
          </w:tcPr>
          <w:p w14:paraId="3B5A06F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Selective reporting/greenhushing; under-disclosure in textiles; limits of standards/assurance; credibility of claims (RQ2 / RQ3)</w:t>
            </w:r>
          </w:p>
        </w:tc>
      </w:tr>
      <w:tr w:rsidR="007A6353" w:rsidRPr="002B796F" w14:paraId="4B0B0028" w14:textId="77777777" w:rsidTr="007A6353">
        <w:trPr>
          <w:trHeight w:val="288"/>
        </w:trPr>
        <w:tc>
          <w:tcPr>
            <w:tcW w:w="843" w:type="dxa"/>
            <w:noWrap/>
            <w:vAlign w:val="center"/>
            <w:hideMark/>
          </w:tcPr>
          <w:p w14:paraId="7DEB70C1"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44</w:t>
            </w:r>
          </w:p>
        </w:tc>
        <w:tc>
          <w:tcPr>
            <w:tcW w:w="1790" w:type="dxa"/>
            <w:noWrap/>
            <w:vAlign w:val="center"/>
            <w:hideMark/>
          </w:tcPr>
          <w:p w14:paraId="4C519160"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Tolentino-Zondervan &amp; DiVito (2024)</w:t>
            </w:r>
          </w:p>
        </w:tc>
        <w:tc>
          <w:tcPr>
            <w:tcW w:w="3881" w:type="dxa"/>
            <w:noWrap/>
            <w:vAlign w:val="center"/>
            <w:hideMark/>
          </w:tcPr>
          <w:p w14:paraId="7042F40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Sustainability performance of Dutch firms and the role of digitalization: The case of textile and apparel industry</w:t>
            </w:r>
          </w:p>
        </w:tc>
        <w:tc>
          <w:tcPr>
            <w:tcW w:w="3111" w:type="dxa"/>
            <w:noWrap/>
            <w:vAlign w:val="center"/>
            <w:hideMark/>
          </w:tcPr>
          <w:p w14:paraId="5399914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Mixed-methods: text-mining of 94 firms’ websites + expert interviews/thematic coding</w:t>
            </w:r>
          </w:p>
        </w:tc>
        <w:tc>
          <w:tcPr>
            <w:tcW w:w="4320" w:type="dxa"/>
            <w:noWrap/>
            <w:vAlign w:val="center"/>
            <w:hideMark/>
          </w:tcPr>
          <w:p w14:paraId="45683D78"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Traceability, IoT/blockchain links to transparency; tying KPIs to data; accountability to address greenwashing (RQ1 / RQ3)</w:t>
            </w:r>
          </w:p>
        </w:tc>
      </w:tr>
      <w:tr w:rsidR="007A6353" w:rsidRPr="002B796F" w14:paraId="07379CBE" w14:textId="77777777" w:rsidTr="007A6353">
        <w:trPr>
          <w:trHeight w:val="288"/>
        </w:trPr>
        <w:tc>
          <w:tcPr>
            <w:tcW w:w="843" w:type="dxa"/>
            <w:noWrap/>
            <w:vAlign w:val="center"/>
            <w:hideMark/>
          </w:tcPr>
          <w:p w14:paraId="0011D707"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45</w:t>
            </w:r>
          </w:p>
        </w:tc>
        <w:tc>
          <w:tcPr>
            <w:tcW w:w="1790" w:type="dxa"/>
            <w:noWrap/>
            <w:vAlign w:val="center"/>
            <w:hideMark/>
          </w:tcPr>
          <w:p w14:paraId="4772C883" w14:textId="3A197B7E"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Vehbi</w:t>
            </w:r>
            <w:proofErr w:type="spellEnd"/>
            <w:r w:rsidRPr="002B796F">
              <w:rPr>
                <w:rFonts w:eastAsia="Times New Roman" w:cs="Arial"/>
                <w:color w:val="000000"/>
                <w:lang w:val="en-US"/>
              </w:rPr>
              <w:t xml:space="preserve">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19832070"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Nexus Amid Green Marketing, Green Business Strategy, and Competitive Business Among the Fashion Industry: Does Environmental Turbulence Matter?</w:t>
            </w:r>
          </w:p>
        </w:tc>
        <w:tc>
          <w:tcPr>
            <w:tcW w:w="3111" w:type="dxa"/>
            <w:noWrap/>
            <w:vAlign w:val="center"/>
            <w:hideMark/>
          </w:tcPr>
          <w:p w14:paraId="56801771"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Quantitative survey of textile managers; PLS-SEM</w:t>
            </w:r>
          </w:p>
        </w:tc>
        <w:tc>
          <w:tcPr>
            <w:tcW w:w="4320" w:type="dxa"/>
            <w:noWrap/>
            <w:vAlign w:val="center"/>
            <w:hideMark/>
          </w:tcPr>
          <w:p w14:paraId="0B103115"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Green marketing strategy; competitiveness; environmental turbulence; sustainable market advantage (RQ1)</w:t>
            </w:r>
          </w:p>
        </w:tc>
      </w:tr>
      <w:tr w:rsidR="007A6353" w:rsidRPr="002B796F" w14:paraId="4E1D5D93" w14:textId="77777777" w:rsidTr="007A6353">
        <w:trPr>
          <w:trHeight w:val="288"/>
        </w:trPr>
        <w:tc>
          <w:tcPr>
            <w:tcW w:w="843" w:type="dxa"/>
            <w:noWrap/>
            <w:vAlign w:val="center"/>
            <w:hideMark/>
          </w:tcPr>
          <w:p w14:paraId="7B84DBA5"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46</w:t>
            </w:r>
          </w:p>
        </w:tc>
        <w:tc>
          <w:tcPr>
            <w:tcW w:w="1790" w:type="dxa"/>
            <w:noWrap/>
            <w:vAlign w:val="center"/>
            <w:hideMark/>
          </w:tcPr>
          <w:p w14:paraId="32EB32BE" w14:textId="5B5DFBD0"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Velasco-</w:t>
            </w:r>
            <w:proofErr w:type="spellStart"/>
            <w:r w:rsidRPr="002B796F">
              <w:rPr>
                <w:rFonts w:eastAsia="Times New Roman" w:cs="Arial"/>
                <w:color w:val="000000"/>
                <w:lang w:val="en-US"/>
              </w:rPr>
              <w:t>Molpeceres</w:t>
            </w:r>
            <w:proofErr w:type="spellEnd"/>
            <w:r w:rsidRPr="002B796F">
              <w:rPr>
                <w:rFonts w:eastAsia="Times New Roman" w:cs="Arial"/>
                <w:color w:val="000000"/>
                <w:lang w:val="en-US"/>
              </w:rPr>
              <w:t xml:space="preserve"> </w:t>
            </w:r>
            <w:r w:rsidR="001D1CA2" w:rsidRPr="001D1CA2">
              <w:rPr>
                <w:rFonts w:eastAsia="Times New Roman" w:cs="Arial"/>
                <w:i/>
                <w:iCs/>
                <w:color w:val="000000"/>
                <w:lang w:val="en-US"/>
              </w:rPr>
              <w:t>et al</w:t>
            </w:r>
            <w:r w:rsidRPr="002B796F">
              <w:rPr>
                <w:rFonts w:eastAsia="Times New Roman" w:cs="Arial"/>
                <w:color w:val="000000"/>
                <w:lang w:val="en-US"/>
              </w:rPr>
              <w:t>. (2023)</w:t>
            </w:r>
          </w:p>
        </w:tc>
        <w:tc>
          <w:tcPr>
            <w:tcW w:w="3881" w:type="dxa"/>
            <w:noWrap/>
            <w:vAlign w:val="center"/>
            <w:hideMark/>
          </w:tcPr>
          <w:p w14:paraId="040668C9"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Slow Fashion as a Communication Strategy of Fashion Brands on Instagram</w:t>
            </w:r>
          </w:p>
        </w:tc>
        <w:tc>
          <w:tcPr>
            <w:tcW w:w="3111" w:type="dxa"/>
            <w:noWrap/>
            <w:vAlign w:val="center"/>
            <w:hideMark/>
          </w:tcPr>
          <w:p w14:paraId="04EE9E9F"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Mixed methods (content analysis + expert interviews)</w:t>
            </w:r>
          </w:p>
        </w:tc>
        <w:tc>
          <w:tcPr>
            <w:tcW w:w="4320" w:type="dxa"/>
            <w:noWrap/>
            <w:vAlign w:val="center"/>
            <w:hideMark/>
          </w:tcPr>
          <w:p w14:paraId="5147E4B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Brand communication; slow fashion ethics; CSR messaging without greenwashing (RQ1 / RQ3)</w:t>
            </w:r>
          </w:p>
        </w:tc>
      </w:tr>
      <w:tr w:rsidR="007A6353" w:rsidRPr="002B796F" w14:paraId="2D917541" w14:textId="77777777" w:rsidTr="007A6353">
        <w:trPr>
          <w:trHeight w:val="288"/>
        </w:trPr>
        <w:tc>
          <w:tcPr>
            <w:tcW w:w="843" w:type="dxa"/>
            <w:noWrap/>
            <w:vAlign w:val="center"/>
            <w:hideMark/>
          </w:tcPr>
          <w:p w14:paraId="579BB33B"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47</w:t>
            </w:r>
          </w:p>
        </w:tc>
        <w:tc>
          <w:tcPr>
            <w:tcW w:w="1790" w:type="dxa"/>
            <w:noWrap/>
            <w:vAlign w:val="center"/>
            <w:hideMark/>
          </w:tcPr>
          <w:p w14:paraId="0B37CEAE" w14:textId="69C5847F" w:rsidR="007A6353" w:rsidRPr="002B796F" w:rsidRDefault="007A6353" w:rsidP="002B796F">
            <w:pPr>
              <w:jc w:val="center"/>
              <w:rPr>
                <w:rFonts w:eastAsia="Times New Roman" w:cs="Arial"/>
                <w:color w:val="000000"/>
                <w:lang w:val="en-US"/>
              </w:rPr>
            </w:pPr>
            <w:proofErr w:type="spellStart"/>
            <w:r w:rsidRPr="002B796F">
              <w:rPr>
                <w:rFonts w:eastAsia="Times New Roman" w:cs="Arial"/>
                <w:color w:val="000000"/>
                <w:lang w:val="en-US"/>
              </w:rPr>
              <w:t>Venciute</w:t>
            </w:r>
            <w:proofErr w:type="spellEnd"/>
            <w:r w:rsidRPr="002B796F">
              <w:rPr>
                <w:rFonts w:eastAsia="Times New Roman" w:cs="Arial"/>
                <w:color w:val="000000"/>
                <w:lang w:val="en-US"/>
              </w:rPr>
              <w:t xml:space="preserve"> </w:t>
            </w:r>
            <w:r w:rsidR="001D1CA2" w:rsidRPr="001D1CA2">
              <w:rPr>
                <w:rFonts w:eastAsia="Times New Roman" w:cs="Arial"/>
                <w:i/>
                <w:iCs/>
                <w:color w:val="000000"/>
                <w:lang w:val="en-US"/>
              </w:rPr>
              <w:t>et al</w:t>
            </w:r>
            <w:r w:rsidRPr="002B796F">
              <w:rPr>
                <w:rFonts w:eastAsia="Times New Roman" w:cs="Arial"/>
                <w:color w:val="000000"/>
                <w:lang w:val="en-US"/>
              </w:rPr>
              <w:t>. (2025)</w:t>
            </w:r>
          </w:p>
        </w:tc>
        <w:tc>
          <w:tcPr>
            <w:tcW w:w="3881" w:type="dxa"/>
            <w:noWrap/>
            <w:vAlign w:val="center"/>
            <w:hideMark/>
          </w:tcPr>
          <w:p w14:paraId="7700A06E"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Leveraging sustainability cues in fashion advertising: comparative insights from Lithuania’s slow and fast fashion markets</w:t>
            </w:r>
          </w:p>
        </w:tc>
        <w:tc>
          <w:tcPr>
            <w:tcW w:w="3111" w:type="dxa"/>
            <w:noWrap/>
            <w:vAlign w:val="center"/>
            <w:hideMark/>
          </w:tcPr>
          <w:p w14:paraId="6E179724"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Online experiment (n=400); PLS-SEM + necessary condition analysis</w:t>
            </w:r>
          </w:p>
        </w:tc>
        <w:tc>
          <w:tcPr>
            <w:tcW w:w="4320" w:type="dxa"/>
            <w:noWrap/>
            <w:vAlign w:val="center"/>
            <w:hideMark/>
          </w:tcPr>
          <w:p w14:paraId="1A0E3199"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Sustainability cues → trust/desirability; mitigating greenwashing perceptions; authenticity and transparency in ads (RQ2 / RQ3)</w:t>
            </w:r>
          </w:p>
        </w:tc>
      </w:tr>
      <w:tr w:rsidR="007A6353" w:rsidRPr="002B796F" w14:paraId="1208E669" w14:textId="77777777" w:rsidTr="007A6353">
        <w:trPr>
          <w:trHeight w:val="288"/>
        </w:trPr>
        <w:tc>
          <w:tcPr>
            <w:tcW w:w="843" w:type="dxa"/>
            <w:noWrap/>
            <w:vAlign w:val="center"/>
            <w:hideMark/>
          </w:tcPr>
          <w:p w14:paraId="404BFAB5"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48</w:t>
            </w:r>
          </w:p>
        </w:tc>
        <w:tc>
          <w:tcPr>
            <w:tcW w:w="1790" w:type="dxa"/>
            <w:noWrap/>
            <w:vAlign w:val="center"/>
            <w:hideMark/>
          </w:tcPr>
          <w:p w14:paraId="3DDDBF28"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Wang &amp; Jung (2025)</w:t>
            </w:r>
          </w:p>
        </w:tc>
        <w:tc>
          <w:tcPr>
            <w:tcW w:w="3881" w:type="dxa"/>
            <w:noWrap/>
            <w:vAlign w:val="center"/>
            <w:hideMark/>
          </w:tcPr>
          <w:p w14:paraId="7EFB2D5B"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The aftermath of greenwashing in the fashion industry: Chinese consumer responses to different types of greenwashing</w:t>
            </w:r>
          </w:p>
        </w:tc>
        <w:tc>
          <w:tcPr>
            <w:tcW w:w="3111" w:type="dxa"/>
            <w:noWrap/>
            <w:vAlign w:val="center"/>
            <w:hideMark/>
          </w:tcPr>
          <w:p w14:paraId="0507F55F"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Between-subjects experiment using news stimuli; survey (n=210)</w:t>
            </w:r>
          </w:p>
        </w:tc>
        <w:tc>
          <w:tcPr>
            <w:tcW w:w="4320" w:type="dxa"/>
            <w:noWrap/>
            <w:vAlign w:val="center"/>
            <w:hideMark/>
          </w:tcPr>
          <w:p w14:paraId="1D5CF3F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 xml:space="preserve">Greenwashing types (false labelling, vagueness, selective omission); hypocrisy → moral inequity → complaint </w:t>
            </w:r>
            <w:proofErr w:type="spellStart"/>
            <w:r w:rsidRPr="002B796F">
              <w:rPr>
                <w:rFonts w:eastAsia="Times New Roman" w:cs="Arial"/>
                <w:color w:val="000000"/>
                <w:lang w:val="en-US"/>
              </w:rPr>
              <w:t>behaviours</w:t>
            </w:r>
            <w:proofErr w:type="spellEnd"/>
            <w:r w:rsidRPr="002B796F">
              <w:rPr>
                <w:rFonts w:eastAsia="Times New Roman" w:cs="Arial"/>
                <w:color w:val="000000"/>
                <w:lang w:val="en-US"/>
              </w:rPr>
              <w:t xml:space="preserve"> (RQ2)</w:t>
            </w:r>
          </w:p>
        </w:tc>
      </w:tr>
      <w:tr w:rsidR="007A6353" w:rsidRPr="002B796F" w14:paraId="2EE10A16" w14:textId="77777777" w:rsidTr="007A6353">
        <w:trPr>
          <w:trHeight w:val="288"/>
        </w:trPr>
        <w:tc>
          <w:tcPr>
            <w:tcW w:w="843" w:type="dxa"/>
            <w:noWrap/>
            <w:vAlign w:val="center"/>
            <w:hideMark/>
          </w:tcPr>
          <w:p w14:paraId="7A7C182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lastRenderedPageBreak/>
              <w:t>49</w:t>
            </w:r>
          </w:p>
        </w:tc>
        <w:tc>
          <w:tcPr>
            <w:tcW w:w="1790" w:type="dxa"/>
            <w:noWrap/>
            <w:vAlign w:val="center"/>
            <w:hideMark/>
          </w:tcPr>
          <w:p w14:paraId="05B720A8" w14:textId="10FCACB6"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 xml:space="preserve">Wu </w:t>
            </w:r>
            <w:r w:rsidR="001D1CA2" w:rsidRPr="001D1CA2">
              <w:rPr>
                <w:rFonts w:eastAsia="Times New Roman" w:cs="Arial"/>
                <w:i/>
                <w:iCs/>
                <w:color w:val="000000"/>
                <w:lang w:val="en-US"/>
              </w:rPr>
              <w:t>et al</w:t>
            </w:r>
            <w:r w:rsidRPr="002B796F">
              <w:rPr>
                <w:rFonts w:eastAsia="Times New Roman" w:cs="Arial"/>
                <w:color w:val="000000"/>
                <w:lang w:val="en-US"/>
              </w:rPr>
              <w:t>. (2022)</w:t>
            </w:r>
          </w:p>
        </w:tc>
        <w:tc>
          <w:tcPr>
            <w:tcW w:w="3881" w:type="dxa"/>
            <w:noWrap/>
            <w:vAlign w:val="center"/>
            <w:hideMark/>
          </w:tcPr>
          <w:p w14:paraId="5D6C7F0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Consortium blockchain-enabled smart ESG reporting platform with token-based incentives for corporate crowdsensing</w:t>
            </w:r>
          </w:p>
        </w:tc>
        <w:tc>
          <w:tcPr>
            <w:tcW w:w="3111" w:type="dxa"/>
            <w:noWrap/>
            <w:vAlign w:val="center"/>
            <w:hideMark/>
          </w:tcPr>
          <w:p w14:paraId="26514F7D"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System architecture + simulation (HK apparel industry context)</w:t>
            </w:r>
          </w:p>
        </w:tc>
        <w:tc>
          <w:tcPr>
            <w:tcW w:w="4320" w:type="dxa"/>
            <w:noWrap/>
            <w:vAlign w:val="center"/>
            <w:hideMark/>
          </w:tcPr>
          <w:p w14:paraId="18632722"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Anti-greenwashing ESG transparency; IoT/blockchain reporting; data integrity; incentives &amp; verification (RQ3)</w:t>
            </w:r>
          </w:p>
        </w:tc>
      </w:tr>
      <w:tr w:rsidR="007A6353" w:rsidRPr="002B796F" w14:paraId="44504AA5" w14:textId="77777777" w:rsidTr="007A6353">
        <w:trPr>
          <w:trHeight w:val="288"/>
        </w:trPr>
        <w:tc>
          <w:tcPr>
            <w:tcW w:w="843" w:type="dxa"/>
            <w:noWrap/>
            <w:vAlign w:val="center"/>
            <w:hideMark/>
          </w:tcPr>
          <w:p w14:paraId="0A4CB374"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50</w:t>
            </w:r>
          </w:p>
        </w:tc>
        <w:tc>
          <w:tcPr>
            <w:tcW w:w="1790" w:type="dxa"/>
            <w:noWrap/>
            <w:vAlign w:val="center"/>
            <w:hideMark/>
          </w:tcPr>
          <w:p w14:paraId="3B8D2B3A" w14:textId="77777777" w:rsidR="007A6353" w:rsidRPr="002B796F" w:rsidRDefault="007A6353" w:rsidP="002B796F">
            <w:pPr>
              <w:jc w:val="center"/>
              <w:rPr>
                <w:rFonts w:eastAsia="Times New Roman" w:cs="Arial"/>
                <w:color w:val="000000"/>
                <w:lang w:val="en-US"/>
              </w:rPr>
            </w:pPr>
            <w:r w:rsidRPr="002B796F">
              <w:rPr>
                <w:rFonts w:eastAsia="Times New Roman" w:cs="Arial"/>
                <w:color w:val="000000"/>
                <w:lang w:val="en-US"/>
              </w:rPr>
              <w:t>Yang, Chen &amp; Meng (2024)</w:t>
            </w:r>
          </w:p>
        </w:tc>
        <w:tc>
          <w:tcPr>
            <w:tcW w:w="3881" w:type="dxa"/>
            <w:noWrap/>
            <w:vAlign w:val="center"/>
            <w:hideMark/>
          </w:tcPr>
          <w:p w14:paraId="31C031D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The drivers of sharing willingness regarding sustainable fashion brand image based on commitment theory</w:t>
            </w:r>
          </w:p>
        </w:tc>
        <w:tc>
          <w:tcPr>
            <w:tcW w:w="3111" w:type="dxa"/>
            <w:noWrap/>
            <w:vAlign w:val="center"/>
            <w:hideMark/>
          </w:tcPr>
          <w:p w14:paraId="3545539C"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rPr>
              <w:t>Survey-based empirical study; commitment-theory model; mediation analysis</w:t>
            </w:r>
          </w:p>
        </w:tc>
        <w:tc>
          <w:tcPr>
            <w:tcW w:w="4320" w:type="dxa"/>
            <w:noWrap/>
            <w:vAlign w:val="center"/>
            <w:hideMark/>
          </w:tcPr>
          <w:p w14:paraId="3FA5523A" w14:textId="77777777" w:rsidR="007A6353" w:rsidRPr="002B796F" w:rsidRDefault="007A6353" w:rsidP="002B796F">
            <w:pPr>
              <w:jc w:val="left"/>
              <w:rPr>
                <w:rFonts w:eastAsia="Times New Roman" w:cs="Arial"/>
                <w:color w:val="000000"/>
                <w:lang w:val="en-US"/>
              </w:rPr>
            </w:pPr>
            <w:r w:rsidRPr="002B796F">
              <w:rPr>
                <w:rFonts w:eastAsia="Times New Roman" w:cs="Arial"/>
                <w:color w:val="000000"/>
                <w:lang w:val="en-US"/>
              </w:rPr>
              <w:t>Perception of greenwashing (negative antecedent); ESG perception; social media content quality; willingness to share brand’s sustainability image (RQ2 / RQ3)</w:t>
            </w:r>
          </w:p>
        </w:tc>
      </w:tr>
    </w:tbl>
    <w:p w14:paraId="3A2B6A18" w14:textId="77777777" w:rsidR="00A4691E" w:rsidRPr="007A6353" w:rsidRDefault="00A4691E" w:rsidP="004D602A">
      <w:pPr>
        <w:rPr>
          <w:lang w:val="en-US"/>
        </w:rPr>
        <w:sectPr w:rsidR="00A4691E" w:rsidRPr="007A6353" w:rsidSect="007A6353">
          <w:pgSz w:w="16838" w:h="11906" w:orient="landscape" w:code="9"/>
          <w:pgMar w:top="1440" w:right="1440" w:bottom="1440" w:left="1440" w:header="708" w:footer="708" w:gutter="0"/>
          <w:cols w:space="708"/>
          <w:titlePg/>
          <w:docGrid w:linePitch="360"/>
        </w:sectPr>
      </w:pPr>
    </w:p>
    <w:p w14:paraId="7F784F64" w14:textId="10B5AC80" w:rsidR="00D03F60" w:rsidRDefault="008019B4" w:rsidP="00AB6AC0">
      <w:pPr>
        <w:pStyle w:val="Heading2"/>
      </w:pPr>
      <w:bookmarkStart w:id="59" w:name="_Toc218445695"/>
      <w:r>
        <w:lastRenderedPageBreak/>
        <w:t xml:space="preserve">Thematic </w:t>
      </w:r>
      <w:r w:rsidR="00391EB6" w:rsidRPr="008C5097">
        <w:t>Analysis of Results</w:t>
      </w:r>
      <w:bookmarkEnd w:id="59"/>
    </w:p>
    <w:p w14:paraId="474269A9" w14:textId="60490A78" w:rsidR="008019B4" w:rsidRDefault="008019B4" w:rsidP="008019B4">
      <w:pPr>
        <w:pStyle w:val="Heading3"/>
      </w:pPr>
      <w:bookmarkStart w:id="60" w:name="_Hlk218439007"/>
      <w:bookmarkStart w:id="61" w:name="_Toc218445696"/>
      <w:r w:rsidRPr="008019B4">
        <w:t>Environmental Stewardship and Social Responsibility Practices (RQ1)</w:t>
      </w:r>
      <w:bookmarkEnd w:id="61"/>
    </w:p>
    <w:bookmarkEnd w:id="60"/>
    <w:p w14:paraId="7E832397" w14:textId="69E246D8" w:rsidR="00AB6AC0" w:rsidRDefault="00A9674A" w:rsidP="00AB6AC0">
      <w:r w:rsidRPr="00A9674A">
        <w:t>The table provides a summary of fifty articles in this systematic review and is categorised based on four major themes: Environmental Stewardship, Social Responsibility, Avoidance of Greenwashing, and Consumer-Facing Impacts. The studies include author(s), title, methodology, and the related sub-themes and codes that give an overview of the literature covering the three research questions. These thematic summaries are the basis of the further detailed analysis and discussion.</w:t>
      </w:r>
    </w:p>
    <w:p w14:paraId="6FA04B12" w14:textId="45A60BBA" w:rsidR="002B796F" w:rsidRPr="00AB6AC0" w:rsidRDefault="002B796F" w:rsidP="002B796F">
      <w:pPr>
        <w:pStyle w:val="NoSpacing"/>
        <w:jc w:val="left"/>
        <w:rPr>
          <w:lang w:val="en-US"/>
        </w:rPr>
      </w:pPr>
      <w:bookmarkStart w:id="62" w:name="_Toc218439130"/>
      <w:r>
        <w:t xml:space="preserve">Table </w:t>
      </w:r>
      <w:fldSimple w:instr=" SEQ Table \* ARABIC ">
        <w:r>
          <w:rPr>
            <w:noProof/>
          </w:rPr>
          <w:t>3</w:t>
        </w:r>
      </w:fldSimple>
      <w:r>
        <w:t xml:space="preserve"> </w:t>
      </w:r>
      <w:r w:rsidRPr="002B796F">
        <w:t>Environmental Stewardship and Social Responsibility Practices</w:t>
      </w:r>
      <w:bookmarkEnd w:id="62"/>
    </w:p>
    <w:tbl>
      <w:tblPr>
        <w:tblStyle w:val="TableGridLight"/>
        <w:tblW w:w="0" w:type="auto"/>
        <w:tblLook w:val="04A0" w:firstRow="1" w:lastRow="0" w:firstColumn="1" w:lastColumn="0" w:noHBand="0" w:noVBand="1"/>
      </w:tblPr>
      <w:tblGrid>
        <w:gridCol w:w="2323"/>
        <w:gridCol w:w="2802"/>
        <w:gridCol w:w="4923"/>
        <w:gridCol w:w="3900"/>
      </w:tblGrid>
      <w:tr w:rsidR="008E2284" w:rsidRPr="008E2284" w14:paraId="12AAE524" w14:textId="77777777" w:rsidTr="00A9343B">
        <w:tc>
          <w:tcPr>
            <w:tcW w:w="2323" w:type="dxa"/>
            <w:vAlign w:val="center"/>
            <w:hideMark/>
          </w:tcPr>
          <w:p w14:paraId="515C1887" w14:textId="77777777" w:rsidR="008E2284" w:rsidRPr="008E2284" w:rsidRDefault="008E2284" w:rsidP="008E2284">
            <w:pPr>
              <w:spacing w:line="276" w:lineRule="auto"/>
              <w:jc w:val="left"/>
              <w:rPr>
                <w:rFonts w:cs="Arial"/>
                <w:b/>
                <w:bCs/>
                <w:lang w:val="en-US" w:bidi="ar-SA"/>
              </w:rPr>
            </w:pPr>
            <w:r w:rsidRPr="008E2284">
              <w:rPr>
                <w:rFonts w:cs="Arial"/>
                <w:b/>
                <w:bCs/>
                <w:lang w:val="en-US" w:bidi="ar-SA"/>
              </w:rPr>
              <w:t>Theme</w:t>
            </w:r>
          </w:p>
        </w:tc>
        <w:tc>
          <w:tcPr>
            <w:tcW w:w="2802" w:type="dxa"/>
            <w:vAlign w:val="center"/>
            <w:hideMark/>
          </w:tcPr>
          <w:p w14:paraId="5525D041" w14:textId="77777777" w:rsidR="008E2284" w:rsidRPr="008E2284" w:rsidRDefault="008E2284" w:rsidP="008E2284">
            <w:pPr>
              <w:spacing w:line="276" w:lineRule="auto"/>
              <w:jc w:val="left"/>
              <w:rPr>
                <w:rFonts w:cs="Arial"/>
                <w:b/>
                <w:bCs/>
                <w:lang w:val="en-US" w:bidi="ar-SA"/>
              </w:rPr>
            </w:pPr>
            <w:r w:rsidRPr="008E2284">
              <w:rPr>
                <w:rFonts w:cs="Arial"/>
                <w:b/>
                <w:bCs/>
                <w:lang w:val="en-US" w:bidi="ar-SA"/>
              </w:rPr>
              <w:t>Sub-theme</w:t>
            </w:r>
          </w:p>
        </w:tc>
        <w:tc>
          <w:tcPr>
            <w:tcW w:w="4923" w:type="dxa"/>
            <w:vAlign w:val="center"/>
            <w:hideMark/>
          </w:tcPr>
          <w:p w14:paraId="26B325F5" w14:textId="77777777" w:rsidR="008E2284" w:rsidRPr="008E2284" w:rsidRDefault="008E2284" w:rsidP="008E2284">
            <w:pPr>
              <w:spacing w:line="276" w:lineRule="auto"/>
              <w:jc w:val="left"/>
              <w:rPr>
                <w:rFonts w:cs="Arial"/>
                <w:b/>
                <w:bCs/>
                <w:lang w:val="en-US" w:bidi="ar-SA"/>
              </w:rPr>
            </w:pPr>
            <w:r w:rsidRPr="008E2284">
              <w:rPr>
                <w:rFonts w:cs="Arial"/>
                <w:b/>
                <w:bCs/>
                <w:lang w:val="en-US" w:bidi="ar-SA"/>
              </w:rPr>
              <w:t>Code</w:t>
            </w:r>
          </w:p>
        </w:tc>
        <w:tc>
          <w:tcPr>
            <w:tcW w:w="3900" w:type="dxa"/>
            <w:vAlign w:val="center"/>
            <w:hideMark/>
          </w:tcPr>
          <w:p w14:paraId="41C3E166" w14:textId="77777777" w:rsidR="008E2284" w:rsidRPr="008E2284" w:rsidRDefault="008E2284" w:rsidP="008E2284">
            <w:pPr>
              <w:spacing w:line="276" w:lineRule="auto"/>
              <w:jc w:val="left"/>
              <w:rPr>
                <w:rFonts w:cs="Arial"/>
                <w:b/>
                <w:bCs/>
                <w:lang w:val="en-US" w:bidi="ar-SA"/>
              </w:rPr>
            </w:pPr>
            <w:r w:rsidRPr="008E2284">
              <w:rPr>
                <w:rFonts w:cs="Arial"/>
                <w:b/>
                <w:bCs/>
                <w:lang w:val="en-US" w:bidi="ar-SA"/>
              </w:rPr>
              <w:t>Citation</w:t>
            </w:r>
          </w:p>
        </w:tc>
      </w:tr>
      <w:tr w:rsidR="008E2284" w:rsidRPr="008E2284" w14:paraId="4095B376" w14:textId="77777777" w:rsidTr="00A9343B">
        <w:tc>
          <w:tcPr>
            <w:tcW w:w="2323" w:type="dxa"/>
            <w:vMerge w:val="restart"/>
            <w:vAlign w:val="center"/>
            <w:hideMark/>
          </w:tcPr>
          <w:p w14:paraId="41255CD0" w14:textId="77777777" w:rsidR="008E2284" w:rsidRPr="008E2284" w:rsidRDefault="008E2284" w:rsidP="008E2284">
            <w:pPr>
              <w:spacing w:line="276" w:lineRule="auto"/>
              <w:jc w:val="left"/>
              <w:rPr>
                <w:rFonts w:cs="Arial"/>
                <w:lang w:val="en-US" w:bidi="ar-SA"/>
              </w:rPr>
            </w:pPr>
            <w:r w:rsidRPr="008E2284">
              <w:rPr>
                <w:rFonts w:cs="Arial"/>
                <w:b/>
                <w:bCs/>
                <w:lang w:val="en-US" w:bidi="ar-SA"/>
              </w:rPr>
              <w:t>Environmental Stewardship</w:t>
            </w:r>
          </w:p>
        </w:tc>
        <w:tc>
          <w:tcPr>
            <w:tcW w:w="2802" w:type="dxa"/>
            <w:vMerge w:val="restart"/>
            <w:vAlign w:val="center"/>
            <w:hideMark/>
          </w:tcPr>
          <w:p w14:paraId="51665D05" w14:textId="77777777" w:rsidR="008E2284" w:rsidRPr="008E2284" w:rsidRDefault="008E2284" w:rsidP="008E2284">
            <w:pPr>
              <w:spacing w:line="276" w:lineRule="auto"/>
              <w:jc w:val="left"/>
              <w:rPr>
                <w:rFonts w:cs="Arial"/>
                <w:lang w:val="en-US" w:bidi="ar-SA"/>
              </w:rPr>
            </w:pPr>
            <w:r w:rsidRPr="008E2284">
              <w:rPr>
                <w:rFonts w:cs="Arial"/>
                <w:lang w:val="en-US" w:bidi="ar-SA"/>
              </w:rPr>
              <w:t>Circularity &amp; Resource Efficiency</w:t>
            </w:r>
          </w:p>
        </w:tc>
        <w:tc>
          <w:tcPr>
            <w:tcW w:w="4923" w:type="dxa"/>
            <w:vAlign w:val="center"/>
            <w:hideMark/>
          </w:tcPr>
          <w:p w14:paraId="5F0B7144" w14:textId="77777777" w:rsidR="008E2284" w:rsidRPr="008E2284" w:rsidRDefault="008E2284" w:rsidP="008E2284">
            <w:pPr>
              <w:spacing w:line="276" w:lineRule="auto"/>
              <w:jc w:val="left"/>
              <w:rPr>
                <w:rFonts w:cs="Arial"/>
                <w:lang w:val="en-US" w:bidi="ar-SA"/>
              </w:rPr>
            </w:pPr>
            <w:r w:rsidRPr="008E2284">
              <w:rPr>
                <w:rFonts w:cs="Arial"/>
                <w:lang w:val="en-US" w:bidi="ar-SA"/>
              </w:rPr>
              <w:t>Circularity vs. systemic greenwashing</w:t>
            </w:r>
          </w:p>
        </w:tc>
        <w:tc>
          <w:tcPr>
            <w:tcW w:w="3900" w:type="dxa"/>
            <w:vAlign w:val="center"/>
            <w:hideMark/>
          </w:tcPr>
          <w:p w14:paraId="55051F7C" w14:textId="77777777" w:rsidR="008E2284" w:rsidRPr="008E2284" w:rsidRDefault="008E2284" w:rsidP="008E2284">
            <w:pPr>
              <w:spacing w:line="276" w:lineRule="auto"/>
              <w:jc w:val="left"/>
              <w:rPr>
                <w:rFonts w:cs="Arial"/>
                <w:lang w:val="en-US" w:bidi="ar-SA"/>
              </w:rPr>
            </w:pPr>
            <w:r w:rsidRPr="008E2284">
              <w:rPr>
                <w:rFonts w:cs="Arial"/>
                <w:lang w:val="en-US" w:bidi="ar-SA"/>
              </w:rPr>
              <w:t>Burnstine &amp; Ghattas (2025)</w:t>
            </w:r>
          </w:p>
        </w:tc>
      </w:tr>
      <w:tr w:rsidR="008E2284" w:rsidRPr="008E2284" w14:paraId="1241D532" w14:textId="77777777" w:rsidTr="00A9343B">
        <w:tc>
          <w:tcPr>
            <w:tcW w:w="2323" w:type="dxa"/>
            <w:vMerge/>
            <w:vAlign w:val="center"/>
            <w:hideMark/>
          </w:tcPr>
          <w:p w14:paraId="4A12806C"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42D57ECF"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136EA14B" w14:textId="77777777" w:rsidR="008E2284" w:rsidRPr="008E2284" w:rsidRDefault="008E2284" w:rsidP="008E2284">
            <w:pPr>
              <w:spacing w:line="276" w:lineRule="auto"/>
              <w:jc w:val="left"/>
              <w:rPr>
                <w:rFonts w:cs="Arial"/>
                <w:lang w:val="en-US" w:bidi="ar-SA"/>
              </w:rPr>
            </w:pPr>
            <w:r w:rsidRPr="008E2284">
              <w:rPr>
                <w:rFonts w:cs="Arial"/>
                <w:lang w:val="en-US" w:bidi="ar-SA"/>
              </w:rPr>
              <w:t>Green logistics and marketing practices</w:t>
            </w:r>
          </w:p>
        </w:tc>
        <w:tc>
          <w:tcPr>
            <w:tcW w:w="3900" w:type="dxa"/>
            <w:vAlign w:val="center"/>
            <w:hideMark/>
          </w:tcPr>
          <w:p w14:paraId="162E88C6" w14:textId="77777777" w:rsidR="008E2284" w:rsidRPr="008E2284" w:rsidRDefault="008E2284" w:rsidP="008E2284">
            <w:pPr>
              <w:spacing w:line="276" w:lineRule="auto"/>
              <w:jc w:val="left"/>
              <w:rPr>
                <w:rFonts w:cs="Arial"/>
                <w:lang w:val="en-US" w:bidi="ar-SA"/>
              </w:rPr>
            </w:pPr>
            <w:r w:rsidRPr="008E2284">
              <w:rPr>
                <w:rFonts w:cs="Arial"/>
                <w:lang w:val="en-US" w:bidi="ar-SA"/>
              </w:rPr>
              <w:t>Mofokeng (2025)</w:t>
            </w:r>
          </w:p>
        </w:tc>
      </w:tr>
      <w:tr w:rsidR="008E2284" w:rsidRPr="008E2284" w14:paraId="10547F5F" w14:textId="77777777" w:rsidTr="00A9343B">
        <w:tc>
          <w:tcPr>
            <w:tcW w:w="2323" w:type="dxa"/>
            <w:vMerge/>
            <w:vAlign w:val="center"/>
            <w:hideMark/>
          </w:tcPr>
          <w:p w14:paraId="029C9AA9"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4CE60169"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2ED105F2" w14:textId="77777777" w:rsidR="008E2284" w:rsidRPr="008E2284" w:rsidRDefault="008E2284" w:rsidP="008E2284">
            <w:pPr>
              <w:spacing w:line="276" w:lineRule="auto"/>
              <w:jc w:val="left"/>
              <w:rPr>
                <w:rFonts w:cs="Arial"/>
                <w:lang w:val="en-US" w:bidi="ar-SA"/>
              </w:rPr>
            </w:pPr>
            <w:r w:rsidRPr="008E2284">
              <w:rPr>
                <w:rFonts w:cs="Arial"/>
                <w:lang w:val="en-US" w:bidi="ar-SA"/>
              </w:rPr>
              <w:t>Green manufacturing, marketing, investment</w:t>
            </w:r>
          </w:p>
        </w:tc>
        <w:tc>
          <w:tcPr>
            <w:tcW w:w="3900" w:type="dxa"/>
            <w:vAlign w:val="center"/>
            <w:hideMark/>
          </w:tcPr>
          <w:p w14:paraId="23DDD581" w14:textId="77777777" w:rsidR="008E2284" w:rsidRPr="008E2284" w:rsidRDefault="008E2284" w:rsidP="008E2284">
            <w:pPr>
              <w:spacing w:line="276" w:lineRule="auto"/>
              <w:jc w:val="left"/>
              <w:rPr>
                <w:rFonts w:cs="Arial"/>
                <w:lang w:val="en-US" w:bidi="ar-SA"/>
              </w:rPr>
            </w:pPr>
            <w:r w:rsidRPr="008E2284">
              <w:rPr>
                <w:rFonts w:cs="Arial"/>
                <w:lang w:val="en-US" w:bidi="ar-SA"/>
              </w:rPr>
              <w:t>Nigatu, Degoma &amp; Tsegaye (2024)</w:t>
            </w:r>
          </w:p>
        </w:tc>
      </w:tr>
      <w:tr w:rsidR="008E2284" w:rsidRPr="008E2284" w14:paraId="4E70350A" w14:textId="77777777" w:rsidTr="00A9343B">
        <w:tc>
          <w:tcPr>
            <w:tcW w:w="2323" w:type="dxa"/>
            <w:vMerge/>
            <w:vAlign w:val="center"/>
            <w:hideMark/>
          </w:tcPr>
          <w:p w14:paraId="14A71A42"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69A71909"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4A785DEA" w14:textId="77777777" w:rsidR="008E2284" w:rsidRPr="008E2284" w:rsidRDefault="008E2284" w:rsidP="008E2284">
            <w:pPr>
              <w:spacing w:line="276" w:lineRule="auto"/>
              <w:jc w:val="left"/>
              <w:rPr>
                <w:rFonts w:cs="Arial"/>
                <w:lang w:val="en-US" w:bidi="ar-SA"/>
              </w:rPr>
            </w:pPr>
            <w:r w:rsidRPr="008E2284">
              <w:rPr>
                <w:rFonts w:cs="Arial"/>
                <w:lang w:val="en-US" w:bidi="ar-SA"/>
              </w:rPr>
              <w:t>LCA evidence, eco-label credibility</w:t>
            </w:r>
          </w:p>
        </w:tc>
        <w:tc>
          <w:tcPr>
            <w:tcW w:w="3900" w:type="dxa"/>
            <w:vAlign w:val="center"/>
            <w:hideMark/>
          </w:tcPr>
          <w:p w14:paraId="06B7A637" w14:textId="1FDDF8C9" w:rsidR="008E2284" w:rsidRPr="008E2284" w:rsidRDefault="008E2284" w:rsidP="008E2284">
            <w:pPr>
              <w:spacing w:line="276" w:lineRule="auto"/>
              <w:jc w:val="left"/>
              <w:rPr>
                <w:rFonts w:cs="Arial"/>
                <w:lang w:val="en-US" w:bidi="ar-SA"/>
              </w:rPr>
            </w:pPr>
            <w:r w:rsidRPr="008E2284">
              <w:rPr>
                <w:rFonts w:cs="Arial"/>
                <w:lang w:val="en-US" w:bidi="ar-SA"/>
              </w:rPr>
              <w:t xml:space="preserve">Mousavi </w:t>
            </w:r>
            <w:r w:rsidR="001D1CA2" w:rsidRPr="001D1CA2">
              <w:rPr>
                <w:rFonts w:cs="Arial"/>
                <w:i/>
                <w:iCs/>
                <w:lang w:val="en-US" w:bidi="ar-SA"/>
              </w:rPr>
              <w:t>et al</w:t>
            </w:r>
            <w:r w:rsidRPr="008E2284">
              <w:rPr>
                <w:rFonts w:cs="Arial"/>
                <w:lang w:val="en-US" w:bidi="ar-SA"/>
              </w:rPr>
              <w:t>. (2025)</w:t>
            </w:r>
          </w:p>
        </w:tc>
      </w:tr>
      <w:tr w:rsidR="008E2284" w:rsidRPr="008E2284" w14:paraId="70E04C53" w14:textId="77777777" w:rsidTr="00A9343B">
        <w:tc>
          <w:tcPr>
            <w:tcW w:w="2323" w:type="dxa"/>
            <w:vMerge/>
            <w:vAlign w:val="center"/>
            <w:hideMark/>
          </w:tcPr>
          <w:p w14:paraId="41AFAF27"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0BDF41F0"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0EF154B4" w14:textId="77777777" w:rsidR="008E2284" w:rsidRPr="008E2284" w:rsidRDefault="008E2284" w:rsidP="008E2284">
            <w:pPr>
              <w:spacing w:line="276" w:lineRule="auto"/>
              <w:jc w:val="left"/>
              <w:rPr>
                <w:rFonts w:cs="Arial"/>
                <w:lang w:val="en-US" w:bidi="ar-SA"/>
              </w:rPr>
            </w:pPr>
            <w:r w:rsidRPr="008E2284">
              <w:rPr>
                <w:rFonts w:cs="Arial"/>
                <w:lang w:val="en-US" w:bidi="ar-SA"/>
              </w:rPr>
              <w:t>Recycling narratives &amp; transparency standards</w:t>
            </w:r>
          </w:p>
        </w:tc>
        <w:tc>
          <w:tcPr>
            <w:tcW w:w="3900" w:type="dxa"/>
            <w:vAlign w:val="center"/>
            <w:hideMark/>
          </w:tcPr>
          <w:p w14:paraId="5B4B3FED" w14:textId="77777777" w:rsidR="008E2284" w:rsidRPr="008E2284" w:rsidRDefault="008E2284" w:rsidP="008E2284">
            <w:pPr>
              <w:spacing w:line="276" w:lineRule="auto"/>
              <w:jc w:val="left"/>
              <w:rPr>
                <w:rFonts w:cs="Arial"/>
                <w:lang w:val="en-US" w:bidi="ar-SA"/>
              </w:rPr>
            </w:pPr>
            <w:r w:rsidRPr="008E2284">
              <w:rPr>
                <w:rFonts w:cs="Arial"/>
                <w:lang w:val="en-US" w:bidi="ar-SA"/>
              </w:rPr>
              <w:t>Eppinger (2022)</w:t>
            </w:r>
          </w:p>
        </w:tc>
      </w:tr>
      <w:tr w:rsidR="008E2284" w:rsidRPr="008E2284" w14:paraId="2318AD74" w14:textId="77777777" w:rsidTr="00A9343B">
        <w:tc>
          <w:tcPr>
            <w:tcW w:w="2323" w:type="dxa"/>
            <w:vMerge/>
            <w:vAlign w:val="center"/>
            <w:hideMark/>
          </w:tcPr>
          <w:p w14:paraId="67DCF533"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22B798D8" w14:textId="77777777" w:rsidR="008E2284" w:rsidRPr="008E2284" w:rsidRDefault="008E2284" w:rsidP="008E2284">
            <w:pPr>
              <w:spacing w:line="276" w:lineRule="auto"/>
              <w:jc w:val="left"/>
              <w:rPr>
                <w:rFonts w:cs="Arial"/>
                <w:lang w:val="en-US" w:bidi="ar-SA"/>
              </w:rPr>
            </w:pPr>
            <w:r w:rsidRPr="008E2284">
              <w:rPr>
                <w:rFonts w:cs="Arial"/>
                <w:lang w:val="en-US" w:bidi="ar-SA"/>
              </w:rPr>
              <w:t>Green Innovation &amp; Performance</w:t>
            </w:r>
          </w:p>
        </w:tc>
        <w:tc>
          <w:tcPr>
            <w:tcW w:w="4923" w:type="dxa"/>
            <w:vAlign w:val="center"/>
            <w:hideMark/>
          </w:tcPr>
          <w:p w14:paraId="786F5ED9" w14:textId="77777777" w:rsidR="008E2284" w:rsidRPr="008E2284" w:rsidRDefault="008E2284" w:rsidP="008E2284">
            <w:pPr>
              <w:spacing w:line="276" w:lineRule="auto"/>
              <w:jc w:val="left"/>
              <w:rPr>
                <w:rFonts w:cs="Arial"/>
                <w:lang w:val="en-US" w:bidi="ar-SA"/>
              </w:rPr>
            </w:pPr>
            <w:r w:rsidRPr="008E2284">
              <w:rPr>
                <w:rFonts w:cs="Arial"/>
                <w:lang w:val="en-US" w:bidi="ar-SA"/>
              </w:rPr>
              <w:t>Green innovation (GINO)</w:t>
            </w:r>
          </w:p>
        </w:tc>
        <w:tc>
          <w:tcPr>
            <w:tcW w:w="3900" w:type="dxa"/>
            <w:vAlign w:val="center"/>
            <w:hideMark/>
          </w:tcPr>
          <w:p w14:paraId="63969681" w14:textId="77777777" w:rsidR="008E2284" w:rsidRPr="008E2284" w:rsidRDefault="008E2284" w:rsidP="008E2284">
            <w:pPr>
              <w:spacing w:line="276" w:lineRule="auto"/>
              <w:jc w:val="left"/>
              <w:rPr>
                <w:rFonts w:cs="Arial"/>
                <w:lang w:val="en-US" w:bidi="ar-SA"/>
              </w:rPr>
            </w:pPr>
            <w:proofErr w:type="spellStart"/>
            <w:r w:rsidRPr="008E2284">
              <w:rPr>
                <w:rFonts w:cs="Arial"/>
                <w:lang w:val="en-US" w:bidi="ar-SA"/>
              </w:rPr>
              <w:t>Habtemaryam</w:t>
            </w:r>
            <w:proofErr w:type="spellEnd"/>
            <w:r w:rsidRPr="008E2284">
              <w:rPr>
                <w:rFonts w:cs="Arial"/>
                <w:lang w:val="en-US" w:bidi="ar-SA"/>
              </w:rPr>
              <w:t>, Degoma &amp; Tsegaye (2025)</w:t>
            </w:r>
          </w:p>
        </w:tc>
      </w:tr>
      <w:tr w:rsidR="008E2284" w:rsidRPr="008E2284" w14:paraId="645EA4B5" w14:textId="77777777" w:rsidTr="00A9343B">
        <w:tc>
          <w:tcPr>
            <w:tcW w:w="2323" w:type="dxa"/>
            <w:vMerge/>
            <w:vAlign w:val="center"/>
            <w:hideMark/>
          </w:tcPr>
          <w:p w14:paraId="04C305C6"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48C12D1C"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35EC5D25" w14:textId="77777777" w:rsidR="008E2284" w:rsidRPr="008E2284" w:rsidRDefault="008E2284" w:rsidP="008E2284">
            <w:pPr>
              <w:spacing w:line="276" w:lineRule="auto"/>
              <w:jc w:val="left"/>
              <w:rPr>
                <w:rFonts w:cs="Arial"/>
                <w:lang w:val="en-US" w:bidi="ar-SA"/>
              </w:rPr>
            </w:pPr>
            <w:r w:rsidRPr="008E2284">
              <w:rPr>
                <w:rFonts w:cs="Arial"/>
                <w:lang w:val="en-US" w:bidi="ar-SA"/>
              </w:rPr>
              <w:t>Genuine environmental performance improvement</w:t>
            </w:r>
          </w:p>
        </w:tc>
        <w:tc>
          <w:tcPr>
            <w:tcW w:w="3900" w:type="dxa"/>
            <w:vAlign w:val="center"/>
            <w:hideMark/>
          </w:tcPr>
          <w:p w14:paraId="47BE2357" w14:textId="77777777" w:rsidR="008E2284" w:rsidRPr="008E2284" w:rsidRDefault="008E2284" w:rsidP="008E2284">
            <w:pPr>
              <w:spacing w:line="276" w:lineRule="auto"/>
              <w:jc w:val="left"/>
              <w:rPr>
                <w:rFonts w:cs="Arial"/>
                <w:lang w:val="en-US" w:bidi="ar-SA"/>
              </w:rPr>
            </w:pPr>
            <w:proofErr w:type="spellStart"/>
            <w:r w:rsidRPr="008E2284">
              <w:rPr>
                <w:rFonts w:cs="Arial"/>
                <w:lang w:val="en-US" w:bidi="ar-SA"/>
              </w:rPr>
              <w:t>Habtemaryam</w:t>
            </w:r>
            <w:proofErr w:type="spellEnd"/>
            <w:r w:rsidRPr="008E2284">
              <w:rPr>
                <w:rFonts w:cs="Arial"/>
                <w:lang w:val="en-US" w:bidi="ar-SA"/>
              </w:rPr>
              <w:t>, Degoma &amp; Tsegaye (2025)</w:t>
            </w:r>
          </w:p>
        </w:tc>
      </w:tr>
      <w:tr w:rsidR="008E2284" w:rsidRPr="008E2284" w14:paraId="6C955698" w14:textId="77777777" w:rsidTr="00A9343B">
        <w:tc>
          <w:tcPr>
            <w:tcW w:w="2323" w:type="dxa"/>
            <w:vMerge/>
            <w:vAlign w:val="center"/>
            <w:hideMark/>
          </w:tcPr>
          <w:p w14:paraId="1DE1A75F"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74DEA566"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1C7C3B9C" w14:textId="77777777" w:rsidR="008E2284" w:rsidRPr="008E2284" w:rsidRDefault="008E2284" w:rsidP="008E2284">
            <w:pPr>
              <w:spacing w:line="276" w:lineRule="auto"/>
              <w:jc w:val="left"/>
              <w:rPr>
                <w:rFonts w:cs="Arial"/>
                <w:lang w:val="en-US" w:bidi="ar-SA"/>
              </w:rPr>
            </w:pPr>
            <w:r w:rsidRPr="008E2284">
              <w:rPr>
                <w:rFonts w:cs="Arial"/>
                <w:lang w:val="en-US" w:bidi="ar-SA"/>
              </w:rPr>
              <w:t>Environmental performance monitoring</w:t>
            </w:r>
          </w:p>
        </w:tc>
        <w:tc>
          <w:tcPr>
            <w:tcW w:w="3900" w:type="dxa"/>
            <w:vAlign w:val="center"/>
            <w:hideMark/>
          </w:tcPr>
          <w:p w14:paraId="65078565" w14:textId="77777777" w:rsidR="008E2284" w:rsidRPr="008E2284" w:rsidRDefault="008E2284" w:rsidP="008E2284">
            <w:pPr>
              <w:spacing w:line="276" w:lineRule="auto"/>
              <w:jc w:val="left"/>
              <w:rPr>
                <w:rFonts w:cs="Arial"/>
                <w:lang w:val="en-US" w:bidi="ar-SA"/>
              </w:rPr>
            </w:pPr>
            <w:r w:rsidRPr="008E2284">
              <w:rPr>
                <w:rFonts w:cs="Arial"/>
                <w:lang w:val="en-US" w:bidi="ar-SA"/>
              </w:rPr>
              <w:t>Mofokeng (2025)</w:t>
            </w:r>
          </w:p>
        </w:tc>
      </w:tr>
      <w:tr w:rsidR="008E2284" w:rsidRPr="008E2284" w14:paraId="7E9C4B9B" w14:textId="77777777" w:rsidTr="00A9343B">
        <w:tc>
          <w:tcPr>
            <w:tcW w:w="2323" w:type="dxa"/>
            <w:vMerge/>
            <w:vAlign w:val="center"/>
            <w:hideMark/>
          </w:tcPr>
          <w:p w14:paraId="3827FC6E"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710BE17F" w14:textId="77777777" w:rsidR="008E2284" w:rsidRPr="008E2284" w:rsidRDefault="008E2284" w:rsidP="008E2284">
            <w:pPr>
              <w:spacing w:line="276" w:lineRule="auto"/>
              <w:jc w:val="left"/>
              <w:rPr>
                <w:rFonts w:cs="Arial"/>
                <w:lang w:val="en-US" w:bidi="ar-SA"/>
              </w:rPr>
            </w:pPr>
            <w:r w:rsidRPr="008E2284">
              <w:rPr>
                <w:rFonts w:cs="Arial"/>
                <w:lang w:val="en-US" w:bidi="ar-SA"/>
              </w:rPr>
              <w:t>Sustainable Marketing &amp; Communication</w:t>
            </w:r>
          </w:p>
        </w:tc>
        <w:tc>
          <w:tcPr>
            <w:tcW w:w="4923" w:type="dxa"/>
            <w:vAlign w:val="center"/>
            <w:hideMark/>
          </w:tcPr>
          <w:p w14:paraId="6FD6C7A9" w14:textId="77777777" w:rsidR="008E2284" w:rsidRPr="008E2284" w:rsidRDefault="008E2284" w:rsidP="008E2284">
            <w:pPr>
              <w:spacing w:line="276" w:lineRule="auto"/>
              <w:jc w:val="left"/>
              <w:rPr>
                <w:rFonts w:cs="Arial"/>
                <w:lang w:val="en-US" w:bidi="ar-SA"/>
              </w:rPr>
            </w:pPr>
            <w:r w:rsidRPr="008E2284">
              <w:rPr>
                <w:rFonts w:cs="Arial"/>
                <w:lang w:val="en-US" w:bidi="ar-SA"/>
              </w:rPr>
              <w:t>Green marketing mix</w:t>
            </w:r>
          </w:p>
        </w:tc>
        <w:tc>
          <w:tcPr>
            <w:tcW w:w="3900" w:type="dxa"/>
            <w:vAlign w:val="center"/>
            <w:hideMark/>
          </w:tcPr>
          <w:p w14:paraId="1DB6886C" w14:textId="45087B7A" w:rsidR="008E2284" w:rsidRPr="008E2284" w:rsidRDefault="008E2284" w:rsidP="008E2284">
            <w:pPr>
              <w:spacing w:line="276" w:lineRule="auto"/>
              <w:jc w:val="left"/>
              <w:rPr>
                <w:rFonts w:cs="Arial"/>
                <w:lang w:val="en-US" w:bidi="ar-SA"/>
              </w:rPr>
            </w:pPr>
            <w:r w:rsidRPr="008E2284">
              <w:rPr>
                <w:rFonts w:cs="Arial"/>
                <w:lang w:val="en-US" w:bidi="ar-SA"/>
              </w:rPr>
              <w:t xml:space="preserve">Andria </w:t>
            </w:r>
            <w:r w:rsidR="001D1CA2" w:rsidRPr="001D1CA2">
              <w:rPr>
                <w:rFonts w:cs="Arial"/>
                <w:i/>
                <w:iCs/>
                <w:lang w:val="en-US" w:bidi="ar-SA"/>
              </w:rPr>
              <w:t>et al</w:t>
            </w:r>
            <w:r w:rsidRPr="008E2284">
              <w:rPr>
                <w:rFonts w:cs="Arial"/>
                <w:lang w:val="en-US" w:bidi="ar-SA"/>
              </w:rPr>
              <w:t>. (2023)</w:t>
            </w:r>
          </w:p>
        </w:tc>
      </w:tr>
      <w:tr w:rsidR="008E2284" w:rsidRPr="008E2284" w14:paraId="44028AC8" w14:textId="77777777" w:rsidTr="00A9343B">
        <w:tc>
          <w:tcPr>
            <w:tcW w:w="2323" w:type="dxa"/>
            <w:vMerge/>
            <w:vAlign w:val="center"/>
            <w:hideMark/>
          </w:tcPr>
          <w:p w14:paraId="4D0D783D"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18CA8A9D"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2D346355" w14:textId="77777777" w:rsidR="008E2284" w:rsidRPr="008E2284" w:rsidRDefault="008E2284" w:rsidP="008E2284">
            <w:pPr>
              <w:spacing w:line="276" w:lineRule="auto"/>
              <w:jc w:val="left"/>
              <w:rPr>
                <w:rFonts w:cs="Arial"/>
                <w:lang w:val="en-US" w:bidi="ar-SA"/>
              </w:rPr>
            </w:pPr>
            <w:r w:rsidRPr="008E2284">
              <w:rPr>
                <w:rFonts w:cs="Arial"/>
                <w:lang w:val="en-US" w:bidi="ar-SA"/>
              </w:rPr>
              <w:t>Green marketing orientation (GMO)</w:t>
            </w:r>
          </w:p>
        </w:tc>
        <w:tc>
          <w:tcPr>
            <w:tcW w:w="3900" w:type="dxa"/>
            <w:vAlign w:val="center"/>
            <w:hideMark/>
          </w:tcPr>
          <w:p w14:paraId="4DD3737E" w14:textId="77777777" w:rsidR="008E2284" w:rsidRPr="008E2284" w:rsidRDefault="008E2284" w:rsidP="008E2284">
            <w:pPr>
              <w:spacing w:line="276" w:lineRule="auto"/>
              <w:jc w:val="left"/>
              <w:rPr>
                <w:rFonts w:cs="Arial"/>
                <w:lang w:val="en-US" w:bidi="ar-SA"/>
              </w:rPr>
            </w:pPr>
            <w:proofErr w:type="spellStart"/>
            <w:r w:rsidRPr="008E2284">
              <w:rPr>
                <w:rFonts w:cs="Arial"/>
                <w:lang w:val="en-US" w:bidi="ar-SA"/>
              </w:rPr>
              <w:t>Habtemaryam</w:t>
            </w:r>
            <w:proofErr w:type="spellEnd"/>
            <w:r w:rsidRPr="008E2284">
              <w:rPr>
                <w:rFonts w:cs="Arial"/>
                <w:lang w:val="en-US" w:bidi="ar-SA"/>
              </w:rPr>
              <w:t>, Degoma &amp; Tsegaye (2025)</w:t>
            </w:r>
          </w:p>
        </w:tc>
      </w:tr>
      <w:tr w:rsidR="008E2284" w:rsidRPr="008E2284" w14:paraId="22DAA928" w14:textId="77777777" w:rsidTr="00A9343B">
        <w:tc>
          <w:tcPr>
            <w:tcW w:w="2323" w:type="dxa"/>
            <w:vMerge/>
            <w:vAlign w:val="center"/>
            <w:hideMark/>
          </w:tcPr>
          <w:p w14:paraId="3092E49D"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0E59193B"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0B2996C6" w14:textId="77777777" w:rsidR="008E2284" w:rsidRPr="008E2284" w:rsidRDefault="008E2284" w:rsidP="008E2284">
            <w:pPr>
              <w:spacing w:line="276" w:lineRule="auto"/>
              <w:jc w:val="left"/>
              <w:rPr>
                <w:rFonts w:cs="Arial"/>
                <w:lang w:val="en-US" w:bidi="ar-SA"/>
              </w:rPr>
            </w:pPr>
            <w:r w:rsidRPr="008E2284">
              <w:rPr>
                <w:rFonts w:cs="Arial"/>
                <w:lang w:val="en-US" w:bidi="ar-SA"/>
              </w:rPr>
              <w:t>Green marketing strategy &amp; competitiveness</w:t>
            </w:r>
          </w:p>
        </w:tc>
        <w:tc>
          <w:tcPr>
            <w:tcW w:w="3900" w:type="dxa"/>
            <w:vAlign w:val="center"/>
            <w:hideMark/>
          </w:tcPr>
          <w:p w14:paraId="5589CF18" w14:textId="50A95AC6" w:rsidR="008E2284" w:rsidRPr="008E2284" w:rsidRDefault="008E2284" w:rsidP="008E2284">
            <w:pPr>
              <w:spacing w:line="276" w:lineRule="auto"/>
              <w:jc w:val="left"/>
              <w:rPr>
                <w:rFonts w:cs="Arial"/>
                <w:lang w:val="en-US" w:bidi="ar-SA"/>
              </w:rPr>
            </w:pPr>
            <w:proofErr w:type="spellStart"/>
            <w:r w:rsidRPr="008E2284">
              <w:rPr>
                <w:rFonts w:cs="Arial"/>
                <w:lang w:val="en-US" w:bidi="ar-SA"/>
              </w:rPr>
              <w:t>Vehbi</w:t>
            </w:r>
            <w:proofErr w:type="spellEnd"/>
            <w:r w:rsidRPr="008E2284">
              <w:rPr>
                <w:rFonts w:cs="Arial"/>
                <w:lang w:val="en-US" w:bidi="ar-SA"/>
              </w:rPr>
              <w:t xml:space="preserve"> </w:t>
            </w:r>
            <w:r w:rsidR="001D1CA2" w:rsidRPr="001D1CA2">
              <w:rPr>
                <w:rFonts w:cs="Arial"/>
                <w:i/>
                <w:iCs/>
                <w:lang w:val="en-US" w:bidi="ar-SA"/>
              </w:rPr>
              <w:t>et al</w:t>
            </w:r>
            <w:r w:rsidRPr="008E2284">
              <w:rPr>
                <w:rFonts w:cs="Arial"/>
                <w:lang w:val="en-US" w:bidi="ar-SA"/>
              </w:rPr>
              <w:t>. (2025)</w:t>
            </w:r>
          </w:p>
        </w:tc>
      </w:tr>
      <w:tr w:rsidR="008E2284" w:rsidRPr="008E2284" w14:paraId="1CBAC9E7" w14:textId="77777777" w:rsidTr="00A9343B">
        <w:tc>
          <w:tcPr>
            <w:tcW w:w="2323" w:type="dxa"/>
            <w:vMerge/>
            <w:vAlign w:val="center"/>
            <w:hideMark/>
          </w:tcPr>
          <w:p w14:paraId="39982A6A"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1D9FF7E8"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1CF63921" w14:textId="77777777" w:rsidR="008E2284" w:rsidRPr="008E2284" w:rsidRDefault="008E2284" w:rsidP="008E2284">
            <w:pPr>
              <w:spacing w:line="276" w:lineRule="auto"/>
              <w:jc w:val="left"/>
              <w:rPr>
                <w:rFonts w:cs="Arial"/>
                <w:lang w:val="en-US" w:bidi="ar-SA"/>
              </w:rPr>
            </w:pPr>
            <w:r w:rsidRPr="008E2284">
              <w:rPr>
                <w:rFonts w:cs="Arial"/>
                <w:lang w:val="en-US" w:bidi="ar-SA"/>
              </w:rPr>
              <w:t>Green/social media influence on consumer behaviour</w:t>
            </w:r>
          </w:p>
        </w:tc>
        <w:tc>
          <w:tcPr>
            <w:tcW w:w="3900" w:type="dxa"/>
            <w:vAlign w:val="center"/>
            <w:hideMark/>
          </w:tcPr>
          <w:p w14:paraId="2CFA6328" w14:textId="77777777" w:rsidR="008E2284" w:rsidRPr="008E2284" w:rsidRDefault="008E2284" w:rsidP="008E2284">
            <w:pPr>
              <w:spacing w:line="276" w:lineRule="auto"/>
              <w:jc w:val="left"/>
              <w:rPr>
                <w:rFonts w:cs="Arial"/>
                <w:lang w:val="en-US" w:bidi="ar-SA"/>
              </w:rPr>
            </w:pPr>
            <w:r w:rsidRPr="008E2284">
              <w:rPr>
                <w:rFonts w:cs="Arial"/>
                <w:lang w:val="en-US" w:bidi="ar-SA"/>
              </w:rPr>
              <w:t>Fang (2024)</w:t>
            </w:r>
          </w:p>
        </w:tc>
      </w:tr>
      <w:tr w:rsidR="008E2284" w:rsidRPr="008E2284" w14:paraId="13037FA8" w14:textId="77777777" w:rsidTr="00A9343B">
        <w:tc>
          <w:tcPr>
            <w:tcW w:w="2323" w:type="dxa"/>
            <w:vMerge/>
            <w:vAlign w:val="center"/>
            <w:hideMark/>
          </w:tcPr>
          <w:p w14:paraId="44E06AA0"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70674F71" w14:textId="77777777" w:rsidR="008E2284" w:rsidRPr="008E2284" w:rsidRDefault="008E2284" w:rsidP="008E2284">
            <w:pPr>
              <w:spacing w:line="276" w:lineRule="auto"/>
              <w:jc w:val="left"/>
              <w:rPr>
                <w:rFonts w:cs="Arial"/>
                <w:lang w:val="en-US" w:bidi="ar-SA"/>
              </w:rPr>
            </w:pPr>
            <w:r w:rsidRPr="008E2284">
              <w:rPr>
                <w:rFonts w:cs="Arial"/>
                <w:lang w:val="en-US" w:bidi="ar-SA"/>
              </w:rPr>
              <w:t>Supply Chain Transparency &amp; Traceability</w:t>
            </w:r>
          </w:p>
        </w:tc>
        <w:tc>
          <w:tcPr>
            <w:tcW w:w="4923" w:type="dxa"/>
            <w:vAlign w:val="center"/>
            <w:hideMark/>
          </w:tcPr>
          <w:p w14:paraId="465FA1A7" w14:textId="77777777" w:rsidR="008E2284" w:rsidRPr="008E2284" w:rsidRDefault="008E2284" w:rsidP="008E2284">
            <w:pPr>
              <w:spacing w:line="276" w:lineRule="auto"/>
              <w:jc w:val="left"/>
              <w:rPr>
                <w:rFonts w:cs="Arial"/>
                <w:lang w:val="en-US" w:bidi="ar-SA"/>
              </w:rPr>
            </w:pPr>
            <w:r w:rsidRPr="008E2284">
              <w:rPr>
                <w:rFonts w:cs="Arial"/>
                <w:lang w:val="en-US" w:bidi="ar-SA"/>
              </w:rPr>
              <w:t xml:space="preserve">Mandatory disclosure &amp; </w:t>
            </w:r>
            <w:proofErr w:type="spellStart"/>
            <w:r w:rsidRPr="008E2284">
              <w:rPr>
                <w:rFonts w:cs="Arial"/>
                <w:lang w:val="en-US" w:bidi="ar-SA"/>
              </w:rPr>
              <w:t>standardised</w:t>
            </w:r>
            <w:proofErr w:type="spellEnd"/>
            <w:r w:rsidRPr="008E2284">
              <w:rPr>
                <w:rFonts w:cs="Arial"/>
                <w:lang w:val="en-US" w:bidi="ar-SA"/>
              </w:rPr>
              <w:t xml:space="preserve"> transparency</w:t>
            </w:r>
          </w:p>
        </w:tc>
        <w:tc>
          <w:tcPr>
            <w:tcW w:w="3900" w:type="dxa"/>
            <w:vAlign w:val="center"/>
            <w:hideMark/>
          </w:tcPr>
          <w:p w14:paraId="5DC96A65" w14:textId="77777777" w:rsidR="008E2284" w:rsidRPr="008E2284" w:rsidRDefault="008E2284" w:rsidP="008E2284">
            <w:pPr>
              <w:spacing w:line="276" w:lineRule="auto"/>
              <w:jc w:val="left"/>
              <w:rPr>
                <w:rFonts w:cs="Arial"/>
                <w:lang w:val="en-US" w:bidi="ar-SA"/>
              </w:rPr>
            </w:pPr>
            <w:r w:rsidRPr="008E2284">
              <w:rPr>
                <w:rFonts w:cs="Arial"/>
                <w:lang w:val="en-US" w:bidi="ar-SA"/>
              </w:rPr>
              <w:t>Redman (2025)</w:t>
            </w:r>
          </w:p>
        </w:tc>
      </w:tr>
      <w:tr w:rsidR="008E2284" w:rsidRPr="008E2284" w14:paraId="4EF1E482" w14:textId="77777777" w:rsidTr="00A9343B">
        <w:tc>
          <w:tcPr>
            <w:tcW w:w="2323" w:type="dxa"/>
            <w:vMerge/>
            <w:vAlign w:val="center"/>
            <w:hideMark/>
          </w:tcPr>
          <w:p w14:paraId="08451724"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5D958203"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4BA9A74C" w14:textId="77777777" w:rsidR="008E2284" w:rsidRPr="008E2284" w:rsidRDefault="008E2284" w:rsidP="008E2284">
            <w:pPr>
              <w:spacing w:line="276" w:lineRule="auto"/>
              <w:jc w:val="left"/>
              <w:rPr>
                <w:rFonts w:cs="Arial"/>
                <w:lang w:val="en-US" w:bidi="ar-SA"/>
              </w:rPr>
            </w:pPr>
            <w:r w:rsidRPr="008E2284">
              <w:rPr>
                <w:rFonts w:cs="Arial"/>
                <w:lang w:val="en-US" w:bidi="ar-SA"/>
              </w:rPr>
              <w:t>Traceability via IoT/blockchain, KPIs</w:t>
            </w:r>
          </w:p>
        </w:tc>
        <w:tc>
          <w:tcPr>
            <w:tcW w:w="3900" w:type="dxa"/>
            <w:vAlign w:val="center"/>
            <w:hideMark/>
          </w:tcPr>
          <w:p w14:paraId="4683F244" w14:textId="77777777" w:rsidR="008E2284" w:rsidRPr="008E2284" w:rsidRDefault="008E2284" w:rsidP="008E2284">
            <w:pPr>
              <w:spacing w:line="276" w:lineRule="auto"/>
              <w:jc w:val="left"/>
              <w:rPr>
                <w:rFonts w:cs="Arial"/>
                <w:lang w:val="en-US" w:bidi="ar-SA"/>
              </w:rPr>
            </w:pPr>
            <w:r w:rsidRPr="008E2284">
              <w:rPr>
                <w:rFonts w:cs="Arial"/>
                <w:lang w:val="en-US" w:bidi="ar-SA"/>
              </w:rPr>
              <w:t>Tolentino-Zondervan &amp; DiVito (2024)</w:t>
            </w:r>
          </w:p>
        </w:tc>
      </w:tr>
      <w:tr w:rsidR="008E2284" w:rsidRPr="008E2284" w14:paraId="1EF53F74" w14:textId="77777777" w:rsidTr="00A9343B">
        <w:tc>
          <w:tcPr>
            <w:tcW w:w="2323" w:type="dxa"/>
            <w:vMerge/>
            <w:vAlign w:val="center"/>
            <w:hideMark/>
          </w:tcPr>
          <w:p w14:paraId="30D825D8"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6F30A868"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38B98EEC" w14:textId="77777777" w:rsidR="008E2284" w:rsidRPr="008E2284" w:rsidRDefault="008E2284" w:rsidP="008E2284">
            <w:pPr>
              <w:spacing w:line="276" w:lineRule="auto"/>
              <w:jc w:val="left"/>
              <w:rPr>
                <w:rFonts w:cs="Arial"/>
                <w:lang w:val="en-US" w:bidi="ar-SA"/>
              </w:rPr>
            </w:pPr>
            <w:r w:rsidRPr="008E2284">
              <w:rPr>
                <w:rFonts w:cs="Arial"/>
                <w:lang w:val="en-US" w:bidi="ar-SA"/>
              </w:rPr>
              <w:t>Anti-greenwashing ESG transparency</w:t>
            </w:r>
          </w:p>
        </w:tc>
        <w:tc>
          <w:tcPr>
            <w:tcW w:w="3900" w:type="dxa"/>
            <w:vAlign w:val="center"/>
            <w:hideMark/>
          </w:tcPr>
          <w:p w14:paraId="41ACD85D" w14:textId="49F866EE" w:rsidR="008E2284" w:rsidRPr="008E2284" w:rsidRDefault="008E2284" w:rsidP="008E2284">
            <w:pPr>
              <w:spacing w:line="276" w:lineRule="auto"/>
              <w:jc w:val="left"/>
              <w:rPr>
                <w:rFonts w:cs="Arial"/>
                <w:lang w:val="en-US" w:bidi="ar-SA"/>
              </w:rPr>
            </w:pPr>
            <w:r w:rsidRPr="008E2284">
              <w:rPr>
                <w:rFonts w:cs="Arial"/>
                <w:lang w:val="en-US" w:bidi="ar-SA"/>
              </w:rPr>
              <w:t xml:space="preserve">Wu </w:t>
            </w:r>
            <w:r w:rsidR="001D1CA2" w:rsidRPr="001D1CA2">
              <w:rPr>
                <w:rFonts w:cs="Arial"/>
                <w:i/>
                <w:iCs/>
                <w:lang w:val="en-US" w:bidi="ar-SA"/>
              </w:rPr>
              <w:t>et al</w:t>
            </w:r>
            <w:r w:rsidRPr="008E2284">
              <w:rPr>
                <w:rFonts w:cs="Arial"/>
                <w:lang w:val="en-US" w:bidi="ar-SA"/>
              </w:rPr>
              <w:t>. (2022)</w:t>
            </w:r>
          </w:p>
        </w:tc>
      </w:tr>
      <w:tr w:rsidR="008E2284" w:rsidRPr="008E2284" w14:paraId="29C5A1D8" w14:textId="77777777" w:rsidTr="00A9343B">
        <w:tc>
          <w:tcPr>
            <w:tcW w:w="2323" w:type="dxa"/>
            <w:vMerge w:val="restart"/>
            <w:vAlign w:val="center"/>
            <w:hideMark/>
          </w:tcPr>
          <w:p w14:paraId="41900C8C" w14:textId="77777777" w:rsidR="008E2284" w:rsidRPr="008E2284" w:rsidRDefault="008E2284" w:rsidP="008E2284">
            <w:pPr>
              <w:spacing w:line="276" w:lineRule="auto"/>
              <w:jc w:val="left"/>
              <w:rPr>
                <w:rFonts w:cs="Arial"/>
                <w:lang w:val="en-US" w:bidi="ar-SA"/>
              </w:rPr>
            </w:pPr>
            <w:r w:rsidRPr="008E2284">
              <w:rPr>
                <w:rFonts w:cs="Arial"/>
                <w:b/>
                <w:bCs/>
                <w:lang w:val="en-US" w:bidi="ar-SA"/>
              </w:rPr>
              <w:t>Social Responsibility</w:t>
            </w:r>
          </w:p>
        </w:tc>
        <w:tc>
          <w:tcPr>
            <w:tcW w:w="2802" w:type="dxa"/>
            <w:vMerge w:val="restart"/>
            <w:vAlign w:val="center"/>
            <w:hideMark/>
          </w:tcPr>
          <w:p w14:paraId="4E3E34AB" w14:textId="77777777" w:rsidR="008E2284" w:rsidRPr="008E2284" w:rsidRDefault="008E2284" w:rsidP="008E2284">
            <w:pPr>
              <w:spacing w:line="276" w:lineRule="auto"/>
              <w:jc w:val="left"/>
              <w:rPr>
                <w:rFonts w:cs="Arial"/>
                <w:lang w:val="en-US" w:bidi="ar-SA"/>
              </w:rPr>
            </w:pPr>
            <w:r w:rsidRPr="008E2284">
              <w:rPr>
                <w:rFonts w:cs="Arial"/>
                <w:lang w:val="en-US" w:bidi="ar-SA"/>
              </w:rPr>
              <w:t>Ethical Labour Practices</w:t>
            </w:r>
          </w:p>
        </w:tc>
        <w:tc>
          <w:tcPr>
            <w:tcW w:w="4923" w:type="dxa"/>
            <w:vAlign w:val="center"/>
            <w:hideMark/>
          </w:tcPr>
          <w:p w14:paraId="43776DD8" w14:textId="77777777" w:rsidR="008E2284" w:rsidRPr="008E2284" w:rsidRDefault="008E2284" w:rsidP="008E2284">
            <w:pPr>
              <w:spacing w:line="276" w:lineRule="auto"/>
              <w:jc w:val="left"/>
              <w:rPr>
                <w:rFonts w:cs="Arial"/>
                <w:lang w:val="en-US" w:bidi="ar-SA"/>
              </w:rPr>
            </w:pPr>
            <w:r w:rsidRPr="008E2284">
              <w:rPr>
                <w:rFonts w:cs="Arial"/>
                <w:lang w:val="en-US" w:bidi="ar-SA"/>
              </w:rPr>
              <w:t>Consumer assurance: fair wages &amp; conditions</w:t>
            </w:r>
          </w:p>
        </w:tc>
        <w:tc>
          <w:tcPr>
            <w:tcW w:w="3900" w:type="dxa"/>
            <w:vAlign w:val="center"/>
            <w:hideMark/>
          </w:tcPr>
          <w:p w14:paraId="57BDDC9F" w14:textId="77777777" w:rsidR="008E2284" w:rsidRPr="008E2284" w:rsidRDefault="008E2284" w:rsidP="008E2284">
            <w:pPr>
              <w:spacing w:line="276" w:lineRule="auto"/>
              <w:jc w:val="left"/>
              <w:rPr>
                <w:rFonts w:cs="Arial"/>
                <w:lang w:val="en-US" w:bidi="ar-SA"/>
              </w:rPr>
            </w:pPr>
            <w:r w:rsidRPr="008E2284">
              <w:rPr>
                <w:rFonts w:cs="Arial"/>
                <w:lang w:val="en-US" w:bidi="ar-SA"/>
              </w:rPr>
              <w:t xml:space="preserve">Henninger, </w:t>
            </w:r>
            <w:proofErr w:type="spellStart"/>
            <w:r w:rsidRPr="008E2284">
              <w:rPr>
                <w:rFonts w:cs="Arial"/>
                <w:lang w:val="en-US" w:bidi="ar-SA"/>
              </w:rPr>
              <w:t>Alevizou</w:t>
            </w:r>
            <w:proofErr w:type="spellEnd"/>
            <w:r w:rsidRPr="008E2284">
              <w:rPr>
                <w:rFonts w:cs="Arial"/>
                <w:lang w:val="en-US" w:bidi="ar-SA"/>
              </w:rPr>
              <w:t xml:space="preserve"> &amp; Oates (2016)</w:t>
            </w:r>
          </w:p>
        </w:tc>
      </w:tr>
      <w:tr w:rsidR="008E2284" w:rsidRPr="008E2284" w14:paraId="42B51749" w14:textId="77777777" w:rsidTr="00A9343B">
        <w:tc>
          <w:tcPr>
            <w:tcW w:w="2323" w:type="dxa"/>
            <w:vMerge/>
            <w:vAlign w:val="center"/>
            <w:hideMark/>
          </w:tcPr>
          <w:p w14:paraId="1DDEAC65"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028858C4"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43C201EA" w14:textId="77777777" w:rsidR="008E2284" w:rsidRPr="008E2284" w:rsidRDefault="008E2284" w:rsidP="008E2284">
            <w:pPr>
              <w:spacing w:line="276" w:lineRule="auto"/>
              <w:jc w:val="left"/>
              <w:rPr>
                <w:rFonts w:cs="Arial"/>
                <w:lang w:val="en-US" w:bidi="ar-SA"/>
              </w:rPr>
            </w:pPr>
            <w:r w:rsidRPr="008E2284">
              <w:rPr>
                <w:rFonts w:cs="Arial"/>
                <w:lang w:val="en-US" w:bidi="ar-SA"/>
              </w:rPr>
              <w:t>Corporate social responsibility practices</w:t>
            </w:r>
          </w:p>
        </w:tc>
        <w:tc>
          <w:tcPr>
            <w:tcW w:w="3900" w:type="dxa"/>
            <w:vAlign w:val="center"/>
            <w:hideMark/>
          </w:tcPr>
          <w:p w14:paraId="04D03605" w14:textId="77777777" w:rsidR="008E2284" w:rsidRPr="008E2284" w:rsidRDefault="008E2284" w:rsidP="008E2284">
            <w:pPr>
              <w:spacing w:line="276" w:lineRule="auto"/>
              <w:jc w:val="left"/>
              <w:rPr>
                <w:rFonts w:cs="Arial"/>
                <w:lang w:val="en-US" w:bidi="ar-SA"/>
              </w:rPr>
            </w:pPr>
            <w:r w:rsidRPr="008E2284">
              <w:rPr>
                <w:rFonts w:cs="Arial"/>
                <w:lang w:val="en-US" w:bidi="ar-SA"/>
              </w:rPr>
              <w:t>Reza &amp; Du Plessis (2022)</w:t>
            </w:r>
          </w:p>
        </w:tc>
      </w:tr>
      <w:tr w:rsidR="008E2284" w:rsidRPr="001D1CA2" w14:paraId="039EF3F5" w14:textId="77777777" w:rsidTr="00A9343B">
        <w:tc>
          <w:tcPr>
            <w:tcW w:w="2323" w:type="dxa"/>
            <w:vMerge/>
            <w:vAlign w:val="center"/>
            <w:hideMark/>
          </w:tcPr>
          <w:p w14:paraId="384B3193"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37B99704" w14:textId="77777777" w:rsidR="008E2284" w:rsidRPr="008E2284" w:rsidRDefault="008E2284" w:rsidP="008E2284">
            <w:pPr>
              <w:spacing w:line="276" w:lineRule="auto"/>
              <w:jc w:val="left"/>
              <w:rPr>
                <w:rFonts w:cs="Arial"/>
                <w:lang w:val="en-US" w:bidi="ar-SA"/>
              </w:rPr>
            </w:pPr>
            <w:r w:rsidRPr="008E2284">
              <w:rPr>
                <w:rFonts w:cs="Arial"/>
                <w:lang w:val="en-US" w:bidi="ar-SA"/>
              </w:rPr>
              <w:t>Stakeholder Engagement &amp; Accountability</w:t>
            </w:r>
          </w:p>
        </w:tc>
        <w:tc>
          <w:tcPr>
            <w:tcW w:w="4923" w:type="dxa"/>
            <w:vAlign w:val="center"/>
            <w:hideMark/>
          </w:tcPr>
          <w:p w14:paraId="65E33A49" w14:textId="77777777" w:rsidR="008E2284" w:rsidRPr="008E2284" w:rsidRDefault="008E2284" w:rsidP="008E2284">
            <w:pPr>
              <w:spacing w:line="276" w:lineRule="auto"/>
              <w:jc w:val="left"/>
              <w:rPr>
                <w:rFonts w:cs="Arial"/>
                <w:lang w:val="en-US" w:bidi="ar-SA"/>
              </w:rPr>
            </w:pPr>
            <w:r w:rsidRPr="008E2284">
              <w:rPr>
                <w:rFonts w:cs="Arial"/>
                <w:lang w:val="en-US" w:bidi="ar-SA"/>
              </w:rPr>
              <w:t>ESG disclosure authenticity</w:t>
            </w:r>
          </w:p>
        </w:tc>
        <w:tc>
          <w:tcPr>
            <w:tcW w:w="3900" w:type="dxa"/>
            <w:vAlign w:val="center"/>
            <w:hideMark/>
          </w:tcPr>
          <w:p w14:paraId="593FE772" w14:textId="41A91A01" w:rsidR="008E2284" w:rsidRPr="008E2284" w:rsidRDefault="008E2284" w:rsidP="008E2284">
            <w:pPr>
              <w:spacing w:line="276" w:lineRule="auto"/>
              <w:jc w:val="left"/>
              <w:rPr>
                <w:rFonts w:cs="Arial"/>
                <w:lang w:val="nl-NL" w:bidi="ar-SA"/>
              </w:rPr>
            </w:pPr>
            <w:r w:rsidRPr="008E2284">
              <w:rPr>
                <w:rFonts w:cs="Arial"/>
                <w:lang w:val="nl-NL" w:bidi="ar-SA"/>
              </w:rPr>
              <w:t xml:space="preserve">de Magalhães Silva </w:t>
            </w:r>
            <w:r w:rsidR="001D1CA2" w:rsidRPr="001D1CA2">
              <w:rPr>
                <w:rFonts w:cs="Arial"/>
                <w:i/>
                <w:iCs/>
                <w:lang w:val="nl-NL" w:bidi="ar-SA"/>
              </w:rPr>
              <w:t>et al</w:t>
            </w:r>
            <w:r w:rsidRPr="008E2284">
              <w:rPr>
                <w:rFonts w:cs="Arial"/>
                <w:lang w:val="nl-NL" w:bidi="ar-SA"/>
              </w:rPr>
              <w:t>. (2025)</w:t>
            </w:r>
          </w:p>
        </w:tc>
      </w:tr>
      <w:tr w:rsidR="008E2284" w:rsidRPr="001D1CA2" w14:paraId="39E56417" w14:textId="77777777" w:rsidTr="00A9343B">
        <w:tc>
          <w:tcPr>
            <w:tcW w:w="2323" w:type="dxa"/>
            <w:vMerge/>
            <w:vAlign w:val="center"/>
            <w:hideMark/>
          </w:tcPr>
          <w:p w14:paraId="0401B4EE" w14:textId="77777777" w:rsidR="008E2284" w:rsidRPr="008E2284" w:rsidRDefault="008E2284" w:rsidP="008E2284">
            <w:pPr>
              <w:spacing w:line="276" w:lineRule="auto"/>
              <w:jc w:val="left"/>
              <w:rPr>
                <w:rFonts w:cs="Arial"/>
                <w:lang w:val="nl-NL" w:bidi="ar-SA"/>
              </w:rPr>
            </w:pPr>
          </w:p>
        </w:tc>
        <w:tc>
          <w:tcPr>
            <w:tcW w:w="2802" w:type="dxa"/>
            <w:vMerge/>
            <w:vAlign w:val="center"/>
            <w:hideMark/>
          </w:tcPr>
          <w:p w14:paraId="5086C768" w14:textId="77777777" w:rsidR="008E2284" w:rsidRPr="008E2284" w:rsidRDefault="008E2284" w:rsidP="008E2284">
            <w:pPr>
              <w:spacing w:line="276" w:lineRule="auto"/>
              <w:jc w:val="left"/>
              <w:rPr>
                <w:rFonts w:cs="Arial"/>
                <w:lang w:val="nl-NL" w:bidi="ar-SA"/>
              </w:rPr>
            </w:pPr>
          </w:p>
        </w:tc>
        <w:tc>
          <w:tcPr>
            <w:tcW w:w="4923" w:type="dxa"/>
            <w:vAlign w:val="center"/>
            <w:hideMark/>
          </w:tcPr>
          <w:p w14:paraId="5D9CBC6B" w14:textId="77777777" w:rsidR="008E2284" w:rsidRPr="008E2284" w:rsidRDefault="008E2284" w:rsidP="008E2284">
            <w:pPr>
              <w:spacing w:line="276" w:lineRule="auto"/>
              <w:jc w:val="left"/>
              <w:rPr>
                <w:rFonts w:cs="Arial"/>
                <w:lang w:val="en-US" w:bidi="ar-SA"/>
              </w:rPr>
            </w:pPr>
            <w:r w:rsidRPr="008E2284">
              <w:rPr>
                <w:rFonts w:cs="Arial"/>
                <w:lang w:val="en-US" w:bidi="ar-SA"/>
              </w:rPr>
              <w:t>Stakeholder engagement &amp; accountability</w:t>
            </w:r>
          </w:p>
        </w:tc>
        <w:tc>
          <w:tcPr>
            <w:tcW w:w="3900" w:type="dxa"/>
            <w:vAlign w:val="center"/>
            <w:hideMark/>
          </w:tcPr>
          <w:p w14:paraId="60F53454" w14:textId="2A9C715B" w:rsidR="008E2284" w:rsidRPr="008E2284" w:rsidRDefault="008E2284" w:rsidP="008E2284">
            <w:pPr>
              <w:spacing w:line="276" w:lineRule="auto"/>
              <w:jc w:val="left"/>
              <w:rPr>
                <w:rFonts w:cs="Arial"/>
                <w:lang w:val="nl-NL" w:bidi="ar-SA"/>
              </w:rPr>
            </w:pPr>
            <w:r w:rsidRPr="008E2284">
              <w:rPr>
                <w:rFonts w:cs="Arial"/>
                <w:lang w:val="nl-NL" w:bidi="ar-SA"/>
              </w:rPr>
              <w:t xml:space="preserve">de Magalhães Silva </w:t>
            </w:r>
            <w:r w:rsidR="001D1CA2" w:rsidRPr="001D1CA2">
              <w:rPr>
                <w:rFonts w:cs="Arial"/>
                <w:i/>
                <w:iCs/>
                <w:lang w:val="nl-NL" w:bidi="ar-SA"/>
              </w:rPr>
              <w:t>et al</w:t>
            </w:r>
            <w:r w:rsidRPr="008E2284">
              <w:rPr>
                <w:rFonts w:cs="Arial"/>
                <w:lang w:val="nl-NL" w:bidi="ar-SA"/>
              </w:rPr>
              <w:t>. (2025)</w:t>
            </w:r>
          </w:p>
        </w:tc>
      </w:tr>
      <w:tr w:rsidR="008E2284" w:rsidRPr="008E2284" w14:paraId="355AC39B" w14:textId="77777777" w:rsidTr="00A9343B">
        <w:tc>
          <w:tcPr>
            <w:tcW w:w="2323" w:type="dxa"/>
            <w:vMerge/>
            <w:vAlign w:val="center"/>
            <w:hideMark/>
          </w:tcPr>
          <w:p w14:paraId="303D9D93" w14:textId="77777777" w:rsidR="008E2284" w:rsidRPr="008E2284" w:rsidRDefault="008E2284" w:rsidP="008E2284">
            <w:pPr>
              <w:spacing w:line="276" w:lineRule="auto"/>
              <w:jc w:val="left"/>
              <w:rPr>
                <w:rFonts w:cs="Arial"/>
                <w:lang w:val="nl-NL" w:bidi="ar-SA"/>
              </w:rPr>
            </w:pPr>
          </w:p>
        </w:tc>
        <w:tc>
          <w:tcPr>
            <w:tcW w:w="2802" w:type="dxa"/>
            <w:vMerge/>
            <w:vAlign w:val="center"/>
            <w:hideMark/>
          </w:tcPr>
          <w:p w14:paraId="46D2D45D" w14:textId="77777777" w:rsidR="008E2284" w:rsidRPr="008E2284" w:rsidRDefault="008E2284" w:rsidP="008E2284">
            <w:pPr>
              <w:spacing w:line="276" w:lineRule="auto"/>
              <w:jc w:val="left"/>
              <w:rPr>
                <w:rFonts w:cs="Arial"/>
                <w:lang w:val="nl-NL" w:bidi="ar-SA"/>
              </w:rPr>
            </w:pPr>
          </w:p>
        </w:tc>
        <w:tc>
          <w:tcPr>
            <w:tcW w:w="4923" w:type="dxa"/>
            <w:vAlign w:val="center"/>
            <w:hideMark/>
          </w:tcPr>
          <w:p w14:paraId="2129C3F6" w14:textId="77777777" w:rsidR="008E2284" w:rsidRPr="008E2284" w:rsidRDefault="008E2284" w:rsidP="008E2284">
            <w:pPr>
              <w:spacing w:line="276" w:lineRule="auto"/>
              <w:jc w:val="left"/>
              <w:rPr>
                <w:rFonts w:cs="Arial"/>
                <w:lang w:val="en-US" w:bidi="ar-SA"/>
              </w:rPr>
            </w:pPr>
            <w:r w:rsidRPr="008E2284">
              <w:rPr>
                <w:rFonts w:cs="Arial"/>
                <w:lang w:val="en-US" w:bidi="ar-SA"/>
              </w:rPr>
              <w:t>NGO pressure and selective transparency</w:t>
            </w:r>
          </w:p>
        </w:tc>
        <w:tc>
          <w:tcPr>
            <w:tcW w:w="3900" w:type="dxa"/>
            <w:vAlign w:val="center"/>
            <w:hideMark/>
          </w:tcPr>
          <w:p w14:paraId="5A4F757B" w14:textId="21DA77DF" w:rsidR="008E2284" w:rsidRPr="008E2284" w:rsidRDefault="008E2284" w:rsidP="008E2284">
            <w:pPr>
              <w:spacing w:line="276" w:lineRule="auto"/>
              <w:jc w:val="left"/>
              <w:rPr>
                <w:rFonts w:cs="Arial"/>
                <w:lang w:val="en-US" w:bidi="ar-SA"/>
              </w:rPr>
            </w:pPr>
            <w:proofErr w:type="spellStart"/>
            <w:r w:rsidRPr="008E2284">
              <w:rPr>
                <w:rFonts w:cs="Arial"/>
                <w:lang w:val="en-US" w:bidi="ar-SA"/>
              </w:rPr>
              <w:t>Crapa</w:t>
            </w:r>
            <w:proofErr w:type="spellEnd"/>
            <w:r w:rsidRPr="008E2284">
              <w:rPr>
                <w:rFonts w:cs="Arial"/>
                <w:lang w:val="en-US" w:bidi="ar-SA"/>
              </w:rPr>
              <w:t xml:space="preserve"> </w:t>
            </w:r>
            <w:r w:rsidR="001D1CA2" w:rsidRPr="001D1CA2">
              <w:rPr>
                <w:rFonts w:cs="Arial"/>
                <w:i/>
                <w:iCs/>
                <w:lang w:val="en-US" w:bidi="ar-SA"/>
              </w:rPr>
              <w:t>et al</w:t>
            </w:r>
            <w:r w:rsidRPr="008E2284">
              <w:rPr>
                <w:rFonts w:cs="Arial"/>
                <w:lang w:val="en-US" w:bidi="ar-SA"/>
              </w:rPr>
              <w:t>. (2025)</w:t>
            </w:r>
          </w:p>
        </w:tc>
      </w:tr>
      <w:tr w:rsidR="008E2284" w:rsidRPr="008E2284" w14:paraId="72791C3B" w14:textId="77777777" w:rsidTr="00A9343B">
        <w:tc>
          <w:tcPr>
            <w:tcW w:w="2323" w:type="dxa"/>
            <w:vMerge/>
            <w:vAlign w:val="center"/>
            <w:hideMark/>
          </w:tcPr>
          <w:p w14:paraId="760ED591"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322407B9"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2B491B5A" w14:textId="77777777" w:rsidR="008E2284" w:rsidRPr="008E2284" w:rsidRDefault="008E2284" w:rsidP="008E2284">
            <w:pPr>
              <w:spacing w:line="276" w:lineRule="auto"/>
              <w:jc w:val="left"/>
              <w:rPr>
                <w:rFonts w:cs="Arial"/>
                <w:lang w:val="en-US" w:bidi="ar-SA"/>
              </w:rPr>
            </w:pPr>
            <w:r w:rsidRPr="008E2284">
              <w:rPr>
                <w:rFonts w:cs="Arial"/>
                <w:lang w:val="en-US" w:bidi="ar-SA"/>
              </w:rPr>
              <w:t>Accountability mechanisms for supply chains</w:t>
            </w:r>
          </w:p>
        </w:tc>
        <w:tc>
          <w:tcPr>
            <w:tcW w:w="3900" w:type="dxa"/>
            <w:vAlign w:val="center"/>
            <w:hideMark/>
          </w:tcPr>
          <w:p w14:paraId="2EAB08B0" w14:textId="77777777" w:rsidR="008E2284" w:rsidRPr="008E2284" w:rsidRDefault="008E2284" w:rsidP="008E2284">
            <w:pPr>
              <w:spacing w:line="276" w:lineRule="auto"/>
              <w:jc w:val="left"/>
              <w:rPr>
                <w:rFonts w:cs="Arial"/>
                <w:lang w:val="en-US" w:bidi="ar-SA"/>
              </w:rPr>
            </w:pPr>
            <w:r w:rsidRPr="008E2284">
              <w:rPr>
                <w:rFonts w:cs="Arial"/>
                <w:lang w:val="en-US" w:bidi="ar-SA"/>
              </w:rPr>
              <w:t>Redman (2025)</w:t>
            </w:r>
          </w:p>
        </w:tc>
      </w:tr>
      <w:tr w:rsidR="008E2284" w:rsidRPr="008E2284" w14:paraId="5B01073B" w14:textId="77777777" w:rsidTr="00A9343B">
        <w:tc>
          <w:tcPr>
            <w:tcW w:w="2323" w:type="dxa"/>
            <w:vMerge w:val="restart"/>
            <w:vAlign w:val="center"/>
            <w:hideMark/>
          </w:tcPr>
          <w:p w14:paraId="2B3CEA89" w14:textId="77777777" w:rsidR="008E2284" w:rsidRPr="008E2284" w:rsidRDefault="008E2284" w:rsidP="008E2284">
            <w:pPr>
              <w:spacing w:line="276" w:lineRule="auto"/>
              <w:jc w:val="left"/>
              <w:rPr>
                <w:rFonts w:cs="Arial"/>
                <w:lang w:val="en-US" w:bidi="ar-SA"/>
              </w:rPr>
            </w:pPr>
            <w:r w:rsidRPr="008E2284">
              <w:rPr>
                <w:rFonts w:cs="Arial"/>
                <w:b/>
                <w:bCs/>
                <w:lang w:val="en-US" w:bidi="ar-SA"/>
              </w:rPr>
              <w:t>Avoidance of Greenwashing</w:t>
            </w:r>
          </w:p>
        </w:tc>
        <w:tc>
          <w:tcPr>
            <w:tcW w:w="2802" w:type="dxa"/>
            <w:vMerge w:val="restart"/>
            <w:vAlign w:val="center"/>
            <w:hideMark/>
          </w:tcPr>
          <w:p w14:paraId="5AFE6136" w14:textId="77777777" w:rsidR="008E2284" w:rsidRPr="008E2284" w:rsidRDefault="008E2284" w:rsidP="008E2284">
            <w:pPr>
              <w:spacing w:line="276" w:lineRule="auto"/>
              <w:jc w:val="left"/>
              <w:rPr>
                <w:rFonts w:cs="Arial"/>
                <w:lang w:val="en-US" w:bidi="ar-SA"/>
              </w:rPr>
            </w:pPr>
            <w:r w:rsidRPr="008E2284">
              <w:rPr>
                <w:rFonts w:cs="Arial"/>
                <w:lang w:val="en-US" w:bidi="ar-SA"/>
              </w:rPr>
              <w:t>Authenticity &amp; Verification</w:t>
            </w:r>
          </w:p>
        </w:tc>
        <w:tc>
          <w:tcPr>
            <w:tcW w:w="4923" w:type="dxa"/>
            <w:vAlign w:val="center"/>
            <w:hideMark/>
          </w:tcPr>
          <w:p w14:paraId="6BE42D7B" w14:textId="77777777" w:rsidR="008E2284" w:rsidRPr="008E2284" w:rsidRDefault="008E2284" w:rsidP="008E2284">
            <w:pPr>
              <w:spacing w:line="276" w:lineRule="auto"/>
              <w:jc w:val="left"/>
              <w:rPr>
                <w:rFonts w:cs="Arial"/>
                <w:lang w:val="en-US" w:bidi="ar-SA"/>
              </w:rPr>
            </w:pPr>
            <w:r w:rsidRPr="008E2284">
              <w:rPr>
                <w:rFonts w:cs="Arial"/>
                <w:lang w:val="en-US" w:bidi="ar-SA"/>
              </w:rPr>
              <w:t xml:space="preserve">Overcoming greenwashing </w:t>
            </w:r>
            <w:proofErr w:type="spellStart"/>
            <w:r w:rsidRPr="008E2284">
              <w:rPr>
                <w:rFonts w:cs="Arial"/>
                <w:lang w:val="en-US" w:bidi="ar-SA"/>
              </w:rPr>
              <w:t>scepticism</w:t>
            </w:r>
            <w:proofErr w:type="spellEnd"/>
          </w:p>
        </w:tc>
        <w:tc>
          <w:tcPr>
            <w:tcW w:w="3900" w:type="dxa"/>
            <w:vAlign w:val="center"/>
            <w:hideMark/>
          </w:tcPr>
          <w:p w14:paraId="2BB1B1DC" w14:textId="77777777" w:rsidR="008E2284" w:rsidRPr="008E2284" w:rsidRDefault="008E2284" w:rsidP="008E2284">
            <w:pPr>
              <w:spacing w:line="276" w:lineRule="auto"/>
              <w:jc w:val="left"/>
              <w:rPr>
                <w:rFonts w:cs="Arial"/>
                <w:lang w:val="en-US" w:bidi="ar-SA"/>
              </w:rPr>
            </w:pPr>
            <w:r w:rsidRPr="008E2284">
              <w:rPr>
                <w:rFonts w:cs="Arial"/>
                <w:lang w:val="en-US" w:bidi="ar-SA"/>
              </w:rPr>
              <w:t>Dalecki (2023)</w:t>
            </w:r>
          </w:p>
        </w:tc>
      </w:tr>
      <w:tr w:rsidR="008E2284" w:rsidRPr="008E2284" w14:paraId="0E1892FD" w14:textId="77777777" w:rsidTr="00A9343B">
        <w:tc>
          <w:tcPr>
            <w:tcW w:w="2323" w:type="dxa"/>
            <w:vMerge/>
            <w:vAlign w:val="center"/>
            <w:hideMark/>
          </w:tcPr>
          <w:p w14:paraId="517F591F"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1D8AC950"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7059CDBD" w14:textId="77777777" w:rsidR="008E2284" w:rsidRPr="008E2284" w:rsidRDefault="008E2284" w:rsidP="008E2284">
            <w:pPr>
              <w:spacing w:line="276" w:lineRule="auto"/>
              <w:jc w:val="left"/>
              <w:rPr>
                <w:rFonts w:cs="Arial"/>
                <w:lang w:val="en-US" w:bidi="ar-SA"/>
              </w:rPr>
            </w:pPr>
            <w:r w:rsidRPr="008E2284">
              <w:rPr>
                <w:rFonts w:cs="Arial"/>
                <w:lang w:val="en-US" w:bidi="ar-SA"/>
              </w:rPr>
              <w:t>Proof vs. mere certification</w:t>
            </w:r>
          </w:p>
        </w:tc>
        <w:tc>
          <w:tcPr>
            <w:tcW w:w="3900" w:type="dxa"/>
            <w:vAlign w:val="center"/>
            <w:hideMark/>
          </w:tcPr>
          <w:p w14:paraId="4036B708" w14:textId="77777777" w:rsidR="008E2284" w:rsidRPr="008E2284" w:rsidRDefault="008E2284" w:rsidP="008E2284">
            <w:pPr>
              <w:spacing w:line="276" w:lineRule="auto"/>
              <w:jc w:val="left"/>
              <w:rPr>
                <w:rFonts w:cs="Arial"/>
                <w:lang w:val="en-US" w:bidi="ar-SA"/>
              </w:rPr>
            </w:pPr>
            <w:r w:rsidRPr="008E2284">
              <w:rPr>
                <w:rFonts w:cs="Arial"/>
                <w:lang w:val="en-US" w:bidi="ar-SA"/>
              </w:rPr>
              <w:t>Dalecki (2023)</w:t>
            </w:r>
          </w:p>
        </w:tc>
      </w:tr>
      <w:tr w:rsidR="008E2284" w:rsidRPr="008E2284" w14:paraId="1C7F18CC" w14:textId="77777777" w:rsidTr="00A9343B">
        <w:tc>
          <w:tcPr>
            <w:tcW w:w="2323" w:type="dxa"/>
            <w:vMerge/>
            <w:vAlign w:val="center"/>
            <w:hideMark/>
          </w:tcPr>
          <w:p w14:paraId="5FCBA8A8"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23123071"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0BD918C0" w14:textId="77777777" w:rsidR="008E2284" w:rsidRPr="008E2284" w:rsidRDefault="008E2284" w:rsidP="008E2284">
            <w:pPr>
              <w:spacing w:line="276" w:lineRule="auto"/>
              <w:jc w:val="left"/>
              <w:rPr>
                <w:rFonts w:cs="Arial"/>
                <w:lang w:val="en-US" w:bidi="ar-SA"/>
              </w:rPr>
            </w:pPr>
            <w:r w:rsidRPr="008E2284">
              <w:rPr>
                <w:rFonts w:cs="Arial"/>
                <w:lang w:val="en-US" w:bidi="ar-SA"/>
              </w:rPr>
              <w:t>Authentic communication, cross-channel consistency</w:t>
            </w:r>
          </w:p>
        </w:tc>
        <w:tc>
          <w:tcPr>
            <w:tcW w:w="3900" w:type="dxa"/>
            <w:vAlign w:val="center"/>
            <w:hideMark/>
          </w:tcPr>
          <w:p w14:paraId="22972BFC" w14:textId="7E09BBCC" w:rsidR="008E2284" w:rsidRPr="008E2284" w:rsidRDefault="008E2284" w:rsidP="008E2284">
            <w:pPr>
              <w:spacing w:line="276" w:lineRule="auto"/>
              <w:jc w:val="left"/>
              <w:rPr>
                <w:rFonts w:cs="Arial"/>
                <w:lang w:val="en-US" w:bidi="ar-SA"/>
              </w:rPr>
            </w:pPr>
            <w:r w:rsidRPr="008E2284">
              <w:rPr>
                <w:rFonts w:cs="Arial"/>
                <w:lang w:val="en-US" w:bidi="ar-SA"/>
              </w:rPr>
              <w:t xml:space="preserve">Garcia-Ortega </w:t>
            </w:r>
            <w:r w:rsidR="001D1CA2" w:rsidRPr="001D1CA2">
              <w:rPr>
                <w:rFonts w:cs="Arial"/>
                <w:i/>
                <w:iCs/>
                <w:lang w:val="en-US" w:bidi="ar-SA"/>
              </w:rPr>
              <w:t>et al</w:t>
            </w:r>
            <w:r w:rsidRPr="008E2284">
              <w:rPr>
                <w:rFonts w:cs="Arial"/>
                <w:lang w:val="en-US" w:bidi="ar-SA"/>
              </w:rPr>
              <w:t>. (2025)</w:t>
            </w:r>
          </w:p>
        </w:tc>
      </w:tr>
      <w:tr w:rsidR="008E2284" w:rsidRPr="008E2284" w14:paraId="080B6C1A" w14:textId="77777777" w:rsidTr="00A9343B">
        <w:tc>
          <w:tcPr>
            <w:tcW w:w="2323" w:type="dxa"/>
            <w:vMerge/>
            <w:vAlign w:val="center"/>
            <w:hideMark/>
          </w:tcPr>
          <w:p w14:paraId="52E71111"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0586938B"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16D6F139" w14:textId="77777777" w:rsidR="008E2284" w:rsidRPr="008E2284" w:rsidRDefault="008E2284" w:rsidP="008E2284">
            <w:pPr>
              <w:spacing w:line="276" w:lineRule="auto"/>
              <w:jc w:val="left"/>
              <w:rPr>
                <w:rFonts w:cs="Arial"/>
                <w:lang w:val="en-US" w:bidi="ar-SA"/>
              </w:rPr>
            </w:pPr>
            <w:r w:rsidRPr="008E2284">
              <w:rPr>
                <w:rFonts w:cs="Arial"/>
                <w:lang w:val="en-US" w:bidi="ar-SA"/>
              </w:rPr>
              <w:t>Avoiding paltering/misleading claims</w:t>
            </w:r>
          </w:p>
        </w:tc>
        <w:tc>
          <w:tcPr>
            <w:tcW w:w="3900" w:type="dxa"/>
            <w:vAlign w:val="center"/>
            <w:hideMark/>
          </w:tcPr>
          <w:p w14:paraId="4EF0D440" w14:textId="77777777" w:rsidR="008E2284" w:rsidRPr="008E2284" w:rsidRDefault="008E2284" w:rsidP="008E2284">
            <w:pPr>
              <w:spacing w:line="276" w:lineRule="auto"/>
              <w:jc w:val="left"/>
              <w:rPr>
                <w:rFonts w:cs="Arial"/>
                <w:lang w:val="en-US" w:bidi="ar-SA"/>
              </w:rPr>
            </w:pPr>
            <w:r w:rsidRPr="008E2284">
              <w:rPr>
                <w:rFonts w:cs="Arial"/>
                <w:lang w:val="en-US" w:bidi="ar-SA"/>
              </w:rPr>
              <w:t>Goswami &amp; Jaiswal (2023)</w:t>
            </w:r>
          </w:p>
        </w:tc>
      </w:tr>
      <w:tr w:rsidR="008E2284" w:rsidRPr="008E2284" w14:paraId="36A6E29A" w14:textId="77777777" w:rsidTr="00A9343B">
        <w:tc>
          <w:tcPr>
            <w:tcW w:w="2323" w:type="dxa"/>
            <w:vMerge/>
            <w:vAlign w:val="center"/>
            <w:hideMark/>
          </w:tcPr>
          <w:p w14:paraId="393ED48C"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3A6CD40E" w14:textId="77777777" w:rsidR="008E2284" w:rsidRPr="008E2284" w:rsidRDefault="008E2284" w:rsidP="008E2284">
            <w:pPr>
              <w:spacing w:line="276" w:lineRule="auto"/>
              <w:jc w:val="left"/>
              <w:rPr>
                <w:rFonts w:cs="Arial"/>
                <w:lang w:val="en-US" w:bidi="ar-SA"/>
              </w:rPr>
            </w:pPr>
            <w:r w:rsidRPr="008E2284">
              <w:rPr>
                <w:rFonts w:cs="Arial"/>
                <w:lang w:val="en-US" w:bidi="ar-SA"/>
              </w:rPr>
              <w:t>Transparency &amp; Reporting</w:t>
            </w:r>
          </w:p>
        </w:tc>
        <w:tc>
          <w:tcPr>
            <w:tcW w:w="4923" w:type="dxa"/>
            <w:vAlign w:val="center"/>
            <w:hideMark/>
          </w:tcPr>
          <w:p w14:paraId="7C0FE4B7" w14:textId="77777777" w:rsidR="008E2284" w:rsidRPr="008E2284" w:rsidRDefault="008E2284" w:rsidP="008E2284">
            <w:pPr>
              <w:spacing w:line="276" w:lineRule="auto"/>
              <w:jc w:val="left"/>
              <w:rPr>
                <w:rFonts w:cs="Arial"/>
                <w:lang w:val="en-US" w:bidi="ar-SA"/>
              </w:rPr>
            </w:pPr>
            <w:r w:rsidRPr="008E2284">
              <w:rPr>
                <w:rFonts w:cs="Arial"/>
                <w:lang w:val="en-US" w:bidi="ar-SA"/>
              </w:rPr>
              <w:t>Selective sustainability disclosure &amp; greenhushing</w:t>
            </w:r>
          </w:p>
        </w:tc>
        <w:tc>
          <w:tcPr>
            <w:tcW w:w="3900" w:type="dxa"/>
            <w:vAlign w:val="center"/>
            <w:hideMark/>
          </w:tcPr>
          <w:p w14:paraId="08C63333" w14:textId="77777777" w:rsidR="008E2284" w:rsidRPr="008E2284" w:rsidRDefault="008E2284" w:rsidP="008E2284">
            <w:pPr>
              <w:spacing w:line="276" w:lineRule="auto"/>
              <w:jc w:val="left"/>
              <w:rPr>
                <w:rFonts w:cs="Arial"/>
                <w:lang w:val="en-US" w:bidi="ar-SA"/>
              </w:rPr>
            </w:pPr>
            <w:proofErr w:type="spellStart"/>
            <w:r w:rsidRPr="008E2284">
              <w:rPr>
                <w:rFonts w:cs="Arial"/>
                <w:lang w:val="en-US" w:bidi="ar-SA"/>
              </w:rPr>
              <w:t>Jestratijevic</w:t>
            </w:r>
            <w:proofErr w:type="spellEnd"/>
            <w:r w:rsidRPr="008E2284">
              <w:rPr>
                <w:rFonts w:cs="Arial"/>
                <w:lang w:val="en-US" w:bidi="ar-SA"/>
              </w:rPr>
              <w:t xml:space="preserve">, </w:t>
            </w:r>
            <w:proofErr w:type="spellStart"/>
            <w:r w:rsidRPr="008E2284">
              <w:rPr>
                <w:rFonts w:cs="Arial"/>
                <w:lang w:val="en-US" w:bidi="ar-SA"/>
              </w:rPr>
              <w:t>Uanhoro</w:t>
            </w:r>
            <w:proofErr w:type="spellEnd"/>
            <w:r w:rsidRPr="008E2284">
              <w:rPr>
                <w:rFonts w:cs="Arial"/>
                <w:lang w:val="en-US" w:bidi="ar-SA"/>
              </w:rPr>
              <w:t xml:space="preserve"> &amp; Rana (2024); </w:t>
            </w:r>
            <w:proofErr w:type="spellStart"/>
            <w:r w:rsidRPr="008E2284">
              <w:rPr>
                <w:rFonts w:cs="Arial"/>
                <w:lang w:val="en-US" w:bidi="ar-SA"/>
              </w:rPr>
              <w:t>Schwoy</w:t>
            </w:r>
            <w:proofErr w:type="spellEnd"/>
            <w:r w:rsidRPr="008E2284">
              <w:rPr>
                <w:rFonts w:cs="Arial"/>
                <w:lang w:val="en-US" w:bidi="ar-SA"/>
              </w:rPr>
              <w:t xml:space="preserve">, </w:t>
            </w:r>
            <w:proofErr w:type="spellStart"/>
            <w:r w:rsidRPr="008E2284">
              <w:rPr>
                <w:rFonts w:cs="Arial"/>
                <w:lang w:val="en-US" w:bidi="ar-SA"/>
              </w:rPr>
              <w:t>Dutzi</w:t>
            </w:r>
            <w:proofErr w:type="spellEnd"/>
            <w:r w:rsidRPr="008E2284">
              <w:rPr>
                <w:rFonts w:cs="Arial"/>
                <w:lang w:val="en-US" w:bidi="ar-SA"/>
              </w:rPr>
              <w:t xml:space="preserve"> &amp; Messing (2025)</w:t>
            </w:r>
          </w:p>
        </w:tc>
      </w:tr>
      <w:tr w:rsidR="008E2284" w:rsidRPr="008E2284" w14:paraId="6877B070" w14:textId="77777777" w:rsidTr="00A9343B">
        <w:tc>
          <w:tcPr>
            <w:tcW w:w="2323" w:type="dxa"/>
            <w:vMerge/>
            <w:vAlign w:val="center"/>
            <w:hideMark/>
          </w:tcPr>
          <w:p w14:paraId="3B4FF4D4"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05703C6A"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3DCA685A" w14:textId="77777777" w:rsidR="008E2284" w:rsidRPr="008E2284" w:rsidRDefault="008E2284" w:rsidP="008E2284">
            <w:pPr>
              <w:spacing w:line="276" w:lineRule="auto"/>
              <w:jc w:val="left"/>
              <w:rPr>
                <w:rFonts w:cs="Arial"/>
                <w:lang w:val="en-US" w:bidi="ar-SA"/>
              </w:rPr>
            </w:pPr>
            <w:r w:rsidRPr="008E2284">
              <w:rPr>
                <w:rFonts w:cs="Arial"/>
                <w:lang w:val="en-US" w:bidi="ar-SA"/>
              </w:rPr>
              <w:t>Regulatory gaps and oversight proposals</w:t>
            </w:r>
          </w:p>
        </w:tc>
        <w:tc>
          <w:tcPr>
            <w:tcW w:w="3900" w:type="dxa"/>
            <w:vAlign w:val="center"/>
            <w:hideMark/>
          </w:tcPr>
          <w:p w14:paraId="1912273B" w14:textId="77777777" w:rsidR="008E2284" w:rsidRPr="008E2284" w:rsidRDefault="008E2284" w:rsidP="008E2284">
            <w:pPr>
              <w:spacing w:line="276" w:lineRule="auto"/>
              <w:jc w:val="left"/>
              <w:rPr>
                <w:rFonts w:cs="Arial"/>
                <w:lang w:val="en-US" w:bidi="ar-SA"/>
              </w:rPr>
            </w:pPr>
            <w:r w:rsidRPr="008E2284">
              <w:rPr>
                <w:rFonts w:cs="Arial"/>
                <w:lang w:val="en-US" w:bidi="ar-SA"/>
              </w:rPr>
              <w:t>Dobos &amp; Éltető (2023)</w:t>
            </w:r>
          </w:p>
        </w:tc>
      </w:tr>
      <w:tr w:rsidR="008E2284" w:rsidRPr="00E53F87" w14:paraId="25FB658B" w14:textId="77777777" w:rsidTr="00A9343B">
        <w:tc>
          <w:tcPr>
            <w:tcW w:w="2323" w:type="dxa"/>
            <w:vMerge/>
            <w:vAlign w:val="center"/>
            <w:hideMark/>
          </w:tcPr>
          <w:p w14:paraId="52B8A6C2"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10E233CD"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50E9F259" w14:textId="77777777" w:rsidR="008E2284" w:rsidRPr="008E2284" w:rsidRDefault="008E2284" w:rsidP="008E2284">
            <w:pPr>
              <w:spacing w:line="276" w:lineRule="auto"/>
              <w:jc w:val="left"/>
              <w:rPr>
                <w:rFonts w:cs="Arial"/>
                <w:lang w:val="en-US" w:bidi="ar-SA"/>
              </w:rPr>
            </w:pPr>
            <w:r w:rsidRPr="008E2284">
              <w:rPr>
                <w:rFonts w:cs="Arial"/>
                <w:lang w:val="en-US" w:bidi="ar-SA"/>
              </w:rPr>
              <w:t>Certification, auditing, verified reporting</w:t>
            </w:r>
          </w:p>
        </w:tc>
        <w:tc>
          <w:tcPr>
            <w:tcW w:w="3900" w:type="dxa"/>
            <w:vAlign w:val="center"/>
            <w:hideMark/>
          </w:tcPr>
          <w:p w14:paraId="3A0326FC" w14:textId="1C655F23" w:rsidR="008E2284" w:rsidRPr="008E2284" w:rsidRDefault="008E2284" w:rsidP="008E2284">
            <w:pPr>
              <w:spacing w:line="276" w:lineRule="auto"/>
              <w:jc w:val="left"/>
              <w:rPr>
                <w:rFonts w:cs="Arial"/>
                <w:lang w:val="nl-NL" w:bidi="ar-SA"/>
              </w:rPr>
            </w:pPr>
            <w:r w:rsidRPr="008E2284">
              <w:rPr>
                <w:rFonts w:cs="Arial"/>
                <w:lang w:val="nl-NL" w:bidi="ar-SA"/>
              </w:rPr>
              <w:t xml:space="preserve">Do </w:t>
            </w:r>
            <w:r w:rsidR="001D1CA2" w:rsidRPr="001D1CA2">
              <w:rPr>
                <w:rFonts w:cs="Arial"/>
                <w:i/>
                <w:iCs/>
                <w:lang w:val="nl-NL" w:bidi="ar-SA"/>
              </w:rPr>
              <w:t>et al</w:t>
            </w:r>
            <w:r w:rsidRPr="008E2284">
              <w:rPr>
                <w:rFonts w:cs="Arial"/>
                <w:lang w:val="nl-NL" w:bidi="ar-SA"/>
              </w:rPr>
              <w:t>. (2025); Li, Cavender &amp; Lee (2025)</w:t>
            </w:r>
          </w:p>
        </w:tc>
      </w:tr>
      <w:tr w:rsidR="008E2284" w:rsidRPr="001D1CA2" w14:paraId="3B1CB0F5" w14:textId="77777777" w:rsidTr="00A9343B">
        <w:tc>
          <w:tcPr>
            <w:tcW w:w="2323" w:type="dxa"/>
            <w:vMerge/>
            <w:vAlign w:val="center"/>
            <w:hideMark/>
          </w:tcPr>
          <w:p w14:paraId="387350BA" w14:textId="77777777" w:rsidR="008E2284" w:rsidRPr="008E2284" w:rsidRDefault="008E2284" w:rsidP="008E2284">
            <w:pPr>
              <w:spacing w:line="276" w:lineRule="auto"/>
              <w:jc w:val="left"/>
              <w:rPr>
                <w:rFonts w:cs="Arial"/>
                <w:lang w:val="nl-NL" w:bidi="ar-SA"/>
              </w:rPr>
            </w:pPr>
          </w:p>
        </w:tc>
        <w:tc>
          <w:tcPr>
            <w:tcW w:w="2802" w:type="dxa"/>
            <w:vMerge w:val="restart"/>
            <w:vAlign w:val="center"/>
            <w:hideMark/>
          </w:tcPr>
          <w:p w14:paraId="3AECB122" w14:textId="77777777" w:rsidR="008E2284" w:rsidRPr="008E2284" w:rsidRDefault="008E2284" w:rsidP="008E2284">
            <w:pPr>
              <w:spacing w:line="276" w:lineRule="auto"/>
              <w:jc w:val="left"/>
              <w:rPr>
                <w:rFonts w:cs="Arial"/>
                <w:lang w:val="en-US" w:bidi="ar-SA"/>
              </w:rPr>
            </w:pPr>
            <w:r w:rsidRPr="008E2284">
              <w:rPr>
                <w:rFonts w:cs="Arial"/>
                <w:lang w:val="en-US" w:bidi="ar-SA"/>
              </w:rPr>
              <w:t>Consumer Perception &amp; Behaviour</w:t>
            </w:r>
          </w:p>
        </w:tc>
        <w:tc>
          <w:tcPr>
            <w:tcW w:w="4923" w:type="dxa"/>
            <w:vAlign w:val="center"/>
            <w:hideMark/>
          </w:tcPr>
          <w:p w14:paraId="25543CB8" w14:textId="77777777" w:rsidR="008E2284" w:rsidRPr="008E2284" w:rsidRDefault="008E2284" w:rsidP="008E2284">
            <w:pPr>
              <w:spacing w:line="276" w:lineRule="auto"/>
              <w:jc w:val="left"/>
              <w:rPr>
                <w:rFonts w:cs="Arial"/>
                <w:lang w:val="en-US" w:bidi="ar-SA"/>
              </w:rPr>
            </w:pPr>
            <w:proofErr w:type="spellStart"/>
            <w:r w:rsidRPr="008E2284">
              <w:rPr>
                <w:rFonts w:cs="Arial"/>
                <w:lang w:val="en-US" w:bidi="ar-SA"/>
              </w:rPr>
              <w:t>Scepticism</w:t>
            </w:r>
            <w:proofErr w:type="spellEnd"/>
            <w:r w:rsidRPr="008E2284">
              <w:rPr>
                <w:rFonts w:cs="Arial"/>
                <w:lang w:val="en-US" w:bidi="ar-SA"/>
              </w:rPr>
              <w:t>, perceived hypocrisy</w:t>
            </w:r>
          </w:p>
        </w:tc>
        <w:tc>
          <w:tcPr>
            <w:tcW w:w="3900" w:type="dxa"/>
            <w:vAlign w:val="center"/>
            <w:hideMark/>
          </w:tcPr>
          <w:p w14:paraId="2BAA30BE" w14:textId="6231C023" w:rsidR="008E2284" w:rsidRPr="008E2284" w:rsidRDefault="008E2284" w:rsidP="008E2284">
            <w:pPr>
              <w:spacing w:line="276" w:lineRule="auto"/>
              <w:jc w:val="left"/>
              <w:rPr>
                <w:rFonts w:cs="Arial"/>
                <w:lang w:val="nl-NL" w:bidi="ar-SA"/>
              </w:rPr>
            </w:pPr>
            <w:r w:rsidRPr="008E2284">
              <w:rPr>
                <w:rFonts w:cs="Arial"/>
                <w:lang w:val="nl-NL" w:bidi="ar-SA"/>
              </w:rPr>
              <w:t xml:space="preserve">Díaz-Bustamante-Ventisca </w:t>
            </w:r>
            <w:r w:rsidR="001D1CA2" w:rsidRPr="001D1CA2">
              <w:rPr>
                <w:rFonts w:cs="Arial"/>
                <w:i/>
                <w:iCs/>
                <w:lang w:val="nl-NL" w:bidi="ar-SA"/>
              </w:rPr>
              <w:t>et al</w:t>
            </w:r>
            <w:r w:rsidRPr="008E2284">
              <w:rPr>
                <w:rFonts w:cs="Arial"/>
                <w:lang w:val="nl-NL" w:bidi="ar-SA"/>
              </w:rPr>
              <w:t xml:space="preserve">. (2025); Lu </w:t>
            </w:r>
            <w:r w:rsidR="001D1CA2" w:rsidRPr="001D1CA2">
              <w:rPr>
                <w:rFonts w:cs="Arial"/>
                <w:i/>
                <w:iCs/>
                <w:lang w:val="nl-NL" w:bidi="ar-SA"/>
              </w:rPr>
              <w:t>et al</w:t>
            </w:r>
            <w:r w:rsidRPr="008E2284">
              <w:rPr>
                <w:rFonts w:cs="Arial"/>
                <w:lang w:val="nl-NL" w:bidi="ar-SA"/>
              </w:rPr>
              <w:t>. (2022)</w:t>
            </w:r>
          </w:p>
        </w:tc>
      </w:tr>
      <w:tr w:rsidR="008E2284" w:rsidRPr="00E53F87" w14:paraId="2DD430F7" w14:textId="77777777" w:rsidTr="00A9343B">
        <w:tc>
          <w:tcPr>
            <w:tcW w:w="2323" w:type="dxa"/>
            <w:vMerge/>
            <w:vAlign w:val="center"/>
            <w:hideMark/>
          </w:tcPr>
          <w:p w14:paraId="56BD68DD" w14:textId="77777777" w:rsidR="008E2284" w:rsidRPr="008E2284" w:rsidRDefault="008E2284" w:rsidP="008E2284">
            <w:pPr>
              <w:spacing w:line="276" w:lineRule="auto"/>
              <w:jc w:val="left"/>
              <w:rPr>
                <w:rFonts w:cs="Arial"/>
                <w:lang w:val="nl-NL" w:bidi="ar-SA"/>
              </w:rPr>
            </w:pPr>
          </w:p>
        </w:tc>
        <w:tc>
          <w:tcPr>
            <w:tcW w:w="2802" w:type="dxa"/>
            <w:vMerge/>
            <w:vAlign w:val="center"/>
            <w:hideMark/>
          </w:tcPr>
          <w:p w14:paraId="3B6CD987" w14:textId="77777777" w:rsidR="008E2284" w:rsidRPr="008E2284" w:rsidRDefault="008E2284" w:rsidP="008E2284">
            <w:pPr>
              <w:spacing w:line="276" w:lineRule="auto"/>
              <w:jc w:val="left"/>
              <w:rPr>
                <w:rFonts w:cs="Arial"/>
                <w:lang w:val="nl-NL" w:bidi="ar-SA"/>
              </w:rPr>
            </w:pPr>
          </w:p>
        </w:tc>
        <w:tc>
          <w:tcPr>
            <w:tcW w:w="4923" w:type="dxa"/>
            <w:vAlign w:val="center"/>
            <w:hideMark/>
          </w:tcPr>
          <w:p w14:paraId="59E1D174" w14:textId="77777777" w:rsidR="008E2284" w:rsidRPr="008E2284" w:rsidRDefault="008E2284" w:rsidP="008E2284">
            <w:pPr>
              <w:spacing w:line="276" w:lineRule="auto"/>
              <w:jc w:val="left"/>
              <w:rPr>
                <w:rFonts w:cs="Arial"/>
                <w:lang w:val="en-US" w:bidi="ar-SA"/>
              </w:rPr>
            </w:pPr>
            <w:r w:rsidRPr="008E2284">
              <w:rPr>
                <w:rFonts w:cs="Arial"/>
                <w:lang w:val="en-US" w:bidi="ar-SA"/>
              </w:rPr>
              <w:t>Reduced purchase intention due to greenwashing</w:t>
            </w:r>
          </w:p>
        </w:tc>
        <w:tc>
          <w:tcPr>
            <w:tcW w:w="3900" w:type="dxa"/>
            <w:vAlign w:val="center"/>
            <w:hideMark/>
          </w:tcPr>
          <w:p w14:paraId="472D3EEF" w14:textId="77777777" w:rsidR="008E2284" w:rsidRPr="008E2284" w:rsidRDefault="008E2284" w:rsidP="008E2284">
            <w:pPr>
              <w:spacing w:line="276" w:lineRule="auto"/>
              <w:jc w:val="left"/>
              <w:rPr>
                <w:rFonts w:cs="Arial"/>
                <w:lang w:val="nl-NL" w:bidi="ar-SA"/>
              </w:rPr>
            </w:pPr>
            <w:r w:rsidRPr="008E2284">
              <w:rPr>
                <w:rFonts w:cs="Arial"/>
                <w:lang w:val="nl-NL" w:bidi="ar-SA"/>
              </w:rPr>
              <w:t>Brugman, van Huijstee &amp; Droog (2024); Roozen, Raedts &amp; Henderix (2025)</w:t>
            </w:r>
          </w:p>
        </w:tc>
      </w:tr>
      <w:tr w:rsidR="008E2284" w:rsidRPr="008E2284" w14:paraId="7DAEE603" w14:textId="77777777" w:rsidTr="00A9343B">
        <w:tc>
          <w:tcPr>
            <w:tcW w:w="2323" w:type="dxa"/>
            <w:vMerge/>
            <w:vAlign w:val="center"/>
            <w:hideMark/>
          </w:tcPr>
          <w:p w14:paraId="40673AEA" w14:textId="77777777" w:rsidR="008E2284" w:rsidRPr="008E2284" w:rsidRDefault="008E2284" w:rsidP="008E2284">
            <w:pPr>
              <w:spacing w:line="276" w:lineRule="auto"/>
              <w:jc w:val="left"/>
              <w:rPr>
                <w:rFonts w:cs="Arial"/>
                <w:lang w:val="nl-NL" w:bidi="ar-SA"/>
              </w:rPr>
            </w:pPr>
          </w:p>
        </w:tc>
        <w:tc>
          <w:tcPr>
            <w:tcW w:w="2802" w:type="dxa"/>
            <w:vMerge/>
            <w:vAlign w:val="center"/>
            <w:hideMark/>
          </w:tcPr>
          <w:p w14:paraId="534BEBEA" w14:textId="77777777" w:rsidR="008E2284" w:rsidRPr="008E2284" w:rsidRDefault="008E2284" w:rsidP="008E2284">
            <w:pPr>
              <w:spacing w:line="276" w:lineRule="auto"/>
              <w:jc w:val="left"/>
              <w:rPr>
                <w:rFonts w:cs="Arial"/>
                <w:lang w:val="nl-NL" w:bidi="ar-SA"/>
              </w:rPr>
            </w:pPr>
          </w:p>
        </w:tc>
        <w:tc>
          <w:tcPr>
            <w:tcW w:w="4923" w:type="dxa"/>
            <w:vAlign w:val="center"/>
            <w:hideMark/>
          </w:tcPr>
          <w:p w14:paraId="22A63FBC" w14:textId="77777777" w:rsidR="008E2284" w:rsidRPr="008E2284" w:rsidRDefault="008E2284" w:rsidP="008E2284">
            <w:pPr>
              <w:spacing w:line="276" w:lineRule="auto"/>
              <w:jc w:val="left"/>
              <w:rPr>
                <w:rFonts w:cs="Arial"/>
                <w:lang w:val="en-US" w:bidi="ar-SA"/>
              </w:rPr>
            </w:pPr>
            <w:r w:rsidRPr="008E2284">
              <w:rPr>
                <w:rFonts w:cs="Arial"/>
                <w:lang w:val="en-US" w:bidi="ar-SA"/>
              </w:rPr>
              <w:t>Influence of social media, influencers, advertising</w:t>
            </w:r>
          </w:p>
        </w:tc>
        <w:tc>
          <w:tcPr>
            <w:tcW w:w="3900" w:type="dxa"/>
            <w:vAlign w:val="center"/>
            <w:hideMark/>
          </w:tcPr>
          <w:p w14:paraId="5EE7CCF6" w14:textId="77777777" w:rsidR="008E2284" w:rsidRPr="008E2284" w:rsidRDefault="008E2284" w:rsidP="008E2284">
            <w:pPr>
              <w:spacing w:line="276" w:lineRule="auto"/>
              <w:jc w:val="left"/>
              <w:rPr>
                <w:rFonts w:cs="Arial"/>
                <w:lang w:val="en-US" w:bidi="ar-SA"/>
              </w:rPr>
            </w:pPr>
            <w:r w:rsidRPr="008E2284">
              <w:rPr>
                <w:rFonts w:cs="Arial"/>
                <w:lang w:val="en-US" w:bidi="ar-SA"/>
              </w:rPr>
              <w:t>Fang (2024); Sailer, Wilfing &amp; Straus (2022)</w:t>
            </w:r>
          </w:p>
        </w:tc>
      </w:tr>
      <w:tr w:rsidR="008E2284" w:rsidRPr="008E2284" w14:paraId="1DE652CB" w14:textId="77777777" w:rsidTr="00A9343B">
        <w:tc>
          <w:tcPr>
            <w:tcW w:w="2323" w:type="dxa"/>
            <w:vMerge/>
            <w:vAlign w:val="center"/>
            <w:hideMark/>
          </w:tcPr>
          <w:p w14:paraId="39BAE977"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529B551E" w14:textId="77777777" w:rsidR="008E2284" w:rsidRPr="008E2284" w:rsidRDefault="008E2284" w:rsidP="008E2284">
            <w:pPr>
              <w:spacing w:line="276" w:lineRule="auto"/>
              <w:jc w:val="left"/>
              <w:rPr>
                <w:rFonts w:cs="Arial"/>
                <w:lang w:val="en-US" w:bidi="ar-SA"/>
              </w:rPr>
            </w:pPr>
            <w:r w:rsidRPr="008E2284">
              <w:rPr>
                <w:rFonts w:cs="Arial"/>
                <w:lang w:val="en-US" w:bidi="ar-SA"/>
              </w:rPr>
              <w:t>Policy &amp; Governance</w:t>
            </w:r>
          </w:p>
        </w:tc>
        <w:tc>
          <w:tcPr>
            <w:tcW w:w="4923" w:type="dxa"/>
            <w:vAlign w:val="center"/>
            <w:hideMark/>
          </w:tcPr>
          <w:p w14:paraId="2C1D4667" w14:textId="77777777" w:rsidR="008E2284" w:rsidRPr="008E2284" w:rsidRDefault="008E2284" w:rsidP="008E2284">
            <w:pPr>
              <w:spacing w:line="276" w:lineRule="auto"/>
              <w:jc w:val="left"/>
              <w:rPr>
                <w:rFonts w:cs="Arial"/>
                <w:lang w:val="en-US" w:bidi="ar-SA"/>
              </w:rPr>
            </w:pPr>
            <w:r w:rsidRPr="008E2284">
              <w:rPr>
                <w:rFonts w:cs="Arial"/>
                <w:lang w:val="en-US" w:bidi="ar-SA"/>
              </w:rPr>
              <w:t>Policy enforcement to curb greenwashing</w:t>
            </w:r>
          </w:p>
        </w:tc>
        <w:tc>
          <w:tcPr>
            <w:tcW w:w="3900" w:type="dxa"/>
            <w:vAlign w:val="center"/>
            <w:hideMark/>
          </w:tcPr>
          <w:p w14:paraId="7A22A379" w14:textId="77777777" w:rsidR="008E2284" w:rsidRPr="008E2284" w:rsidRDefault="008E2284" w:rsidP="008E2284">
            <w:pPr>
              <w:spacing w:line="276" w:lineRule="auto"/>
              <w:jc w:val="left"/>
              <w:rPr>
                <w:rFonts w:cs="Arial"/>
                <w:lang w:val="en-US" w:bidi="ar-SA"/>
              </w:rPr>
            </w:pPr>
            <w:proofErr w:type="spellStart"/>
            <w:r w:rsidRPr="008E2284">
              <w:rPr>
                <w:rFonts w:cs="Arial"/>
                <w:lang w:val="en-US" w:bidi="ar-SA"/>
              </w:rPr>
              <w:t>Jestratijevic</w:t>
            </w:r>
            <w:proofErr w:type="spellEnd"/>
            <w:r w:rsidRPr="008E2284">
              <w:rPr>
                <w:rFonts w:cs="Arial"/>
                <w:lang w:val="en-US" w:bidi="ar-SA"/>
              </w:rPr>
              <w:t xml:space="preserve">, </w:t>
            </w:r>
            <w:proofErr w:type="spellStart"/>
            <w:r w:rsidRPr="008E2284">
              <w:rPr>
                <w:rFonts w:cs="Arial"/>
                <w:lang w:val="en-US" w:bidi="ar-SA"/>
              </w:rPr>
              <w:t>Uanhoro</w:t>
            </w:r>
            <w:proofErr w:type="spellEnd"/>
            <w:r w:rsidRPr="008E2284">
              <w:rPr>
                <w:rFonts w:cs="Arial"/>
                <w:lang w:val="en-US" w:bidi="ar-SA"/>
              </w:rPr>
              <w:t xml:space="preserve"> &amp; Rana (2024); Burnstine &amp; Ghattas (2025)</w:t>
            </w:r>
          </w:p>
        </w:tc>
      </w:tr>
      <w:tr w:rsidR="008E2284" w:rsidRPr="008E2284" w14:paraId="3B4213A7" w14:textId="77777777" w:rsidTr="00A9343B">
        <w:tc>
          <w:tcPr>
            <w:tcW w:w="2323" w:type="dxa"/>
            <w:vMerge/>
            <w:vAlign w:val="center"/>
            <w:hideMark/>
          </w:tcPr>
          <w:p w14:paraId="2802F6B6"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14BF6A1A"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0E5633F3" w14:textId="77777777" w:rsidR="008E2284" w:rsidRPr="008E2284" w:rsidRDefault="008E2284" w:rsidP="008E2284">
            <w:pPr>
              <w:spacing w:line="276" w:lineRule="auto"/>
              <w:jc w:val="left"/>
              <w:rPr>
                <w:rFonts w:cs="Arial"/>
                <w:lang w:val="en-US" w:bidi="ar-SA"/>
              </w:rPr>
            </w:pPr>
            <w:r w:rsidRPr="008E2284">
              <w:rPr>
                <w:rFonts w:cs="Arial"/>
                <w:lang w:val="en-US" w:bidi="ar-SA"/>
              </w:rPr>
              <w:t>Governance &amp; labelling mechanisms</w:t>
            </w:r>
          </w:p>
        </w:tc>
        <w:tc>
          <w:tcPr>
            <w:tcW w:w="3900" w:type="dxa"/>
            <w:vAlign w:val="center"/>
            <w:hideMark/>
          </w:tcPr>
          <w:p w14:paraId="1C13B637" w14:textId="77777777" w:rsidR="008E2284" w:rsidRPr="008E2284" w:rsidRDefault="008E2284" w:rsidP="008E2284">
            <w:pPr>
              <w:spacing w:line="276" w:lineRule="auto"/>
              <w:jc w:val="left"/>
              <w:rPr>
                <w:rFonts w:cs="Arial"/>
                <w:lang w:val="en-US" w:bidi="ar-SA"/>
              </w:rPr>
            </w:pPr>
            <w:r w:rsidRPr="008E2284">
              <w:rPr>
                <w:rFonts w:cs="Arial"/>
                <w:lang w:val="en-US" w:bidi="ar-SA"/>
              </w:rPr>
              <w:t>Pozzo (2023)</w:t>
            </w:r>
          </w:p>
        </w:tc>
      </w:tr>
      <w:tr w:rsidR="008E2284" w:rsidRPr="001D1CA2" w14:paraId="38093CF9" w14:textId="77777777" w:rsidTr="00A9343B">
        <w:tc>
          <w:tcPr>
            <w:tcW w:w="2323" w:type="dxa"/>
            <w:vMerge w:val="restart"/>
            <w:vAlign w:val="center"/>
            <w:hideMark/>
          </w:tcPr>
          <w:p w14:paraId="70F8C5EE" w14:textId="77777777" w:rsidR="008E2284" w:rsidRPr="008E2284" w:rsidRDefault="008E2284" w:rsidP="008E2284">
            <w:pPr>
              <w:spacing w:line="276" w:lineRule="auto"/>
              <w:jc w:val="left"/>
              <w:rPr>
                <w:rFonts w:cs="Arial"/>
                <w:lang w:val="en-US" w:bidi="ar-SA"/>
              </w:rPr>
            </w:pPr>
            <w:r w:rsidRPr="008E2284">
              <w:rPr>
                <w:rFonts w:cs="Arial"/>
                <w:b/>
                <w:bCs/>
                <w:lang w:val="en-US" w:bidi="ar-SA"/>
              </w:rPr>
              <w:t>Consumer-Facing Impacts</w:t>
            </w:r>
          </w:p>
        </w:tc>
        <w:tc>
          <w:tcPr>
            <w:tcW w:w="2802" w:type="dxa"/>
            <w:vMerge w:val="restart"/>
            <w:vAlign w:val="center"/>
            <w:hideMark/>
          </w:tcPr>
          <w:p w14:paraId="12CE3A9E" w14:textId="77777777" w:rsidR="008E2284" w:rsidRPr="008E2284" w:rsidRDefault="008E2284" w:rsidP="008E2284">
            <w:pPr>
              <w:spacing w:line="276" w:lineRule="auto"/>
              <w:jc w:val="left"/>
              <w:rPr>
                <w:rFonts w:cs="Arial"/>
                <w:lang w:val="en-US" w:bidi="ar-SA"/>
              </w:rPr>
            </w:pPr>
            <w:r w:rsidRPr="008E2284">
              <w:rPr>
                <w:rFonts w:cs="Arial"/>
                <w:lang w:val="en-US" w:bidi="ar-SA"/>
              </w:rPr>
              <w:t>Trust &amp; Brand Perception</w:t>
            </w:r>
          </w:p>
        </w:tc>
        <w:tc>
          <w:tcPr>
            <w:tcW w:w="4923" w:type="dxa"/>
            <w:vAlign w:val="center"/>
            <w:hideMark/>
          </w:tcPr>
          <w:p w14:paraId="0CAB7C52" w14:textId="77777777" w:rsidR="008E2284" w:rsidRPr="008E2284" w:rsidRDefault="008E2284" w:rsidP="008E2284">
            <w:pPr>
              <w:spacing w:line="276" w:lineRule="auto"/>
              <w:jc w:val="left"/>
              <w:rPr>
                <w:rFonts w:cs="Arial"/>
                <w:lang w:val="en-US" w:bidi="ar-SA"/>
              </w:rPr>
            </w:pPr>
            <w:r w:rsidRPr="008E2284">
              <w:rPr>
                <w:rFonts w:cs="Arial"/>
                <w:lang w:val="en-US" w:bidi="ar-SA"/>
              </w:rPr>
              <w:t>Consumer trust affected by greenwashing</w:t>
            </w:r>
          </w:p>
        </w:tc>
        <w:tc>
          <w:tcPr>
            <w:tcW w:w="3900" w:type="dxa"/>
            <w:vAlign w:val="center"/>
            <w:hideMark/>
          </w:tcPr>
          <w:p w14:paraId="29CCFCC1" w14:textId="35F1BBCA" w:rsidR="008E2284" w:rsidRPr="008E2284" w:rsidRDefault="008E2284" w:rsidP="008E2284">
            <w:pPr>
              <w:spacing w:line="276" w:lineRule="auto"/>
              <w:jc w:val="left"/>
              <w:rPr>
                <w:rFonts w:cs="Arial"/>
                <w:lang w:val="de-DE" w:bidi="ar-SA"/>
              </w:rPr>
            </w:pPr>
            <w:r w:rsidRPr="008E2284">
              <w:rPr>
                <w:rFonts w:cs="Arial"/>
                <w:lang w:val="de-DE" w:bidi="ar-SA"/>
              </w:rPr>
              <w:t xml:space="preserve">Marko &amp; Kusá (2023); Policarpo </w:t>
            </w:r>
            <w:r w:rsidR="001D1CA2" w:rsidRPr="001D1CA2">
              <w:rPr>
                <w:rFonts w:cs="Arial"/>
                <w:i/>
                <w:iCs/>
                <w:lang w:val="de-DE" w:bidi="ar-SA"/>
              </w:rPr>
              <w:t>et al</w:t>
            </w:r>
            <w:r w:rsidRPr="008E2284">
              <w:rPr>
                <w:rFonts w:cs="Arial"/>
                <w:lang w:val="de-DE" w:bidi="ar-SA"/>
              </w:rPr>
              <w:t>. (2023)</w:t>
            </w:r>
          </w:p>
        </w:tc>
      </w:tr>
      <w:tr w:rsidR="008E2284" w:rsidRPr="008E2284" w14:paraId="0E2AED19" w14:textId="77777777" w:rsidTr="00A9343B">
        <w:tc>
          <w:tcPr>
            <w:tcW w:w="2323" w:type="dxa"/>
            <w:vMerge/>
            <w:vAlign w:val="center"/>
            <w:hideMark/>
          </w:tcPr>
          <w:p w14:paraId="5574F386" w14:textId="77777777" w:rsidR="008E2284" w:rsidRPr="008E2284" w:rsidRDefault="008E2284" w:rsidP="008E2284">
            <w:pPr>
              <w:spacing w:line="276" w:lineRule="auto"/>
              <w:jc w:val="left"/>
              <w:rPr>
                <w:rFonts w:cs="Arial"/>
                <w:lang w:val="de-DE" w:bidi="ar-SA"/>
              </w:rPr>
            </w:pPr>
          </w:p>
        </w:tc>
        <w:tc>
          <w:tcPr>
            <w:tcW w:w="2802" w:type="dxa"/>
            <w:vMerge/>
            <w:vAlign w:val="center"/>
            <w:hideMark/>
          </w:tcPr>
          <w:p w14:paraId="02AF3812" w14:textId="77777777" w:rsidR="008E2284" w:rsidRPr="008E2284" w:rsidRDefault="008E2284" w:rsidP="008E2284">
            <w:pPr>
              <w:spacing w:line="276" w:lineRule="auto"/>
              <w:jc w:val="left"/>
              <w:rPr>
                <w:rFonts w:cs="Arial"/>
                <w:lang w:val="de-DE" w:bidi="ar-SA"/>
              </w:rPr>
            </w:pPr>
          </w:p>
        </w:tc>
        <w:tc>
          <w:tcPr>
            <w:tcW w:w="4923" w:type="dxa"/>
            <w:vAlign w:val="center"/>
            <w:hideMark/>
          </w:tcPr>
          <w:p w14:paraId="1706BC98" w14:textId="77777777" w:rsidR="008E2284" w:rsidRPr="008E2284" w:rsidRDefault="008E2284" w:rsidP="008E2284">
            <w:pPr>
              <w:spacing w:line="276" w:lineRule="auto"/>
              <w:jc w:val="left"/>
              <w:rPr>
                <w:rFonts w:cs="Arial"/>
                <w:lang w:val="en-US" w:bidi="ar-SA"/>
              </w:rPr>
            </w:pPr>
            <w:r w:rsidRPr="008E2284">
              <w:rPr>
                <w:rFonts w:cs="Arial"/>
                <w:lang w:val="en-US" w:bidi="ar-SA"/>
              </w:rPr>
              <w:t>Brand trust vs. ignorance of greenwashing</w:t>
            </w:r>
          </w:p>
        </w:tc>
        <w:tc>
          <w:tcPr>
            <w:tcW w:w="3900" w:type="dxa"/>
            <w:vAlign w:val="center"/>
            <w:hideMark/>
          </w:tcPr>
          <w:p w14:paraId="787DD395" w14:textId="77777777" w:rsidR="008E2284" w:rsidRPr="008E2284" w:rsidRDefault="008E2284" w:rsidP="008E2284">
            <w:pPr>
              <w:spacing w:line="276" w:lineRule="auto"/>
              <w:jc w:val="left"/>
              <w:rPr>
                <w:rFonts w:cs="Arial"/>
                <w:lang w:val="en-US" w:bidi="ar-SA"/>
              </w:rPr>
            </w:pPr>
            <w:r w:rsidRPr="008E2284">
              <w:rPr>
                <w:rFonts w:cs="Arial"/>
                <w:lang w:val="en-US" w:bidi="ar-SA"/>
              </w:rPr>
              <w:t>Lovrić &amp; Čagalj (2025)</w:t>
            </w:r>
          </w:p>
        </w:tc>
      </w:tr>
      <w:tr w:rsidR="008E2284" w:rsidRPr="008E2284" w14:paraId="3F3A3DD7" w14:textId="77777777" w:rsidTr="00A9343B">
        <w:tc>
          <w:tcPr>
            <w:tcW w:w="2323" w:type="dxa"/>
            <w:vMerge/>
            <w:vAlign w:val="center"/>
            <w:hideMark/>
          </w:tcPr>
          <w:p w14:paraId="1FD69633"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064CEC43" w14:textId="77777777" w:rsidR="008E2284" w:rsidRPr="008E2284" w:rsidRDefault="008E2284" w:rsidP="008E2284">
            <w:pPr>
              <w:spacing w:line="276" w:lineRule="auto"/>
              <w:jc w:val="left"/>
              <w:rPr>
                <w:rFonts w:cs="Arial"/>
                <w:lang w:val="en-US" w:bidi="ar-SA"/>
              </w:rPr>
            </w:pPr>
            <w:r w:rsidRPr="008E2284">
              <w:rPr>
                <w:rFonts w:cs="Arial"/>
                <w:lang w:val="en-US" w:bidi="ar-SA"/>
              </w:rPr>
              <w:t>Purchase Intentions &amp; Behaviour</w:t>
            </w:r>
          </w:p>
        </w:tc>
        <w:tc>
          <w:tcPr>
            <w:tcW w:w="4923" w:type="dxa"/>
            <w:vAlign w:val="center"/>
            <w:hideMark/>
          </w:tcPr>
          <w:p w14:paraId="50106FA0" w14:textId="77777777" w:rsidR="008E2284" w:rsidRPr="008E2284" w:rsidRDefault="008E2284" w:rsidP="008E2284">
            <w:pPr>
              <w:spacing w:line="276" w:lineRule="auto"/>
              <w:jc w:val="left"/>
              <w:rPr>
                <w:rFonts w:cs="Arial"/>
                <w:lang w:val="en-US" w:bidi="ar-SA"/>
              </w:rPr>
            </w:pPr>
            <w:proofErr w:type="spellStart"/>
            <w:r w:rsidRPr="008E2284">
              <w:rPr>
                <w:rFonts w:cs="Arial"/>
                <w:lang w:val="en-US" w:bidi="ar-SA"/>
              </w:rPr>
              <w:t>Scepticism</w:t>
            </w:r>
            <w:proofErr w:type="spellEnd"/>
            <w:r w:rsidRPr="008E2284">
              <w:rPr>
                <w:rFonts w:cs="Arial"/>
                <w:lang w:val="en-US" w:bidi="ar-SA"/>
              </w:rPr>
              <w:t xml:space="preserve"> vs. purchase intention paradox</w:t>
            </w:r>
          </w:p>
        </w:tc>
        <w:tc>
          <w:tcPr>
            <w:tcW w:w="3900" w:type="dxa"/>
            <w:vAlign w:val="center"/>
            <w:hideMark/>
          </w:tcPr>
          <w:p w14:paraId="21972A30" w14:textId="77777777" w:rsidR="008E2284" w:rsidRPr="008E2284" w:rsidRDefault="008E2284" w:rsidP="008E2284">
            <w:pPr>
              <w:spacing w:line="276" w:lineRule="auto"/>
              <w:jc w:val="left"/>
              <w:rPr>
                <w:rFonts w:cs="Arial"/>
                <w:lang w:val="en-US" w:bidi="ar-SA"/>
              </w:rPr>
            </w:pPr>
            <w:r w:rsidRPr="008E2284">
              <w:rPr>
                <w:rFonts w:cs="Arial"/>
                <w:lang w:val="en-US" w:bidi="ar-SA"/>
              </w:rPr>
              <w:t>Haque &amp; Lang (2025)</w:t>
            </w:r>
          </w:p>
        </w:tc>
      </w:tr>
      <w:tr w:rsidR="008E2284" w:rsidRPr="008E2284" w14:paraId="020DCD16" w14:textId="77777777" w:rsidTr="00A9343B">
        <w:tc>
          <w:tcPr>
            <w:tcW w:w="2323" w:type="dxa"/>
            <w:vMerge/>
            <w:vAlign w:val="center"/>
            <w:hideMark/>
          </w:tcPr>
          <w:p w14:paraId="3863491B"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53F86F24"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7CCCAC37" w14:textId="77777777" w:rsidR="008E2284" w:rsidRPr="008E2284" w:rsidRDefault="008E2284" w:rsidP="008E2284">
            <w:pPr>
              <w:spacing w:line="276" w:lineRule="auto"/>
              <w:jc w:val="left"/>
              <w:rPr>
                <w:rFonts w:cs="Arial"/>
                <w:lang w:val="en-US" w:bidi="ar-SA"/>
              </w:rPr>
            </w:pPr>
            <w:r w:rsidRPr="008E2284">
              <w:rPr>
                <w:rFonts w:cs="Arial"/>
                <w:lang w:val="en-US" w:bidi="ar-SA"/>
              </w:rPr>
              <w:t>Intention–behaviour gap</w:t>
            </w:r>
          </w:p>
        </w:tc>
        <w:tc>
          <w:tcPr>
            <w:tcW w:w="3900" w:type="dxa"/>
            <w:vAlign w:val="center"/>
            <w:hideMark/>
          </w:tcPr>
          <w:p w14:paraId="52F7A8A6" w14:textId="77777777" w:rsidR="008E2284" w:rsidRPr="008E2284" w:rsidRDefault="008E2284" w:rsidP="008E2284">
            <w:pPr>
              <w:spacing w:line="276" w:lineRule="auto"/>
              <w:jc w:val="left"/>
              <w:rPr>
                <w:rFonts w:cs="Arial"/>
                <w:lang w:val="en-US" w:bidi="ar-SA"/>
              </w:rPr>
            </w:pPr>
            <w:r w:rsidRPr="008E2284">
              <w:rPr>
                <w:rFonts w:cs="Arial"/>
                <w:lang w:val="en-US" w:bidi="ar-SA"/>
              </w:rPr>
              <w:t>Rausch &amp; Kopplin (2021)</w:t>
            </w:r>
          </w:p>
        </w:tc>
      </w:tr>
      <w:tr w:rsidR="008E2284" w:rsidRPr="008E2284" w14:paraId="41950208" w14:textId="77777777" w:rsidTr="00A9343B">
        <w:tc>
          <w:tcPr>
            <w:tcW w:w="2323" w:type="dxa"/>
            <w:vMerge/>
            <w:vAlign w:val="center"/>
            <w:hideMark/>
          </w:tcPr>
          <w:p w14:paraId="6681843B" w14:textId="77777777" w:rsidR="008E2284" w:rsidRPr="008E2284" w:rsidRDefault="008E2284" w:rsidP="008E2284">
            <w:pPr>
              <w:spacing w:line="276" w:lineRule="auto"/>
              <w:jc w:val="left"/>
              <w:rPr>
                <w:rFonts w:cs="Arial"/>
                <w:lang w:val="en-US" w:bidi="ar-SA"/>
              </w:rPr>
            </w:pPr>
          </w:p>
        </w:tc>
        <w:tc>
          <w:tcPr>
            <w:tcW w:w="2802" w:type="dxa"/>
            <w:vMerge w:val="restart"/>
            <w:vAlign w:val="center"/>
            <w:hideMark/>
          </w:tcPr>
          <w:p w14:paraId="11BAB0F8" w14:textId="77777777" w:rsidR="008E2284" w:rsidRPr="008E2284" w:rsidRDefault="008E2284" w:rsidP="008E2284">
            <w:pPr>
              <w:spacing w:line="276" w:lineRule="auto"/>
              <w:jc w:val="left"/>
              <w:rPr>
                <w:rFonts w:cs="Arial"/>
                <w:lang w:val="en-US" w:bidi="ar-SA"/>
              </w:rPr>
            </w:pPr>
            <w:r w:rsidRPr="008E2284">
              <w:rPr>
                <w:rFonts w:cs="Arial"/>
                <w:lang w:val="en-US" w:bidi="ar-SA"/>
              </w:rPr>
              <w:t>Communication &amp; Education</w:t>
            </w:r>
          </w:p>
        </w:tc>
        <w:tc>
          <w:tcPr>
            <w:tcW w:w="4923" w:type="dxa"/>
            <w:vAlign w:val="center"/>
            <w:hideMark/>
          </w:tcPr>
          <w:p w14:paraId="4223C2EE" w14:textId="77777777" w:rsidR="008E2284" w:rsidRPr="008E2284" w:rsidRDefault="008E2284" w:rsidP="008E2284">
            <w:pPr>
              <w:spacing w:line="276" w:lineRule="auto"/>
              <w:jc w:val="left"/>
              <w:rPr>
                <w:rFonts w:cs="Arial"/>
                <w:lang w:val="en-US" w:bidi="ar-SA"/>
              </w:rPr>
            </w:pPr>
            <w:r w:rsidRPr="008E2284">
              <w:rPr>
                <w:rFonts w:cs="Arial"/>
                <w:lang w:val="en-US" w:bidi="ar-SA"/>
              </w:rPr>
              <w:t>Environmental education to improve authenticity perception</w:t>
            </w:r>
          </w:p>
        </w:tc>
        <w:tc>
          <w:tcPr>
            <w:tcW w:w="3900" w:type="dxa"/>
            <w:vAlign w:val="center"/>
            <w:hideMark/>
          </w:tcPr>
          <w:p w14:paraId="70F9FE13" w14:textId="77777777" w:rsidR="008E2284" w:rsidRPr="008E2284" w:rsidRDefault="008E2284" w:rsidP="008E2284">
            <w:pPr>
              <w:spacing w:line="276" w:lineRule="auto"/>
              <w:jc w:val="left"/>
              <w:rPr>
                <w:rFonts w:cs="Arial"/>
                <w:lang w:val="en-US" w:bidi="ar-SA"/>
              </w:rPr>
            </w:pPr>
            <w:r w:rsidRPr="008E2284">
              <w:rPr>
                <w:rFonts w:cs="Arial"/>
                <w:lang w:val="en-US" w:bidi="ar-SA"/>
              </w:rPr>
              <w:t xml:space="preserve">Marko &amp; </w:t>
            </w:r>
            <w:proofErr w:type="spellStart"/>
            <w:r w:rsidRPr="008E2284">
              <w:rPr>
                <w:rFonts w:cs="Arial"/>
                <w:lang w:val="en-US" w:bidi="ar-SA"/>
              </w:rPr>
              <w:t>Kusá</w:t>
            </w:r>
            <w:proofErr w:type="spellEnd"/>
            <w:r w:rsidRPr="008E2284">
              <w:rPr>
                <w:rFonts w:cs="Arial"/>
                <w:lang w:val="en-US" w:bidi="ar-SA"/>
              </w:rPr>
              <w:t xml:space="preserve"> (2023)</w:t>
            </w:r>
          </w:p>
        </w:tc>
      </w:tr>
      <w:tr w:rsidR="008E2284" w:rsidRPr="008E2284" w14:paraId="623F04AB" w14:textId="77777777" w:rsidTr="00A9343B">
        <w:tc>
          <w:tcPr>
            <w:tcW w:w="2323" w:type="dxa"/>
            <w:vMerge/>
            <w:vAlign w:val="center"/>
            <w:hideMark/>
          </w:tcPr>
          <w:p w14:paraId="0C7BD2BD" w14:textId="77777777" w:rsidR="008E2284" w:rsidRPr="008E2284" w:rsidRDefault="008E2284" w:rsidP="008E2284">
            <w:pPr>
              <w:spacing w:line="276" w:lineRule="auto"/>
              <w:jc w:val="left"/>
              <w:rPr>
                <w:rFonts w:cs="Arial"/>
                <w:lang w:val="en-US" w:bidi="ar-SA"/>
              </w:rPr>
            </w:pPr>
          </w:p>
        </w:tc>
        <w:tc>
          <w:tcPr>
            <w:tcW w:w="2802" w:type="dxa"/>
            <w:vMerge/>
            <w:vAlign w:val="center"/>
            <w:hideMark/>
          </w:tcPr>
          <w:p w14:paraId="05504A5F" w14:textId="77777777" w:rsidR="008E2284" w:rsidRPr="008E2284" w:rsidRDefault="008E2284" w:rsidP="008E2284">
            <w:pPr>
              <w:spacing w:line="276" w:lineRule="auto"/>
              <w:jc w:val="left"/>
              <w:rPr>
                <w:rFonts w:cs="Arial"/>
                <w:lang w:val="en-US" w:bidi="ar-SA"/>
              </w:rPr>
            </w:pPr>
          </w:p>
        </w:tc>
        <w:tc>
          <w:tcPr>
            <w:tcW w:w="4923" w:type="dxa"/>
            <w:vAlign w:val="center"/>
            <w:hideMark/>
          </w:tcPr>
          <w:p w14:paraId="7441CA58" w14:textId="77777777" w:rsidR="008E2284" w:rsidRPr="008E2284" w:rsidRDefault="008E2284" w:rsidP="008E2284">
            <w:pPr>
              <w:spacing w:line="276" w:lineRule="auto"/>
              <w:jc w:val="left"/>
              <w:rPr>
                <w:rFonts w:cs="Arial"/>
                <w:lang w:val="en-US" w:bidi="ar-SA"/>
              </w:rPr>
            </w:pPr>
            <w:r w:rsidRPr="008E2284">
              <w:rPr>
                <w:rFonts w:cs="Arial"/>
                <w:lang w:val="en-US" w:bidi="ar-SA"/>
              </w:rPr>
              <w:t>Slow fashion ethics &amp; CSR messaging</w:t>
            </w:r>
          </w:p>
        </w:tc>
        <w:tc>
          <w:tcPr>
            <w:tcW w:w="3900" w:type="dxa"/>
            <w:vAlign w:val="center"/>
            <w:hideMark/>
          </w:tcPr>
          <w:p w14:paraId="1AFC75C7" w14:textId="381A6809" w:rsidR="008E2284" w:rsidRPr="008E2284" w:rsidRDefault="008E2284" w:rsidP="008E2284">
            <w:pPr>
              <w:spacing w:line="276" w:lineRule="auto"/>
              <w:jc w:val="left"/>
              <w:rPr>
                <w:rFonts w:cs="Arial"/>
                <w:lang w:val="en-US" w:bidi="ar-SA"/>
              </w:rPr>
            </w:pPr>
            <w:r w:rsidRPr="008E2284">
              <w:rPr>
                <w:rFonts w:cs="Arial"/>
                <w:lang w:val="en-US" w:bidi="ar-SA"/>
              </w:rPr>
              <w:t>Velasco-</w:t>
            </w:r>
            <w:proofErr w:type="spellStart"/>
            <w:r w:rsidRPr="008E2284">
              <w:rPr>
                <w:rFonts w:cs="Arial"/>
                <w:lang w:val="en-US" w:bidi="ar-SA"/>
              </w:rPr>
              <w:t>Molpeceres</w:t>
            </w:r>
            <w:proofErr w:type="spellEnd"/>
            <w:r w:rsidRPr="008E2284">
              <w:rPr>
                <w:rFonts w:cs="Arial"/>
                <w:lang w:val="en-US" w:bidi="ar-SA"/>
              </w:rPr>
              <w:t xml:space="preserve"> </w:t>
            </w:r>
            <w:r w:rsidR="001D1CA2" w:rsidRPr="001D1CA2">
              <w:rPr>
                <w:rFonts w:cs="Arial"/>
                <w:i/>
                <w:iCs/>
                <w:lang w:val="en-US" w:bidi="ar-SA"/>
              </w:rPr>
              <w:t>et al</w:t>
            </w:r>
            <w:r w:rsidRPr="008E2284">
              <w:rPr>
                <w:rFonts w:cs="Arial"/>
                <w:lang w:val="en-US" w:bidi="ar-SA"/>
              </w:rPr>
              <w:t>. (2023)</w:t>
            </w:r>
          </w:p>
        </w:tc>
      </w:tr>
    </w:tbl>
    <w:p w14:paraId="5E59C7AE" w14:textId="77777777" w:rsidR="00A9343B" w:rsidRDefault="00A9343B" w:rsidP="00AB6AC0"/>
    <w:p w14:paraId="1832F515" w14:textId="77777777" w:rsidR="00A9343B" w:rsidRDefault="00A9343B">
      <w:pPr>
        <w:spacing w:before="0" w:after="160" w:line="259" w:lineRule="auto"/>
        <w:jc w:val="left"/>
        <w:rPr>
          <w:rFonts w:eastAsiaTheme="majorEastAsia" w:cstheme="majorBidi"/>
          <w:b/>
          <w:bCs/>
          <w:color w:val="000000" w:themeColor="text1"/>
        </w:rPr>
      </w:pPr>
      <w:r>
        <w:br w:type="page"/>
      </w:r>
    </w:p>
    <w:p w14:paraId="7429FC18" w14:textId="354E4ED4" w:rsidR="00DD0977" w:rsidRDefault="008019B4" w:rsidP="00A9343B">
      <w:pPr>
        <w:pStyle w:val="Heading3"/>
      </w:pPr>
      <w:bookmarkStart w:id="63" w:name="_Hlk218438974"/>
      <w:bookmarkStart w:id="64" w:name="_Toc218445697"/>
      <w:r w:rsidRPr="008019B4">
        <w:lastRenderedPageBreak/>
        <w:t xml:space="preserve">Manifestations and Drivers of Greenwashing in the Fashion Industry </w:t>
      </w:r>
      <w:bookmarkEnd w:id="63"/>
      <w:r w:rsidRPr="008019B4">
        <w:t>(RQ2)</w:t>
      </w:r>
      <w:bookmarkEnd w:id="64"/>
    </w:p>
    <w:p w14:paraId="3905D835" w14:textId="4853F341" w:rsidR="00AB6AC0" w:rsidRDefault="00A9674A" w:rsidP="00AB6AC0">
      <w:r w:rsidRPr="00A9674A">
        <w:t>The table is a summary of fifty studies that were incorporated in this systematic review and arranged in four major themes: Misleading Environmental Claims, Corporate Social Responsibility (CSR) Washing, Symbolic and Marketing-Focused Greenwashing, and Prevalence and Consumer Impact. The studies are structured based on their author(s), sub-themes, codes and citations, giving a systematic summary of the expressions and motivations behind greenwashing in the fashion industry (RQ2). These thematic summaries form the basis of the further detailed analysis and discussion of patterns, gaps and implications.</w:t>
      </w:r>
    </w:p>
    <w:p w14:paraId="09A76F04" w14:textId="0E700F13" w:rsidR="002B796F" w:rsidRPr="00AB6AC0" w:rsidRDefault="002B796F" w:rsidP="002B796F">
      <w:pPr>
        <w:pStyle w:val="NoSpacing"/>
        <w:jc w:val="left"/>
        <w:rPr>
          <w:lang w:val="en-US"/>
        </w:rPr>
      </w:pPr>
      <w:bookmarkStart w:id="65" w:name="_Toc218439131"/>
      <w:r>
        <w:t xml:space="preserve">Table </w:t>
      </w:r>
      <w:fldSimple w:instr=" SEQ Table \* ARABIC ">
        <w:r>
          <w:rPr>
            <w:noProof/>
          </w:rPr>
          <w:t>4</w:t>
        </w:r>
      </w:fldSimple>
      <w:r>
        <w:t xml:space="preserve"> </w:t>
      </w:r>
      <w:r w:rsidRPr="002B796F">
        <w:t>Manifestations</w:t>
      </w:r>
      <w:r w:rsidRPr="002B796F">
        <w:rPr>
          <w:lang w:val="en-US"/>
        </w:rPr>
        <w:t xml:space="preserve"> and Drivers of Greenwashing in the Fashion Industry</w:t>
      </w:r>
      <w:bookmarkEnd w:id="65"/>
    </w:p>
    <w:tbl>
      <w:tblPr>
        <w:tblStyle w:val="TableGridLight"/>
        <w:tblW w:w="0" w:type="auto"/>
        <w:tblLook w:val="04A0" w:firstRow="1" w:lastRow="0" w:firstColumn="1" w:lastColumn="0" w:noHBand="0" w:noVBand="1"/>
      </w:tblPr>
      <w:tblGrid>
        <w:gridCol w:w="2335"/>
        <w:gridCol w:w="2610"/>
        <w:gridCol w:w="4410"/>
        <w:gridCol w:w="4593"/>
      </w:tblGrid>
      <w:tr w:rsidR="00A9343B" w:rsidRPr="00DD0977" w14:paraId="7FBEBF0D" w14:textId="77777777" w:rsidTr="00A9343B">
        <w:tc>
          <w:tcPr>
            <w:tcW w:w="2335" w:type="dxa"/>
            <w:vAlign w:val="center"/>
            <w:hideMark/>
          </w:tcPr>
          <w:p w14:paraId="703AADD5" w14:textId="77777777" w:rsidR="00DD0977" w:rsidRPr="00DD0977" w:rsidRDefault="00DD0977" w:rsidP="00DD0977">
            <w:pPr>
              <w:spacing w:line="276" w:lineRule="auto"/>
              <w:jc w:val="left"/>
              <w:rPr>
                <w:rFonts w:cs="Arial"/>
                <w:b/>
                <w:bCs/>
                <w:lang w:val="en-US" w:bidi="ar-SA"/>
              </w:rPr>
            </w:pPr>
            <w:r w:rsidRPr="00DD0977">
              <w:rPr>
                <w:rFonts w:cs="Arial"/>
                <w:b/>
                <w:bCs/>
                <w:lang w:val="en-US" w:bidi="ar-SA"/>
              </w:rPr>
              <w:t>Theme</w:t>
            </w:r>
          </w:p>
        </w:tc>
        <w:tc>
          <w:tcPr>
            <w:tcW w:w="2610" w:type="dxa"/>
            <w:vAlign w:val="center"/>
            <w:hideMark/>
          </w:tcPr>
          <w:p w14:paraId="162BAAF5" w14:textId="77777777" w:rsidR="00DD0977" w:rsidRPr="00DD0977" w:rsidRDefault="00DD0977" w:rsidP="00DD0977">
            <w:pPr>
              <w:spacing w:line="276" w:lineRule="auto"/>
              <w:jc w:val="left"/>
              <w:rPr>
                <w:rFonts w:cs="Arial"/>
                <w:b/>
                <w:bCs/>
                <w:lang w:val="en-US" w:bidi="ar-SA"/>
              </w:rPr>
            </w:pPr>
            <w:r w:rsidRPr="00DD0977">
              <w:rPr>
                <w:rFonts w:cs="Arial"/>
                <w:b/>
                <w:bCs/>
                <w:lang w:val="en-US" w:bidi="ar-SA"/>
              </w:rPr>
              <w:t>Sub-theme</w:t>
            </w:r>
          </w:p>
        </w:tc>
        <w:tc>
          <w:tcPr>
            <w:tcW w:w="4410" w:type="dxa"/>
            <w:vAlign w:val="center"/>
            <w:hideMark/>
          </w:tcPr>
          <w:p w14:paraId="244A461B" w14:textId="77777777" w:rsidR="00DD0977" w:rsidRPr="00DD0977" w:rsidRDefault="00DD0977" w:rsidP="00DD0977">
            <w:pPr>
              <w:spacing w:line="276" w:lineRule="auto"/>
              <w:jc w:val="left"/>
              <w:rPr>
                <w:rFonts w:cs="Arial"/>
                <w:b/>
                <w:bCs/>
                <w:lang w:val="en-US" w:bidi="ar-SA"/>
              </w:rPr>
            </w:pPr>
            <w:r w:rsidRPr="00DD0977">
              <w:rPr>
                <w:rFonts w:cs="Arial"/>
                <w:b/>
                <w:bCs/>
                <w:lang w:val="en-US" w:bidi="ar-SA"/>
              </w:rPr>
              <w:t>Code</w:t>
            </w:r>
          </w:p>
        </w:tc>
        <w:tc>
          <w:tcPr>
            <w:tcW w:w="4593" w:type="dxa"/>
            <w:vAlign w:val="center"/>
            <w:hideMark/>
          </w:tcPr>
          <w:p w14:paraId="50705020" w14:textId="77777777" w:rsidR="00DD0977" w:rsidRPr="00DD0977" w:rsidRDefault="00DD0977" w:rsidP="00DD0977">
            <w:pPr>
              <w:spacing w:line="276" w:lineRule="auto"/>
              <w:jc w:val="left"/>
              <w:rPr>
                <w:rFonts w:cs="Arial"/>
                <w:b/>
                <w:bCs/>
                <w:lang w:val="en-US" w:bidi="ar-SA"/>
              </w:rPr>
            </w:pPr>
            <w:r w:rsidRPr="00DD0977">
              <w:rPr>
                <w:rFonts w:cs="Arial"/>
                <w:b/>
                <w:bCs/>
                <w:lang w:val="en-US" w:bidi="ar-SA"/>
              </w:rPr>
              <w:t>Citation</w:t>
            </w:r>
          </w:p>
        </w:tc>
      </w:tr>
      <w:tr w:rsidR="00DD0977" w:rsidRPr="00DD0977" w14:paraId="75C96C99" w14:textId="77777777" w:rsidTr="00A9343B">
        <w:tc>
          <w:tcPr>
            <w:tcW w:w="2335" w:type="dxa"/>
            <w:vMerge w:val="restart"/>
            <w:vAlign w:val="center"/>
            <w:hideMark/>
          </w:tcPr>
          <w:p w14:paraId="53B45759" w14:textId="77777777" w:rsidR="00DD0977" w:rsidRPr="00DD0977" w:rsidRDefault="00DD0977" w:rsidP="00DD0977">
            <w:pPr>
              <w:spacing w:line="276" w:lineRule="auto"/>
              <w:jc w:val="left"/>
              <w:rPr>
                <w:rFonts w:cs="Arial"/>
                <w:lang w:val="en-US" w:bidi="ar-SA"/>
              </w:rPr>
            </w:pPr>
            <w:r w:rsidRPr="00DD0977">
              <w:rPr>
                <w:rFonts w:cs="Arial"/>
                <w:b/>
                <w:bCs/>
                <w:lang w:val="en-US" w:bidi="ar-SA"/>
              </w:rPr>
              <w:t>Misleading Environmental Claims</w:t>
            </w:r>
          </w:p>
        </w:tc>
        <w:tc>
          <w:tcPr>
            <w:tcW w:w="2610" w:type="dxa"/>
            <w:vMerge w:val="restart"/>
            <w:vAlign w:val="center"/>
            <w:hideMark/>
          </w:tcPr>
          <w:p w14:paraId="4887D476" w14:textId="77777777" w:rsidR="00DD0977" w:rsidRPr="00DD0977" w:rsidRDefault="00DD0977" w:rsidP="00DD0977">
            <w:pPr>
              <w:spacing w:line="276" w:lineRule="auto"/>
              <w:jc w:val="left"/>
              <w:rPr>
                <w:rFonts w:cs="Arial"/>
                <w:lang w:val="en-US" w:bidi="ar-SA"/>
              </w:rPr>
            </w:pPr>
            <w:r w:rsidRPr="00DD0977">
              <w:rPr>
                <w:rFonts w:cs="Arial"/>
                <w:lang w:val="en-US" w:bidi="ar-SA"/>
              </w:rPr>
              <w:t>Product-focused Misrepresentation</w:t>
            </w:r>
          </w:p>
        </w:tc>
        <w:tc>
          <w:tcPr>
            <w:tcW w:w="4410" w:type="dxa"/>
            <w:vAlign w:val="center"/>
            <w:hideMark/>
          </w:tcPr>
          <w:p w14:paraId="1DEE989F" w14:textId="77777777" w:rsidR="00DD0977" w:rsidRPr="00DD0977" w:rsidRDefault="00DD0977" w:rsidP="00DD0977">
            <w:pPr>
              <w:spacing w:line="276" w:lineRule="auto"/>
              <w:jc w:val="left"/>
              <w:rPr>
                <w:rFonts w:cs="Arial"/>
                <w:lang w:val="en-US" w:bidi="ar-SA"/>
              </w:rPr>
            </w:pPr>
            <w:r w:rsidRPr="00DD0977">
              <w:rPr>
                <w:rFonts w:cs="Arial"/>
                <w:lang w:val="en-US" w:bidi="ar-SA"/>
              </w:rPr>
              <w:t>False labelling of eco-friendly materials</w:t>
            </w:r>
          </w:p>
        </w:tc>
        <w:tc>
          <w:tcPr>
            <w:tcW w:w="4593" w:type="dxa"/>
            <w:vAlign w:val="center"/>
            <w:hideMark/>
          </w:tcPr>
          <w:p w14:paraId="6561D8DC" w14:textId="77777777" w:rsidR="00DD0977" w:rsidRPr="00DD0977" w:rsidRDefault="00DD0977" w:rsidP="00DD0977">
            <w:pPr>
              <w:spacing w:line="276" w:lineRule="auto"/>
              <w:jc w:val="left"/>
              <w:rPr>
                <w:rFonts w:cs="Arial"/>
                <w:lang w:val="en-US" w:bidi="ar-SA"/>
              </w:rPr>
            </w:pPr>
            <w:r w:rsidRPr="00DD0977">
              <w:rPr>
                <w:rFonts w:cs="Arial"/>
                <w:lang w:val="en-US" w:bidi="ar-SA"/>
              </w:rPr>
              <w:t>Wang &amp; Jung (2025)</w:t>
            </w:r>
          </w:p>
        </w:tc>
      </w:tr>
      <w:tr w:rsidR="00DD0977" w:rsidRPr="00DD0977" w14:paraId="65764A3A" w14:textId="77777777" w:rsidTr="00A9343B">
        <w:tc>
          <w:tcPr>
            <w:tcW w:w="2335" w:type="dxa"/>
            <w:vMerge/>
            <w:vAlign w:val="center"/>
            <w:hideMark/>
          </w:tcPr>
          <w:p w14:paraId="4B583360" w14:textId="77777777" w:rsidR="00DD0977" w:rsidRPr="00DD0977" w:rsidRDefault="00DD0977" w:rsidP="00DD0977">
            <w:pPr>
              <w:spacing w:line="276" w:lineRule="auto"/>
              <w:jc w:val="left"/>
              <w:rPr>
                <w:rFonts w:cs="Arial"/>
                <w:lang w:val="en-US" w:bidi="ar-SA"/>
              </w:rPr>
            </w:pPr>
          </w:p>
        </w:tc>
        <w:tc>
          <w:tcPr>
            <w:tcW w:w="2610" w:type="dxa"/>
            <w:vMerge/>
            <w:vAlign w:val="center"/>
            <w:hideMark/>
          </w:tcPr>
          <w:p w14:paraId="11B7C537" w14:textId="77777777" w:rsidR="00DD0977" w:rsidRPr="00DD0977" w:rsidRDefault="00DD0977" w:rsidP="00DD0977">
            <w:pPr>
              <w:spacing w:line="276" w:lineRule="auto"/>
              <w:jc w:val="left"/>
              <w:rPr>
                <w:rFonts w:cs="Arial"/>
                <w:lang w:val="en-US" w:bidi="ar-SA"/>
              </w:rPr>
            </w:pPr>
          </w:p>
        </w:tc>
        <w:tc>
          <w:tcPr>
            <w:tcW w:w="4410" w:type="dxa"/>
            <w:vAlign w:val="center"/>
            <w:hideMark/>
          </w:tcPr>
          <w:p w14:paraId="52159291" w14:textId="77777777" w:rsidR="00DD0977" w:rsidRPr="00DD0977" w:rsidRDefault="00DD0977" w:rsidP="00DD0977">
            <w:pPr>
              <w:spacing w:line="276" w:lineRule="auto"/>
              <w:jc w:val="left"/>
              <w:rPr>
                <w:rFonts w:cs="Arial"/>
                <w:lang w:val="en-US" w:bidi="ar-SA"/>
              </w:rPr>
            </w:pPr>
            <w:r w:rsidRPr="00DD0977">
              <w:rPr>
                <w:rFonts w:cs="Arial"/>
                <w:lang w:val="en-US" w:bidi="ar-SA"/>
              </w:rPr>
              <w:t>Recycled PET narratives &amp; incentive distortion</w:t>
            </w:r>
          </w:p>
        </w:tc>
        <w:tc>
          <w:tcPr>
            <w:tcW w:w="4593" w:type="dxa"/>
            <w:vAlign w:val="center"/>
            <w:hideMark/>
          </w:tcPr>
          <w:p w14:paraId="20A4985F" w14:textId="77777777" w:rsidR="00DD0977" w:rsidRPr="00DD0977" w:rsidRDefault="00DD0977" w:rsidP="00DD0977">
            <w:pPr>
              <w:spacing w:line="276" w:lineRule="auto"/>
              <w:jc w:val="left"/>
              <w:rPr>
                <w:rFonts w:cs="Arial"/>
                <w:lang w:val="en-US" w:bidi="ar-SA"/>
              </w:rPr>
            </w:pPr>
            <w:r w:rsidRPr="00DD0977">
              <w:rPr>
                <w:rFonts w:cs="Arial"/>
                <w:lang w:val="en-US" w:bidi="ar-SA"/>
              </w:rPr>
              <w:t>Eppinger (2022)</w:t>
            </w:r>
          </w:p>
        </w:tc>
      </w:tr>
      <w:tr w:rsidR="00DD0977" w:rsidRPr="00DD0977" w14:paraId="3AA03679" w14:textId="77777777" w:rsidTr="00A9343B">
        <w:tc>
          <w:tcPr>
            <w:tcW w:w="2335" w:type="dxa"/>
            <w:vMerge/>
            <w:vAlign w:val="center"/>
            <w:hideMark/>
          </w:tcPr>
          <w:p w14:paraId="060A8B7C" w14:textId="77777777" w:rsidR="00DD0977" w:rsidRPr="00DD0977" w:rsidRDefault="00DD0977" w:rsidP="00DD0977">
            <w:pPr>
              <w:spacing w:line="276" w:lineRule="auto"/>
              <w:jc w:val="left"/>
              <w:rPr>
                <w:rFonts w:cs="Arial"/>
                <w:lang w:val="en-US" w:bidi="ar-SA"/>
              </w:rPr>
            </w:pPr>
          </w:p>
        </w:tc>
        <w:tc>
          <w:tcPr>
            <w:tcW w:w="2610" w:type="dxa"/>
            <w:vMerge w:val="restart"/>
            <w:vAlign w:val="center"/>
            <w:hideMark/>
          </w:tcPr>
          <w:p w14:paraId="5D95C38D" w14:textId="77777777" w:rsidR="00DD0977" w:rsidRPr="00DD0977" w:rsidRDefault="00DD0977" w:rsidP="00DD0977">
            <w:pPr>
              <w:spacing w:line="276" w:lineRule="auto"/>
              <w:jc w:val="left"/>
              <w:rPr>
                <w:rFonts w:cs="Arial"/>
                <w:lang w:val="en-US" w:bidi="ar-SA"/>
              </w:rPr>
            </w:pPr>
            <w:r w:rsidRPr="00DD0977">
              <w:rPr>
                <w:rFonts w:cs="Arial"/>
                <w:lang w:val="en-US" w:bidi="ar-SA"/>
              </w:rPr>
              <w:t>Process-focused Misrepresentation</w:t>
            </w:r>
          </w:p>
        </w:tc>
        <w:tc>
          <w:tcPr>
            <w:tcW w:w="4410" w:type="dxa"/>
            <w:vAlign w:val="center"/>
            <w:hideMark/>
          </w:tcPr>
          <w:p w14:paraId="557BD834" w14:textId="77777777" w:rsidR="00DD0977" w:rsidRPr="00DD0977" w:rsidRDefault="00DD0977" w:rsidP="00DD0977">
            <w:pPr>
              <w:spacing w:line="276" w:lineRule="auto"/>
              <w:jc w:val="left"/>
              <w:rPr>
                <w:rFonts w:cs="Arial"/>
                <w:lang w:val="en-US" w:bidi="ar-SA"/>
              </w:rPr>
            </w:pPr>
            <w:r w:rsidRPr="00DD0977">
              <w:rPr>
                <w:rFonts w:cs="Arial"/>
                <w:lang w:val="en-US" w:bidi="ar-SA"/>
              </w:rPr>
              <w:t>Selective disclosure of sustainability practices</w:t>
            </w:r>
          </w:p>
        </w:tc>
        <w:tc>
          <w:tcPr>
            <w:tcW w:w="4593" w:type="dxa"/>
            <w:vAlign w:val="center"/>
            <w:hideMark/>
          </w:tcPr>
          <w:p w14:paraId="0B2236E2" w14:textId="77777777" w:rsidR="00DD0977" w:rsidRPr="00DD0977" w:rsidRDefault="00DD0977" w:rsidP="00DD0977">
            <w:pPr>
              <w:spacing w:line="276" w:lineRule="auto"/>
              <w:jc w:val="left"/>
              <w:rPr>
                <w:rFonts w:cs="Arial"/>
                <w:lang w:val="en-US" w:bidi="ar-SA"/>
              </w:rPr>
            </w:pPr>
            <w:proofErr w:type="spellStart"/>
            <w:r w:rsidRPr="00DD0977">
              <w:rPr>
                <w:rFonts w:cs="Arial"/>
                <w:lang w:val="en-US" w:bidi="ar-SA"/>
              </w:rPr>
              <w:t>Jestratijevic</w:t>
            </w:r>
            <w:proofErr w:type="spellEnd"/>
            <w:r w:rsidRPr="00DD0977">
              <w:rPr>
                <w:rFonts w:cs="Arial"/>
                <w:lang w:val="en-US" w:bidi="ar-SA"/>
              </w:rPr>
              <w:t xml:space="preserve">, </w:t>
            </w:r>
            <w:proofErr w:type="spellStart"/>
            <w:r w:rsidRPr="00DD0977">
              <w:rPr>
                <w:rFonts w:cs="Arial"/>
                <w:lang w:val="en-US" w:bidi="ar-SA"/>
              </w:rPr>
              <w:t>Uanhoro</w:t>
            </w:r>
            <w:proofErr w:type="spellEnd"/>
            <w:r w:rsidRPr="00DD0977">
              <w:rPr>
                <w:rFonts w:cs="Arial"/>
                <w:lang w:val="en-US" w:bidi="ar-SA"/>
              </w:rPr>
              <w:t xml:space="preserve"> &amp; Rana (2024)</w:t>
            </w:r>
          </w:p>
        </w:tc>
      </w:tr>
      <w:tr w:rsidR="00DD0977" w:rsidRPr="00DD0977" w14:paraId="35F0BC7D" w14:textId="77777777" w:rsidTr="00A9343B">
        <w:tc>
          <w:tcPr>
            <w:tcW w:w="2335" w:type="dxa"/>
            <w:vMerge/>
            <w:vAlign w:val="center"/>
            <w:hideMark/>
          </w:tcPr>
          <w:p w14:paraId="2F56868A" w14:textId="77777777" w:rsidR="00DD0977" w:rsidRPr="00DD0977" w:rsidRDefault="00DD0977" w:rsidP="00DD0977">
            <w:pPr>
              <w:spacing w:line="276" w:lineRule="auto"/>
              <w:jc w:val="left"/>
              <w:rPr>
                <w:rFonts w:cs="Arial"/>
                <w:lang w:val="en-US" w:bidi="ar-SA"/>
              </w:rPr>
            </w:pPr>
          </w:p>
        </w:tc>
        <w:tc>
          <w:tcPr>
            <w:tcW w:w="2610" w:type="dxa"/>
            <w:vMerge/>
            <w:vAlign w:val="center"/>
            <w:hideMark/>
          </w:tcPr>
          <w:p w14:paraId="25743A05" w14:textId="77777777" w:rsidR="00DD0977" w:rsidRPr="00DD0977" w:rsidRDefault="00DD0977" w:rsidP="00DD0977">
            <w:pPr>
              <w:spacing w:line="276" w:lineRule="auto"/>
              <w:jc w:val="left"/>
              <w:rPr>
                <w:rFonts w:cs="Arial"/>
                <w:lang w:val="en-US" w:bidi="ar-SA"/>
              </w:rPr>
            </w:pPr>
          </w:p>
        </w:tc>
        <w:tc>
          <w:tcPr>
            <w:tcW w:w="4410" w:type="dxa"/>
            <w:vAlign w:val="center"/>
            <w:hideMark/>
          </w:tcPr>
          <w:p w14:paraId="76E29C24" w14:textId="77777777" w:rsidR="00DD0977" w:rsidRPr="00DD0977" w:rsidRDefault="00DD0977" w:rsidP="00DD0977">
            <w:pPr>
              <w:spacing w:line="276" w:lineRule="auto"/>
              <w:jc w:val="left"/>
              <w:rPr>
                <w:rFonts w:cs="Arial"/>
                <w:lang w:val="en-US" w:bidi="ar-SA"/>
              </w:rPr>
            </w:pPr>
            <w:r w:rsidRPr="00DD0977">
              <w:rPr>
                <w:rFonts w:cs="Arial"/>
                <w:lang w:val="en-US" w:bidi="ar-SA"/>
              </w:rPr>
              <w:t>Greenhushing / strategic silence on overproduction</w:t>
            </w:r>
          </w:p>
        </w:tc>
        <w:tc>
          <w:tcPr>
            <w:tcW w:w="4593" w:type="dxa"/>
            <w:vAlign w:val="center"/>
            <w:hideMark/>
          </w:tcPr>
          <w:p w14:paraId="6E8D1879" w14:textId="2AD41AF0" w:rsidR="00DD0977" w:rsidRPr="00DD0977" w:rsidRDefault="00DD0977" w:rsidP="00DD0977">
            <w:pPr>
              <w:spacing w:line="276" w:lineRule="auto"/>
              <w:jc w:val="left"/>
              <w:rPr>
                <w:rFonts w:cs="Arial"/>
                <w:lang w:val="en-US" w:bidi="ar-SA"/>
              </w:rPr>
            </w:pPr>
            <w:proofErr w:type="spellStart"/>
            <w:r w:rsidRPr="00DD0977">
              <w:rPr>
                <w:rFonts w:cs="Arial"/>
                <w:lang w:val="en-US" w:bidi="ar-SA"/>
              </w:rPr>
              <w:t>Hejlova</w:t>
            </w:r>
            <w:proofErr w:type="spellEnd"/>
            <w:r w:rsidRPr="00DD0977">
              <w:rPr>
                <w:rFonts w:cs="Arial"/>
                <w:lang w:val="en-US" w:bidi="ar-SA"/>
              </w:rPr>
              <w:t xml:space="preserve"> </w:t>
            </w:r>
            <w:r w:rsidR="001D1CA2" w:rsidRPr="001D1CA2">
              <w:rPr>
                <w:rFonts w:cs="Arial"/>
                <w:i/>
                <w:iCs/>
                <w:lang w:val="en-US" w:bidi="ar-SA"/>
              </w:rPr>
              <w:t>et al</w:t>
            </w:r>
            <w:r w:rsidRPr="00DD0977">
              <w:rPr>
                <w:rFonts w:cs="Arial"/>
                <w:lang w:val="en-US" w:bidi="ar-SA"/>
              </w:rPr>
              <w:t>. (2025)</w:t>
            </w:r>
          </w:p>
        </w:tc>
      </w:tr>
      <w:tr w:rsidR="00DD0977" w:rsidRPr="00DD0977" w14:paraId="436B1508" w14:textId="77777777" w:rsidTr="00A9343B">
        <w:tc>
          <w:tcPr>
            <w:tcW w:w="2335" w:type="dxa"/>
            <w:vMerge w:val="restart"/>
            <w:vAlign w:val="center"/>
            <w:hideMark/>
          </w:tcPr>
          <w:p w14:paraId="6F7BDBDA" w14:textId="77777777" w:rsidR="00DD0977" w:rsidRPr="00DD0977" w:rsidRDefault="00DD0977" w:rsidP="00DD0977">
            <w:pPr>
              <w:spacing w:line="276" w:lineRule="auto"/>
              <w:jc w:val="left"/>
              <w:rPr>
                <w:rFonts w:cs="Arial"/>
                <w:lang w:val="en-US" w:bidi="ar-SA"/>
              </w:rPr>
            </w:pPr>
            <w:r w:rsidRPr="00DD0977">
              <w:rPr>
                <w:rFonts w:cs="Arial"/>
                <w:b/>
                <w:bCs/>
                <w:lang w:val="en-US" w:bidi="ar-SA"/>
              </w:rPr>
              <w:t>Corporate Social Responsibility (CSR) Washing</w:t>
            </w:r>
          </w:p>
        </w:tc>
        <w:tc>
          <w:tcPr>
            <w:tcW w:w="2610" w:type="dxa"/>
            <w:vMerge w:val="restart"/>
            <w:vAlign w:val="center"/>
            <w:hideMark/>
          </w:tcPr>
          <w:p w14:paraId="7DAE2F3B" w14:textId="77777777" w:rsidR="00DD0977" w:rsidRPr="00DD0977" w:rsidRDefault="00DD0977" w:rsidP="00DD0977">
            <w:pPr>
              <w:spacing w:line="276" w:lineRule="auto"/>
              <w:jc w:val="left"/>
              <w:rPr>
                <w:rFonts w:cs="Arial"/>
                <w:lang w:val="en-US" w:bidi="ar-SA"/>
              </w:rPr>
            </w:pPr>
            <w:r w:rsidRPr="00DD0977">
              <w:rPr>
                <w:rFonts w:cs="Arial"/>
                <w:lang w:val="en-US" w:bidi="ar-SA"/>
              </w:rPr>
              <w:t>Inflated CSR Claims</w:t>
            </w:r>
          </w:p>
        </w:tc>
        <w:tc>
          <w:tcPr>
            <w:tcW w:w="4410" w:type="dxa"/>
            <w:vAlign w:val="center"/>
            <w:hideMark/>
          </w:tcPr>
          <w:p w14:paraId="1E56E026" w14:textId="77777777" w:rsidR="00DD0977" w:rsidRPr="00DD0977" w:rsidRDefault="00DD0977" w:rsidP="00DD0977">
            <w:pPr>
              <w:spacing w:line="276" w:lineRule="auto"/>
              <w:jc w:val="left"/>
              <w:rPr>
                <w:rFonts w:cs="Arial"/>
                <w:lang w:val="en-US" w:bidi="ar-SA"/>
              </w:rPr>
            </w:pPr>
            <w:r w:rsidRPr="00DD0977">
              <w:rPr>
                <w:rFonts w:cs="Arial"/>
                <w:lang w:val="en-US" w:bidi="ar-SA"/>
              </w:rPr>
              <w:t>Exaggerated or misleading social responsibility statements</w:t>
            </w:r>
          </w:p>
        </w:tc>
        <w:tc>
          <w:tcPr>
            <w:tcW w:w="4593" w:type="dxa"/>
            <w:vAlign w:val="center"/>
            <w:hideMark/>
          </w:tcPr>
          <w:p w14:paraId="05E1D312" w14:textId="77777777" w:rsidR="00DD0977" w:rsidRPr="00DD0977" w:rsidRDefault="00DD0977" w:rsidP="00DD0977">
            <w:pPr>
              <w:spacing w:line="276" w:lineRule="auto"/>
              <w:jc w:val="left"/>
              <w:rPr>
                <w:rFonts w:cs="Arial"/>
                <w:lang w:val="en-US" w:bidi="ar-SA"/>
              </w:rPr>
            </w:pPr>
            <w:r w:rsidRPr="00DD0977">
              <w:rPr>
                <w:rFonts w:cs="Arial"/>
                <w:lang w:val="en-US" w:bidi="ar-SA"/>
              </w:rPr>
              <w:t>Dobos &amp; Éltető (2023)</w:t>
            </w:r>
          </w:p>
        </w:tc>
      </w:tr>
      <w:tr w:rsidR="00DD0977" w:rsidRPr="00DD0977" w14:paraId="047BE8B3" w14:textId="77777777" w:rsidTr="00A9343B">
        <w:tc>
          <w:tcPr>
            <w:tcW w:w="2335" w:type="dxa"/>
            <w:vMerge/>
            <w:vAlign w:val="center"/>
            <w:hideMark/>
          </w:tcPr>
          <w:p w14:paraId="7E12B649" w14:textId="77777777" w:rsidR="00DD0977" w:rsidRPr="00DD0977" w:rsidRDefault="00DD0977" w:rsidP="00DD0977">
            <w:pPr>
              <w:spacing w:line="276" w:lineRule="auto"/>
              <w:jc w:val="left"/>
              <w:rPr>
                <w:rFonts w:cs="Arial"/>
                <w:lang w:val="en-US" w:bidi="ar-SA"/>
              </w:rPr>
            </w:pPr>
          </w:p>
        </w:tc>
        <w:tc>
          <w:tcPr>
            <w:tcW w:w="2610" w:type="dxa"/>
            <w:vMerge/>
            <w:vAlign w:val="center"/>
            <w:hideMark/>
          </w:tcPr>
          <w:p w14:paraId="2EE7FB51" w14:textId="77777777" w:rsidR="00DD0977" w:rsidRPr="00DD0977" w:rsidRDefault="00DD0977" w:rsidP="00DD0977">
            <w:pPr>
              <w:spacing w:line="276" w:lineRule="auto"/>
              <w:jc w:val="left"/>
              <w:rPr>
                <w:rFonts w:cs="Arial"/>
                <w:lang w:val="en-US" w:bidi="ar-SA"/>
              </w:rPr>
            </w:pPr>
          </w:p>
        </w:tc>
        <w:tc>
          <w:tcPr>
            <w:tcW w:w="4410" w:type="dxa"/>
            <w:vAlign w:val="center"/>
            <w:hideMark/>
          </w:tcPr>
          <w:p w14:paraId="14A12261" w14:textId="77777777" w:rsidR="00DD0977" w:rsidRPr="00DD0977" w:rsidRDefault="00DD0977" w:rsidP="00DD0977">
            <w:pPr>
              <w:spacing w:line="276" w:lineRule="auto"/>
              <w:jc w:val="left"/>
              <w:rPr>
                <w:rFonts w:cs="Arial"/>
                <w:lang w:val="en-US" w:bidi="ar-SA"/>
              </w:rPr>
            </w:pPr>
            <w:r w:rsidRPr="00DD0977">
              <w:rPr>
                <w:rFonts w:cs="Arial"/>
                <w:lang w:val="en-US" w:bidi="ar-SA"/>
              </w:rPr>
              <w:t>CSR claims vs. supply-chain realities</w:t>
            </w:r>
          </w:p>
        </w:tc>
        <w:tc>
          <w:tcPr>
            <w:tcW w:w="4593" w:type="dxa"/>
            <w:vAlign w:val="center"/>
            <w:hideMark/>
          </w:tcPr>
          <w:p w14:paraId="04B08F73" w14:textId="77777777" w:rsidR="00DD0977" w:rsidRPr="00DD0977" w:rsidRDefault="00DD0977" w:rsidP="00DD0977">
            <w:pPr>
              <w:spacing w:line="276" w:lineRule="auto"/>
              <w:jc w:val="left"/>
              <w:rPr>
                <w:rFonts w:cs="Arial"/>
                <w:lang w:val="en-US" w:bidi="ar-SA"/>
              </w:rPr>
            </w:pPr>
            <w:r w:rsidRPr="00DD0977">
              <w:rPr>
                <w:rFonts w:cs="Arial"/>
                <w:lang w:val="en-US" w:bidi="ar-SA"/>
              </w:rPr>
              <w:t>Reza &amp; Du Plessis (2022)</w:t>
            </w:r>
          </w:p>
        </w:tc>
      </w:tr>
      <w:tr w:rsidR="00DD0977" w:rsidRPr="00DD0977" w14:paraId="19C260E1" w14:textId="77777777" w:rsidTr="00A9343B">
        <w:tc>
          <w:tcPr>
            <w:tcW w:w="2335" w:type="dxa"/>
            <w:vMerge/>
            <w:vAlign w:val="center"/>
            <w:hideMark/>
          </w:tcPr>
          <w:p w14:paraId="209ADE2A" w14:textId="77777777" w:rsidR="00DD0977" w:rsidRPr="00DD0977" w:rsidRDefault="00DD0977" w:rsidP="00DD0977">
            <w:pPr>
              <w:spacing w:line="276" w:lineRule="auto"/>
              <w:jc w:val="left"/>
              <w:rPr>
                <w:rFonts w:cs="Arial"/>
                <w:lang w:val="en-US" w:bidi="ar-SA"/>
              </w:rPr>
            </w:pPr>
          </w:p>
        </w:tc>
        <w:tc>
          <w:tcPr>
            <w:tcW w:w="2610" w:type="dxa"/>
            <w:vMerge w:val="restart"/>
            <w:vAlign w:val="center"/>
            <w:hideMark/>
          </w:tcPr>
          <w:p w14:paraId="7049C181" w14:textId="77777777" w:rsidR="00DD0977" w:rsidRPr="00DD0977" w:rsidRDefault="00DD0977" w:rsidP="00DD0977">
            <w:pPr>
              <w:spacing w:line="276" w:lineRule="auto"/>
              <w:jc w:val="left"/>
              <w:rPr>
                <w:rFonts w:cs="Arial"/>
                <w:lang w:val="en-US" w:bidi="ar-SA"/>
              </w:rPr>
            </w:pPr>
            <w:r w:rsidRPr="00DD0977">
              <w:rPr>
                <w:rFonts w:cs="Arial"/>
                <w:lang w:val="en-US" w:bidi="ar-SA"/>
              </w:rPr>
              <w:t>PR &amp; Communication Manipulation</w:t>
            </w:r>
          </w:p>
        </w:tc>
        <w:tc>
          <w:tcPr>
            <w:tcW w:w="4410" w:type="dxa"/>
            <w:vAlign w:val="center"/>
            <w:hideMark/>
          </w:tcPr>
          <w:p w14:paraId="5891604E" w14:textId="77777777" w:rsidR="00DD0977" w:rsidRPr="00DD0977" w:rsidRDefault="00DD0977" w:rsidP="00DD0977">
            <w:pPr>
              <w:spacing w:line="276" w:lineRule="auto"/>
              <w:jc w:val="left"/>
              <w:rPr>
                <w:rFonts w:cs="Arial"/>
                <w:lang w:val="en-US" w:bidi="ar-SA"/>
              </w:rPr>
            </w:pPr>
            <w:r w:rsidRPr="00DD0977">
              <w:rPr>
                <w:rFonts w:cs="Arial"/>
                <w:lang w:val="en-US" w:bidi="ar-SA"/>
              </w:rPr>
              <w:t>Myth-making in sustainability narratives</w:t>
            </w:r>
          </w:p>
        </w:tc>
        <w:tc>
          <w:tcPr>
            <w:tcW w:w="4593" w:type="dxa"/>
            <w:vAlign w:val="center"/>
            <w:hideMark/>
          </w:tcPr>
          <w:p w14:paraId="5C2886A5" w14:textId="77777777" w:rsidR="00DD0977" w:rsidRPr="00DD0977" w:rsidRDefault="00DD0977" w:rsidP="00DD0977">
            <w:pPr>
              <w:spacing w:line="276" w:lineRule="auto"/>
              <w:jc w:val="left"/>
              <w:rPr>
                <w:rFonts w:cs="Arial"/>
                <w:lang w:val="en-US" w:bidi="ar-SA"/>
              </w:rPr>
            </w:pPr>
            <w:proofErr w:type="spellStart"/>
            <w:r w:rsidRPr="00DD0977">
              <w:rPr>
                <w:rFonts w:cs="Arial"/>
                <w:lang w:val="en-US" w:bidi="ar-SA"/>
              </w:rPr>
              <w:t>Heidenstrøm</w:t>
            </w:r>
            <w:proofErr w:type="spellEnd"/>
            <w:r w:rsidRPr="00DD0977">
              <w:rPr>
                <w:rFonts w:cs="Arial"/>
                <w:lang w:val="en-US" w:bidi="ar-SA"/>
              </w:rPr>
              <w:t xml:space="preserve"> (2024)</w:t>
            </w:r>
          </w:p>
        </w:tc>
      </w:tr>
      <w:tr w:rsidR="00DD0977" w:rsidRPr="00DD0977" w14:paraId="3A383156" w14:textId="77777777" w:rsidTr="00A9343B">
        <w:tc>
          <w:tcPr>
            <w:tcW w:w="2335" w:type="dxa"/>
            <w:vMerge/>
            <w:vAlign w:val="center"/>
            <w:hideMark/>
          </w:tcPr>
          <w:p w14:paraId="510B51A8" w14:textId="77777777" w:rsidR="00DD0977" w:rsidRPr="00DD0977" w:rsidRDefault="00DD0977" w:rsidP="00DD0977">
            <w:pPr>
              <w:spacing w:line="276" w:lineRule="auto"/>
              <w:jc w:val="left"/>
              <w:rPr>
                <w:rFonts w:cs="Arial"/>
                <w:lang w:val="en-US" w:bidi="ar-SA"/>
              </w:rPr>
            </w:pPr>
          </w:p>
        </w:tc>
        <w:tc>
          <w:tcPr>
            <w:tcW w:w="2610" w:type="dxa"/>
            <w:vMerge/>
            <w:vAlign w:val="center"/>
            <w:hideMark/>
          </w:tcPr>
          <w:p w14:paraId="3A488388" w14:textId="77777777" w:rsidR="00DD0977" w:rsidRPr="00DD0977" w:rsidRDefault="00DD0977" w:rsidP="00DD0977">
            <w:pPr>
              <w:spacing w:line="276" w:lineRule="auto"/>
              <w:jc w:val="left"/>
              <w:rPr>
                <w:rFonts w:cs="Arial"/>
                <w:lang w:val="en-US" w:bidi="ar-SA"/>
              </w:rPr>
            </w:pPr>
          </w:p>
        </w:tc>
        <w:tc>
          <w:tcPr>
            <w:tcW w:w="4410" w:type="dxa"/>
            <w:vAlign w:val="center"/>
            <w:hideMark/>
          </w:tcPr>
          <w:p w14:paraId="0AEAC8A8" w14:textId="77777777" w:rsidR="00DD0977" w:rsidRPr="00DD0977" w:rsidRDefault="00DD0977" w:rsidP="00DD0977">
            <w:pPr>
              <w:spacing w:line="276" w:lineRule="auto"/>
              <w:jc w:val="left"/>
              <w:rPr>
                <w:rFonts w:cs="Arial"/>
                <w:lang w:val="en-US" w:bidi="ar-SA"/>
              </w:rPr>
            </w:pPr>
            <w:r w:rsidRPr="00DD0977">
              <w:rPr>
                <w:rFonts w:cs="Arial"/>
                <w:lang w:val="en-US" w:bidi="ar-SA"/>
              </w:rPr>
              <w:t>Social-media greenwashing strategies</w:t>
            </w:r>
          </w:p>
        </w:tc>
        <w:tc>
          <w:tcPr>
            <w:tcW w:w="4593" w:type="dxa"/>
            <w:vAlign w:val="center"/>
            <w:hideMark/>
          </w:tcPr>
          <w:p w14:paraId="6C209D1C" w14:textId="77777777" w:rsidR="00DD0977" w:rsidRPr="00DD0977" w:rsidRDefault="00DD0977" w:rsidP="00DD0977">
            <w:pPr>
              <w:spacing w:line="276" w:lineRule="auto"/>
              <w:jc w:val="left"/>
              <w:rPr>
                <w:rFonts w:cs="Arial"/>
                <w:lang w:val="en-US" w:bidi="ar-SA"/>
              </w:rPr>
            </w:pPr>
            <w:r w:rsidRPr="00DD0977">
              <w:rPr>
                <w:rFonts w:cs="Arial"/>
                <w:lang w:val="en-US" w:bidi="ar-SA"/>
              </w:rPr>
              <w:t>Sailer, Wilfing &amp; Straus (2022)</w:t>
            </w:r>
          </w:p>
        </w:tc>
      </w:tr>
      <w:tr w:rsidR="00DD0977" w:rsidRPr="00DD0977" w14:paraId="6B5F3EC9" w14:textId="77777777" w:rsidTr="00A9343B">
        <w:tc>
          <w:tcPr>
            <w:tcW w:w="2335" w:type="dxa"/>
            <w:vMerge w:val="restart"/>
            <w:vAlign w:val="center"/>
            <w:hideMark/>
          </w:tcPr>
          <w:p w14:paraId="18C974F4" w14:textId="77777777" w:rsidR="00DD0977" w:rsidRPr="00DD0977" w:rsidRDefault="00DD0977" w:rsidP="00DD0977">
            <w:pPr>
              <w:spacing w:line="276" w:lineRule="auto"/>
              <w:jc w:val="left"/>
              <w:rPr>
                <w:rFonts w:cs="Arial"/>
                <w:lang w:val="en-US" w:bidi="ar-SA"/>
              </w:rPr>
            </w:pPr>
            <w:r w:rsidRPr="00DD0977">
              <w:rPr>
                <w:rFonts w:cs="Arial"/>
                <w:b/>
                <w:bCs/>
                <w:lang w:val="en-US" w:bidi="ar-SA"/>
              </w:rPr>
              <w:t>Symbolic &amp; Marketing-focused Greenwashing</w:t>
            </w:r>
          </w:p>
        </w:tc>
        <w:tc>
          <w:tcPr>
            <w:tcW w:w="2610" w:type="dxa"/>
            <w:vMerge w:val="restart"/>
            <w:vAlign w:val="center"/>
            <w:hideMark/>
          </w:tcPr>
          <w:p w14:paraId="03987DC6" w14:textId="77777777" w:rsidR="00DD0977" w:rsidRPr="00DD0977" w:rsidRDefault="00DD0977" w:rsidP="00DD0977">
            <w:pPr>
              <w:spacing w:line="276" w:lineRule="auto"/>
              <w:jc w:val="left"/>
              <w:rPr>
                <w:rFonts w:cs="Arial"/>
                <w:lang w:val="en-US" w:bidi="ar-SA"/>
              </w:rPr>
            </w:pPr>
            <w:r w:rsidRPr="00DD0977">
              <w:rPr>
                <w:rFonts w:cs="Arial"/>
                <w:lang w:val="en-US" w:bidi="ar-SA"/>
              </w:rPr>
              <w:t>Marketing Signals without Substance</w:t>
            </w:r>
          </w:p>
        </w:tc>
        <w:tc>
          <w:tcPr>
            <w:tcW w:w="4410" w:type="dxa"/>
            <w:vAlign w:val="center"/>
            <w:hideMark/>
          </w:tcPr>
          <w:p w14:paraId="0C1DD333" w14:textId="77777777" w:rsidR="00DD0977" w:rsidRPr="00DD0977" w:rsidRDefault="00DD0977" w:rsidP="00DD0977">
            <w:pPr>
              <w:spacing w:line="276" w:lineRule="auto"/>
              <w:jc w:val="left"/>
              <w:rPr>
                <w:rFonts w:cs="Arial"/>
                <w:lang w:val="en-US" w:bidi="ar-SA"/>
              </w:rPr>
            </w:pPr>
            <w:r w:rsidRPr="00DD0977">
              <w:rPr>
                <w:rFonts w:cs="Arial"/>
                <w:lang w:val="en-US" w:bidi="ar-SA"/>
              </w:rPr>
              <w:t>Green marketing mix with limited genuine impact</w:t>
            </w:r>
          </w:p>
        </w:tc>
        <w:tc>
          <w:tcPr>
            <w:tcW w:w="4593" w:type="dxa"/>
            <w:vAlign w:val="center"/>
            <w:hideMark/>
          </w:tcPr>
          <w:p w14:paraId="6F3BFCD4" w14:textId="5473E44A" w:rsidR="00DD0977" w:rsidRPr="00DD0977" w:rsidRDefault="00DD0977" w:rsidP="00DD0977">
            <w:pPr>
              <w:spacing w:line="276" w:lineRule="auto"/>
              <w:jc w:val="left"/>
              <w:rPr>
                <w:rFonts w:cs="Arial"/>
                <w:lang w:val="en-US" w:bidi="ar-SA"/>
              </w:rPr>
            </w:pPr>
            <w:r w:rsidRPr="00DD0977">
              <w:rPr>
                <w:rFonts w:cs="Arial"/>
                <w:lang w:val="en-US" w:bidi="ar-SA"/>
              </w:rPr>
              <w:t xml:space="preserve">Andria </w:t>
            </w:r>
            <w:r w:rsidR="001D1CA2" w:rsidRPr="001D1CA2">
              <w:rPr>
                <w:rFonts w:cs="Arial"/>
                <w:i/>
                <w:iCs/>
                <w:lang w:val="en-US" w:bidi="ar-SA"/>
              </w:rPr>
              <w:t>et al</w:t>
            </w:r>
            <w:r w:rsidRPr="00DD0977">
              <w:rPr>
                <w:rFonts w:cs="Arial"/>
                <w:lang w:val="en-US" w:bidi="ar-SA"/>
              </w:rPr>
              <w:t>. (2023)</w:t>
            </w:r>
          </w:p>
        </w:tc>
      </w:tr>
      <w:tr w:rsidR="00DD0977" w:rsidRPr="00DD0977" w14:paraId="27F82270" w14:textId="77777777" w:rsidTr="00A9343B">
        <w:tc>
          <w:tcPr>
            <w:tcW w:w="2335" w:type="dxa"/>
            <w:vMerge/>
            <w:vAlign w:val="center"/>
            <w:hideMark/>
          </w:tcPr>
          <w:p w14:paraId="3FF882E8" w14:textId="77777777" w:rsidR="00DD0977" w:rsidRPr="00DD0977" w:rsidRDefault="00DD0977" w:rsidP="00DD0977">
            <w:pPr>
              <w:spacing w:line="276" w:lineRule="auto"/>
              <w:jc w:val="left"/>
              <w:rPr>
                <w:rFonts w:cs="Arial"/>
                <w:lang w:val="en-US" w:bidi="ar-SA"/>
              </w:rPr>
            </w:pPr>
          </w:p>
        </w:tc>
        <w:tc>
          <w:tcPr>
            <w:tcW w:w="2610" w:type="dxa"/>
            <w:vMerge/>
            <w:vAlign w:val="center"/>
            <w:hideMark/>
          </w:tcPr>
          <w:p w14:paraId="3BC2C8B0" w14:textId="77777777" w:rsidR="00DD0977" w:rsidRPr="00DD0977" w:rsidRDefault="00DD0977" w:rsidP="00DD0977">
            <w:pPr>
              <w:spacing w:line="276" w:lineRule="auto"/>
              <w:jc w:val="left"/>
              <w:rPr>
                <w:rFonts w:cs="Arial"/>
                <w:lang w:val="en-US" w:bidi="ar-SA"/>
              </w:rPr>
            </w:pPr>
          </w:p>
        </w:tc>
        <w:tc>
          <w:tcPr>
            <w:tcW w:w="4410" w:type="dxa"/>
            <w:vAlign w:val="center"/>
            <w:hideMark/>
          </w:tcPr>
          <w:p w14:paraId="3A99C993" w14:textId="77777777" w:rsidR="00DD0977" w:rsidRPr="00DD0977" w:rsidRDefault="00DD0977" w:rsidP="00DD0977">
            <w:pPr>
              <w:spacing w:line="276" w:lineRule="auto"/>
              <w:jc w:val="left"/>
              <w:rPr>
                <w:rFonts w:cs="Arial"/>
                <w:lang w:val="en-US" w:bidi="ar-SA"/>
              </w:rPr>
            </w:pPr>
            <w:r w:rsidRPr="00DD0977">
              <w:rPr>
                <w:rFonts w:cs="Arial"/>
                <w:lang w:val="en-US" w:bidi="ar-SA"/>
              </w:rPr>
              <w:t>Paltering: technically true but misleading claims</w:t>
            </w:r>
          </w:p>
        </w:tc>
        <w:tc>
          <w:tcPr>
            <w:tcW w:w="4593" w:type="dxa"/>
            <w:vAlign w:val="center"/>
            <w:hideMark/>
          </w:tcPr>
          <w:p w14:paraId="38D6EABD" w14:textId="77777777" w:rsidR="00DD0977" w:rsidRPr="00DD0977" w:rsidRDefault="00DD0977" w:rsidP="00DD0977">
            <w:pPr>
              <w:spacing w:line="276" w:lineRule="auto"/>
              <w:jc w:val="left"/>
              <w:rPr>
                <w:rFonts w:cs="Arial"/>
                <w:lang w:val="en-US" w:bidi="ar-SA"/>
              </w:rPr>
            </w:pPr>
            <w:r w:rsidRPr="00DD0977">
              <w:rPr>
                <w:rFonts w:cs="Arial"/>
                <w:lang w:val="en-US" w:bidi="ar-SA"/>
              </w:rPr>
              <w:t>Goswami &amp; Jaiswal (2023)</w:t>
            </w:r>
          </w:p>
        </w:tc>
      </w:tr>
      <w:tr w:rsidR="00DD0977" w:rsidRPr="00DD0977" w14:paraId="32F4ED92" w14:textId="77777777" w:rsidTr="00A9343B">
        <w:tc>
          <w:tcPr>
            <w:tcW w:w="2335" w:type="dxa"/>
            <w:vMerge/>
            <w:vAlign w:val="center"/>
            <w:hideMark/>
          </w:tcPr>
          <w:p w14:paraId="754DEAFE" w14:textId="77777777" w:rsidR="00DD0977" w:rsidRPr="00DD0977" w:rsidRDefault="00DD0977" w:rsidP="00DD0977">
            <w:pPr>
              <w:spacing w:line="276" w:lineRule="auto"/>
              <w:jc w:val="left"/>
              <w:rPr>
                <w:rFonts w:cs="Arial"/>
                <w:lang w:val="en-US" w:bidi="ar-SA"/>
              </w:rPr>
            </w:pPr>
          </w:p>
        </w:tc>
        <w:tc>
          <w:tcPr>
            <w:tcW w:w="2610" w:type="dxa"/>
            <w:vMerge w:val="restart"/>
            <w:vAlign w:val="center"/>
            <w:hideMark/>
          </w:tcPr>
          <w:p w14:paraId="493CF6FA" w14:textId="77777777" w:rsidR="00DD0977" w:rsidRPr="00DD0977" w:rsidRDefault="00DD0977" w:rsidP="00DD0977">
            <w:pPr>
              <w:spacing w:line="276" w:lineRule="auto"/>
              <w:jc w:val="left"/>
              <w:rPr>
                <w:rFonts w:cs="Arial"/>
                <w:lang w:val="en-US" w:bidi="ar-SA"/>
              </w:rPr>
            </w:pPr>
            <w:r w:rsidRPr="00DD0977">
              <w:rPr>
                <w:rFonts w:cs="Arial"/>
                <w:lang w:val="en-US" w:bidi="ar-SA"/>
              </w:rPr>
              <w:t>Sustainability Branding</w:t>
            </w:r>
          </w:p>
        </w:tc>
        <w:tc>
          <w:tcPr>
            <w:tcW w:w="4410" w:type="dxa"/>
            <w:vAlign w:val="center"/>
            <w:hideMark/>
          </w:tcPr>
          <w:p w14:paraId="42DBB374" w14:textId="77777777" w:rsidR="00DD0977" w:rsidRPr="00DD0977" w:rsidRDefault="00DD0977" w:rsidP="00DD0977">
            <w:pPr>
              <w:spacing w:line="276" w:lineRule="auto"/>
              <w:jc w:val="left"/>
              <w:rPr>
                <w:rFonts w:cs="Arial"/>
                <w:lang w:val="en-US" w:bidi="ar-SA"/>
              </w:rPr>
            </w:pPr>
            <w:r w:rsidRPr="00DD0977">
              <w:rPr>
                <w:rFonts w:cs="Arial"/>
                <w:lang w:val="en-US" w:bidi="ar-SA"/>
              </w:rPr>
              <w:t>Eco-labels / certification without verification</w:t>
            </w:r>
          </w:p>
        </w:tc>
        <w:tc>
          <w:tcPr>
            <w:tcW w:w="4593" w:type="dxa"/>
            <w:vAlign w:val="center"/>
            <w:hideMark/>
          </w:tcPr>
          <w:p w14:paraId="018052CB" w14:textId="7B50F8ED" w:rsidR="00DD0977" w:rsidRPr="00DD0977" w:rsidRDefault="00DD0977" w:rsidP="00DD0977">
            <w:pPr>
              <w:spacing w:line="276" w:lineRule="auto"/>
              <w:jc w:val="left"/>
              <w:rPr>
                <w:rFonts w:cs="Arial"/>
                <w:lang w:val="en-US" w:bidi="ar-SA"/>
              </w:rPr>
            </w:pPr>
            <w:r w:rsidRPr="00DD0977">
              <w:rPr>
                <w:rFonts w:cs="Arial"/>
                <w:lang w:val="en-US" w:bidi="ar-SA"/>
              </w:rPr>
              <w:t xml:space="preserve">Dalecki (2023); Do </w:t>
            </w:r>
            <w:r w:rsidR="001D1CA2" w:rsidRPr="001D1CA2">
              <w:rPr>
                <w:rFonts w:cs="Arial"/>
                <w:i/>
                <w:iCs/>
                <w:lang w:val="en-US" w:bidi="ar-SA"/>
              </w:rPr>
              <w:t>et al</w:t>
            </w:r>
            <w:r w:rsidRPr="00DD0977">
              <w:rPr>
                <w:rFonts w:cs="Arial"/>
                <w:lang w:val="en-US" w:bidi="ar-SA"/>
              </w:rPr>
              <w:t>. (2025)</w:t>
            </w:r>
          </w:p>
        </w:tc>
      </w:tr>
      <w:tr w:rsidR="00DD0977" w:rsidRPr="00DD0977" w14:paraId="29F2994F" w14:textId="77777777" w:rsidTr="00A9343B">
        <w:tc>
          <w:tcPr>
            <w:tcW w:w="2335" w:type="dxa"/>
            <w:vMerge/>
            <w:vAlign w:val="center"/>
            <w:hideMark/>
          </w:tcPr>
          <w:p w14:paraId="794AB9E0" w14:textId="77777777" w:rsidR="00DD0977" w:rsidRPr="00DD0977" w:rsidRDefault="00DD0977" w:rsidP="00DD0977">
            <w:pPr>
              <w:spacing w:line="276" w:lineRule="auto"/>
              <w:jc w:val="left"/>
              <w:rPr>
                <w:rFonts w:cs="Arial"/>
                <w:lang w:val="en-US" w:bidi="ar-SA"/>
              </w:rPr>
            </w:pPr>
          </w:p>
        </w:tc>
        <w:tc>
          <w:tcPr>
            <w:tcW w:w="2610" w:type="dxa"/>
            <w:vMerge/>
            <w:vAlign w:val="center"/>
            <w:hideMark/>
          </w:tcPr>
          <w:p w14:paraId="42C9C8CA" w14:textId="77777777" w:rsidR="00DD0977" w:rsidRPr="00DD0977" w:rsidRDefault="00DD0977" w:rsidP="00DD0977">
            <w:pPr>
              <w:spacing w:line="276" w:lineRule="auto"/>
              <w:jc w:val="left"/>
              <w:rPr>
                <w:rFonts w:cs="Arial"/>
                <w:lang w:val="en-US" w:bidi="ar-SA"/>
              </w:rPr>
            </w:pPr>
          </w:p>
        </w:tc>
        <w:tc>
          <w:tcPr>
            <w:tcW w:w="4410" w:type="dxa"/>
            <w:vAlign w:val="center"/>
            <w:hideMark/>
          </w:tcPr>
          <w:p w14:paraId="5228B9BC" w14:textId="77777777" w:rsidR="00DD0977" w:rsidRPr="00DD0977" w:rsidRDefault="00DD0977" w:rsidP="00DD0977">
            <w:pPr>
              <w:spacing w:line="276" w:lineRule="auto"/>
              <w:jc w:val="left"/>
              <w:rPr>
                <w:rFonts w:cs="Arial"/>
                <w:lang w:val="en-US" w:bidi="ar-SA"/>
              </w:rPr>
            </w:pPr>
            <w:r w:rsidRPr="00DD0977">
              <w:rPr>
                <w:rFonts w:cs="Arial"/>
                <w:lang w:val="en-US" w:bidi="ar-SA"/>
              </w:rPr>
              <w:t>Cross-channel sustainability messaging inconsistency</w:t>
            </w:r>
          </w:p>
        </w:tc>
        <w:tc>
          <w:tcPr>
            <w:tcW w:w="4593" w:type="dxa"/>
            <w:vAlign w:val="center"/>
            <w:hideMark/>
          </w:tcPr>
          <w:p w14:paraId="7F6A3EA7" w14:textId="5140049D" w:rsidR="00DD0977" w:rsidRPr="00DD0977" w:rsidRDefault="00DD0977" w:rsidP="00DD0977">
            <w:pPr>
              <w:spacing w:line="276" w:lineRule="auto"/>
              <w:jc w:val="left"/>
              <w:rPr>
                <w:rFonts w:cs="Arial"/>
                <w:lang w:val="en-US" w:bidi="ar-SA"/>
              </w:rPr>
            </w:pPr>
            <w:r w:rsidRPr="00DD0977">
              <w:rPr>
                <w:rFonts w:cs="Arial"/>
                <w:lang w:val="en-US" w:bidi="ar-SA"/>
              </w:rPr>
              <w:t xml:space="preserve">Garcia-Ortega </w:t>
            </w:r>
            <w:r w:rsidR="001D1CA2" w:rsidRPr="001D1CA2">
              <w:rPr>
                <w:rFonts w:cs="Arial"/>
                <w:i/>
                <w:iCs/>
                <w:lang w:val="en-US" w:bidi="ar-SA"/>
              </w:rPr>
              <w:t>et al</w:t>
            </w:r>
            <w:r w:rsidRPr="00DD0977">
              <w:rPr>
                <w:rFonts w:cs="Arial"/>
                <w:lang w:val="en-US" w:bidi="ar-SA"/>
              </w:rPr>
              <w:t>. (2025)</w:t>
            </w:r>
          </w:p>
        </w:tc>
      </w:tr>
      <w:tr w:rsidR="00DD0977" w:rsidRPr="00DD0977" w14:paraId="29DE5D4B" w14:textId="77777777" w:rsidTr="00A9343B">
        <w:tc>
          <w:tcPr>
            <w:tcW w:w="2335" w:type="dxa"/>
            <w:vMerge w:val="restart"/>
            <w:vAlign w:val="center"/>
            <w:hideMark/>
          </w:tcPr>
          <w:p w14:paraId="5AF0434A" w14:textId="77777777" w:rsidR="00DD0977" w:rsidRPr="00DD0977" w:rsidRDefault="00DD0977" w:rsidP="00DD0977">
            <w:pPr>
              <w:spacing w:line="276" w:lineRule="auto"/>
              <w:jc w:val="left"/>
              <w:rPr>
                <w:rFonts w:cs="Arial"/>
                <w:lang w:val="en-US" w:bidi="ar-SA"/>
              </w:rPr>
            </w:pPr>
            <w:r w:rsidRPr="00DD0977">
              <w:rPr>
                <w:rFonts w:cs="Arial"/>
                <w:b/>
                <w:bCs/>
                <w:lang w:val="en-US" w:bidi="ar-SA"/>
              </w:rPr>
              <w:t>Prevalence &amp; Consumer Impact</w:t>
            </w:r>
          </w:p>
        </w:tc>
        <w:tc>
          <w:tcPr>
            <w:tcW w:w="2610" w:type="dxa"/>
            <w:vMerge w:val="restart"/>
            <w:vAlign w:val="center"/>
            <w:hideMark/>
          </w:tcPr>
          <w:p w14:paraId="4E5254AF" w14:textId="77777777" w:rsidR="00DD0977" w:rsidRPr="00DD0977" w:rsidRDefault="00DD0977" w:rsidP="00DD0977">
            <w:pPr>
              <w:spacing w:line="276" w:lineRule="auto"/>
              <w:jc w:val="left"/>
              <w:rPr>
                <w:rFonts w:cs="Arial"/>
                <w:lang w:val="en-US" w:bidi="ar-SA"/>
              </w:rPr>
            </w:pPr>
            <w:r w:rsidRPr="00DD0977">
              <w:rPr>
                <w:rFonts w:cs="Arial"/>
                <w:lang w:val="en-US" w:bidi="ar-SA"/>
              </w:rPr>
              <w:t>Sectoral Patterns</w:t>
            </w:r>
          </w:p>
        </w:tc>
        <w:tc>
          <w:tcPr>
            <w:tcW w:w="4410" w:type="dxa"/>
            <w:vAlign w:val="center"/>
            <w:hideMark/>
          </w:tcPr>
          <w:p w14:paraId="47879F81" w14:textId="77777777" w:rsidR="00DD0977" w:rsidRPr="00DD0977" w:rsidRDefault="00DD0977" w:rsidP="00DD0977">
            <w:pPr>
              <w:spacing w:line="276" w:lineRule="auto"/>
              <w:jc w:val="left"/>
              <w:rPr>
                <w:rFonts w:cs="Arial"/>
                <w:lang w:val="en-US" w:bidi="ar-SA"/>
              </w:rPr>
            </w:pPr>
            <w:r w:rsidRPr="00DD0977">
              <w:rPr>
                <w:rFonts w:cs="Arial"/>
                <w:lang w:val="en-US" w:bidi="ar-SA"/>
              </w:rPr>
              <w:t>Fast-fashion greenwashing</w:t>
            </w:r>
          </w:p>
        </w:tc>
        <w:tc>
          <w:tcPr>
            <w:tcW w:w="4593" w:type="dxa"/>
            <w:vAlign w:val="center"/>
            <w:hideMark/>
          </w:tcPr>
          <w:p w14:paraId="38FF0137" w14:textId="77777777" w:rsidR="00DD0977" w:rsidRPr="00DD0977" w:rsidRDefault="00DD0977" w:rsidP="00DD0977">
            <w:pPr>
              <w:spacing w:line="276" w:lineRule="auto"/>
              <w:jc w:val="left"/>
              <w:rPr>
                <w:rFonts w:cs="Arial"/>
                <w:lang w:val="en-US" w:bidi="ar-SA"/>
              </w:rPr>
            </w:pPr>
            <w:r w:rsidRPr="00DD0977">
              <w:rPr>
                <w:rFonts w:cs="Arial"/>
                <w:lang w:val="en-US" w:bidi="ar-SA"/>
              </w:rPr>
              <w:t xml:space="preserve">Haque &amp; Lang (2025); Marko &amp; </w:t>
            </w:r>
            <w:proofErr w:type="spellStart"/>
            <w:r w:rsidRPr="00DD0977">
              <w:rPr>
                <w:rFonts w:cs="Arial"/>
                <w:lang w:val="en-US" w:bidi="ar-SA"/>
              </w:rPr>
              <w:t>Kusá</w:t>
            </w:r>
            <w:proofErr w:type="spellEnd"/>
            <w:r w:rsidRPr="00DD0977">
              <w:rPr>
                <w:rFonts w:cs="Arial"/>
                <w:lang w:val="en-US" w:bidi="ar-SA"/>
              </w:rPr>
              <w:t xml:space="preserve"> (2023)</w:t>
            </w:r>
          </w:p>
        </w:tc>
      </w:tr>
      <w:tr w:rsidR="00DD0977" w:rsidRPr="00DD0977" w14:paraId="696C0289" w14:textId="77777777" w:rsidTr="00A9343B">
        <w:tc>
          <w:tcPr>
            <w:tcW w:w="2335" w:type="dxa"/>
            <w:vMerge/>
            <w:vAlign w:val="center"/>
            <w:hideMark/>
          </w:tcPr>
          <w:p w14:paraId="52ADD692" w14:textId="77777777" w:rsidR="00DD0977" w:rsidRPr="00DD0977" w:rsidRDefault="00DD0977" w:rsidP="00DD0977">
            <w:pPr>
              <w:spacing w:line="276" w:lineRule="auto"/>
              <w:jc w:val="left"/>
              <w:rPr>
                <w:rFonts w:cs="Arial"/>
                <w:lang w:val="en-US" w:bidi="ar-SA"/>
              </w:rPr>
            </w:pPr>
          </w:p>
        </w:tc>
        <w:tc>
          <w:tcPr>
            <w:tcW w:w="2610" w:type="dxa"/>
            <w:vMerge/>
            <w:vAlign w:val="center"/>
            <w:hideMark/>
          </w:tcPr>
          <w:p w14:paraId="720D6E16" w14:textId="77777777" w:rsidR="00DD0977" w:rsidRPr="00DD0977" w:rsidRDefault="00DD0977" w:rsidP="00DD0977">
            <w:pPr>
              <w:spacing w:line="276" w:lineRule="auto"/>
              <w:jc w:val="left"/>
              <w:rPr>
                <w:rFonts w:cs="Arial"/>
                <w:lang w:val="en-US" w:bidi="ar-SA"/>
              </w:rPr>
            </w:pPr>
          </w:p>
        </w:tc>
        <w:tc>
          <w:tcPr>
            <w:tcW w:w="4410" w:type="dxa"/>
            <w:vAlign w:val="center"/>
            <w:hideMark/>
          </w:tcPr>
          <w:p w14:paraId="08453409" w14:textId="77777777" w:rsidR="00DD0977" w:rsidRPr="00DD0977" w:rsidRDefault="00DD0977" w:rsidP="00DD0977">
            <w:pPr>
              <w:spacing w:line="276" w:lineRule="auto"/>
              <w:jc w:val="left"/>
              <w:rPr>
                <w:rFonts w:cs="Arial"/>
                <w:lang w:val="en-US" w:bidi="ar-SA"/>
              </w:rPr>
            </w:pPr>
            <w:r w:rsidRPr="00DD0977">
              <w:rPr>
                <w:rFonts w:cs="Arial"/>
                <w:lang w:val="en-US" w:bidi="ar-SA"/>
              </w:rPr>
              <w:t>EU legal prevalence of greenwashing</w:t>
            </w:r>
          </w:p>
        </w:tc>
        <w:tc>
          <w:tcPr>
            <w:tcW w:w="4593" w:type="dxa"/>
            <w:vAlign w:val="center"/>
            <w:hideMark/>
          </w:tcPr>
          <w:p w14:paraId="61EA026D" w14:textId="77777777" w:rsidR="00DD0977" w:rsidRPr="00DD0977" w:rsidRDefault="00DD0977" w:rsidP="00DD0977">
            <w:pPr>
              <w:spacing w:line="276" w:lineRule="auto"/>
              <w:jc w:val="left"/>
              <w:rPr>
                <w:rFonts w:cs="Arial"/>
                <w:lang w:val="en-US" w:bidi="ar-SA"/>
              </w:rPr>
            </w:pPr>
            <w:r w:rsidRPr="00DD0977">
              <w:rPr>
                <w:rFonts w:cs="Arial"/>
                <w:lang w:val="en-US" w:bidi="ar-SA"/>
              </w:rPr>
              <w:t>Pozzo (2023)</w:t>
            </w:r>
          </w:p>
        </w:tc>
      </w:tr>
      <w:tr w:rsidR="00DD0977" w:rsidRPr="001D1CA2" w14:paraId="0DA5BF39" w14:textId="77777777" w:rsidTr="00A9343B">
        <w:tc>
          <w:tcPr>
            <w:tcW w:w="2335" w:type="dxa"/>
            <w:vMerge/>
            <w:vAlign w:val="center"/>
            <w:hideMark/>
          </w:tcPr>
          <w:p w14:paraId="6FAA3408" w14:textId="77777777" w:rsidR="00DD0977" w:rsidRPr="00DD0977" w:rsidRDefault="00DD0977" w:rsidP="00DD0977">
            <w:pPr>
              <w:spacing w:line="276" w:lineRule="auto"/>
              <w:jc w:val="left"/>
              <w:rPr>
                <w:rFonts w:cs="Arial"/>
                <w:lang w:val="en-US" w:bidi="ar-SA"/>
              </w:rPr>
            </w:pPr>
          </w:p>
        </w:tc>
        <w:tc>
          <w:tcPr>
            <w:tcW w:w="2610" w:type="dxa"/>
            <w:vMerge w:val="restart"/>
            <w:vAlign w:val="center"/>
            <w:hideMark/>
          </w:tcPr>
          <w:p w14:paraId="6F9B172E" w14:textId="77777777" w:rsidR="00DD0977" w:rsidRPr="00DD0977" w:rsidRDefault="00DD0977" w:rsidP="00DD0977">
            <w:pPr>
              <w:spacing w:line="276" w:lineRule="auto"/>
              <w:jc w:val="left"/>
              <w:rPr>
                <w:rFonts w:cs="Arial"/>
                <w:lang w:val="en-US" w:bidi="ar-SA"/>
              </w:rPr>
            </w:pPr>
            <w:r w:rsidRPr="00DD0977">
              <w:rPr>
                <w:rFonts w:cs="Arial"/>
                <w:lang w:val="en-US" w:bidi="ar-SA"/>
              </w:rPr>
              <w:t>Consumer Perception &amp; Behaviour</w:t>
            </w:r>
          </w:p>
        </w:tc>
        <w:tc>
          <w:tcPr>
            <w:tcW w:w="4410" w:type="dxa"/>
            <w:vAlign w:val="center"/>
            <w:hideMark/>
          </w:tcPr>
          <w:p w14:paraId="2BD53EB7" w14:textId="77777777" w:rsidR="00DD0977" w:rsidRPr="00DD0977" w:rsidRDefault="00DD0977" w:rsidP="00DD0977">
            <w:pPr>
              <w:spacing w:line="276" w:lineRule="auto"/>
              <w:jc w:val="left"/>
              <w:rPr>
                <w:rFonts w:cs="Arial"/>
                <w:lang w:val="en-US" w:bidi="ar-SA"/>
              </w:rPr>
            </w:pPr>
            <w:proofErr w:type="spellStart"/>
            <w:r w:rsidRPr="00DD0977">
              <w:rPr>
                <w:rFonts w:cs="Arial"/>
                <w:lang w:val="en-US" w:bidi="ar-SA"/>
              </w:rPr>
              <w:t>Scepticism</w:t>
            </w:r>
            <w:proofErr w:type="spellEnd"/>
            <w:r w:rsidRPr="00DD0977">
              <w:rPr>
                <w:rFonts w:cs="Arial"/>
                <w:lang w:val="en-US" w:bidi="ar-SA"/>
              </w:rPr>
              <w:t xml:space="preserve"> affecting trust and purchase intention</w:t>
            </w:r>
          </w:p>
        </w:tc>
        <w:tc>
          <w:tcPr>
            <w:tcW w:w="4593" w:type="dxa"/>
            <w:vAlign w:val="center"/>
            <w:hideMark/>
          </w:tcPr>
          <w:p w14:paraId="2ED3C7D3" w14:textId="23B0A1B1" w:rsidR="00DD0977" w:rsidRPr="00DD0977" w:rsidRDefault="00DD0977" w:rsidP="00DD0977">
            <w:pPr>
              <w:spacing w:line="276" w:lineRule="auto"/>
              <w:jc w:val="left"/>
              <w:rPr>
                <w:rFonts w:cs="Arial"/>
                <w:lang w:val="nl-NL" w:bidi="ar-SA"/>
              </w:rPr>
            </w:pPr>
            <w:r w:rsidRPr="00DD0977">
              <w:rPr>
                <w:rFonts w:cs="Arial"/>
                <w:lang w:val="nl-NL" w:bidi="ar-SA"/>
              </w:rPr>
              <w:t xml:space="preserve">Lu </w:t>
            </w:r>
            <w:r w:rsidR="001D1CA2" w:rsidRPr="001D1CA2">
              <w:rPr>
                <w:rFonts w:cs="Arial"/>
                <w:i/>
                <w:iCs/>
                <w:lang w:val="nl-NL" w:bidi="ar-SA"/>
              </w:rPr>
              <w:t>et al</w:t>
            </w:r>
            <w:r w:rsidRPr="00DD0977">
              <w:rPr>
                <w:rFonts w:cs="Arial"/>
                <w:lang w:val="nl-NL" w:bidi="ar-SA"/>
              </w:rPr>
              <w:t xml:space="preserve">. (2022); Policarpo </w:t>
            </w:r>
            <w:r w:rsidR="001D1CA2" w:rsidRPr="001D1CA2">
              <w:rPr>
                <w:rFonts w:cs="Arial"/>
                <w:i/>
                <w:iCs/>
                <w:lang w:val="nl-NL" w:bidi="ar-SA"/>
              </w:rPr>
              <w:t>et al</w:t>
            </w:r>
            <w:r w:rsidRPr="00DD0977">
              <w:rPr>
                <w:rFonts w:cs="Arial"/>
                <w:lang w:val="nl-NL" w:bidi="ar-SA"/>
              </w:rPr>
              <w:t>. (2023)</w:t>
            </w:r>
          </w:p>
        </w:tc>
      </w:tr>
      <w:tr w:rsidR="00DD0977" w:rsidRPr="00DD0977" w14:paraId="7A4192FC" w14:textId="77777777" w:rsidTr="00A9343B">
        <w:tc>
          <w:tcPr>
            <w:tcW w:w="2335" w:type="dxa"/>
            <w:vMerge/>
            <w:vAlign w:val="center"/>
            <w:hideMark/>
          </w:tcPr>
          <w:p w14:paraId="2AA5B1D2" w14:textId="77777777" w:rsidR="00DD0977" w:rsidRPr="00DD0977" w:rsidRDefault="00DD0977" w:rsidP="00DD0977">
            <w:pPr>
              <w:spacing w:line="276" w:lineRule="auto"/>
              <w:jc w:val="left"/>
              <w:rPr>
                <w:rFonts w:cs="Arial"/>
                <w:lang w:val="nl-NL" w:bidi="ar-SA"/>
              </w:rPr>
            </w:pPr>
          </w:p>
        </w:tc>
        <w:tc>
          <w:tcPr>
            <w:tcW w:w="2610" w:type="dxa"/>
            <w:vMerge/>
            <w:vAlign w:val="center"/>
            <w:hideMark/>
          </w:tcPr>
          <w:p w14:paraId="31A37D09" w14:textId="77777777" w:rsidR="00DD0977" w:rsidRPr="00DD0977" w:rsidRDefault="00DD0977" w:rsidP="00DD0977">
            <w:pPr>
              <w:spacing w:line="276" w:lineRule="auto"/>
              <w:jc w:val="left"/>
              <w:rPr>
                <w:rFonts w:cs="Arial"/>
                <w:lang w:val="nl-NL" w:bidi="ar-SA"/>
              </w:rPr>
            </w:pPr>
          </w:p>
        </w:tc>
        <w:tc>
          <w:tcPr>
            <w:tcW w:w="4410" w:type="dxa"/>
            <w:vAlign w:val="center"/>
            <w:hideMark/>
          </w:tcPr>
          <w:p w14:paraId="6800A180" w14:textId="77777777" w:rsidR="00DD0977" w:rsidRPr="00DD0977" w:rsidRDefault="00DD0977" w:rsidP="00DD0977">
            <w:pPr>
              <w:spacing w:line="276" w:lineRule="auto"/>
              <w:jc w:val="left"/>
              <w:rPr>
                <w:rFonts w:cs="Arial"/>
                <w:lang w:val="en-US" w:bidi="ar-SA"/>
              </w:rPr>
            </w:pPr>
            <w:r w:rsidRPr="00DD0977">
              <w:rPr>
                <w:rFonts w:cs="Arial"/>
                <w:lang w:val="en-US" w:bidi="ar-SA"/>
              </w:rPr>
              <w:t>Negative word-of-mouth and reputation damage</w:t>
            </w:r>
          </w:p>
        </w:tc>
        <w:tc>
          <w:tcPr>
            <w:tcW w:w="4593" w:type="dxa"/>
            <w:vAlign w:val="center"/>
            <w:hideMark/>
          </w:tcPr>
          <w:p w14:paraId="7B40A687" w14:textId="77777777" w:rsidR="00DD0977" w:rsidRPr="00DD0977" w:rsidRDefault="00DD0977" w:rsidP="00DD0977">
            <w:pPr>
              <w:spacing w:line="276" w:lineRule="auto"/>
              <w:jc w:val="left"/>
              <w:rPr>
                <w:rFonts w:cs="Arial"/>
                <w:lang w:val="en-US" w:bidi="ar-SA"/>
              </w:rPr>
            </w:pPr>
            <w:proofErr w:type="spellStart"/>
            <w:r w:rsidRPr="00DD0977">
              <w:rPr>
                <w:rFonts w:cs="Arial"/>
                <w:lang w:val="en-US" w:bidi="ar-SA"/>
              </w:rPr>
              <w:t>Promalessy</w:t>
            </w:r>
            <w:proofErr w:type="spellEnd"/>
            <w:r w:rsidRPr="00DD0977">
              <w:rPr>
                <w:rFonts w:cs="Arial"/>
                <w:lang w:val="en-US" w:bidi="ar-SA"/>
              </w:rPr>
              <w:t xml:space="preserve"> &amp; </w:t>
            </w:r>
            <w:proofErr w:type="spellStart"/>
            <w:r w:rsidRPr="00DD0977">
              <w:rPr>
                <w:rFonts w:cs="Arial"/>
                <w:lang w:val="en-US" w:bidi="ar-SA"/>
              </w:rPr>
              <w:t>Handriana</w:t>
            </w:r>
            <w:proofErr w:type="spellEnd"/>
            <w:r w:rsidRPr="00DD0977">
              <w:rPr>
                <w:rFonts w:cs="Arial"/>
                <w:lang w:val="en-US" w:bidi="ar-SA"/>
              </w:rPr>
              <w:t xml:space="preserve"> (2024)</w:t>
            </w:r>
          </w:p>
        </w:tc>
      </w:tr>
    </w:tbl>
    <w:p w14:paraId="393A196F" w14:textId="29ADF95B" w:rsidR="008E2284" w:rsidRDefault="008019B4" w:rsidP="008019B4">
      <w:pPr>
        <w:pStyle w:val="Heading3"/>
        <w:spacing w:before="240"/>
      </w:pPr>
      <w:bookmarkStart w:id="66" w:name="_Hlk218438943"/>
      <w:bookmarkStart w:id="67" w:name="_Toc218445698"/>
      <w:r w:rsidRPr="008019B4">
        <w:lastRenderedPageBreak/>
        <w:t xml:space="preserve">Authentic versus Deceptive Sustainability Practices: Key Gaps and Strategic Insights </w:t>
      </w:r>
      <w:bookmarkEnd w:id="66"/>
      <w:r w:rsidRPr="008019B4">
        <w:t>(RQ3)</w:t>
      </w:r>
      <w:bookmarkEnd w:id="67"/>
    </w:p>
    <w:p w14:paraId="69655817" w14:textId="695D3819" w:rsidR="00AB6AC0" w:rsidRDefault="00A9674A" w:rsidP="00AB6AC0">
      <w:r w:rsidRPr="00A9674A">
        <w:t>The table presents a summary of fifty studies used in this systematic review that is divided into four major themes: Authentic Sustainability Practises, Instances of Greenwashing, Identified Gaps and Strategic Recommendation. The study will be delivered in sub-themes, codes or insights specific to each study and citations, which will offer a systematic representation of genuine and fake sustainability measures in the fashion industry (RQ3). This summary will identify trends, gaps, and action plans, and this will serve the foundation of the further detailed discussion and synthesis.</w:t>
      </w:r>
    </w:p>
    <w:p w14:paraId="5B4C1111" w14:textId="72244F5A" w:rsidR="002B796F" w:rsidRPr="00AB6AC0" w:rsidRDefault="002B796F" w:rsidP="002B796F">
      <w:pPr>
        <w:pStyle w:val="NoSpacing"/>
        <w:jc w:val="left"/>
        <w:rPr>
          <w:lang w:val="en-US"/>
        </w:rPr>
      </w:pPr>
      <w:bookmarkStart w:id="68" w:name="_Toc218439132"/>
      <w:r>
        <w:t xml:space="preserve">Table </w:t>
      </w:r>
      <w:fldSimple w:instr=" SEQ Table \* ARABIC ">
        <w:r>
          <w:rPr>
            <w:noProof/>
          </w:rPr>
          <w:t>5</w:t>
        </w:r>
      </w:fldSimple>
      <w:r>
        <w:t xml:space="preserve"> </w:t>
      </w:r>
      <w:r w:rsidRPr="002B796F">
        <w:t>Authentic versus Deceptive Sustainability Practices</w:t>
      </w:r>
      <w:bookmarkEnd w:id="68"/>
    </w:p>
    <w:tbl>
      <w:tblPr>
        <w:tblStyle w:val="TableGridLight"/>
        <w:tblW w:w="0" w:type="auto"/>
        <w:tblLook w:val="04A0" w:firstRow="1" w:lastRow="0" w:firstColumn="1" w:lastColumn="0" w:noHBand="0" w:noVBand="1"/>
      </w:tblPr>
      <w:tblGrid>
        <w:gridCol w:w="2364"/>
        <w:gridCol w:w="2491"/>
        <w:gridCol w:w="4461"/>
        <w:gridCol w:w="4632"/>
      </w:tblGrid>
      <w:tr w:rsidR="008019B4" w:rsidRPr="008E2284" w14:paraId="70AF878C" w14:textId="77777777" w:rsidTr="00A9343B">
        <w:tc>
          <w:tcPr>
            <w:tcW w:w="2364" w:type="dxa"/>
            <w:vAlign w:val="center"/>
            <w:hideMark/>
          </w:tcPr>
          <w:p w14:paraId="0BBE246B" w14:textId="77777777" w:rsidR="008E2284" w:rsidRPr="008E2284" w:rsidRDefault="008E2284" w:rsidP="008E2284">
            <w:pPr>
              <w:spacing w:line="276" w:lineRule="auto"/>
              <w:jc w:val="left"/>
              <w:rPr>
                <w:b/>
                <w:bCs/>
                <w:lang w:val="en-US" w:bidi="ar-SA"/>
              </w:rPr>
            </w:pPr>
            <w:r w:rsidRPr="008E2284">
              <w:rPr>
                <w:b/>
                <w:bCs/>
                <w:lang w:val="en-US" w:bidi="ar-SA"/>
              </w:rPr>
              <w:t>Theme</w:t>
            </w:r>
          </w:p>
        </w:tc>
        <w:tc>
          <w:tcPr>
            <w:tcW w:w="2491" w:type="dxa"/>
            <w:vAlign w:val="center"/>
            <w:hideMark/>
          </w:tcPr>
          <w:p w14:paraId="1887CB41" w14:textId="77777777" w:rsidR="008E2284" w:rsidRPr="008E2284" w:rsidRDefault="008E2284" w:rsidP="008E2284">
            <w:pPr>
              <w:spacing w:line="276" w:lineRule="auto"/>
              <w:jc w:val="left"/>
              <w:rPr>
                <w:b/>
                <w:bCs/>
                <w:lang w:val="en-US" w:bidi="ar-SA"/>
              </w:rPr>
            </w:pPr>
            <w:r w:rsidRPr="008E2284">
              <w:rPr>
                <w:b/>
                <w:bCs/>
                <w:lang w:val="en-US" w:bidi="ar-SA"/>
              </w:rPr>
              <w:t>Sub-theme</w:t>
            </w:r>
          </w:p>
        </w:tc>
        <w:tc>
          <w:tcPr>
            <w:tcW w:w="4461" w:type="dxa"/>
            <w:vAlign w:val="center"/>
            <w:hideMark/>
          </w:tcPr>
          <w:p w14:paraId="2C8D40CD" w14:textId="77777777" w:rsidR="008E2284" w:rsidRPr="008E2284" w:rsidRDefault="008E2284" w:rsidP="008E2284">
            <w:pPr>
              <w:spacing w:line="276" w:lineRule="auto"/>
              <w:jc w:val="left"/>
              <w:rPr>
                <w:b/>
                <w:bCs/>
                <w:lang w:val="en-US" w:bidi="ar-SA"/>
              </w:rPr>
            </w:pPr>
            <w:r w:rsidRPr="008E2284">
              <w:rPr>
                <w:b/>
                <w:bCs/>
                <w:lang w:val="en-US" w:bidi="ar-SA"/>
              </w:rPr>
              <w:t>Code / Insight</w:t>
            </w:r>
          </w:p>
        </w:tc>
        <w:tc>
          <w:tcPr>
            <w:tcW w:w="4632" w:type="dxa"/>
            <w:vAlign w:val="center"/>
            <w:hideMark/>
          </w:tcPr>
          <w:p w14:paraId="41FBB730" w14:textId="77777777" w:rsidR="008E2284" w:rsidRPr="008E2284" w:rsidRDefault="008E2284" w:rsidP="008E2284">
            <w:pPr>
              <w:spacing w:line="276" w:lineRule="auto"/>
              <w:jc w:val="left"/>
              <w:rPr>
                <w:b/>
                <w:bCs/>
                <w:lang w:val="en-US" w:bidi="ar-SA"/>
              </w:rPr>
            </w:pPr>
            <w:r w:rsidRPr="008E2284">
              <w:rPr>
                <w:b/>
                <w:bCs/>
                <w:lang w:val="en-US" w:bidi="ar-SA"/>
              </w:rPr>
              <w:t>Citation</w:t>
            </w:r>
          </w:p>
        </w:tc>
      </w:tr>
      <w:tr w:rsidR="008E2284" w:rsidRPr="008E2284" w14:paraId="33D02A59" w14:textId="77777777" w:rsidTr="00A9343B">
        <w:trPr>
          <w:trHeight w:val="1584"/>
        </w:trPr>
        <w:tc>
          <w:tcPr>
            <w:tcW w:w="2364" w:type="dxa"/>
            <w:vMerge w:val="restart"/>
            <w:vAlign w:val="center"/>
            <w:hideMark/>
          </w:tcPr>
          <w:p w14:paraId="18F00145" w14:textId="4184AA3F" w:rsidR="00DD0977" w:rsidRPr="008E2284" w:rsidRDefault="008E2284" w:rsidP="008E2284">
            <w:pPr>
              <w:spacing w:line="276" w:lineRule="auto"/>
              <w:jc w:val="left"/>
              <w:rPr>
                <w:b/>
                <w:bCs/>
                <w:lang w:val="en-US" w:bidi="ar-SA"/>
              </w:rPr>
            </w:pPr>
            <w:r w:rsidRPr="008E2284">
              <w:rPr>
                <w:b/>
                <w:bCs/>
                <w:lang w:val="en-US" w:bidi="ar-SA"/>
              </w:rPr>
              <w:t>Authentic Sustainability Practices</w:t>
            </w:r>
          </w:p>
        </w:tc>
        <w:tc>
          <w:tcPr>
            <w:tcW w:w="2491" w:type="dxa"/>
            <w:vMerge w:val="restart"/>
            <w:vAlign w:val="center"/>
            <w:hideMark/>
          </w:tcPr>
          <w:p w14:paraId="4A6D6DD6" w14:textId="77777777" w:rsidR="008E2284" w:rsidRPr="008E2284" w:rsidRDefault="008E2284" w:rsidP="008E2284">
            <w:pPr>
              <w:spacing w:line="276" w:lineRule="auto"/>
              <w:jc w:val="left"/>
              <w:rPr>
                <w:lang w:val="en-US" w:bidi="ar-SA"/>
              </w:rPr>
            </w:pPr>
            <w:r w:rsidRPr="008E2284">
              <w:rPr>
                <w:lang w:val="en-US" w:bidi="ar-SA"/>
              </w:rPr>
              <w:t>Genuine Environmental &amp; Social Initiatives</w:t>
            </w:r>
          </w:p>
        </w:tc>
        <w:tc>
          <w:tcPr>
            <w:tcW w:w="4461" w:type="dxa"/>
            <w:vAlign w:val="center"/>
            <w:hideMark/>
          </w:tcPr>
          <w:p w14:paraId="631B864E" w14:textId="77777777" w:rsidR="008E2284" w:rsidRPr="008E2284" w:rsidRDefault="008E2284" w:rsidP="008E2284">
            <w:pPr>
              <w:spacing w:line="276" w:lineRule="auto"/>
              <w:jc w:val="left"/>
              <w:rPr>
                <w:lang w:val="en-US" w:bidi="ar-SA"/>
              </w:rPr>
            </w:pPr>
            <w:r w:rsidRPr="008E2284">
              <w:rPr>
                <w:lang w:val="en-US" w:bidi="ar-SA"/>
              </w:rPr>
              <w:t>Circularity and resource efficiency practices</w:t>
            </w:r>
          </w:p>
        </w:tc>
        <w:tc>
          <w:tcPr>
            <w:tcW w:w="4632" w:type="dxa"/>
            <w:vAlign w:val="center"/>
            <w:hideMark/>
          </w:tcPr>
          <w:p w14:paraId="31FC36D4" w14:textId="77777777" w:rsidR="008E2284" w:rsidRPr="008E2284" w:rsidRDefault="008E2284" w:rsidP="008E2284">
            <w:pPr>
              <w:spacing w:line="276" w:lineRule="auto"/>
              <w:jc w:val="left"/>
              <w:rPr>
                <w:lang w:val="en-US" w:bidi="ar-SA"/>
              </w:rPr>
            </w:pPr>
            <w:r w:rsidRPr="008E2284">
              <w:rPr>
                <w:lang w:val="en-US" w:bidi="ar-SA"/>
              </w:rPr>
              <w:t>Burnstine &amp; Ghattas (2025); Mofokeng (2025)</w:t>
            </w:r>
          </w:p>
        </w:tc>
      </w:tr>
      <w:tr w:rsidR="008E2284" w:rsidRPr="008E2284" w14:paraId="5F0491DC" w14:textId="77777777" w:rsidTr="00A9343B">
        <w:tc>
          <w:tcPr>
            <w:tcW w:w="2364" w:type="dxa"/>
            <w:vMerge/>
            <w:vAlign w:val="center"/>
            <w:hideMark/>
          </w:tcPr>
          <w:p w14:paraId="53F56F2C" w14:textId="77777777" w:rsidR="008E2284" w:rsidRPr="008E2284" w:rsidRDefault="008E2284" w:rsidP="008E2284">
            <w:pPr>
              <w:spacing w:line="276" w:lineRule="auto"/>
              <w:jc w:val="left"/>
              <w:rPr>
                <w:lang w:val="en-US" w:bidi="ar-SA"/>
              </w:rPr>
            </w:pPr>
          </w:p>
        </w:tc>
        <w:tc>
          <w:tcPr>
            <w:tcW w:w="2491" w:type="dxa"/>
            <w:vMerge/>
            <w:vAlign w:val="center"/>
            <w:hideMark/>
          </w:tcPr>
          <w:p w14:paraId="09B6D8D5" w14:textId="77777777" w:rsidR="008E2284" w:rsidRPr="008E2284" w:rsidRDefault="008E2284" w:rsidP="008E2284">
            <w:pPr>
              <w:spacing w:line="276" w:lineRule="auto"/>
              <w:jc w:val="left"/>
              <w:rPr>
                <w:lang w:val="en-US" w:bidi="ar-SA"/>
              </w:rPr>
            </w:pPr>
          </w:p>
        </w:tc>
        <w:tc>
          <w:tcPr>
            <w:tcW w:w="4461" w:type="dxa"/>
            <w:vAlign w:val="center"/>
            <w:hideMark/>
          </w:tcPr>
          <w:p w14:paraId="46A921CB" w14:textId="77777777" w:rsidR="008E2284" w:rsidRPr="008E2284" w:rsidRDefault="008E2284" w:rsidP="008E2284">
            <w:pPr>
              <w:spacing w:line="276" w:lineRule="auto"/>
              <w:jc w:val="left"/>
              <w:rPr>
                <w:lang w:val="en-US" w:bidi="ar-SA"/>
              </w:rPr>
            </w:pPr>
            <w:r w:rsidRPr="008E2284">
              <w:rPr>
                <w:lang w:val="en-US" w:bidi="ar-SA"/>
              </w:rPr>
              <w:t>Green innovation (GINO) and sustainable production</w:t>
            </w:r>
          </w:p>
        </w:tc>
        <w:tc>
          <w:tcPr>
            <w:tcW w:w="4632" w:type="dxa"/>
            <w:vAlign w:val="center"/>
            <w:hideMark/>
          </w:tcPr>
          <w:p w14:paraId="61824E59" w14:textId="77777777" w:rsidR="008E2284" w:rsidRPr="008E2284" w:rsidRDefault="008E2284" w:rsidP="008E2284">
            <w:pPr>
              <w:spacing w:line="276" w:lineRule="auto"/>
              <w:jc w:val="left"/>
              <w:rPr>
                <w:lang w:val="en-US" w:bidi="ar-SA"/>
              </w:rPr>
            </w:pPr>
            <w:proofErr w:type="spellStart"/>
            <w:r w:rsidRPr="008E2284">
              <w:rPr>
                <w:lang w:val="en-US" w:bidi="ar-SA"/>
              </w:rPr>
              <w:t>Habtemaryam</w:t>
            </w:r>
            <w:proofErr w:type="spellEnd"/>
            <w:r w:rsidRPr="008E2284">
              <w:rPr>
                <w:lang w:val="en-US" w:bidi="ar-SA"/>
              </w:rPr>
              <w:t>, Degoma &amp; Tsegaye (2025)</w:t>
            </w:r>
          </w:p>
        </w:tc>
      </w:tr>
      <w:tr w:rsidR="008E2284" w:rsidRPr="008E2284" w14:paraId="234D4125" w14:textId="77777777" w:rsidTr="00A9343B">
        <w:tc>
          <w:tcPr>
            <w:tcW w:w="2364" w:type="dxa"/>
            <w:vMerge/>
            <w:vAlign w:val="center"/>
            <w:hideMark/>
          </w:tcPr>
          <w:p w14:paraId="4D5C837B" w14:textId="77777777" w:rsidR="008E2284" w:rsidRPr="008E2284" w:rsidRDefault="008E2284" w:rsidP="008E2284">
            <w:pPr>
              <w:spacing w:line="276" w:lineRule="auto"/>
              <w:jc w:val="left"/>
              <w:rPr>
                <w:lang w:val="en-US" w:bidi="ar-SA"/>
              </w:rPr>
            </w:pPr>
          </w:p>
        </w:tc>
        <w:tc>
          <w:tcPr>
            <w:tcW w:w="2491" w:type="dxa"/>
            <w:vMerge/>
            <w:vAlign w:val="center"/>
            <w:hideMark/>
          </w:tcPr>
          <w:p w14:paraId="712CE85D" w14:textId="77777777" w:rsidR="008E2284" w:rsidRPr="008E2284" w:rsidRDefault="008E2284" w:rsidP="008E2284">
            <w:pPr>
              <w:spacing w:line="276" w:lineRule="auto"/>
              <w:jc w:val="left"/>
              <w:rPr>
                <w:lang w:val="en-US" w:bidi="ar-SA"/>
              </w:rPr>
            </w:pPr>
          </w:p>
        </w:tc>
        <w:tc>
          <w:tcPr>
            <w:tcW w:w="4461" w:type="dxa"/>
            <w:vAlign w:val="center"/>
            <w:hideMark/>
          </w:tcPr>
          <w:p w14:paraId="62DB1A17" w14:textId="77777777" w:rsidR="008E2284" w:rsidRPr="008E2284" w:rsidRDefault="008E2284" w:rsidP="008E2284">
            <w:pPr>
              <w:spacing w:line="276" w:lineRule="auto"/>
              <w:jc w:val="left"/>
              <w:rPr>
                <w:lang w:val="en-US" w:bidi="ar-SA"/>
              </w:rPr>
            </w:pPr>
            <w:r w:rsidRPr="008E2284">
              <w:rPr>
                <w:lang w:val="en-US" w:bidi="ar-SA"/>
              </w:rPr>
              <w:t>Transparent ESG disclosure and verified reporting</w:t>
            </w:r>
          </w:p>
        </w:tc>
        <w:tc>
          <w:tcPr>
            <w:tcW w:w="4632" w:type="dxa"/>
            <w:vAlign w:val="center"/>
            <w:hideMark/>
          </w:tcPr>
          <w:p w14:paraId="0A84CA30" w14:textId="66EBE1EC" w:rsidR="008E2284" w:rsidRPr="008E2284" w:rsidRDefault="008E2284" w:rsidP="008E2284">
            <w:pPr>
              <w:spacing w:line="276" w:lineRule="auto"/>
              <w:jc w:val="left"/>
              <w:rPr>
                <w:lang w:val="en-US" w:bidi="ar-SA"/>
              </w:rPr>
            </w:pPr>
            <w:r w:rsidRPr="008E2284">
              <w:rPr>
                <w:lang w:val="nl-NL" w:bidi="ar-SA"/>
              </w:rPr>
              <w:t xml:space="preserve">de Magalhães Silva </w:t>
            </w:r>
            <w:r w:rsidR="001D1CA2" w:rsidRPr="001D1CA2">
              <w:rPr>
                <w:i/>
                <w:iCs/>
                <w:lang w:val="nl-NL" w:bidi="ar-SA"/>
              </w:rPr>
              <w:t>et al</w:t>
            </w:r>
            <w:r w:rsidRPr="008E2284">
              <w:rPr>
                <w:lang w:val="nl-NL" w:bidi="ar-SA"/>
              </w:rPr>
              <w:t xml:space="preserve">. </w:t>
            </w:r>
            <w:r w:rsidRPr="008E2284">
              <w:rPr>
                <w:lang w:val="en-US" w:bidi="ar-SA"/>
              </w:rPr>
              <w:t xml:space="preserve">(2025); Wu </w:t>
            </w:r>
            <w:r w:rsidR="001D1CA2" w:rsidRPr="001D1CA2">
              <w:rPr>
                <w:i/>
                <w:iCs/>
                <w:lang w:val="en-US" w:bidi="ar-SA"/>
              </w:rPr>
              <w:t>et al</w:t>
            </w:r>
            <w:r w:rsidRPr="008E2284">
              <w:rPr>
                <w:lang w:val="en-US" w:bidi="ar-SA"/>
              </w:rPr>
              <w:t>. (2022)</w:t>
            </w:r>
          </w:p>
        </w:tc>
      </w:tr>
      <w:tr w:rsidR="008E2284" w:rsidRPr="008E2284" w14:paraId="224453D8" w14:textId="77777777" w:rsidTr="00A9343B">
        <w:tc>
          <w:tcPr>
            <w:tcW w:w="2364" w:type="dxa"/>
            <w:vMerge/>
            <w:vAlign w:val="center"/>
            <w:hideMark/>
          </w:tcPr>
          <w:p w14:paraId="65C8FAA3" w14:textId="77777777" w:rsidR="008E2284" w:rsidRPr="008E2284" w:rsidRDefault="008E2284" w:rsidP="008E2284">
            <w:pPr>
              <w:spacing w:line="276" w:lineRule="auto"/>
              <w:jc w:val="left"/>
              <w:rPr>
                <w:lang w:val="en-US" w:bidi="ar-SA"/>
              </w:rPr>
            </w:pPr>
          </w:p>
        </w:tc>
        <w:tc>
          <w:tcPr>
            <w:tcW w:w="2491" w:type="dxa"/>
            <w:vMerge/>
            <w:vAlign w:val="center"/>
            <w:hideMark/>
          </w:tcPr>
          <w:p w14:paraId="6A442304" w14:textId="77777777" w:rsidR="008E2284" w:rsidRPr="008E2284" w:rsidRDefault="008E2284" w:rsidP="008E2284">
            <w:pPr>
              <w:spacing w:line="276" w:lineRule="auto"/>
              <w:jc w:val="left"/>
              <w:rPr>
                <w:lang w:val="en-US" w:bidi="ar-SA"/>
              </w:rPr>
            </w:pPr>
          </w:p>
        </w:tc>
        <w:tc>
          <w:tcPr>
            <w:tcW w:w="4461" w:type="dxa"/>
            <w:vAlign w:val="center"/>
            <w:hideMark/>
          </w:tcPr>
          <w:p w14:paraId="53004E8E" w14:textId="77777777" w:rsidR="008E2284" w:rsidRPr="008E2284" w:rsidRDefault="008E2284" w:rsidP="008E2284">
            <w:pPr>
              <w:spacing w:line="276" w:lineRule="auto"/>
              <w:jc w:val="left"/>
              <w:rPr>
                <w:lang w:val="en-US" w:bidi="ar-SA"/>
              </w:rPr>
            </w:pPr>
            <w:r w:rsidRPr="008E2284">
              <w:rPr>
                <w:lang w:val="en-US" w:bidi="ar-SA"/>
              </w:rPr>
              <w:t>Ethical labour practices, fair wages, stakeholder engagement</w:t>
            </w:r>
          </w:p>
        </w:tc>
        <w:tc>
          <w:tcPr>
            <w:tcW w:w="4632" w:type="dxa"/>
            <w:vAlign w:val="center"/>
            <w:hideMark/>
          </w:tcPr>
          <w:p w14:paraId="4DD29253" w14:textId="77777777" w:rsidR="008E2284" w:rsidRPr="008E2284" w:rsidRDefault="008E2284" w:rsidP="008E2284">
            <w:pPr>
              <w:spacing w:line="276" w:lineRule="auto"/>
              <w:jc w:val="left"/>
              <w:rPr>
                <w:lang w:val="en-US" w:bidi="ar-SA"/>
              </w:rPr>
            </w:pPr>
            <w:r w:rsidRPr="008E2284">
              <w:rPr>
                <w:lang w:val="en-US" w:bidi="ar-SA"/>
              </w:rPr>
              <w:t xml:space="preserve">Henninger, </w:t>
            </w:r>
            <w:proofErr w:type="spellStart"/>
            <w:r w:rsidRPr="008E2284">
              <w:rPr>
                <w:lang w:val="en-US" w:bidi="ar-SA"/>
              </w:rPr>
              <w:t>Alevizou</w:t>
            </w:r>
            <w:proofErr w:type="spellEnd"/>
            <w:r w:rsidRPr="008E2284">
              <w:rPr>
                <w:lang w:val="en-US" w:bidi="ar-SA"/>
              </w:rPr>
              <w:t xml:space="preserve"> &amp; Oates (2016); Reza &amp; Du Plessis (2022)</w:t>
            </w:r>
          </w:p>
        </w:tc>
      </w:tr>
      <w:tr w:rsidR="008E2284" w:rsidRPr="008E2284" w14:paraId="48297928" w14:textId="77777777" w:rsidTr="00A9343B">
        <w:tc>
          <w:tcPr>
            <w:tcW w:w="2364" w:type="dxa"/>
            <w:vMerge/>
            <w:vAlign w:val="center"/>
            <w:hideMark/>
          </w:tcPr>
          <w:p w14:paraId="32514935" w14:textId="77777777" w:rsidR="008E2284" w:rsidRPr="008E2284" w:rsidRDefault="008E2284" w:rsidP="008E2284">
            <w:pPr>
              <w:spacing w:line="276" w:lineRule="auto"/>
              <w:jc w:val="left"/>
              <w:rPr>
                <w:lang w:val="en-US" w:bidi="ar-SA"/>
              </w:rPr>
            </w:pPr>
          </w:p>
        </w:tc>
        <w:tc>
          <w:tcPr>
            <w:tcW w:w="2491" w:type="dxa"/>
            <w:vMerge/>
            <w:vAlign w:val="center"/>
            <w:hideMark/>
          </w:tcPr>
          <w:p w14:paraId="73723185" w14:textId="77777777" w:rsidR="008E2284" w:rsidRPr="008E2284" w:rsidRDefault="008E2284" w:rsidP="008E2284">
            <w:pPr>
              <w:spacing w:line="276" w:lineRule="auto"/>
              <w:jc w:val="left"/>
              <w:rPr>
                <w:lang w:val="en-US" w:bidi="ar-SA"/>
              </w:rPr>
            </w:pPr>
          </w:p>
        </w:tc>
        <w:tc>
          <w:tcPr>
            <w:tcW w:w="4461" w:type="dxa"/>
            <w:vAlign w:val="center"/>
            <w:hideMark/>
          </w:tcPr>
          <w:p w14:paraId="7EE2AF27" w14:textId="77777777" w:rsidR="008E2284" w:rsidRPr="008E2284" w:rsidRDefault="008E2284" w:rsidP="008E2284">
            <w:pPr>
              <w:spacing w:line="276" w:lineRule="auto"/>
              <w:jc w:val="left"/>
              <w:rPr>
                <w:lang w:val="en-US" w:bidi="ar-SA"/>
              </w:rPr>
            </w:pPr>
            <w:r w:rsidRPr="008E2284">
              <w:rPr>
                <w:lang w:val="en-US" w:bidi="ar-SA"/>
              </w:rPr>
              <w:t>Environmental performance monitoring &amp; supply-chain traceability</w:t>
            </w:r>
          </w:p>
        </w:tc>
        <w:tc>
          <w:tcPr>
            <w:tcW w:w="4632" w:type="dxa"/>
            <w:vAlign w:val="center"/>
            <w:hideMark/>
          </w:tcPr>
          <w:p w14:paraId="5966647A" w14:textId="77777777" w:rsidR="008E2284" w:rsidRPr="008E2284" w:rsidRDefault="008E2284" w:rsidP="008E2284">
            <w:pPr>
              <w:spacing w:line="276" w:lineRule="auto"/>
              <w:jc w:val="left"/>
              <w:rPr>
                <w:lang w:val="en-US" w:bidi="ar-SA"/>
              </w:rPr>
            </w:pPr>
            <w:r w:rsidRPr="008E2284">
              <w:rPr>
                <w:lang w:val="en-US" w:bidi="ar-SA"/>
              </w:rPr>
              <w:t>Tolentino-Zondervan &amp; DiVito (2024); Mofokeng (2025)</w:t>
            </w:r>
          </w:p>
        </w:tc>
      </w:tr>
      <w:tr w:rsidR="008E2284" w:rsidRPr="00E53F87" w14:paraId="15A3531D" w14:textId="77777777" w:rsidTr="00A9343B">
        <w:tc>
          <w:tcPr>
            <w:tcW w:w="2364" w:type="dxa"/>
            <w:vMerge/>
            <w:vAlign w:val="center"/>
            <w:hideMark/>
          </w:tcPr>
          <w:p w14:paraId="7A19CF64" w14:textId="77777777" w:rsidR="008E2284" w:rsidRPr="008E2284" w:rsidRDefault="008E2284" w:rsidP="008E2284">
            <w:pPr>
              <w:spacing w:line="276" w:lineRule="auto"/>
              <w:jc w:val="left"/>
              <w:rPr>
                <w:lang w:val="en-US" w:bidi="ar-SA"/>
              </w:rPr>
            </w:pPr>
          </w:p>
        </w:tc>
        <w:tc>
          <w:tcPr>
            <w:tcW w:w="2491" w:type="dxa"/>
            <w:vMerge w:val="restart"/>
            <w:vAlign w:val="center"/>
            <w:hideMark/>
          </w:tcPr>
          <w:p w14:paraId="4B3623B1" w14:textId="77777777" w:rsidR="008E2284" w:rsidRPr="008E2284" w:rsidRDefault="008E2284" w:rsidP="008E2284">
            <w:pPr>
              <w:spacing w:line="276" w:lineRule="auto"/>
              <w:jc w:val="left"/>
              <w:rPr>
                <w:lang w:val="en-US" w:bidi="ar-SA"/>
              </w:rPr>
            </w:pPr>
            <w:r w:rsidRPr="008E2284">
              <w:rPr>
                <w:lang w:val="en-US" w:bidi="ar-SA"/>
              </w:rPr>
              <w:t>Brand Communication &amp; Consumer Trust</w:t>
            </w:r>
          </w:p>
        </w:tc>
        <w:tc>
          <w:tcPr>
            <w:tcW w:w="4461" w:type="dxa"/>
            <w:vAlign w:val="center"/>
            <w:hideMark/>
          </w:tcPr>
          <w:p w14:paraId="77041A95" w14:textId="77777777" w:rsidR="008E2284" w:rsidRPr="008E2284" w:rsidRDefault="008E2284" w:rsidP="008E2284">
            <w:pPr>
              <w:spacing w:line="276" w:lineRule="auto"/>
              <w:jc w:val="left"/>
              <w:rPr>
                <w:lang w:val="en-US" w:bidi="ar-SA"/>
              </w:rPr>
            </w:pPr>
            <w:r w:rsidRPr="008E2284">
              <w:rPr>
                <w:lang w:val="en-US" w:bidi="ar-SA"/>
              </w:rPr>
              <w:t>Green marketing mix and orientation (GMO)</w:t>
            </w:r>
          </w:p>
        </w:tc>
        <w:tc>
          <w:tcPr>
            <w:tcW w:w="4632" w:type="dxa"/>
            <w:vAlign w:val="center"/>
            <w:hideMark/>
          </w:tcPr>
          <w:p w14:paraId="737CCBCC" w14:textId="7C4321F8" w:rsidR="008E2284" w:rsidRPr="008E2284" w:rsidRDefault="008E2284" w:rsidP="008E2284">
            <w:pPr>
              <w:spacing w:line="276" w:lineRule="auto"/>
              <w:jc w:val="left"/>
              <w:rPr>
                <w:lang w:val="nl-NL" w:bidi="ar-SA"/>
              </w:rPr>
            </w:pPr>
            <w:r w:rsidRPr="008E2284">
              <w:rPr>
                <w:lang w:val="nl-NL" w:bidi="ar-SA"/>
              </w:rPr>
              <w:t xml:space="preserve">Andria </w:t>
            </w:r>
            <w:r w:rsidR="001D1CA2" w:rsidRPr="001D1CA2">
              <w:rPr>
                <w:i/>
                <w:iCs/>
                <w:lang w:val="nl-NL" w:bidi="ar-SA"/>
              </w:rPr>
              <w:t>et al</w:t>
            </w:r>
            <w:r w:rsidRPr="008E2284">
              <w:rPr>
                <w:lang w:val="nl-NL" w:bidi="ar-SA"/>
              </w:rPr>
              <w:t>. (2023); Habtemaryam, Degoma &amp; Tsegaye (2025)</w:t>
            </w:r>
          </w:p>
        </w:tc>
      </w:tr>
      <w:tr w:rsidR="008E2284" w:rsidRPr="00E53F87" w14:paraId="39DEF910" w14:textId="77777777" w:rsidTr="00A9343B">
        <w:tc>
          <w:tcPr>
            <w:tcW w:w="2364" w:type="dxa"/>
            <w:vMerge/>
            <w:vAlign w:val="center"/>
            <w:hideMark/>
          </w:tcPr>
          <w:p w14:paraId="35B838B5" w14:textId="77777777" w:rsidR="008E2284" w:rsidRPr="008E2284" w:rsidRDefault="008E2284" w:rsidP="008E2284">
            <w:pPr>
              <w:spacing w:line="276" w:lineRule="auto"/>
              <w:jc w:val="left"/>
              <w:rPr>
                <w:lang w:val="nl-NL" w:bidi="ar-SA"/>
              </w:rPr>
            </w:pPr>
          </w:p>
        </w:tc>
        <w:tc>
          <w:tcPr>
            <w:tcW w:w="2491" w:type="dxa"/>
            <w:vMerge/>
            <w:vAlign w:val="center"/>
            <w:hideMark/>
          </w:tcPr>
          <w:p w14:paraId="776441EE" w14:textId="77777777" w:rsidR="008E2284" w:rsidRPr="008E2284" w:rsidRDefault="008E2284" w:rsidP="008E2284">
            <w:pPr>
              <w:spacing w:line="276" w:lineRule="auto"/>
              <w:jc w:val="left"/>
              <w:rPr>
                <w:lang w:val="nl-NL" w:bidi="ar-SA"/>
              </w:rPr>
            </w:pPr>
          </w:p>
        </w:tc>
        <w:tc>
          <w:tcPr>
            <w:tcW w:w="4461" w:type="dxa"/>
            <w:vAlign w:val="center"/>
            <w:hideMark/>
          </w:tcPr>
          <w:p w14:paraId="5C4240EB" w14:textId="77777777" w:rsidR="008E2284" w:rsidRPr="008E2284" w:rsidRDefault="008E2284" w:rsidP="008E2284">
            <w:pPr>
              <w:spacing w:line="276" w:lineRule="auto"/>
              <w:jc w:val="left"/>
              <w:rPr>
                <w:lang w:val="en-US" w:bidi="ar-SA"/>
              </w:rPr>
            </w:pPr>
            <w:r w:rsidRPr="008E2284">
              <w:rPr>
                <w:lang w:val="en-US" w:bidi="ar-SA"/>
              </w:rPr>
              <w:t>Authentic CSR messaging and slow fashion ethics</w:t>
            </w:r>
          </w:p>
        </w:tc>
        <w:tc>
          <w:tcPr>
            <w:tcW w:w="4632" w:type="dxa"/>
            <w:vAlign w:val="center"/>
            <w:hideMark/>
          </w:tcPr>
          <w:p w14:paraId="74C16224" w14:textId="2D071E37" w:rsidR="008E2284" w:rsidRPr="008E2284" w:rsidRDefault="008E2284" w:rsidP="008E2284">
            <w:pPr>
              <w:spacing w:line="276" w:lineRule="auto"/>
              <w:jc w:val="left"/>
              <w:rPr>
                <w:lang w:val="nl-NL" w:bidi="ar-SA"/>
              </w:rPr>
            </w:pPr>
            <w:r w:rsidRPr="008E2284">
              <w:rPr>
                <w:lang w:val="nl-NL" w:bidi="ar-SA"/>
              </w:rPr>
              <w:t xml:space="preserve">Velasco-Molpeceres </w:t>
            </w:r>
            <w:r w:rsidR="001D1CA2" w:rsidRPr="001D1CA2">
              <w:rPr>
                <w:i/>
                <w:iCs/>
                <w:lang w:val="nl-NL" w:bidi="ar-SA"/>
              </w:rPr>
              <w:t>et al</w:t>
            </w:r>
            <w:r w:rsidRPr="008E2284">
              <w:rPr>
                <w:lang w:val="nl-NL" w:bidi="ar-SA"/>
              </w:rPr>
              <w:t>. (2023); Fang (2024)</w:t>
            </w:r>
          </w:p>
        </w:tc>
      </w:tr>
      <w:tr w:rsidR="008E2284" w:rsidRPr="00E53F87" w14:paraId="060F796E" w14:textId="77777777" w:rsidTr="00A9343B">
        <w:tc>
          <w:tcPr>
            <w:tcW w:w="2364" w:type="dxa"/>
            <w:vMerge w:val="restart"/>
            <w:vAlign w:val="center"/>
            <w:hideMark/>
          </w:tcPr>
          <w:p w14:paraId="3A05A990" w14:textId="77777777" w:rsidR="008E2284" w:rsidRPr="008E2284" w:rsidRDefault="008E2284" w:rsidP="008E2284">
            <w:pPr>
              <w:spacing w:line="276" w:lineRule="auto"/>
              <w:jc w:val="left"/>
              <w:rPr>
                <w:lang w:val="en-US" w:bidi="ar-SA"/>
              </w:rPr>
            </w:pPr>
            <w:r w:rsidRPr="008E2284">
              <w:rPr>
                <w:b/>
                <w:bCs/>
                <w:lang w:val="en-US" w:bidi="ar-SA"/>
              </w:rPr>
              <w:t>Instances of Greenwashing</w:t>
            </w:r>
          </w:p>
        </w:tc>
        <w:tc>
          <w:tcPr>
            <w:tcW w:w="2491" w:type="dxa"/>
            <w:vMerge w:val="restart"/>
            <w:vAlign w:val="center"/>
            <w:hideMark/>
          </w:tcPr>
          <w:p w14:paraId="0646CF7C" w14:textId="77777777" w:rsidR="008E2284" w:rsidRPr="008E2284" w:rsidRDefault="008E2284" w:rsidP="008E2284">
            <w:pPr>
              <w:spacing w:line="276" w:lineRule="auto"/>
              <w:jc w:val="left"/>
              <w:rPr>
                <w:lang w:val="en-US" w:bidi="ar-SA"/>
              </w:rPr>
            </w:pPr>
            <w:r w:rsidRPr="008E2284">
              <w:rPr>
                <w:lang w:val="en-US" w:bidi="ar-SA"/>
              </w:rPr>
              <w:t>Misleading or Symbolic Practices</w:t>
            </w:r>
          </w:p>
        </w:tc>
        <w:tc>
          <w:tcPr>
            <w:tcW w:w="4461" w:type="dxa"/>
            <w:vAlign w:val="center"/>
            <w:hideMark/>
          </w:tcPr>
          <w:p w14:paraId="6592772D" w14:textId="77777777" w:rsidR="008E2284" w:rsidRPr="008E2284" w:rsidRDefault="008E2284" w:rsidP="008E2284">
            <w:pPr>
              <w:spacing w:line="276" w:lineRule="auto"/>
              <w:jc w:val="left"/>
              <w:rPr>
                <w:lang w:val="en-US" w:bidi="ar-SA"/>
              </w:rPr>
            </w:pPr>
            <w:r w:rsidRPr="008E2284">
              <w:rPr>
                <w:lang w:val="en-US" w:bidi="ar-SA"/>
              </w:rPr>
              <w:t>Exaggerated or misleading claims (paltering, CSR-washing)</w:t>
            </w:r>
          </w:p>
        </w:tc>
        <w:tc>
          <w:tcPr>
            <w:tcW w:w="4632" w:type="dxa"/>
            <w:vAlign w:val="center"/>
            <w:hideMark/>
          </w:tcPr>
          <w:p w14:paraId="3EF2DCDA" w14:textId="77777777" w:rsidR="008E2284" w:rsidRPr="008E2284" w:rsidRDefault="008E2284" w:rsidP="008E2284">
            <w:pPr>
              <w:spacing w:line="276" w:lineRule="auto"/>
              <w:jc w:val="left"/>
              <w:rPr>
                <w:lang w:val="nl-NL" w:bidi="ar-SA"/>
              </w:rPr>
            </w:pPr>
            <w:r w:rsidRPr="008E2284">
              <w:rPr>
                <w:lang w:val="nl-NL" w:bidi="ar-SA"/>
              </w:rPr>
              <w:t>Dobos &amp; Éltető (2023); Brugman, van Huijstee &amp; Droog (2024)</w:t>
            </w:r>
          </w:p>
        </w:tc>
      </w:tr>
      <w:tr w:rsidR="008E2284" w:rsidRPr="008E2284" w14:paraId="1A857BDC" w14:textId="77777777" w:rsidTr="00A9343B">
        <w:tc>
          <w:tcPr>
            <w:tcW w:w="2364" w:type="dxa"/>
            <w:vMerge/>
            <w:vAlign w:val="center"/>
            <w:hideMark/>
          </w:tcPr>
          <w:p w14:paraId="1AB22976" w14:textId="77777777" w:rsidR="008E2284" w:rsidRPr="008E2284" w:rsidRDefault="008E2284" w:rsidP="008E2284">
            <w:pPr>
              <w:spacing w:line="276" w:lineRule="auto"/>
              <w:jc w:val="left"/>
              <w:rPr>
                <w:lang w:val="nl-NL" w:bidi="ar-SA"/>
              </w:rPr>
            </w:pPr>
          </w:p>
        </w:tc>
        <w:tc>
          <w:tcPr>
            <w:tcW w:w="2491" w:type="dxa"/>
            <w:vMerge/>
            <w:vAlign w:val="center"/>
            <w:hideMark/>
          </w:tcPr>
          <w:p w14:paraId="3FED45B2" w14:textId="77777777" w:rsidR="008E2284" w:rsidRPr="008E2284" w:rsidRDefault="008E2284" w:rsidP="008E2284">
            <w:pPr>
              <w:spacing w:line="276" w:lineRule="auto"/>
              <w:jc w:val="left"/>
              <w:rPr>
                <w:lang w:val="nl-NL" w:bidi="ar-SA"/>
              </w:rPr>
            </w:pPr>
          </w:p>
        </w:tc>
        <w:tc>
          <w:tcPr>
            <w:tcW w:w="4461" w:type="dxa"/>
            <w:vAlign w:val="center"/>
            <w:hideMark/>
          </w:tcPr>
          <w:p w14:paraId="0C978F7D" w14:textId="77777777" w:rsidR="008E2284" w:rsidRPr="008E2284" w:rsidRDefault="008E2284" w:rsidP="008E2284">
            <w:pPr>
              <w:spacing w:line="276" w:lineRule="auto"/>
              <w:jc w:val="left"/>
              <w:rPr>
                <w:lang w:val="en-US" w:bidi="ar-SA"/>
              </w:rPr>
            </w:pPr>
            <w:r w:rsidRPr="008E2284">
              <w:rPr>
                <w:lang w:val="en-US" w:bidi="ar-SA"/>
              </w:rPr>
              <w:t>Selective disclosure, greenhushing, under-reporting</w:t>
            </w:r>
          </w:p>
        </w:tc>
        <w:tc>
          <w:tcPr>
            <w:tcW w:w="4632" w:type="dxa"/>
            <w:vAlign w:val="center"/>
            <w:hideMark/>
          </w:tcPr>
          <w:p w14:paraId="2D686F60" w14:textId="77777777" w:rsidR="008E2284" w:rsidRPr="008E2284" w:rsidRDefault="008E2284" w:rsidP="008E2284">
            <w:pPr>
              <w:spacing w:line="276" w:lineRule="auto"/>
              <w:jc w:val="left"/>
              <w:rPr>
                <w:lang w:val="en-US" w:bidi="ar-SA"/>
              </w:rPr>
            </w:pPr>
            <w:proofErr w:type="spellStart"/>
            <w:r w:rsidRPr="008E2284">
              <w:rPr>
                <w:lang w:val="en-US" w:bidi="ar-SA"/>
              </w:rPr>
              <w:t>Jestratijevic</w:t>
            </w:r>
            <w:proofErr w:type="spellEnd"/>
            <w:r w:rsidRPr="008E2284">
              <w:rPr>
                <w:lang w:val="en-US" w:bidi="ar-SA"/>
              </w:rPr>
              <w:t xml:space="preserve">, </w:t>
            </w:r>
            <w:proofErr w:type="spellStart"/>
            <w:r w:rsidRPr="008E2284">
              <w:rPr>
                <w:lang w:val="en-US" w:bidi="ar-SA"/>
              </w:rPr>
              <w:t>Uanhoro</w:t>
            </w:r>
            <w:proofErr w:type="spellEnd"/>
            <w:r w:rsidRPr="008E2284">
              <w:rPr>
                <w:lang w:val="en-US" w:bidi="ar-SA"/>
              </w:rPr>
              <w:t xml:space="preserve"> &amp; Rana (2024); </w:t>
            </w:r>
            <w:proofErr w:type="spellStart"/>
            <w:r w:rsidRPr="008E2284">
              <w:rPr>
                <w:lang w:val="en-US" w:bidi="ar-SA"/>
              </w:rPr>
              <w:t>Schwoy</w:t>
            </w:r>
            <w:proofErr w:type="spellEnd"/>
            <w:r w:rsidRPr="008E2284">
              <w:rPr>
                <w:lang w:val="en-US" w:bidi="ar-SA"/>
              </w:rPr>
              <w:t xml:space="preserve">, </w:t>
            </w:r>
            <w:proofErr w:type="spellStart"/>
            <w:r w:rsidRPr="008E2284">
              <w:rPr>
                <w:lang w:val="en-US" w:bidi="ar-SA"/>
              </w:rPr>
              <w:t>Dutzi</w:t>
            </w:r>
            <w:proofErr w:type="spellEnd"/>
            <w:r w:rsidRPr="008E2284">
              <w:rPr>
                <w:lang w:val="en-US" w:bidi="ar-SA"/>
              </w:rPr>
              <w:t xml:space="preserve"> &amp; Messing (2025)</w:t>
            </w:r>
          </w:p>
        </w:tc>
      </w:tr>
      <w:tr w:rsidR="008E2284" w:rsidRPr="008E2284" w14:paraId="34132338" w14:textId="77777777" w:rsidTr="00A9343B">
        <w:tc>
          <w:tcPr>
            <w:tcW w:w="2364" w:type="dxa"/>
            <w:vMerge/>
            <w:vAlign w:val="center"/>
            <w:hideMark/>
          </w:tcPr>
          <w:p w14:paraId="0DED736D" w14:textId="77777777" w:rsidR="008E2284" w:rsidRPr="008E2284" w:rsidRDefault="008E2284" w:rsidP="008E2284">
            <w:pPr>
              <w:spacing w:line="276" w:lineRule="auto"/>
              <w:jc w:val="left"/>
              <w:rPr>
                <w:lang w:val="en-US" w:bidi="ar-SA"/>
              </w:rPr>
            </w:pPr>
          </w:p>
        </w:tc>
        <w:tc>
          <w:tcPr>
            <w:tcW w:w="2491" w:type="dxa"/>
            <w:vMerge/>
            <w:vAlign w:val="center"/>
            <w:hideMark/>
          </w:tcPr>
          <w:p w14:paraId="6971E188" w14:textId="77777777" w:rsidR="008E2284" w:rsidRPr="008E2284" w:rsidRDefault="008E2284" w:rsidP="008E2284">
            <w:pPr>
              <w:spacing w:line="276" w:lineRule="auto"/>
              <w:jc w:val="left"/>
              <w:rPr>
                <w:lang w:val="en-US" w:bidi="ar-SA"/>
              </w:rPr>
            </w:pPr>
          </w:p>
        </w:tc>
        <w:tc>
          <w:tcPr>
            <w:tcW w:w="4461" w:type="dxa"/>
            <w:vAlign w:val="center"/>
            <w:hideMark/>
          </w:tcPr>
          <w:p w14:paraId="50E5FC71" w14:textId="77777777" w:rsidR="008E2284" w:rsidRPr="008E2284" w:rsidRDefault="008E2284" w:rsidP="008E2284">
            <w:pPr>
              <w:spacing w:line="276" w:lineRule="auto"/>
              <w:jc w:val="left"/>
              <w:rPr>
                <w:lang w:val="en-US" w:bidi="ar-SA"/>
              </w:rPr>
            </w:pPr>
            <w:r w:rsidRPr="008E2284">
              <w:rPr>
                <w:lang w:val="en-US" w:bidi="ar-SA"/>
              </w:rPr>
              <w:t>Ambiguous sustainability terms &amp; narrative myths</w:t>
            </w:r>
          </w:p>
        </w:tc>
        <w:tc>
          <w:tcPr>
            <w:tcW w:w="4632" w:type="dxa"/>
            <w:vAlign w:val="center"/>
            <w:hideMark/>
          </w:tcPr>
          <w:p w14:paraId="22125352" w14:textId="4A236068" w:rsidR="008E2284" w:rsidRPr="008E2284" w:rsidRDefault="008E2284" w:rsidP="008E2284">
            <w:pPr>
              <w:spacing w:line="276" w:lineRule="auto"/>
              <w:jc w:val="left"/>
              <w:rPr>
                <w:lang w:val="en-US" w:bidi="ar-SA"/>
              </w:rPr>
            </w:pPr>
            <w:r w:rsidRPr="008E2284">
              <w:rPr>
                <w:lang w:val="en-US" w:bidi="ar-SA"/>
              </w:rPr>
              <w:t xml:space="preserve">Brydges, Henninger &amp; Hanlon (2022); </w:t>
            </w:r>
            <w:proofErr w:type="spellStart"/>
            <w:r w:rsidRPr="008E2284">
              <w:rPr>
                <w:lang w:val="en-US" w:bidi="ar-SA"/>
              </w:rPr>
              <w:t>Heidenstrøm</w:t>
            </w:r>
            <w:proofErr w:type="spellEnd"/>
            <w:r w:rsidRPr="008E2284">
              <w:rPr>
                <w:lang w:val="en-US" w:bidi="ar-SA"/>
              </w:rPr>
              <w:t xml:space="preserve"> (2024)</w:t>
            </w:r>
          </w:p>
        </w:tc>
      </w:tr>
      <w:tr w:rsidR="008E2284" w:rsidRPr="008E2284" w14:paraId="1656CF45" w14:textId="77777777" w:rsidTr="00A9343B">
        <w:tc>
          <w:tcPr>
            <w:tcW w:w="2364" w:type="dxa"/>
            <w:vMerge/>
            <w:vAlign w:val="center"/>
            <w:hideMark/>
          </w:tcPr>
          <w:p w14:paraId="5D3AD82F" w14:textId="77777777" w:rsidR="008E2284" w:rsidRPr="008E2284" w:rsidRDefault="008E2284" w:rsidP="008E2284">
            <w:pPr>
              <w:spacing w:line="276" w:lineRule="auto"/>
              <w:jc w:val="left"/>
              <w:rPr>
                <w:lang w:val="en-US" w:bidi="ar-SA"/>
              </w:rPr>
            </w:pPr>
          </w:p>
        </w:tc>
        <w:tc>
          <w:tcPr>
            <w:tcW w:w="2491" w:type="dxa"/>
            <w:vMerge w:val="restart"/>
            <w:vAlign w:val="center"/>
            <w:hideMark/>
          </w:tcPr>
          <w:p w14:paraId="35846FCC" w14:textId="77777777" w:rsidR="008E2284" w:rsidRPr="008E2284" w:rsidRDefault="008E2284" w:rsidP="008E2284">
            <w:pPr>
              <w:spacing w:line="276" w:lineRule="auto"/>
              <w:jc w:val="left"/>
              <w:rPr>
                <w:lang w:val="en-US" w:bidi="ar-SA"/>
              </w:rPr>
            </w:pPr>
            <w:r w:rsidRPr="008E2284">
              <w:rPr>
                <w:lang w:val="en-US" w:bidi="ar-SA"/>
              </w:rPr>
              <w:t>Consumer &amp; Market Effects</w:t>
            </w:r>
          </w:p>
        </w:tc>
        <w:tc>
          <w:tcPr>
            <w:tcW w:w="4461" w:type="dxa"/>
            <w:vAlign w:val="center"/>
            <w:hideMark/>
          </w:tcPr>
          <w:p w14:paraId="34C1AE17" w14:textId="77777777" w:rsidR="008E2284" w:rsidRPr="008E2284" w:rsidRDefault="008E2284" w:rsidP="008E2284">
            <w:pPr>
              <w:spacing w:line="276" w:lineRule="auto"/>
              <w:jc w:val="left"/>
              <w:rPr>
                <w:lang w:val="en-US" w:bidi="ar-SA"/>
              </w:rPr>
            </w:pPr>
            <w:proofErr w:type="spellStart"/>
            <w:r w:rsidRPr="008E2284">
              <w:rPr>
                <w:lang w:val="en-US" w:bidi="ar-SA"/>
              </w:rPr>
              <w:t>Scepticism</w:t>
            </w:r>
            <w:proofErr w:type="spellEnd"/>
            <w:r w:rsidRPr="008E2284">
              <w:rPr>
                <w:lang w:val="en-US" w:bidi="ar-SA"/>
              </w:rPr>
              <w:t>, reduced trust, negative purchase intention</w:t>
            </w:r>
          </w:p>
        </w:tc>
        <w:tc>
          <w:tcPr>
            <w:tcW w:w="4632" w:type="dxa"/>
            <w:vAlign w:val="center"/>
            <w:hideMark/>
          </w:tcPr>
          <w:p w14:paraId="05407F0D" w14:textId="0ED72BAA" w:rsidR="008E2284" w:rsidRPr="008E2284" w:rsidRDefault="008E2284" w:rsidP="008E2284">
            <w:pPr>
              <w:spacing w:line="276" w:lineRule="auto"/>
              <w:jc w:val="left"/>
              <w:rPr>
                <w:lang w:val="en-US" w:bidi="ar-SA"/>
              </w:rPr>
            </w:pPr>
            <w:r w:rsidRPr="008E2284">
              <w:rPr>
                <w:lang w:val="en-US" w:bidi="ar-SA"/>
              </w:rPr>
              <w:t xml:space="preserve">Lu </w:t>
            </w:r>
            <w:r w:rsidR="001D1CA2" w:rsidRPr="001D1CA2">
              <w:rPr>
                <w:i/>
                <w:iCs/>
                <w:lang w:val="en-US" w:bidi="ar-SA"/>
              </w:rPr>
              <w:t>et al</w:t>
            </w:r>
            <w:r w:rsidRPr="008E2284">
              <w:rPr>
                <w:lang w:val="en-US" w:bidi="ar-SA"/>
              </w:rPr>
              <w:t xml:space="preserve">. (2022); Marko &amp; </w:t>
            </w:r>
            <w:proofErr w:type="spellStart"/>
            <w:r w:rsidRPr="008E2284">
              <w:rPr>
                <w:lang w:val="en-US" w:bidi="ar-SA"/>
              </w:rPr>
              <w:t>Kusá</w:t>
            </w:r>
            <w:proofErr w:type="spellEnd"/>
            <w:r w:rsidRPr="008E2284">
              <w:rPr>
                <w:lang w:val="en-US" w:bidi="ar-SA"/>
              </w:rPr>
              <w:t xml:space="preserve"> (2023); Goswami &amp; Jaiswal (2023)</w:t>
            </w:r>
          </w:p>
        </w:tc>
      </w:tr>
      <w:tr w:rsidR="008E2284" w:rsidRPr="008E2284" w14:paraId="637DB883" w14:textId="77777777" w:rsidTr="00A9343B">
        <w:tc>
          <w:tcPr>
            <w:tcW w:w="2364" w:type="dxa"/>
            <w:vMerge/>
            <w:vAlign w:val="center"/>
            <w:hideMark/>
          </w:tcPr>
          <w:p w14:paraId="1B5A50BA" w14:textId="77777777" w:rsidR="008E2284" w:rsidRPr="008E2284" w:rsidRDefault="008E2284" w:rsidP="008E2284">
            <w:pPr>
              <w:spacing w:line="276" w:lineRule="auto"/>
              <w:jc w:val="left"/>
              <w:rPr>
                <w:lang w:val="en-US" w:bidi="ar-SA"/>
              </w:rPr>
            </w:pPr>
          </w:p>
        </w:tc>
        <w:tc>
          <w:tcPr>
            <w:tcW w:w="2491" w:type="dxa"/>
            <w:vMerge/>
            <w:vAlign w:val="center"/>
            <w:hideMark/>
          </w:tcPr>
          <w:p w14:paraId="72D7AE0F" w14:textId="77777777" w:rsidR="008E2284" w:rsidRPr="008E2284" w:rsidRDefault="008E2284" w:rsidP="008E2284">
            <w:pPr>
              <w:spacing w:line="276" w:lineRule="auto"/>
              <w:jc w:val="left"/>
              <w:rPr>
                <w:lang w:val="en-US" w:bidi="ar-SA"/>
              </w:rPr>
            </w:pPr>
          </w:p>
        </w:tc>
        <w:tc>
          <w:tcPr>
            <w:tcW w:w="4461" w:type="dxa"/>
            <w:vAlign w:val="center"/>
            <w:hideMark/>
          </w:tcPr>
          <w:p w14:paraId="573D6205" w14:textId="77777777" w:rsidR="008E2284" w:rsidRPr="008E2284" w:rsidRDefault="008E2284" w:rsidP="008E2284">
            <w:pPr>
              <w:spacing w:line="276" w:lineRule="auto"/>
              <w:jc w:val="left"/>
              <w:rPr>
                <w:lang w:val="en-US" w:bidi="ar-SA"/>
              </w:rPr>
            </w:pPr>
            <w:r w:rsidRPr="008E2284">
              <w:rPr>
                <w:lang w:val="en-US" w:bidi="ar-SA"/>
              </w:rPr>
              <w:t>Social-media greenwashing influence</w:t>
            </w:r>
          </w:p>
        </w:tc>
        <w:tc>
          <w:tcPr>
            <w:tcW w:w="4632" w:type="dxa"/>
            <w:vAlign w:val="center"/>
            <w:hideMark/>
          </w:tcPr>
          <w:p w14:paraId="68E63B4C" w14:textId="77777777" w:rsidR="008E2284" w:rsidRPr="008E2284" w:rsidRDefault="008E2284" w:rsidP="008E2284">
            <w:pPr>
              <w:spacing w:line="276" w:lineRule="auto"/>
              <w:jc w:val="left"/>
              <w:rPr>
                <w:lang w:val="en-US" w:bidi="ar-SA"/>
              </w:rPr>
            </w:pPr>
            <w:r w:rsidRPr="008E2284">
              <w:rPr>
                <w:lang w:val="en-US" w:bidi="ar-SA"/>
              </w:rPr>
              <w:t>Fang (2024); Sailer, Wilfing &amp; Straus (2022)</w:t>
            </w:r>
          </w:p>
        </w:tc>
      </w:tr>
      <w:tr w:rsidR="008E2284" w:rsidRPr="008E2284" w14:paraId="34D60347" w14:textId="77777777" w:rsidTr="00A9343B">
        <w:tc>
          <w:tcPr>
            <w:tcW w:w="2364" w:type="dxa"/>
            <w:vMerge w:val="restart"/>
            <w:vAlign w:val="center"/>
            <w:hideMark/>
          </w:tcPr>
          <w:p w14:paraId="691C54A0" w14:textId="77777777" w:rsidR="008E2284" w:rsidRPr="008E2284" w:rsidRDefault="008E2284" w:rsidP="008E2284">
            <w:pPr>
              <w:spacing w:line="276" w:lineRule="auto"/>
              <w:jc w:val="left"/>
              <w:rPr>
                <w:lang w:val="en-US" w:bidi="ar-SA"/>
              </w:rPr>
            </w:pPr>
            <w:r w:rsidRPr="008E2284">
              <w:rPr>
                <w:b/>
                <w:bCs/>
                <w:lang w:val="en-US" w:bidi="ar-SA"/>
              </w:rPr>
              <w:t>Identified Gaps</w:t>
            </w:r>
          </w:p>
        </w:tc>
        <w:tc>
          <w:tcPr>
            <w:tcW w:w="2491" w:type="dxa"/>
            <w:vMerge w:val="restart"/>
            <w:vAlign w:val="center"/>
            <w:hideMark/>
          </w:tcPr>
          <w:p w14:paraId="7EE7728F" w14:textId="77777777" w:rsidR="008E2284" w:rsidRPr="008E2284" w:rsidRDefault="008E2284" w:rsidP="008E2284">
            <w:pPr>
              <w:spacing w:line="276" w:lineRule="auto"/>
              <w:jc w:val="left"/>
              <w:rPr>
                <w:lang w:val="en-US" w:bidi="ar-SA"/>
              </w:rPr>
            </w:pPr>
            <w:r w:rsidRPr="008E2284">
              <w:rPr>
                <w:lang w:val="en-US" w:bidi="ar-SA"/>
              </w:rPr>
              <w:t>Policy &amp; Governance</w:t>
            </w:r>
          </w:p>
        </w:tc>
        <w:tc>
          <w:tcPr>
            <w:tcW w:w="4461" w:type="dxa"/>
            <w:vAlign w:val="center"/>
            <w:hideMark/>
          </w:tcPr>
          <w:p w14:paraId="1022E27F" w14:textId="77777777" w:rsidR="008E2284" w:rsidRPr="008E2284" w:rsidRDefault="008E2284" w:rsidP="008E2284">
            <w:pPr>
              <w:spacing w:line="276" w:lineRule="auto"/>
              <w:jc w:val="left"/>
              <w:rPr>
                <w:lang w:val="en-US" w:bidi="ar-SA"/>
              </w:rPr>
            </w:pPr>
            <w:r w:rsidRPr="008E2284">
              <w:rPr>
                <w:lang w:val="en-US" w:bidi="ar-SA"/>
              </w:rPr>
              <w:t>Weak regulatory enforcement, auditing gaps</w:t>
            </w:r>
          </w:p>
        </w:tc>
        <w:tc>
          <w:tcPr>
            <w:tcW w:w="4632" w:type="dxa"/>
            <w:vAlign w:val="center"/>
            <w:hideMark/>
          </w:tcPr>
          <w:p w14:paraId="2557D012" w14:textId="77777777" w:rsidR="008E2284" w:rsidRPr="008E2284" w:rsidRDefault="008E2284" w:rsidP="008E2284">
            <w:pPr>
              <w:spacing w:line="276" w:lineRule="auto"/>
              <w:jc w:val="left"/>
              <w:rPr>
                <w:lang w:val="en-US" w:bidi="ar-SA"/>
              </w:rPr>
            </w:pPr>
            <w:r w:rsidRPr="008E2284">
              <w:rPr>
                <w:lang w:val="en-US" w:bidi="ar-SA"/>
              </w:rPr>
              <w:t xml:space="preserve">Pozzo (2023); </w:t>
            </w:r>
            <w:proofErr w:type="spellStart"/>
            <w:r w:rsidRPr="008E2284">
              <w:rPr>
                <w:lang w:val="en-US" w:bidi="ar-SA"/>
              </w:rPr>
              <w:t>Jestratijevic</w:t>
            </w:r>
            <w:proofErr w:type="spellEnd"/>
            <w:r w:rsidRPr="008E2284">
              <w:rPr>
                <w:lang w:val="en-US" w:bidi="ar-SA"/>
              </w:rPr>
              <w:t xml:space="preserve">, </w:t>
            </w:r>
            <w:proofErr w:type="spellStart"/>
            <w:r w:rsidRPr="008E2284">
              <w:rPr>
                <w:lang w:val="en-US" w:bidi="ar-SA"/>
              </w:rPr>
              <w:t>Uanhoro</w:t>
            </w:r>
            <w:proofErr w:type="spellEnd"/>
            <w:r w:rsidRPr="008E2284">
              <w:rPr>
                <w:lang w:val="en-US" w:bidi="ar-SA"/>
              </w:rPr>
              <w:t xml:space="preserve"> &amp; Rana (2024)</w:t>
            </w:r>
          </w:p>
        </w:tc>
      </w:tr>
      <w:tr w:rsidR="008E2284" w:rsidRPr="008E2284" w14:paraId="3187E926" w14:textId="77777777" w:rsidTr="00A9343B">
        <w:tc>
          <w:tcPr>
            <w:tcW w:w="2364" w:type="dxa"/>
            <w:vMerge/>
            <w:vAlign w:val="center"/>
            <w:hideMark/>
          </w:tcPr>
          <w:p w14:paraId="1148923D" w14:textId="77777777" w:rsidR="008E2284" w:rsidRPr="008E2284" w:rsidRDefault="008E2284" w:rsidP="008E2284">
            <w:pPr>
              <w:spacing w:line="276" w:lineRule="auto"/>
              <w:jc w:val="left"/>
              <w:rPr>
                <w:lang w:val="en-US" w:bidi="ar-SA"/>
              </w:rPr>
            </w:pPr>
          </w:p>
        </w:tc>
        <w:tc>
          <w:tcPr>
            <w:tcW w:w="2491" w:type="dxa"/>
            <w:vMerge/>
            <w:vAlign w:val="center"/>
            <w:hideMark/>
          </w:tcPr>
          <w:p w14:paraId="281EE0AA" w14:textId="77777777" w:rsidR="008E2284" w:rsidRPr="008E2284" w:rsidRDefault="008E2284" w:rsidP="008E2284">
            <w:pPr>
              <w:spacing w:line="276" w:lineRule="auto"/>
              <w:jc w:val="left"/>
              <w:rPr>
                <w:lang w:val="en-US" w:bidi="ar-SA"/>
              </w:rPr>
            </w:pPr>
          </w:p>
        </w:tc>
        <w:tc>
          <w:tcPr>
            <w:tcW w:w="4461" w:type="dxa"/>
            <w:vAlign w:val="center"/>
            <w:hideMark/>
          </w:tcPr>
          <w:p w14:paraId="439D9D91" w14:textId="77777777" w:rsidR="008E2284" w:rsidRPr="008E2284" w:rsidRDefault="008E2284" w:rsidP="008E2284">
            <w:pPr>
              <w:spacing w:line="276" w:lineRule="auto"/>
              <w:jc w:val="left"/>
              <w:rPr>
                <w:lang w:val="en-US" w:bidi="ar-SA"/>
              </w:rPr>
            </w:pPr>
            <w:r w:rsidRPr="008E2284">
              <w:rPr>
                <w:lang w:val="en-US" w:bidi="ar-SA"/>
              </w:rPr>
              <w:t xml:space="preserve">Lack of </w:t>
            </w:r>
            <w:proofErr w:type="spellStart"/>
            <w:r w:rsidRPr="008E2284">
              <w:rPr>
                <w:lang w:val="en-US" w:bidi="ar-SA"/>
              </w:rPr>
              <w:t>standardised</w:t>
            </w:r>
            <w:proofErr w:type="spellEnd"/>
            <w:r w:rsidRPr="008E2284">
              <w:rPr>
                <w:lang w:val="en-US" w:bidi="ar-SA"/>
              </w:rPr>
              <w:t xml:space="preserve"> sustainability metrics</w:t>
            </w:r>
          </w:p>
        </w:tc>
        <w:tc>
          <w:tcPr>
            <w:tcW w:w="4632" w:type="dxa"/>
            <w:vAlign w:val="center"/>
            <w:hideMark/>
          </w:tcPr>
          <w:p w14:paraId="10B2AC47" w14:textId="77777777" w:rsidR="008E2284" w:rsidRPr="008E2284" w:rsidRDefault="008E2284" w:rsidP="008E2284">
            <w:pPr>
              <w:spacing w:line="276" w:lineRule="auto"/>
              <w:jc w:val="left"/>
              <w:rPr>
                <w:lang w:val="en-US" w:bidi="ar-SA"/>
              </w:rPr>
            </w:pPr>
            <w:r w:rsidRPr="008E2284">
              <w:rPr>
                <w:lang w:val="en-US" w:bidi="ar-SA"/>
              </w:rPr>
              <w:t>Burnstine &amp; Ghattas (2025); Brydges, Henninger &amp; Hanlon (2022)</w:t>
            </w:r>
          </w:p>
        </w:tc>
      </w:tr>
      <w:tr w:rsidR="008E2284" w:rsidRPr="00E53F87" w14:paraId="29CB8891" w14:textId="77777777" w:rsidTr="00A9343B">
        <w:tc>
          <w:tcPr>
            <w:tcW w:w="2364" w:type="dxa"/>
            <w:vMerge/>
            <w:vAlign w:val="center"/>
            <w:hideMark/>
          </w:tcPr>
          <w:p w14:paraId="460829FA" w14:textId="77777777" w:rsidR="008E2284" w:rsidRPr="008E2284" w:rsidRDefault="008E2284" w:rsidP="008E2284">
            <w:pPr>
              <w:spacing w:line="276" w:lineRule="auto"/>
              <w:jc w:val="left"/>
              <w:rPr>
                <w:lang w:val="en-US" w:bidi="ar-SA"/>
              </w:rPr>
            </w:pPr>
          </w:p>
        </w:tc>
        <w:tc>
          <w:tcPr>
            <w:tcW w:w="2491" w:type="dxa"/>
            <w:vAlign w:val="center"/>
            <w:hideMark/>
          </w:tcPr>
          <w:p w14:paraId="423F2720" w14:textId="77777777" w:rsidR="008E2284" w:rsidRPr="008E2284" w:rsidRDefault="008E2284" w:rsidP="008E2284">
            <w:pPr>
              <w:spacing w:line="276" w:lineRule="auto"/>
              <w:jc w:val="left"/>
              <w:rPr>
                <w:lang w:val="en-US" w:bidi="ar-SA"/>
              </w:rPr>
            </w:pPr>
            <w:r w:rsidRPr="008E2284">
              <w:rPr>
                <w:lang w:val="en-US" w:bidi="ar-SA"/>
              </w:rPr>
              <w:t>Transparency &amp; Verification</w:t>
            </w:r>
          </w:p>
        </w:tc>
        <w:tc>
          <w:tcPr>
            <w:tcW w:w="4461" w:type="dxa"/>
            <w:vAlign w:val="center"/>
            <w:hideMark/>
          </w:tcPr>
          <w:p w14:paraId="0BCCBF29" w14:textId="77777777" w:rsidR="008E2284" w:rsidRPr="008E2284" w:rsidRDefault="008E2284" w:rsidP="008E2284">
            <w:pPr>
              <w:spacing w:line="276" w:lineRule="auto"/>
              <w:jc w:val="left"/>
              <w:rPr>
                <w:lang w:val="en-US" w:bidi="ar-SA"/>
              </w:rPr>
            </w:pPr>
            <w:r w:rsidRPr="008E2284">
              <w:rPr>
                <w:lang w:val="en-US" w:bidi="ar-SA"/>
              </w:rPr>
              <w:t>Limited third-party certification &amp; verification</w:t>
            </w:r>
          </w:p>
        </w:tc>
        <w:tc>
          <w:tcPr>
            <w:tcW w:w="4632" w:type="dxa"/>
            <w:vAlign w:val="center"/>
            <w:hideMark/>
          </w:tcPr>
          <w:p w14:paraId="48CE34C7" w14:textId="3C3A69F9" w:rsidR="008E2284" w:rsidRPr="008E2284" w:rsidRDefault="008E2284" w:rsidP="008E2284">
            <w:pPr>
              <w:spacing w:line="276" w:lineRule="auto"/>
              <w:jc w:val="left"/>
              <w:rPr>
                <w:lang w:val="nl-NL" w:bidi="ar-SA"/>
              </w:rPr>
            </w:pPr>
            <w:r w:rsidRPr="008E2284">
              <w:rPr>
                <w:lang w:val="nl-NL" w:bidi="ar-SA"/>
              </w:rPr>
              <w:t xml:space="preserve">Do </w:t>
            </w:r>
            <w:r w:rsidR="001D1CA2" w:rsidRPr="001D1CA2">
              <w:rPr>
                <w:i/>
                <w:iCs/>
                <w:lang w:val="nl-NL" w:bidi="ar-SA"/>
              </w:rPr>
              <w:t>et al</w:t>
            </w:r>
            <w:r w:rsidRPr="008E2284">
              <w:rPr>
                <w:lang w:val="nl-NL" w:bidi="ar-SA"/>
              </w:rPr>
              <w:t>. (2025); Li, Cavender &amp; Lee (2025)</w:t>
            </w:r>
          </w:p>
        </w:tc>
      </w:tr>
      <w:tr w:rsidR="008E2284" w:rsidRPr="008E2284" w14:paraId="1794DE1A" w14:textId="77777777" w:rsidTr="00A9343B">
        <w:tc>
          <w:tcPr>
            <w:tcW w:w="2364" w:type="dxa"/>
            <w:vMerge/>
            <w:vAlign w:val="center"/>
            <w:hideMark/>
          </w:tcPr>
          <w:p w14:paraId="0042E717" w14:textId="77777777" w:rsidR="008E2284" w:rsidRPr="008E2284" w:rsidRDefault="008E2284" w:rsidP="008E2284">
            <w:pPr>
              <w:spacing w:line="276" w:lineRule="auto"/>
              <w:jc w:val="left"/>
              <w:rPr>
                <w:lang w:val="nl-NL" w:bidi="ar-SA"/>
              </w:rPr>
            </w:pPr>
          </w:p>
        </w:tc>
        <w:tc>
          <w:tcPr>
            <w:tcW w:w="2491" w:type="dxa"/>
            <w:vAlign w:val="center"/>
            <w:hideMark/>
          </w:tcPr>
          <w:p w14:paraId="21A80A9D" w14:textId="77777777" w:rsidR="008E2284" w:rsidRPr="008E2284" w:rsidRDefault="008E2284" w:rsidP="008E2284">
            <w:pPr>
              <w:spacing w:line="276" w:lineRule="auto"/>
              <w:jc w:val="left"/>
              <w:rPr>
                <w:lang w:val="en-US" w:bidi="ar-SA"/>
              </w:rPr>
            </w:pPr>
            <w:r w:rsidRPr="008E2284">
              <w:rPr>
                <w:lang w:val="en-US" w:bidi="ar-SA"/>
              </w:rPr>
              <w:t>Consumer Engagement &amp; Education</w:t>
            </w:r>
          </w:p>
        </w:tc>
        <w:tc>
          <w:tcPr>
            <w:tcW w:w="4461" w:type="dxa"/>
            <w:vAlign w:val="center"/>
            <w:hideMark/>
          </w:tcPr>
          <w:p w14:paraId="46ABF7C9" w14:textId="77777777" w:rsidR="008E2284" w:rsidRPr="008E2284" w:rsidRDefault="008E2284" w:rsidP="008E2284">
            <w:pPr>
              <w:spacing w:line="276" w:lineRule="auto"/>
              <w:jc w:val="left"/>
              <w:rPr>
                <w:lang w:val="en-US" w:bidi="ar-SA"/>
              </w:rPr>
            </w:pPr>
            <w:r w:rsidRPr="008E2284">
              <w:rPr>
                <w:lang w:val="en-US" w:bidi="ar-SA"/>
              </w:rPr>
              <w:t>Consumer confusion, low awareness of authenticity vs greenwashing</w:t>
            </w:r>
          </w:p>
        </w:tc>
        <w:tc>
          <w:tcPr>
            <w:tcW w:w="4632" w:type="dxa"/>
            <w:vAlign w:val="center"/>
            <w:hideMark/>
          </w:tcPr>
          <w:p w14:paraId="4E4DBE93" w14:textId="77777777" w:rsidR="008E2284" w:rsidRPr="008E2284" w:rsidRDefault="008E2284" w:rsidP="008E2284">
            <w:pPr>
              <w:spacing w:line="276" w:lineRule="auto"/>
              <w:jc w:val="left"/>
              <w:rPr>
                <w:lang w:val="en-US" w:bidi="ar-SA"/>
              </w:rPr>
            </w:pPr>
            <w:r w:rsidRPr="008E2284">
              <w:rPr>
                <w:lang w:val="en-US" w:bidi="ar-SA"/>
              </w:rPr>
              <w:t>Evans &amp; Peirson-Smith (2018); Lovrić &amp; Čagalj (2025)</w:t>
            </w:r>
          </w:p>
        </w:tc>
      </w:tr>
      <w:tr w:rsidR="008E2284" w:rsidRPr="008E2284" w14:paraId="75756E8E" w14:textId="77777777" w:rsidTr="00A9343B">
        <w:tc>
          <w:tcPr>
            <w:tcW w:w="2364" w:type="dxa"/>
            <w:vMerge w:val="restart"/>
            <w:vAlign w:val="center"/>
            <w:hideMark/>
          </w:tcPr>
          <w:p w14:paraId="451956F9" w14:textId="77777777" w:rsidR="008E2284" w:rsidRPr="008E2284" w:rsidRDefault="008E2284" w:rsidP="008E2284">
            <w:pPr>
              <w:spacing w:line="276" w:lineRule="auto"/>
              <w:jc w:val="left"/>
              <w:rPr>
                <w:lang w:val="en-US" w:bidi="ar-SA"/>
              </w:rPr>
            </w:pPr>
            <w:r w:rsidRPr="008E2284">
              <w:rPr>
                <w:b/>
                <w:bCs/>
                <w:lang w:val="en-US" w:bidi="ar-SA"/>
              </w:rPr>
              <w:t>Strategic Recommendations</w:t>
            </w:r>
          </w:p>
        </w:tc>
        <w:tc>
          <w:tcPr>
            <w:tcW w:w="2491" w:type="dxa"/>
            <w:vMerge w:val="restart"/>
            <w:vAlign w:val="center"/>
            <w:hideMark/>
          </w:tcPr>
          <w:p w14:paraId="782A6BE4" w14:textId="77777777" w:rsidR="008E2284" w:rsidRPr="008E2284" w:rsidRDefault="008E2284" w:rsidP="008E2284">
            <w:pPr>
              <w:spacing w:line="276" w:lineRule="auto"/>
              <w:jc w:val="left"/>
              <w:rPr>
                <w:lang w:val="en-US" w:bidi="ar-SA"/>
              </w:rPr>
            </w:pPr>
            <w:r w:rsidRPr="008E2284">
              <w:rPr>
                <w:lang w:val="en-US" w:bidi="ar-SA"/>
              </w:rPr>
              <w:t>Enhancing Authenticity</w:t>
            </w:r>
          </w:p>
        </w:tc>
        <w:tc>
          <w:tcPr>
            <w:tcW w:w="4461" w:type="dxa"/>
            <w:vAlign w:val="center"/>
            <w:hideMark/>
          </w:tcPr>
          <w:p w14:paraId="0E79F714" w14:textId="77777777" w:rsidR="008E2284" w:rsidRPr="008E2284" w:rsidRDefault="008E2284" w:rsidP="008E2284">
            <w:pPr>
              <w:spacing w:line="276" w:lineRule="auto"/>
              <w:jc w:val="left"/>
              <w:rPr>
                <w:lang w:val="en-US" w:bidi="ar-SA"/>
              </w:rPr>
            </w:pPr>
            <w:proofErr w:type="spellStart"/>
            <w:r w:rsidRPr="008E2284">
              <w:rPr>
                <w:lang w:val="en-US" w:bidi="ar-SA"/>
              </w:rPr>
              <w:t>Standardised</w:t>
            </w:r>
            <w:proofErr w:type="spellEnd"/>
            <w:r w:rsidRPr="008E2284">
              <w:rPr>
                <w:lang w:val="en-US" w:bidi="ar-SA"/>
              </w:rPr>
              <w:t xml:space="preserve"> reporting, mandatory disclosures</w:t>
            </w:r>
          </w:p>
        </w:tc>
        <w:tc>
          <w:tcPr>
            <w:tcW w:w="4632" w:type="dxa"/>
            <w:vAlign w:val="center"/>
            <w:hideMark/>
          </w:tcPr>
          <w:p w14:paraId="78086772" w14:textId="77777777" w:rsidR="008E2284" w:rsidRPr="008E2284" w:rsidRDefault="008E2284" w:rsidP="008E2284">
            <w:pPr>
              <w:spacing w:line="276" w:lineRule="auto"/>
              <w:jc w:val="left"/>
              <w:rPr>
                <w:lang w:val="en-US" w:bidi="ar-SA"/>
              </w:rPr>
            </w:pPr>
            <w:r w:rsidRPr="008E2284">
              <w:rPr>
                <w:lang w:val="en-US" w:bidi="ar-SA"/>
              </w:rPr>
              <w:t>Redman (2025); Tolentino-Zondervan &amp; DiVito (2024)</w:t>
            </w:r>
          </w:p>
        </w:tc>
      </w:tr>
      <w:tr w:rsidR="008E2284" w:rsidRPr="008E2284" w14:paraId="574511C4" w14:textId="77777777" w:rsidTr="00A9343B">
        <w:tc>
          <w:tcPr>
            <w:tcW w:w="2364" w:type="dxa"/>
            <w:vMerge/>
            <w:vAlign w:val="center"/>
            <w:hideMark/>
          </w:tcPr>
          <w:p w14:paraId="351F3E63" w14:textId="77777777" w:rsidR="008E2284" w:rsidRPr="008E2284" w:rsidRDefault="008E2284" w:rsidP="008E2284">
            <w:pPr>
              <w:spacing w:line="276" w:lineRule="auto"/>
              <w:jc w:val="left"/>
              <w:rPr>
                <w:lang w:val="en-US" w:bidi="ar-SA"/>
              </w:rPr>
            </w:pPr>
          </w:p>
        </w:tc>
        <w:tc>
          <w:tcPr>
            <w:tcW w:w="2491" w:type="dxa"/>
            <w:vMerge/>
            <w:vAlign w:val="center"/>
            <w:hideMark/>
          </w:tcPr>
          <w:p w14:paraId="0AA93F19" w14:textId="77777777" w:rsidR="008E2284" w:rsidRPr="008E2284" w:rsidRDefault="008E2284" w:rsidP="008E2284">
            <w:pPr>
              <w:spacing w:line="276" w:lineRule="auto"/>
              <w:jc w:val="left"/>
              <w:rPr>
                <w:lang w:val="en-US" w:bidi="ar-SA"/>
              </w:rPr>
            </w:pPr>
          </w:p>
        </w:tc>
        <w:tc>
          <w:tcPr>
            <w:tcW w:w="4461" w:type="dxa"/>
            <w:vAlign w:val="center"/>
            <w:hideMark/>
          </w:tcPr>
          <w:p w14:paraId="19E66179" w14:textId="77777777" w:rsidR="008E2284" w:rsidRPr="008E2284" w:rsidRDefault="008E2284" w:rsidP="008E2284">
            <w:pPr>
              <w:spacing w:line="276" w:lineRule="auto"/>
              <w:jc w:val="left"/>
              <w:rPr>
                <w:lang w:val="en-US" w:bidi="ar-SA"/>
              </w:rPr>
            </w:pPr>
            <w:r w:rsidRPr="008E2284">
              <w:rPr>
                <w:lang w:val="en-US" w:bidi="ar-SA"/>
              </w:rPr>
              <w:t>Verified ESG certifications and auditing</w:t>
            </w:r>
          </w:p>
        </w:tc>
        <w:tc>
          <w:tcPr>
            <w:tcW w:w="4632" w:type="dxa"/>
            <w:vAlign w:val="center"/>
            <w:hideMark/>
          </w:tcPr>
          <w:p w14:paraId="36362C0F" w14:textId="2FE61D29" w:rsidR="008E2284" w:rsidRPr="008E2284" w:rsidRDefault="008E2284" w:rsidP="008E2284">
            <w:pPr>
              <w:spacing w:line="276" w:lineRule="auto"/>
              <w:jc w:val="left"/>
              <w:rPr>
                <w:lang w:val="en-US" w:bidi="ar-SA"/>
              </w:rPr>
            </w:pPr>
            <w:r w:rsidRPr="008E2284">
              <w:rPr>
                <w:lang w:val="en-US" w:bidi="ar-SA"/>
              </w:rPr>
              <w:t xml:space="preserve">Dalecki (2023); Do </w:t>
            </w:r>
            <w:r w:rsidR="001D1CA2" w:rsidRPr="001D1CA2">
              <w:rPr>
                <w:i/>
                <w:iCs/>
                <w:lang w:val="en-US" w:bidi="ar-SA"/>
              </w:rPr>
              <w:t>et al</w:t>
            </w:r>
            <w:r w:rsidRPr="008E2284">
              <w:rPr>
                <w:lang w:val="en-US" w:bidi="ar-SA"/>
              </w:rPr>
              <w:t>. (2025)</w:t>
            </w:r>
          </w:p>
        </w:tc>
      </w:tr>
      <w:tr w:rsidR="008E2284" w:rsidRPr="00E53F87" w14:paraId="5B7B99DB" w14:textId="77777777" w:rsidTr="00A9343B">
        <w:tc>
          <w:tcPr>
            <w:tcW w:w="2364" w:type="dxa"/>
            <w:vMerge/>
            <w:vAlign w:val="center"/>
            <w:hideMark/>
          </w:tcPr>
          <w:p w14:paraId="0FC76FA3" w14:textId="77777777" w:rsidR="008E2284" w:rsidRPr="008E2284" w:rsidRDefault="008E2284" w:rsidP="008E2284">
            <w:pPr>
              <w:spacing w:line="276" w:lineRule="auto"/>
              <w:jc w:val="left"/>
              <w:rPr>
                <w:lang w:val="en-US" w:bidi="ar-SA"/>
              </w:rPr>
            </w:pPr>
          </w:p>
        </w:tc>
        <w:tc>
          <w:tcPr>
            <w:tcW w:w="2491" w:type="dxa"/>
            <w:vMerge/>
            <w:vAlign w:val="center"/>
            <w:hideMark/>
          </w:tcPr>
          <w:p w14:paraId="7112751D" w14:textId="77777777" w:rsidR="008E2284" w:rsidRPr="008E2284" w:rsidRDefault="008E2284" w:rsidP="008E2284">
            <w:pPr>
              <w:spacing w:line="276" w:lineRule="auto"/>
              <w:jc w:val="left"/>
              <w:rPr>
                <w:lang w:val="en-US" w:bidi="ar-SA"/>
              </w:rPr>
            </w:pPr>
          </w:p>
        </w:tc>
        <w:tc>
          <w:tcPr>
            <w:tcW w:w="4461" w:type="dxa"/>
            <w:vAlign w:val="center"/>
            <w:hideMark/>
          </w:tcPr>
          <w:p w14:paraId="6C23BC83" w14:textId="77777777" w:rsidR="008E2284" w:rsidRPr="008E2284" w:rsidRDefault="008E2284" w:rsidP="008E2284">
            <w:pPr>
              <w:spacing w:line="276" w:lineRule="auto"/>
              <w:jc w:val="left"/>
              <w:rPr>
                <w:lang w:val="en-US" w:bidi="ar-SA"/>
              </w:rPr>
            </w:pPr>
            <w:r w:rsidRPr="008E2284">
              <w:rPr>
                <w:lang w:val="en-US" w:bidi="ar-SA"/>
              </w:rPr>
              <w:t>Traceability and supply-chain accountability</w:t>
            </w:r>
          </w:p>
        </w:tc>
        <w:tc>
          <w:tcPr>
            <w:tcW w:w="4632" w:type="dxa"/>
            <w:vAlign w:val="center"/>
            <w:hideMark/>
          </w:tcPr>
          <w:p w14:paraId="3203EBD8" w14:textId="63691985" w:rsidR="008E2284" w:rsidRPr="008E2284" w:rsidRDefault="008E2284" w:rsidP="008E2284">
            <w:pPr>
              <w:spacing w:line="276" w:lineRule="auto"/>
              <w:jc w:val="left"/>
              <w:rPr>
                <w:lang w:val="nl-NL" w:bidi="ar-SA"/>
              </w:rPr>
            </w:pPr>
            <w:r w:rsidRPr="008E2284">
              <w:rPr>
                <w:lang w:val="nl-NL" w:bidi="ar-SA"/>
              </w:rPr>
              <w:t xml:space="preserve">Wu </w:t>
            </w:r>
            <w:r w:rsidR="001D1CA2" w:rsidRPr="001D1CA2">
              <w:rPr>
                <w:i/>
                <w:iCs/>
                <w:lang w:val="nl-NL" w:bidi="ar-SA"/>
              </w:rPr>
              <w:t>et al</w:t>
            </w:r>
            <w:r w:rsidRPr="008E2284">
              <w:rPr>
                <w:lang w:val="nl-NL" w:bidi="ar-SA"/>
              </w:rPr>
              <w:t>. (2022); Tolentino-Zondervan &amp; DiVito (2024)</w:t>
            </w:r>
          </w:p>
        </w:tc>
      </w:tr>
      <w:tr w:rsidR="008E2284" w:rsidRPr="008E2284" w14:paraId="5631AFB3" w14:textId="77777777" w:rsidTr="00A9343B">
        <w:tc>
          <w:tcPr>
            <w:tcW w:w="2364" w:type="dxa"/>
            <w:vMerge/>
            <w:vAlign w:val="center"/>
            <w:hideMark/>
          </w:tcPr>
          <w:p w14:paraId="2FCA3EFA" w14:textId="77777777" w:rsidR="008E2284" w:rsidRPr="008E2284" w:rsidRDefault="008E2284" w:rsidP="008E2284">
            <w:pPr>
              <w:spacing w:line="276" w:lineRule="auto"/>
              <w:jc w:val="left"/>
              <w:rPr>
                <w:lang w:val="nl-NL" w:bidi="ar-SA"/>
              </w:rPr>
            </w:pPr>
          </w:p>
        </w:tc>
        <w:tc>
          <w:tcPr>
            <w:tcW w:w="2491" w:type="dxa"/>
            <w:vAlign w:val="center"/>
            <w:hideMark/>
          </w:tcPr>
          <w:p w14:paraId="7CDEBD2E" w14:textId="77777777" w:rsidR="008E2284" w:rsidRPr="008E2284" w:rsidRDefault="008E2284" w:rsidP="008E2284">
            <w:pPr>
              <w:spacing w:line="276" w:lineRule="auto"/>
              <w:jc w:val="left"/>
              <w:rPr>
                <w:lang w:val="en-US" w:bidi="ar-SA"/>
              </w:rPr>
            </w:pPr>
            <w:r w:rsidRPr="008E2284">
              <w:rPr>
                <w:lang w:val="en-US" w:bidi="ar-SA"/>
              </w:rPr>
              <w:t>Policy &amp; Governance Recommendations</w:t>
            </w:r>
          </w:p>
        </w:tc>
        <w:tc>
          <w:tcPr>
            <w:tcW w:w="4461" w:type="dxa"/>
            <w:vAlign w:val="center"/>
            <w:hideMark/>
          </w:tcPr>
          <w:p w14:paraId="080C8F0A" w14:textId="77777777" w:rsidR="008E2284" w:rsidRPr="008E2284" w:rsidRDefault="008E2284" w:rsidP="008E2284">
            <w:pPr>
              <w:spacing w:line="276" w:lineRule="auto"/>
              <w:jc w:val="left"/>
              <w:rPr>
                <w:lang w:val="en-US" w:bidi="ar-SA"/>
              </w:rPr>
            </w:pPr>
            <w:r w:rsidRPr="008E2284">
              <w:rPr>
                <w:lang w:val="en-US" w:bidi="ar-SA"/>
              </w:rPr>
              <w:t>Stronger regulatory frameworks &amp; enforcement</w:t>
            </w:r>
          </w:p>
        </w:tc>
        <w:tc>
          <w:tcPr>
            <w:tcW w:w="4632" w:type="dxa"/>
            <w:vAlign w:val="center"/>
            <w:hideMark/>
          </w:tcPr>
          <w:p w14:paraId="64D839E3" w14:textId="77777777" w:rsidR="008E2284" w:rsidRPr="008E2284" w:rsidRDefault="008E2284" w:rsidP="008E2284">
            <w:pPr>
              <w:spacing w:line="276" w:lineRule="auto"/>
              <w:jc w:val="left"/>
              <w:rPr>
                <w:lang w:val="en-US" w:bidi="ar-SA"/>
              </w:rPr>
            </w:pPr>
            <w:r w:rsidRPr="008E2284">
              <w:rPr>
                <w:lang w:val="en-US" w:bidi="ar-SA"/>
              </w:rPr>
              <w:t xml:space="preserve">Burnstine &amp; Ghattas (2025); </w:t>
            </w:r>
            <w:proofErr w:type="spellStart"/>
            <w:r w:rsidRPr="008E2284">
              <w:rPr>
                <w:lang w:val="en-US" w:bidi="ar-SA"/>
              </w:rPr>
              <w:t>Jestratijevic</w:t>
            </w:r>
            <w:proofErr w:type="spellEnd"/>
            <w:r w:rsidRPr="008E2284">
              <w:rPr>
                <w:lang w:val="en-US" w:bidi="ar-SA"/>
              </w:rPr>
              <w:t xml:space="preserve">, </w:t>
            </w:r>
            <w:proofErr w:type="spellStart"/>
            <w:r w:rsidRPr="008E2284">
              <w:rPr>
                <w:lang w:val="en-US" w:bidi="ar-SA"/>
              </w:rPr>
              <w:t>Uanhoro</w:t>
            </w:r>
            <w:proofErr w:type="spellEnd"/>
            <w:r w:rsidRPr="008E2284">
              <w:rPr>
                <w:lang w:val="en-US" w:bidi="ar-SA"/>
              </w:rPr>
              <w:t xml:space="preserve"> &amp; Rana (2024)</w:t>
            </w:r>
          </w:p>
        </w:tc>
      </w:tr>
      <w:tr w:rsidR="008E2284" w:rsidRPr="00E53F87" w14:paraId="2DD7A9C2" w14:textId="77777777" w:rsidTr="00A9343B">
        <w:tc>
          <w:tcPr>
            <w:tcW w:w="2364" w:type="dxa"/>
            <w:vMerge/>
            <w:vAlign w:val="center"/>
            <w:hideMark/>
          </w:tcPr>
          <w:p w14:paraId="4B2E57FE" w14:textId="77777777" w:rsidR="008E2284" w:rsidRPr="008E2284" w:rsidRDefault="008E2284" w:rsidP="008E2284">
            <w:pPr>
              <w:spacing w:line="276" w:lineRule="auto"/>
              <w:jc w:val="left"/>
              <w:rPr>
                <w:lang w:val="en-US" w:bidi="ar-SA"/>
              </w:rPr>
            </w:pPr>
          </w:p>
        </w:tc>
        <w:tc>
          <w:tcPr>
            <w:tcW w:w="2491" w:type="dxa"/>
            <w:vMerge w:val="restart"/>
            <w:vAlign w:val="center"/>
            <w:hideMark/>
          </w:tcPr>
          <w:p w14:paraId="4BF28FAD" w14:textId="77777777" w:rsidR="008E2284" w:rsidRPr="008E2284" w:rsidRDefault="008E2284" w:rsidP="008E2284">
            <w:pPr>
              <w:spacing w:line="276" w:lineRule="auto"/>
              <w:jc w:val="left"/>
              <w:rPr>
                <w:lang w:val="en-US" w:bidi="ar-SA"/>
              </w:rPr>
            </w:pPr>
            <w:r w:rsidRPr="008E2284">
              <w:rPr>
                <w:lang w:val="en-US" w:bidi="ar-SA"/>
              </w:rPr>
              <w:t>Consumer-Facing Strategies</w:t>
            </w:r>
          </w:p>
        </w:tc>
        <w:tc>
          <w:tcPr>
            <w:tcW w:w="4461" w:type="dxa"/>
            <w:vAlign w:val="center"/>
            <w:hideMark/>
          </w:tcPr>
          <w:p w14:paraId="337EC8F9" w14:textId="77777777" w:rsidR="008E2284" w:rsidRPr="008E2284" w:rsidRDefault="008E2284" w:rsidP="008E2284">
            <w:pPr>
              <w:spacing w:line="276" w:lineRule="auto"/>
              <w:jc w:val="left"/>
              <w:rPr>
                <w:lang w:val="en-US" w:bidi="ar-SA"/>
              </w:rPr>
            </w:pPr>
            <w:r w:rsidRPr="008E2284">
              <w:rPr>
                <w:lang w:val="en-US" w:bidi="ar-SA"/>
              </w:rPr>
              <w:t>Transparent, consistent, cross-channel messaging</w:t>
            </w:r>
          </w:p>
        </w:tc>
        <w:tc>
          <w:tcPr>
            <w:tcW w:w="4632" w:type="dxa"/>
            <w:vAlign w:val="center"/>
            <w:hideMark/>
          </w:tcPr>
          <w:p w14:paraId="21F0CC3B" w14:textId="23E3A852" w:rsidR="008E2284" w:rsidRPr="008E2284" w:rsidRDefault="008E2284" w:rsidP="008E2284">
            <w:pPr>
              <w:spacing w:line="276" w:lineRule="auto"/>
              <w:jc w:val="left"/>
              <w:rPr>
                <w:lang w:val="nl-NL" w:bidi="ar-SA"/>
              </w:rPr>
            </w:pPr>
            <w:r w:rsidRPr="008E2284">
              <w:rPr>
                <w:lang w:val="nl-NL" w:bidi="ar-SA"/>
              </w:rPr>
              <w:t xml:space="preserve">Garcia-Ortega </w:t>
            </w:r>
            <w:r w:rsidR="001D1CA2" w:rsidRPr="001D1CA2">
              <w:rPr>
                <w:i/>
                <w:iCs/>
                <w:lang w:val="nl-NL" w:bidi="ar-SA"/>
              </w:rPr>
              <w:t>et al</w:t>
            </w:r>
            <w:r w:rsidRPr="008E2284">
              <w:rPr>
                <w:lang w:val="nl-NL" w:bidi="ar-SA"/>
              </w:rPr>
              <w:t>. (2025); Fang (2024)</w:t>
            </w:r>
          </w:p>
        </w:tc>
      </w:tr>
      <w:tr w:rsidR="008E2284" w:rsidRPr="001D1CA2" w14:paraId="072644E7" w14:textId="77777777" w:rsidTr="00A9343B">
        <w:tc>
          <w:tcPr>
            <w:tcW w:w="2364" w:type="dxa"/>
            <w:vMerge/>
            <w:vAlign w:val="center"/>
            <w:hideMark/>
          </w:tcPr>
          <w:p w14:paraId="45984567" w14:textId="77777777" w:rsidR="008E2284" w:rsidRPr="008E2284" w:rsidRDefault="008E2284" w:rsidP="008E2284">
            <w:pPr>
              <w:spacing w:line="276" w:lineRule="auto"/>
              <w:jc w:val="left"/>
              <w:rPr>
                <w:lang w:val="nl-NL" w:bidi="ar-SA"/>
              </w:rPr>
            </w:pPr>
          </w:p>
        </w:tc>
        <w:tc>
          <w:tcPr>
            <w:tcW w:w="2491" w:type="dxa"/>
            <w:vMerge/>
            <w:vAlign w:val="center"/>
            <w:hideMark/>
          </w:tcPr>
          <w:p w14:paraId="7DAB56A8" w14:textId="77777777" w:rsidR="008E2284" w:rsidRPr="008E2284" w:rsidRDefault="008E2284" w:rsidP="008E2284">
            <w:pPr>
              <w:spacing w:line="276" w:lineRule="auto"/>
              <w:jc w:val="left"/>
              <w:rPr>
                <w:lang w:val="nl-NL" w:bidi="ar-SA"/>
              </w:rPr>
            </w:pPr>
          </w:p>
        </w:tc>
        <w:tc>
          <w:tcPr>
            <w:tcW w:w="4461" w:type="dxa"/>
            <w:vAlign w:val="center"/>
            <w:hideMark/>
          </w:tcPr>
          <w:p w14:paraId="31286DDB" w14:textId="77777777" w:rsidR="008E2284" w:rsidRPr="008E2284" w:rsidRDefault="008E2284" w:rsidP="008E2284">
            <w:pPr>
              <w:spacing w:line="276" w:lineRule="auto"/>
              <w:jc w:val="left"/>
              <w:rPr>
                <w:lang w:val="en-US" w:bidi="ar-SA"/>
              </w:rPr>
            </w:pPr>
            <w:r w:rsidRPr="008E2284">
              <w:rPr>
                <w:lang w:val="en-US" w:bidi="ar-SA"/>
              </w:rPr>
              <w:t>Environmental education to build trust</w:t>
            </w:r>
          </w:p>
        </w:tc>
        <w:tc>
          <w:tcPr>
            <w:tcW w:w="4632" w:type="dxa"/>
            <w:vAlign w:val="center"/>
            <w:hideMark/>
          </w:tcPr>
          <w:p w14:paraId="770B4A17" w14:textId="43B33A07" w:rsidR="008E2284" w:rsidRPr="008E2284" w:rsidRDefault="008E2284" w:rsidP="008E2284">
            <w:pPr>
              <w:spacing w:line="276" w:lineRule="auto"/>
              <w:jc w:val="left"/>
              <w:rPr>
                <w:lang w:val="nl-NL" w:bidi="ar-SA"/>
              </w:rPr>
            </w:pPr>
            <w:r w:rsidRPr="008E2284">
              <w:rPr>
                <w:lang w:val="nl-NL" w:bidi="ar-SA"/>
              </w:rPr>
              <w:t xml:space="preserve">Marko &amp; Kusá (2023); Velasco-Molpeceres </w:t>
            </w:r>
            <w:r w:rsidR="001D1CA2" w:rsidRPr="001D1CA2">
              <w:rPr>
                <w:i/>
                <w:iCs/>
                <w:lang w:val="nl-NL" w:bidi="ar-SA"/>
              </w:rPr>
              <w:t>et al</w:t>
            </w:r>
            <w:r w:rsidRPr="008E2284">
              <w:rPr>
                <w:lang w:val="nl-NL" w:bidi="ar-SA"/>
              </w:rPr>
              <w:t>. (2023)</w:t>
            </w:r>
          </w:p>
        </w:tc>
      </w:tr>
    </w:tbl>
    <w:p w14:paraId="77DD6D9F" w14:textId="77777777" w:rsidR="008E2284" w:rsidRPr="008019B4" w:rsidRDefault="008E2284" w:rsidP="00D03F60">
      <w:pPr>
        <w:rPr>
          <w:lang w:val="nl-NL"/>
        </w:rPr>
        <w:sectPr w:rsidR="008E2284" w:rsidRPr="008019B4" w:rsidSect="008E2284">
          <w:pgSz w:w="16838" w:h="11906" w:orient="landscape" w:code="9"/>
          <w:pgMar w:top="1440" w:right="1440" w:bottom="1440" w:left="1440" w:header="708" w:footer="708" w:gutter="0"/>
          <w:cols w:space="708"/>
          <w:titlePg/>
          <w:docGrid w:linePitch="360"/>
        </w:sectPr>
      </w:pPr>
    </w:p>
    <w:p w14:paraId="65D66B88" w14:textId="4618C855" w:rsidR="008019B4" w:rsidRDefault="008019B4" w:rsidP="008019B4">
      <w:pPr>
        <w:pStyle w:val="Heading2"/>
      </w:pPr>
      <w:bookmarkStart w:id="69" w:name="_Toc218445699"/>
      <w:r>
        <w:lastRenderedPageBreak/>
        <w:t>Narrative Synthesis of the Findings</w:t>
      </w:r>
      <w:bookmarkEnd w:id="69"/>
    </w:p>
    <w:p w14:paraId="4F364F19" w14:textId="63BB065E" w:rsidR="008019B4" w:rsidRPr="008019B4" w:rsidRDefault="008019B4" w:rsidP="008019B4">
      <w:pPr>
        <w:pStyle w:val="Heading3"/>
        <w:rPr>
          <w:lang w:val="en-US"/>
        </w:rPr>
      </w:pPr>
      <w:bookmarkStart w:id="70" w:name="_Toc218445700"/>
      <w:r w:rsidRPr="008019B4">
        <w:rPr>
          <w:lang w:val="en-US"/>
        </w:rPr>
        <w:t>Sustainable Practices Adopted by Fashion Brands (RQ1</w:t>
      </w:r>
      <w:r>
        <w:rPr>
          <w:lang w:val="en-US"/>
        </w:rPr>
        <w:t>)</w:t>
      </w:r>
      <w:bookmarkEnd w:id="70"/>
    </w:p>
    <w:p w14:paraId="01BE7574" w14:textId="39030D4E" w:rsidR="008019B4" w:rsidRDefault="00A9674A" w:rsidP="008019B4">
      <w:pPr>
        <w:rPr>
          <w:lang w:val="en-US"/>
        </w:rPr>
      </w:pPr>
      <w:r w:rsidRPr="00A9674A">
        <w:t>Green processes in fashion business are turning out to be a synthesis of environmental and social responsibility, but their legitimacy and efficiency are questionable. Fashion companies are starting to focus on the visible aspects of the environment where circularity and resource efficiency are the new strategies, where recycling, reusing, and creating eco-materials can be used to cut waste and emissions (Burnstine and Ghattas, 2025; Mofokeng, 2025). However, researchers have pointed out the danger of systemic greenwashing where brands advertise half-baked efforts and continue to overproduce and have linear business strategies. As an example, the Conscious Collection by H&amp;M and the Join Life campaign by Zara have been criticised as not providing verifiable information on the sourcing of their materials as circles, and not tackling the issue of the source of the problem of fast production cycles. The eco-design, renewable energy in manufacturing, and digital solutions are increasingly being used to pursue green innovation and performance improvement. Research indicates that actual innovation within the production processes, including green innovation orientation (GINO) and green marketing orientation (GMO), is associated with quantifiable decreases in the environmental footprint and the strengthened brand credibility (</w:t>
      </w:r>
      <w:proofErr w:type="spellStart"/>
      <w:r w:rsidRPr="00A9674A">
        <w:t>Habtemaryam</w:t>
      </w:r>
      <w:proofErr w:type="spellEnd"/>
      <w:r w:rsidRPr="00A9674A">
        <w:t>, Degoma and Tsegaye, 2025). In the same vein, sustainable marketing and green competitiveness are perceived as a set of brands that effectively incorporate the element of environmental responsibility in their business models (</w:t>
      </w:r>
      <w:proofErr w:type="spellStart"/>
      <w:r w:rsidRPr="00A9674A">
        <w:t>Vehbi</w:t>
      </w:r>
      <w:proofErr w:type="spellEnd"/>
      <w:r w:rsidRPr="00A9674A">
        <w:t xml:space="preserve"> </w:t>
      </w:r>
      <w:r w:rsidR="001D1CA2" w:rsidRPr="001D1CA2">
        <w:rPr>
          <w:i/>
          <w:iCs/>
        </w:rPr>
        <w:t>et al</w:t>
      </w:r>
      <w:r w:rsidRPr="00A9674A">
        <w:t xml:space="preserve">., 2025). Patagonia and Stella McCartney are examples of companies that have achieved this integration by incorporating environmental objectives into their supply chains and brands, which proves that strategic sustainability could result in both reputational and environmental gains. Another principle of environmental stewardship is transparency and traceability. Fashion companies are actively utilising blockchain and Internet of Things (IoT) platforms to cheque the provenance of materials used, as well as enhance the integrity of reporting (Tolentino-Zondervan and DiVito, 2024; Wu </w:t>
      </w:r>
      <w:r w:rsidR="001D1CA2" w:rsidRPr="001D1CA2">
        <w:rPr>
          <w:i/>
          <w:iCs/>
        </w:rPr>
        <w:t>et al</w:t>
      </w:r>
      <w:r w:rsidRPr="00A9674A">
        <w:t xml:space="preserve">., 2022). Compulsory disclosure systems including those presented by Redman (2025) are regarded as crucial in combating greenwashing and harmonisation of accountability systems throughout fashion supply chains. To illustrate this, the example of Kering and Environmental Profit and Loss (EP&amp;L) reporting system is the example of how digital traceability can be used to increase </w:t>
      </w:r>
      <w:r w:rsidRPr="00A9674A">
        <w:lastRenderedPageBreak/>
        <w:t xml:space="preserve">transparency and provide a verifiable representation of environmental performance. Simultaneously, the scope of social responsibility in the fashion industry is also growing beyond philanthropy to include stakeholder engagement, accountability, and ethical labour practises. According to Henninger, </w:t>
      </w:r>
      <w:proofErr w:type="spellStart"/>
      <w:r w:rsidRPr="00A9674A">
        <w:t>Alevizou</w:t>
      </w:r>
      <w:proofErr w:type="spellEnd"/>
      <w:r w:rsidRPr="00A9674A">
        <w:t xml:space="preserve"> and Oates (2016), consumer assurance of ethical authenticity is a component of fair wages and safe working environment. However, there are still gaps between corporate assertions and supply chain facts (Reza and Du Plessis, 2022). International corporations like Nike and Adidas have implemented codes of conduct and </w:t>
      </w:r>
      <w:proofErr w:type="gramStart"/>
      <w:r w:rsidRPr="00A9674A">
        <w:t>third party</w:t>
      </w:r>
      <w:proofErr w:type="gramEnd"/>
      <w:r w:rsidRPr="00A9674A">
        <w:t xml:space="preserve"> audits to reduce the risk of labour mistreatment, but their efficacy is based on local implementation. More and more, NGOs and activist organisations put pressure on brands to report their social and environmental practises, which affects the quality and credibility of sustainability reporting (</w:t>
      </w:r>
      <w:proofErr w:type="spellStart"/>
      <w:r w:rsidRPr="00A9674A">
        <w:t>Crapa</w:t>
      </w:r>
      <w:proofErr w:type="spellEnd"/>
      <w:r w:rsidRPr="00A9674A">
        <w:t xml:space="preserve"> </w:t>
      </w:r>
      <w:r w:rsidR="001D1CA2" w:rsidRPr="001D1CA2">
        <w:rPr>
          <w:i/>
          <w:iCs/>
        </w:rPr>
        <w:t>et al</w:t>
      </w:r>
      <w:r w:rsidRPr="00A9674A">
        <w:t xml:space="preserve">., 2025; de Magalhaes Silva </w:t>
      </w:r>
      <w:r w:rsidR="001D1CA2" w:rsidRPr="001D1CA2">
        <w:rPr>
          <w:i/>
          <w:iCs/>
        </w:rPr>
        <w:t>et al</w:t>
      </w:r>
      <w:r w:rsidRPr="00A9674A">
        <w:t xml:space="preserve">., 2025). The evasion of greenwashing has become a characteristic issue in the attainment of true sustainability. Research indicates that consumers grow more discriminatory between symbolic and substantive sustainability claims, rewarding transparency and punishing perceived deception (Dalecki, 2023; Goswami and Jaiswal, 2023). Verification and authenticity of sustainability communication are thus paramount and brands must be able to demonstrate more than the self-proclaimed certifications (Garcia-Ortega </w:t>
      </w:r>
      <w:r w:rsidR="001D1CA2" w:rsidRPr="001D1CA2">
        <w:rPr>
          <w:i/>
          <w:iCs/>
        </w:rPr>
        <w:t>et al</w:t>
      </w:r>
      <w:r w:rsidRPr="00A9674A">
        <w:t>., 2025). Consumer trust is still eroded by selective disclosure, greenhushing and exaggerated claims (</w:t>
      </w:r>
      <w:proofErr w:type="spellStart"/>
      <w:r w:rsidRPr="00A9674A">
        <w:t>Jestratijevic</w:t>
      </w:r>
      <w:proofErr w:type="spellEnd"/>
      <w:r w:rsidRPr="00A9674A">
        <w:t xml:space="preserve">, </w:t>
      </w:r>
      <w:proofErr w:type="spellStart"/>
      <w:r w:rsidRPr="00A9674A">
        <w:t>Uanhoro</w:t>
      </w:r>
      <w:proofErr w:type="spellEnd"/>
      <w:r w:rsidRPr="00A9674A">
        <w:t xml:space="preserve"> and Rana, 2024; </w:t>
      </w:r>
      <w:proofErr w:type="spellStart"/>
      <w:r w:rsidRPr="00A9674A">
        <w:t>Schwoy</w:t>
      </w:r>
      <w:proofErr w:type="spellEnd"/>
      <w:r w:rsidRPr="00A9674A">
        <w:t xml:space="preserve">, </w:t>
      </w:r>
      <w:proofErr w:type="spellStart"/>
      <w:r w:rsidRPr="00A9674A">
        <w:t>Dutzi</w:t>
      </w:r>
      <w:proofErr w:type="spellEnd"/>
      <w:r w:rsidRPr="00A9674A">
        <w:t xml:space="preserve"> and Messing, 2025). According to Dobos and </w:t>
      </w:r>
      <w:proofErr w:type="spellStart"/>
      <w:r w:rsidRPr="00A9674A">
        <w:t>Elteto</w:t>
      </w:r>
      <w:proofErr w:type="spellEnd"/>
      <w:r w:rsidRPr="00A9674A">
        <w:t xml:space="preserve"> (2023), regulatory loopholes and spotty oversight processes remain, which allows the idea of superficial sustainability messaging to continue without much scrutiny. The effects that are facing the consumers are still strictly connected with the ways in which the brands communicate and prove the sustainability statements. There is evidence that the perceived greenwashing has a significant negative impact on brand trust and purchase intention (Brugman, van </w:t>
      </w:r>
      <w:proofErr w:type="spellStart"/>
      <w:r w:rsidRPr="00A9674A">
        <w:t>Huijstee</w:t>
      </w:r>
      <w:proofErr w:type="spellEnd"/>
      <w:r w:rsidRPr="00A9674A">
        <w:t xml:space="preserve"> and Droog, 2024; Marko and Kusa, 2023; Policarpo </w:t>
      </w:r>
      <w:r w:rsidR="001D1CA2" w:rsidRPr="001D1CA2">
        <w:rPr>
          <w:i/>
          <w:iCs/>
        </w:rPr>
        <w:t>et al</w:t>
      </w:r>
      <w:r w:rsidRPr="00A9674A">
        <w:t xml:space="preserve">., 2023). However, in a situation where communication is seen as open and stable, consumers show greater emotional and behavioural loyalty to brands (Fang, 2024; Li, Cavender and Lee, 2025). Social media has increased both criticism and activism, which means that inconsistencies are checked by consumers, and authenticity is praised. The key to bridging the attitude-behaviour divide as outlined by Rausch and Kopplin (2021) is therefore in the educational strategies and clear sustainability </w:t>
      </w:r>
      <w:r w:rsidRPr="00A9674A">
        <w:lastRenderedPageBreak/>
        <w:t>storeys. The literature in general indicates that sustainable practises in the fashion industry are taking a new face combining both technological innovation, strategic transparency and ethical accountability. However, the prevalence of greenwashing and the lack of a clear definition still persists in the way to the real progress. To progress towards environmental stewardship and social responsibility, brands should stop engaging in symbolic communication and start integrating sustainability in a measurable, verified, and transparent manner, a strategy followed by the first movers of the fashion industry, including Patagonia, Eileen Fisher, and Kering, but is still inconsistently implemented in the rest of the fashion industry.</w:t>
      </w:r>
    </w:p>
    <w:p w14:paraId="18DB3BB8" w14:textId="2E6C7247" w:rsidR="008019B4" w:rsidRPr="008019B4" w:rsidRDefault="008019B4" w:rsidP="008019B4">
      <w:pPr>
        <w:pStyle w:val="Heading3"/>
        <w:rPr>
          <w:lang w:val="en-US"/>
        </w:rPr>
      </w:pPr>
      <w:bookmarkStart w:id="71" w:name="_Toc218445701"/>
      <w:r w:rsidRPr="008019B4">
        <w:t xml:space="preserve">Forms and Prevalence of Greenwashing </w:t>
      </w:r>
      <w:r>
        <w:t>in</w:t>
      </w:r>
      <w:r w:rsidRPr="008019B4">
        <w:t xml:space="preserve"> the Fashion Industry (RQ2)</w:t>
      </w:r>
      <w:bookmarkEnd w:id="71"/>
    </w:p>
    <w:p w14:paraId="12B2F64E" w14:textId="56B1125B" w:rsidR="008019B4" w:rsidRDefault="00A9674A" w:rsidP="008019B4">
      <w:pPr>
        <w:rPr>
          <w:lang w:val="en-US"/>
        </w:rPr>
      </w:pPr>
      <w:r w:rsidRPr="00A9674A">
        <w:t>In the fashion industry, greenwashing takes various forms, the main objective of which is to create an impression of environmental responsibility or social accountability, without actually altering the production behaviour. Among the most common ones is misleading environmental claims, in which brands inflate or make up environmental claims. The misrepresentation in the form of product focuses on the misrepresentation of products by stating that they are made of recycled PET or organic fibres, which are not necessarily subject to strict certification procedures (Wang and Jung, 2025; Eppinger, 2022). Process-oriented misrepresentation, in its turn, takes place via selective disclosure, whereby companies disclose only positive sustainability practises and mention nothing about negative effects on the environment, a phenomenon known as greenhushing (</w:t>
      </w:r>
      <w:proofErr w:type="spellStart"/>
      <w:r w:rsidRPr="00A9674A">
        <w:t>Jestratijevic</w:t>
      </w:r>
      <w:proofErr w:type="spellEnd"/>
      <w:r w:rsidRPr="00A9674A">
        <w:t xml:space="preserve">, </w:t>
      </w:r>
      <w:proofErr w:type="spellStart"/>
      <w:r w:rsidRPr="00A9674A">
        <w:t>Uanhoro</w:t>
      </w:r>
      <w:proofErr w:type="spellEnd"/>
      <w:r w:rsidRPr="00A9674A">
        <w:t xml:space="preserve"> &amp; Rana, 2024; </w:t>
      </w:r>
      <w:proofErr w:type="spellStart"/>
      <w:r w:rsidRPr="00A9674A">
        <w:t>Hejlova</w:t>
      </w:r>
      <w:proofErr w:type="spellEnd"/>
      <w:r w:rsidRPr="00A9674A">
        <w:t xml:space="preserve"> </w:t>
      </w:r>
      <w:r w:rsidR="001D1CA2" w:rsidRPr="001D1CA2">
        <w:rPr>
          <w:i/>
          <w:iCs/>
        </w:rPr>
        <w:t>et al</w:t>
      </w:r>
      <w:r w:rsidRPr="00A9674A">
        <w:t xml:space="preserve">., 2025). The example of H&amp;M selling specific lines of clothing as Conscious when using traditional supply chains has been criticised, which demonstrates the difference between what is claimed and what is actually done. The second huge type is CSR washing where the brands over-report on their corporate social responsibility activities in order to improve their ethical image. The overstated promises of fair labour practises or the ambiguous statements regarding the supply-chain improvements are examples of inflated CSR claims (Dobos and </w:t>
      </w:r>
      <w:proofErr w:type="spellStart"/>
      <w:r w:rsidRPr="00A9674A">
        <w:t>Elteto</w:t>
      </w:r>
      <w:proofErr w:type="spellEnd"/>
      <w:r w:rsidRPr="00A9674A">
        <w:t xml:space="preserve">, 2023; Reza and Du Plessis, 2022). Manipulation of communication is also a contributor since companies create mythological storeys about sustainability, and they operate as ethical fashion leaders, covering the gaps. The campaigns conducted on social media (sometimes by fast-fashion brands) frequently utilise curated content to imply a leadership in sustainability, such as Instagram campaigns of brands like Zara or Shein that feature limited eco-friendly </w:t>
      </w:r>
      <w:r w:rsidRPr="00A9674A">
        <w:lastRenderedPageBreak/>
        <w:t>collections but do not disclose the overall effects on the environment (</w:t>
      </w:r>
      <w:proofErr w:type="spellStart"/>
      <w:r w:rsidRPr="00A9674A">
        <w:t>Heidenstrom</w:t>
      </w:r>
      <w:proofErr w:type="spellEnd"/>
      <w:r w:rsidRPr="00A9674A">
        <w:t xml:space="preserve">, 2024; Sailer, Wilfing &amp; Straus, 2022). The third type is symbolic and marketing-oriented greenwashing, which entails advertising sustainability with a shallow marketing or branding approach without an actual change in operations. Some of these methods involve green marketing signals, which can be eco-labels or certifications that do not imply strict verification (Andria </w:t>
      </w:r>
      <w:r w:rsidR="001D1CA2" w:rsidRPr="001D1CA2">
        <w:rPr>
          <w:i/>
          <w:iCs/>
        </w:rPr>
        <w:t>et al</w:t>
      </w:r>
      <w:r w:rsidRPr="00A9674A">
        <w:t xml:space="preserve">., 2023; Dalecki, 2023; Do </w:t>
      </w:r>
      <w:r w:rsidR="001D1CA2" w:rsidRPr="001D1CA2">
        <w:rPr>
          <w:i/>
          <w:iCs/>
        </w:rPr>
        <w:t>et al</w:t>
      </w:r>
      <w:r w:rsidRPr="00A9674A">
        <w:t xml:space="preserve">., 2025). Alterations at the technical level to create misleading messages, which in turn mislead the consumers, and discrepancies in cross-channel communications may decrease the perceived credibility of sustainability promises (Goswami and Jaiswal, 2023; Garcia-Ortega </w:t>
      </w:r>
      <w:r w:rsidR="001D1CA2" w:rsidRPr="001D1CA2">
        <w:rPr>
          <w:i/>
          <w:iCs/>
        </w:rPr>
        <w:t>et al</w:t>
      </w:r>
      <w:r w:rsidRPr="00A9674A">
        <w:t xml:space="preserve">., 2025). Remarkably, brands such as Adidas have been criticised on advertising small, so-called sustainable collections when most of the manufacturing processes are unsustainable. Lastly, the commonality and direct effects of greenwashing on consumers underscores the pervasive nature of it within the sector and the effects that the practise has on consumer confidence. Greenwashing is especially prevalent in fast-fashion companies because of their large-volume, short-cycle production designs, which are the opposite of the environmental statements (Haque and Lang, 2025; Marko and Kusa, 2023). In the EU setting, literature suggests that greenwashing is prevalent and even when sustainability statements exist, they do not always impact consumer behaviour in a positive manner because of cynicism and hypocrisy (Pozzo, 2023; Lu </w:t>
      </w:r>
      <w:r w:rsidR="001D1CA2" w:rsidRPr="001D1CA2">
        <w:rPr>
          <w:i/>
          <w:iCs/>
        </w:rPr>
        <w:t>et al</w:t>
      </w:r>
      <w:r w:rsidRPr="00A9674A">
        <w:t xml:space="preserve">., 2022; Policarpo </w:t>
      </w:r>
      <w:r w:rsidR="001D1CA2" w:rsidRPr="001D1CA2">
        <w:rPr>
          <w:i/>
          <w:iCs/>
        </w:rPr>
        <w:t>et al</w:t>
      </w:r>
      <w:r w:rsidRPr="00A9674A">
        <w:t>., 2023). The results are the loss of purchase intention, reputational harm, and negative word-of-mouth, which spreads with both fast-fashion and luxury brands in response to their campaigns (</w:t>
      </w:r>
      <w:proofErr w:type="spellStart"/>
      <w:r w:rsidRPr="00A9674A">
        <w:t>Promalessy</w:t>
      </w:r>
      <w:proofErr w:type="spellEnd"/>
      <w:r w:rsidRPr="00A9674A">
        <w:t xml:space="preserve"> &amp; </w:t>
      </w:r>
      <w:proofErr w:type="spellStart"/>
      <w:r w:rsidRPr="00A9674A">
        <w:t>Handriana</w:t>
      </w:r>
      <w:proofErr w:type="spellEnd"/>
      <w:r w:rsidRPr="00A9674A">
        <w:t xml:space="preserve">, 2024). Overall, greenwashing in the fashion industry functions as deceptive product and process claims, fictitious CSR storeys, symbolic marketing, and selective reporting, and fast-fashion industries are especially noteworthy regarding its widespread use. These practises have started to be questioned by consumer scepticism that has been enhanced by social media questioning and published sustainability audits, leading to demands to tighten the </w:t>
      </w:r>
      <w:proofErr w:type="spellStart"/>
      <w:r w:rsidRPr="00A9674A">
        <w:t>wrein</w:t>
      </w:r>
      <w:proofErr w:type="spellEnd"/>
      <w:r w:rsidRPr="00A9674A">
        <w:t xml:space="preserve"> over these practises, create sustainability claims standardisation and promote genuine corporate transparency (</w:t>
      </w:r>
      <w:proofErr w:type="spellStart"/>
      <w:r w:rsidRPr="00A9674A">
        <w:t>Jestratijevic</w:t>
      </w:r>
      <w:proofErr w:type="spellEnd"/>
      <w:r w:rsidRPr="00A9674A">
        <w:t xml:space="preserve">, </w:t>
      </w:r>
      <w:proofErr w:type="spellStart"/>
      <w:r w:rsidRPr="00A9674A">
        <w:t>Uanhoro</w:t>
      </w:r>
      <w:proofErr w:type="spellEnd"/>
      <w:r w:rsidRPr="00A9674A">
        <w:t xml:space="preserve"> &amp; Rana, 2024; Wang and Jung, 2025). This analysis highlights why it is exceptionally important that fashion companies go beyond the mere signals of sustainability to actual environmental and social accountability.</w:t>
      </w:r>
    </w:p>
    <w:p w14:paraId="670B72D6" w14:textId="548A3591" w:rsidR="008019B4" w:rsidRPr="008019B4" w:rsidRDefault="008019B4" w:rsidP="008019B4">
      <w:pPr>
        <w:pStyle w:val="Heading3"/>
        <w:rPr>
          <w:lang w:val="en-US"/>
        </w:rPr>
      </w:pPr>
      <w:bookmarkStart w:id="72" w:name="_Toc218445702"/>
      <w:r w:rsidRPr="008019B4">
        <w:rPr>
          <w:lang w:val="en-US"/>
        </w:rPr>
        <w:lastRenderedPageBreak/>
        <w:t>Comparative Analysis of Authentic Sustainability and Greenwashing Practices, with Emerging Gaps and Strategic Recommendations (RQ3)</w:t>
      </w:r>
      <w:bookmarkEnd w:id="72"/>
    </w:p>
    <w:p w14:paraId="0A91743C" w14:textId="0C649E48" w:rsidR="00A9674A" w:rsidRPr="00A9674A" w:rsidRDefault="00A9674A" w:rsidP="00A9674A">
      <w:pPr>
        <w:rPr>
          <w:lang w:val="en-US"/>
        </w:rPr>
      </w:pPr>
      <w:r w:rsidRPr="00A9674A">
        <w:rPr>
          <w:lang w:val="en-US"/>
        </w:rPr>
        <w:t xml:space="preserve">Sustainability efforts in the fashion industry have been on the rise due to environmental and social issues, but there is a vast gap between the real and greenwashing activities. Real sustainability projects are concerned with the real environmental and social impact, and they are often integrated into the idea of circularity, innovation, and ethical labour. Circularity and resource efficiency is also becoming more visible in the brands like Patagonia and Stella McCartney, which have closed-loop production systems, sustainable material sourcing, and green logistics (Burnstine &amp; Ghattas, 2025; Mofokeng, 2025). Such strategies as green innovation, which are based on GINO framework, are designed to enhance environmental performance in a systematic way, by delivering products, production, and </w:t>
      </w:r>
      <w:proofErr w:type="spellStart"/>
      <w:r w:rsidRPr="00A9674A">
        <w:rPr>
          <w:lang w:val="en-US"/>
        </w:rPr>
        <w:t>organisational</w:t>
      </w:r>
      <w:proofErr w:type="spellEnd"/>
      <w:r w:rsidRPr="00A9674A">
        <w:rPr>
          <w:lang w:val="en-US"/>
        </w:rPr>
        <w:t xml:space="preserve"> processes (</w:t>
      </w:r>
      <w:proofErr w:type="spellStart"/>
      <w:r w:rsidRPr="00A9674A">
        <w:rPr>
          <w:lang w:val="en-US"/>
        </w:rPr>
        <w:t>Habtemaryam</w:t>
      </w:r>
      <w:proofErr w:type="spellEnd"/>
      <w:r w:rsidRPr="00A9674A">
        <w:rPr>
          <w:lang w:val="en-US"/>
        </w:rPr>
        <w:t xml:space="preserve">, Degoma &amp; Tsegaye, 2025). </w:t>
      </w:r>
      <w:proofErr w:type="spellStart"/>
      <w:r w:rsidRPr="00A9674A">
        <w:rPr>
          <w:lang w:val="en-US"/>
        </w:rPr>
        <w:t>Organisations</w:t>
      </w:r>
      <w:proofErr w:type="spellEnd"/>
      <w:r w:rsidRPr="00A9674A">
        <w:rPr>
          <w:lang w:val="en-US"/>
        </w:rPr>
        <w:t xml:space="preserve"> that focus on transparency in the reporting of environmental, social, and governance (ESG) like the presence of verified third-party auditing and traceable supply chains, are examples of genuine sustainability </w:t>
      </w:r>
      <w:proofErr w:type="spellStart"/>
      <w:r w:rsidRPr="00A9674A">
        <w:rPr>
          <w:lang w:val="en-US"/>
        </w:rPr>
        <w:t>endeavours</w:t>
      </w:r>
      <w:proofErr w:type="spellEnd"/>
      <w:r w:rsidRPr="00A9674A">
        <w:rPr>
          <w:lang w:val="en-US"/>
        </w:rPr>
        <w:t xml:space="preserve"> (de Magalhaes Silva </w:t>
      </w:r>
      <w:r w:rsidR="001D1CA2" w:rsidRPr="001D1CA2">
        <w:rPr>
          <w:i/>
          <w:iCs/>
          <w:lang w:val="en-US"/>
        </w:rPr>
        <w:t>et al</w:t>
      </w:r>
      <w:r w:rsidRPr="00A9674A">
        <w:rPr>
          <w:lang w:val="en-US"/>
        </w:rPr>
        <w:t xml:space="preserve">., 2025; Wu </w:t>
      </w:r>
      <w:r w:rsidR="001D1CA2" w:rsidRPr="001D1CA2">
        <w:rPr>
          <w:i/>
          <w:iCs/>
          <w:lang w:val="en-US"/>
        </w:rPr>
        <w:t>et al</w:t>
      </w:r>
      <w:r w:rsidRPr="00A9674A">
        <w:rPr>
          <w:lang w:val="en-US"/>
        </w:rPr>
        <w:t xml:space="preserve">., 2022; Tolentino-Zondervan and DiVito, 2024). Additionally, ethical labour </w:t>
      </w:r>
      <w:proofErr w:type="spellStart"/>
      <w:r w:rsidRPr="00A9674A">
        <w:rPr>
          <w:lang w:val="en-US"/>
        </w:rPr>
        <w:t>practises</w:t>
      </w:r>
      <w:proofErr w:type="spellEnd"/>
      <w:r w:rsidRPr="00A9674A">
        <w:rPr>
          <w:lang w:val="en-US"/>
        </w:rPr>
        <w:t xml:space="preserve">, such as good wages and involvement of stakeholders, are also being embraced to supplement environmental stewardship, which ensures social responsibility and ecological purpose (Henninger, </w:t>
      </w:r>
      <w:proofErr w:type="spellStart"/>
      <w:r w:rsidRPr="00A9674A">
        <w:rPr>
          <w:lang w:val="en-US"/>
        </w:rPr>
        <w:t>Alevizou</w:t>
      </w:r>
      <w:proofErr w:type="spellEnd"/>
      <w:r w:rsidRPr="00A9674A">
        <w:rPr>
          <w:lang w:val="en-US"/>
        </w:rPr>
        <w:t xml:space="preserve"> and Oates, 2016; Reza and Du Plessis, 2022).</w:t>
      </w:r>
    </w:p>
    <w:p w14:paraId="0924C64A" w14:textId="77777777" w:rsidR="00A9674A" w:rsidRPr="00A9674A" w:rsidRDefault="00A9674A" w:rsidP="00A9674A">
      <w:pPr>
        <w:rPr>
          <w:lang w:val="en-US"/>
        </w:rPr>
      </w:pPr>
      <w:r w:rsidRPr="00A9674A">
        <w:rPr>
          <w:lang w:val="en-US"/>
        </w:rPr>
        <w:t xml:space="preserve">Greenwashing, in contrast, is still a common occurrence and is </w:t>
      </w:r>
      <w:proofErr w:type="spellStart"/>
      <w:r w:rsidRPr="00A9674A">
        <w:rPr>
          <w:lang w:val="en-US"/>
        </w:rPr>
        <w:t>characterised</w:t>
      </w:r>
      <w:proofErr w:type="spellEnd"/>
      <w:r w:rsidRPr="00A9674A">
        <w:rPr>
          <w:lang w:val="en-US"/>
        </w:rPr>
        <w:t xml:space="preserve"> by exaggerated or false claims, selective disclosures and vague terminologies. There is also symbolic or cosmetic behaviour, like CSR-washing and paltering, which is frequent in fast-fashion companies, including H&amp;M and Zara, sustainability communication of which at times takes precedence over meaning (Dobos and </w:t>
      </w:r>
      <w:proofErr w:type="spellStart"/>
      <w:r w:rsidRPr="00A9674A">
        <w:rPr>
          <w:lang w:val="en-US"/>
        </w:rPr>
        <w:t>Elteto</w:t>
      </w:r>
      <w:proofErr w:type="spellEnd"/>
      <w:r w:rsidRPr="00A9674A">
        <w:rPr>
          <w:lang w:val="en-US"/>
        </w:rPr>
        <w:t xml:space="preserve">, 2023; Brugman, van </w:t>
      </w:r>
      <w:proofErr w:type="spellStart"/>
      <w:r w:rsidRPr="00A9674A">
        <w:rPr>
          <w:lang w:val="en-US"/>
        </w:rPr>
        <w:t>Huijstee</w:t>
      </w:r>
      <w:proofErr w:type="spellEnd"/>
      <w:r w:rsidRPr="00A9674A">
        <w:rPr>
          <w:lang w:val="en-US"/>
        </w:rPr>
        <w:t xml:space="preserve"> and Droog, 2024; Goswami and Jaiswal, 2023). Transparency is also compromised through selective reporting or greenhushing whereby companies under-report or hide unsustainable </w:t>
      </w:r>
      <w:proofErr w:type="spellStart"/>
      <w:r w:rsidRPr="00A9674A">
        <w:rPr>
          <w:lang w:val="en-US"/>
        </w:rPr>
        <w:t>practises</w:t>
      </w:r>
      <w:proofErr w:type="spellEnd"/>
      <w:r w:rsidRPr="00A9674A">
        <w:rPr>
          <w:lang w:val="en-US"/>
        </w:rPr>
        <w:t xml:space="preserve"> (</w:t>
      </w:r>
      <w:proofErr w:type="spellStart"/>
      <w:r w:rsidRPr="00A9674A">
        <w:rPr>
          <w:lang w:val="en-US"/>
        </w:rPr>
        <w:t>Jestratijevic</w:t>
      </w:r>
      <w:proofErr w:type="spellEnd"/>
      <w:r w:rsidRPr="00A9674A">
        <w:rPr>
          <w:lang w:val="en-US"/>
        </w:rPr>
        <w:t xml:space="preserve">, </w:t>
      </w:r>
      <w:proofErr w:type="spellStart"/>
      <w:r w:rsidRPr="00A9674A">
        <w:rPr>
          <w:lang w:val="en-US"/>
        </w:rPr>
        <w:t>Uanhoro</w:t>
      </w:r>
      <w:proofErr w:type="spellEnd"/>
      <w:r w:rsidRPr="00A9674A">
        <w:rPr>
          <w:lang w:val="en-US"/>
        </w:rPr>
        <w:t xml:space="preserve"> &amp; Rana, 2024; </w:t>
      </w:r>
      <w:proofErr w:type="spellStart"/>
      <w:r w:rsidRPr="00A9674A">
        <w:rPr>
          <w:lang w:val="en-US"/>
        </w:rPr>
        <w:t>Schwoy</w:t>
      </w:r>
      <w:proofErr w:type="spellEnd"/>
      <w:r w:rsidRPr="00A9674A">
        <w:rPr>
          <w:lang w:val="en-US"/>
        </w:rPr>
        <w:t xml:space="preserve">, </w:t>
      </w:r>
      <w:proofErr w:type="spellStart"/>
      <w:r w:rsidRPr="00A9674A">
        <w:rPr>
          <w:lang w:val="en-US"/>
        </w:rPr>
        <w:t>Dutzi</w:t>
      </w:r>
      <w:proofErr w:type="spellEnd"/>
      <w:r w:rsidRPr="00A9674A">
        <w:rPr>
          <w:lang w:val="en-US"/>
        </w:rPr>
        <w:t xml:space="preserve"> and Messing, 2025). Poorly defined or ambiguous sustainability language is also a source of confusion among consumers, and such narratives as tech-utopia or sovereign-consumer myths can be used to continue to imagine perceived environmental responsibility without taking any real action (Brydges, Henninger &amp; Hanlon, 2022; </w:t>
      </w:r>
      <w:proofErr w:type="spellStart"/>
      <w:r w:rsidRPr="00A9674A">
        <w:rPr>
          <w:lang w:val="en-US"/>
        </w:rPr>
        <w:t>Heidenstrom</w:t>
      </w:r>
      <w:proofErr w:type="spellEnd"/>
      <w:r w:rsidRPr="00A9674A">
        <w:rPr>
          <w:lang w:val="en-US"/>
        </w:rPr>
        <w:t>, 2024; Evans and Peirson-</w:t>
      </w:r>
      <w:r w:rsidRPr="00A9674A">
        <w:rPr>
          <w:lang w:val="en-US"/>
        </w:rPr>
        <w:lastRenderedPageBreak/>
        <w:t>Smith, 2018). The use of social media campaigns and influencer promotions can also make greenwashing worse by portraying a picture of sustainability that does not necessarily match the reality (Fang, 2024; Sailer, Wilfing and Straus, 2022).</w:t>
      </w:r>
    </w:p>
    <w:p w14:paraId="62D7C9F7" w14:textId="4A55F5E6" w:rsidR="00A9674A" w:rsidRPr="00A9674A" w:rsidRDefault="00A9674A" w:rsidP="00A9674A">
      <w:pPr>
        <w:rPr>
          <w:lang w:val="en-US"/>
        </w:rPr>
      </w:pPr>
      <w:r w:rsidRPr="00A9674A">
        <w:rPr>
          <w:lang w:val="en-US"/>
        </w:rPr>
        <w:t xml:space="preserve">Comparative studies have indicated that genuine sustainability efforts focus on verification, consistency, and an impact that is quantifiable whilst the greenwashing efforts focus on perception management and image-enhancement with minimum systemic transformation. Greenwashing leads to a decrease in consumer trust and buying intentions, as evidenced by the research on low brand credibility and distrust among fashion consumers (Lu </w:t>
      </w:r>
      <w:r w:rsidR="001D1CA2" w:rsidRPr="001D1CA2">
        <w:rPr>
          <w:i/>
          <w:iCs/>
          <w:lang w:val="en-US"/>
        </w:rPr>
        <w:t>et al</w:t>
      </w:r>
      <w:r w:rsidRPr="00A9674A">
        <w:rPr>
          <w:lang w:val="en-US"/>
        </w:rPr>
        <w:t>., 2022; Marko and Kusa, 2023; Goswami and Jaiswal, 2023). On the other hand, clear communication, attested ESG reporting, and cross channel messaging improve brand credibility and consumer interest (Velasco-</w:t>
      </w:r>
      <w:proofErr w:type="spellStart"/>
      <w:r w:rsidRPr="00A9674A">
        <w:rPr>
          <w:lang w:val="en-US"/>
        </w:rPr>
        <w:t>Molpeceres</w:t>
      </w:r>
      <w:proofErr w:type="spellEnd"/>
      <w:r w:rsidRPr="00A9674A">
        <w:rPr>
          <w:lang w:val="en-US"/>
        </w:rPr>
        <w:t xml:space="preserve"> </w:t>
      </w:r>
      <w:r w:rsidR="001D1CA2" w:rsidRPr="001D1CA2">
        <w:rPr>
          <w:i/>
          <w:iCs/>
          <w:lang w:val="en-US"/>
        </w:rPr>
        <w:t>et al</w:t>
      </w:r>
      <w:r w:rsidRPr="00A9674A">
        <w:rPr>
          <w:lang w:val="en-US"/>
        </w:rPr>
        <w:t xml:space="preserve">., 2023; Garcia-Ortega </w:t>
      </w:r>
      <w:r w:rsidR="001D1CA2" w:rsidRPr="001D1CA2">
        <w:rPr>
          <w:i/>
          <w:iCs/>
          <w:lang w:val="en-US"/>
        </w:rPr>
        <w:t>et al</w:t>
      </w:r>
      <w:r w:rsidRPr="00A9674A">
        <w:rPr>
          <w:lang w:val="en-US"/>
        </w:rPr>
        <w:t>., 2025; Fang, 2024).</w:t>
      </w:r>
    </w:p>
    <w:p w14:paraId="0B6BF4B5" w14:textId="1AE10063" w:rsidR="00A9674A" w:rsidRPr="00A9674A" w:rsidRDefault="00A9674A" w:rsidP="00A9674A">
      <w:pPr>
        <w:rPr>
          <w:lang w:val="en-US"/>
        </w:rPr>
      </w:pPr>
      <w:r w:rsidRPr="00A9674A">
        <w:rPr>
          <w:lang w:val="en-US"/>
        </w:rPr>
        <w:t xml:space="preserve">Among the identified gaps, there are weak regulations enforcement, uneven sustainability metrics, insufficient auditing and verification, and consumer confusion of authentic </w:t>
      </w:r>
      <w:proofErr w:type="spellStart"/>
      <w:r w:rsidRPr="00A9674A">
        <w:rPr>
          <w:lang w:val="en-US"/>
        </w:rPr>
        <w:t>practises</w:t>
      </w:r>
      <w:proofErr w:type="spellEnd"/>
      <w:r w:rsidRPr="00A9674A">
        <w:rPr>
          <w:lang w:val="en-US"/>
        </w:rPr>
        <w:t xml:space="preserve"> and greenwashing (Pozzo, 2023; Burnstine and Ghattas, 2025; </w:t>
      </w:r>
      <w:proofErr w:type="spellStart"/>
      <w:r w:rsidRPr="00A9674A">
        <w:rPr>
          <w:lang w:val="en-US"/>
        </w:rPr>
        <w:t>Jestratijevic</w:t>
      </w:r>
      <w:proofErr w:type="spellEnd"/>
      <w:r w:rsidRPr="00A9674A">
        <w:rPr>
          <w:lang w:val="en-US"/>
        </w:rPr>
        <w:t xml:space="preserve">, </w:t>
      </w:r>
      <w:proofErr w:type="spellStart"/>
      <w:r w:rsidRPr="00A9674A">
        <w:rPr>
          <w:lang w:val="en-US"/>
        </w:rPr>
        <w:t>Uanhoro</w:t>
      </w:r>
      <w:proofErr w:type="spellEnd"/>
      <w:r w:rsidRPr="00A9674A">
        <w:rPr>
          <w:lang w:val="en-US"/>
        </w:rPr>
        <w:t xml:space="preserve"> and Rana, 2024; Evans and Peirson-Smith, 2018; Li, Cavender and Lee, 2025). Such loopholes could be used to improve strategies. Some of the strategic recommendations that arise out of the literature are the introduction of </w:t>
      </w:r>
      <w:proofErr w:type="spellStart"/>
      <w:r w:rsidRPr="00A9674A">
        <w:rPr>
          <w:lang w:val="en-US"/>
        </w:rPr>
        <w:t>standardised</w:t>
      </w:r>
      <w:proofErr w:type="spellEnd"/>
      <w:r w:rsidRPr="00A9674A">
        <w:rPr>
          <w:lang w:val="en-US"/>
        </w:rPr>
        <w:t xml:space="preserve"> ESG reporting and mandatory disclosure policies, the strengthening of regulatory regimes, the promotion of third-party verification and auditing, the increased traceability of the supply chains and consumer environmental education (Redman, 2025; Tolentino-Zondervan and DiVito, 2024; Dalecki, 2023; Wu </w:t>
      </w:r>
      <w:r w:rsidR="001D1CA2" w:rsidRPr="001D1CA2">
        <w:rPr>
          <w:i/>
          <w:iCs/>
          <w:lang w:val="en-US"/>
        </w:rPr>
        <w:t>et al</w:t>
      </w:r>
      <w:r w:rsidRPr="00A9674A">
        <w:rPr>
          <w:lang w:val="en-US"/>
        </w:rPr>
        <w:t xml:space="preserve">., 2022; Burnstine and Ghattas, 2025; Garcia-Ortega </w:t>
      </w:r>
      <w:r w:rsidR="001D1CA2" w:rsidRPr="001D1CA2">
        <w:rPr>
          <w:i/>
          <w:iCs/>
          <w:lang w:val="en-US"/>
        </w:rPr>
        <w:t>et al</w:t>
      </w:r>
      <w:r>
        <w:rPr>
          <w:lang w:val="en-US"/>
        </w:rPr>
        <w:t>., 2023).</w:t>
      </w:r>
    </w:p>
    <w:p w14:paraId="27E36371" w14:textId="47976D6A" w:rsidR="008019B4" w:rsidRPr="008019B4" w:rsidRDefault="00A9674A" w:rsidP="00A9674A">
      <w:pPr>
        <w:rPr>
          <w:lang w:val="en-US"/>
        </w:rPr>
      </w:pPr>
      <w:r w:rsidRPr="00A9674A">
        <w:rPr>
          <w:lang w:val="en-US"/>
        </w:rPr>
        <w:t xml:space="preserve">Altogether, the synthesis highlights an important difference between the true sustainability and the greenwashing in the fashion industry. Although genuine efforts will yield better environmental and social results, greenwashing behaviour will destroy trust and reduce the process of transition to a sustainable fashion industry. Companies that combine verification, transparency, ethical labour </w:t>
      </w:r>
      <w:proofErr w:type="spellStart"/>
      <w:r w:rsidRPr="00A9674A">
        <w:rPr>
          <w:lang w:val="en-US"/>
        </w:rPr>
        <w:t>practises</w:t>
      </w:r>
      <w:proofErr w:type="spellEnd"/>
      <w:r w:rsidRPr="00A9674A">
        <w:rPr>
          <w:lang w:val="en-US"/>
        </w:rPr>
        <w:t>, and regular communication, like Patagonia, Stella McCartney, and the limited number of high-end fashion brands, are examples of true sustainability, and the brands that focus on image-driven green claims should be regarded as the evidence of greenwashing and the necessity of strict control.</w:t>
      </w:r>
    </w:p>
    <w:p w14:paraId="300E1B32" w14:textId="77777777" w:rsidR="00391EB6" w:rsidRPr="008C5097" w:rsidRDefault="00391EB6" w:rsidP="008C5097">
      <w:pPr>
        <w:pStyle w:val="Heading2"/>
      </w:pPr>
      <w:bookmarkStart w:id="73" w:name="_Toc218445703"/>
      <w:r w:rsidRPr="008C5097">
        <w:lastRenderedPageBreak/>
        <w:t>Discussion of Results</w:t>
      </w:r>
      <w:bookmarkEnd w:id="73"/>
      <w:r w:rsidRPr="008C5097">
        <w:t xml:space="preserve"> </w:t>
      </w:r>
    </w:p>
    <w:p w14:paraId="062F8F0D" w14:textId="77777777" w:rsidR="00E3596B" w:rsidRPr="00E3596B" w:rsidRDefault="00E3596B" w:rsidP="00E3596B">
      <w:pPr>
        <w:rPr>
          <w:lang w:val="en-US" w:eastAsia="zh-CN" w:bidi="bn-IN"/>
        </w:rPr>
      </w:pPr>
      <w:r w:rsidRPr="00E3596B">
        <w:rPr>
          <w:lang w:val="en-US" w:eastAsia="zh-CN" w:bidi="bn-IN"/>
        </w:rPr>
        <w:t>The results of this systematic review provide substantial information that supports and goes beyond the theoretical frameworks presented in Chapter 2.2.2, especially with regard to the concept of sustainability and greenwashing within the fashion industry.</w:t>
      </w:r>
    </w:p>
    <w:p w14:paraId="698F8ABC" w14:textId="43A47422" w:rsidR="00E3596B" w:rsidRPr="00E3596B" w:rsidRDefault="00E3596B" w:rsidP="00E3596B">
      <w:pPr>
        <w:rPr>
          <w:lang w:val="en-US" w:eastAsia="zh-CN" w:bidi="bn-IN"/>
        </w:rPr>
      </w:pPr>
      <w:r w:rsidRPr="00E3596B">
        <w:rPr>
          <w:lang w:val="en-US" w:eastAsia="zh-CN" w:bidi="bn-IN"/>
        </w:rPr>
        <w:t xml:space="preserve">The Stakeholder Theory is supported by the fact that consumer scrutiny, NGO activism and regulatory pressure have significant impact on corporate behaviour. Empirical research suggests that several groups of stakeholders hold brands accountable, and the outcomes of such perceptions are decreased trust, purchase intention, and negative word-of-mouth (Fang, 2024; Marko and Kusa, 2023; Policarpo </w:t>
      </w:r>
      <w:r w:rsidR="001D1CA2" w:rsidRPr="001D1CA2">
        <w:rPr>
          <w:i/>
          <w:iCs/>
          <w:lang w:val="en-US" w:eastAsia="zh-CN" w:bidi="bn-IN"/>
        </w:rPr>
        <w:t>et al</w:t>
      </w:r>
      <w:r w:rsidRPr="00E3596B">
        <w:rPr>
          <w:lang w:val="en-US" w:eastAsia="zh-CN" w:bidi="bn-IN"/>
        </w:rPr>
        <w:t xml:space="preserve">., 2023). However, the fact that greenwashing </w:t>
      </w:r>
      <w:proofErr w:type="spellStart"/>
      <w:r w:rsidRPr="00E3596B">
        <w:rPr>
          <w:lang w:val="en-US" w:eastAsia="zh-CN" w:bidi="bn-IN"/>
        </w:rPr>
        <w:t>practises</w:t>
      </w:r>
      <w:proofErr w:type="spellEnd"/>
      <w:r w:rsidRPr="00E3596B">
        <w:rPr>
          <w:lang w:val="en-US" w:eastAsia="zh-CN" w:bidi="bn-IN"/>
        </w:rPr>
        <w:t xml:space="preserve"> persist is a weakness of the practical implementation of the Stakeholder Theory: although there are stakeholder pressures, they do not all equally push companies into actual sustainability </w:t>
      </w:r>
      <w:proofErr w:type="spellStart"/>
      <w:r w:rsidRPr="00E3596B">
        <w:rPr>
          <w:lang w:val="en-US" w:eastAsia="zh-CN" w:bidi="bn-IN"/>
        </w:rPr>
        <w:t>practises</w:t>
      </w:r>
      <w:proofErr w:type="spellEnd"/>
      <w:r w:rsidRPr="00E3596B">
        <w:rPr>
          <w:lang w:val="en-US" w:eastAsia="zh-CN" w:bidi="bn-IN"/>
        </w:rPr>
        <w:t xml:space="preserve">. Specifically, fast-fashion companies might value economic development or brand image more than substantive sustainability on stakeholder-related issues, which is indicative of a disconnect between theory and </w:t>
      </w:r>
      <w:proofErr w:type="spellStart"/>
      <w:r w:rsidRPr="00E3596B">
        <w:rPr>
          <w:lang w:val="en-US" w:eastAsia="zh-CN" w:bidi="bn-IN"/>
        </w:rPr>
        <w:t>practise</w:t>
      </w:r>
      <w:proofErr w:type="spellEnd"/>
      <w:r w:rsidRPr="00E3596B">
        <w:rPr>
          <w:lang w:val="en-US" w:eastAsia="zh-CN" w:bidi="bn-IN"/>
        </w:rPr>
        <w:t xml:space="preserve"> in the industry (Lovric and </w:t>
      </w:r>
      <w:proofErr w:type="spellStart"/>
      <w:r w:rsidRPr="00E3596B">
        <w:rPr>
          <w:lang w:val="en-US" w:eastAsia="zh-CN" w:bidi="bn-IN"/>
        </w:rPr>
        <w:t>Cagalj</w:t>
      </w:r>
      <w:proofErr w:type="spellEnd"/>
      <w:r w:rsidRPr="00E3596B">
        <w:rPr>
          <w:lang w:val="en-US" w:eastAsia="zh-CN" w:bidi="bn-IN"/>
        </w:rPr>
        <w:t>, 2025; Goswami and Jaiswal, 2023).</w:t>
      </w:r>
    </w:p>
    <w:p w14:paraId="42CA4429" w14:textId="2E75CE63" w:rsidR="00E3596B" w:rsidRPr="00E3596B" w:rsidRDefault="00E3596B" w:rsidP="00E3596B">
      <w:pPr>
        <w:rPr>
          <w:lang w:val="en-US" w:eastAsia="zh-CN" w:bidi="bn-IN"/>
        </w:rPr>
      </w:pPr>
      <w:r w:rsidRPr="00E3596B">
        <w:rPr>
          <w:lang w:val="en-US" w:eastAsia="zh-CN" w:bidi="bn-IN"/>
        </w:rPr>
        <w:t xml:space="preserve">The review has a strong support to </w:t>
      </w:r>
      <w:proofErr w:type="spellStart"/>
      <w:r w:rsidRPr="00E3596B">
        <w:rPr>
          <w:lang w:val="en-US" w:eastAsia="zh-CN" w:bidi="bn-IN"/>
        </w:rPr>
        <w:t>Signalling</w:t>
      </w:r>
      <w:proofErr w:type="spellEnd"/>
      <w:r w:rsidRPr="00E3596B">
        <w:rPr>
          <w:lang w:val="en-US" w:eastAsia="zh-CN" w:bidi="bn-IN"/>
        </w:rPr>
        <w:t xml:space="preserve"> Theory since it shows that sustainability communications act as signals to consumers about corporate ethics and environmental responsibility. False or biassed disclosure (greenhushing, paltering, CSR-washing) is a lack of credibility of the signals, which results in </w:t>
      </w:r>
      <w:proofErr w:type="spellStart"/>
      <w:r w:rsidRPr="00E3596B">
        <w:rPr>
          <w:lang w:val="en-US" w:eastAsia="zh-CN" w:bidi="bn-IN"/>
        </w:rPr>
        <w:t>scepticism</w:t>
      </w:r>
      <w:proofErr w:type="spellEnd"/>
      <w:r w:rsidRPr="00E3596B">
        <w:rPr>
          <w:lang w:val="en-US" w:eastAsia="zh-CN" w:bidi="bn-IN"/>
        </w:rPr>
        <w:t xml:space="preserve"> and lack of consumer involvement (Dobos and </w:t>
      </w:r>
      <w:proofErr w:type="spellStart"/>
      <w:r w:rsidRPr="00E3596B">
        <w:rPr>
          <w:lang w:val="en-US" w:eastAsia="zh-CN" w:bidi="bn-IN"/>
        </w:rPr>
        <w:t>Elteto</w:t>
      </w:r>
      <w:proofErr w:type="spellEnd"/>
      <w:r w:rsidRPr="00E3596B">
        <w:rPr>
          <w:lang w:val="en-US" w:eastAsia="zh-CN" w:bidi="bn-IN"/>
        </w:rPr>
        <w:t xml:space="preserve">, 2023; </w:t>
      </w:r>
      <w:proofErr w:type="spellStart"/>
      <w:r w:rsidRPr="00E3596B">
        <w:rPr>
          <w:lang w:val="en-US" w:eastAsia="zh-CN" w:bidi="bn-IN"/>
        </w:rPr>
        <w:t>Jestratijevic</w:t>
      </w:r>
      <w:proofErr w:type="spellEnd"/>
      <w:r w:rsidRPr="00E3596B">
        <w:rPr>
          <w:lang w:val="en-US" w:eastAsia="zh-CN" w:bidi="bn-IN"/>
        </w:rPr>
        <w:t xml:space="preserve">, </w:t>
      </w:r>
      <w:proofErr w:type="spellStart"/>
      <w:r w:rsidRPr="00E3596B">
        <w:rPr>
          <w:lang w:val="en-US" w:eastAsia="zh-CN" w:bidi="bn-IN"/>
        </w:rPr>
        <w:t>Uanhoro</w:t>
      </w:r>
      <w:proofErr w:type="spellEnd"/>
      <w:r w:rsidRPr="00E3596B">
        <w:rPr>
          <w:lang w:val="en-US" w:eastAsia="zh-CN" w:bidi="bn-IN"/>
        </w:rPr>
        <w:t xml:space="preserve"> and Rana, 2024). On the other hand, confirmed ESG reporting, open supply chains, and uniform cross-channel communications raise signal credibility and build consumer trust (Wu </w:t>
      </w:r>
      <w:r w:rsidR="001D1CA2" w:rsidRPr="001D1CA2">
        <w:rPr>
          <w:i/>
          <w:iCs/>
          <w:lang w:val="en-US" w:eastAsia="zh-CN" w:bidi="bn-IN"/>
        </w:rPr>
        <w:t>et al</w:t>
      </w:r>
      <w:r w:rsidRPr="00E3596B">
        <w:rPr>
          <w:lang w:val="en-US" w:eastAsia="zh-CN" w:bidi="bn-IN"/>
        </w:rPr>
        <w:t xml:space="preserve">., 2022; Tolentino-Zondervan and DiVito, 2024). The results also imply that the channel by which the signals are conveyed, especially social media, is very significant in enhancing both genuine and fake communications, which means that </w:t>
      </w:r>
      <w:proofErr w:type="spellStart"/>
      <w:r w:rsidRPr="00E3596B">
        <w:rPr>
          <w:lang w:val="en-US" w:eastAsia="zh-CN" w:bidi="bn-IN"/>
        </w:rPr>
        <w:t>Signalling</w:t>
      </w:r>
      <w:proofErr w:type="spellEnd"/>
      <w:r w:rsidRPr="00E3596B">
        <w:rPr>
          <w:lang w:val="en-US" w:eastAsia="zh-CN" w:bidi="bn-IN"/>
        </w:rPr>
        <w:t xml:space="preserve"> Theory has to be extended to the influence that digital platforms have on consumer perception (Fang, 2024; Sailer, Wilfing and Straus, 2022).</w:t>
      </w:r>
    </w:p>
    <w:p w14:paraId="1A44CABA" w14:textId="30E3B9E5" w:rsidR="00E919EE" w:rsidRDefault="00E3596B" w:rsidP="00E3596B">
      <w:pPr>
        <w:rPr>
          <w:lang w:val="en-US" w:eastAsia="zh-CN" w:bidi="bn-IN"/>
        </w:rPr>
      </w:pPr>
      <w:r w:rsidRPr="00E3596B">
        <w:rPr>
          <w:lang w:val="en-US" w:eastAsia="zh-CN" w:bidi="bn-IN"/>
        </w:rPr>
        <w:t xml:space="preserve">The review supports the Triple Bottom Line (TBL) Model to a large extent, pointing out the examples of the actual sustainability that involves the integration of environmental, social, and economic results. Circularity, green innovation, and ethical labour </w:t>
      </w:r>
      <w:proofErr w:type="spellStart"/>
      <w:r w:rsidRPr="00E3596B">
        <w:rPr>
          <w:lang w:val="en-US" w:eastAsia="zh-CN" w:bidi="bn-IN"/>
        </w:rPr>
        <w:t>practises</w:t>
      </w:r>
      <w:proofErr w:type="spellEnd"/>
      <w:r w:rsidRPr="00E3596B">
        <w:rPr>
          <w:lang w:val="en-US" w:eastAsia="zh-CN" w:bidi="bn-IN"/>
        </w:rPr>
        <w:t xml:space="preserve"> can create quantifiable environmental and social benefits and maintain economic </w:t>
      </w:r>
      <w:r w:rsidRPr="00E3596B">
        <w:rPr>
          <w:lang w:val="en-US" w:eastAsia="zh-CN" w:bidi="bn-IN"/>
        </w:rPr>
        <w:lastRenderedPageBreak/>
        <w:t xml:space="preserve">performance as demonstrated by brands like Patagonia, Stella McCartney, and Kering (Burnstine and Ghattas, 2025; </w:t>
      </w:r>
      <w:proofErr w:type="spellStart"/>
      <w:r w:rsidRPr="00E3596B">
        <w:rPr>
          <w:lang w:val="en-US" w:eastAsia="zh-CN" w:bidi="bn-IN"/>
        </w:rPr>
        <w:t>Habtemaryam</w:t>
      </w:r>
      <w:proofErr w:type="spellEnd"/>
      <w:r w:rsidRPr="00E3596B">
        <w:rPr>
          <w:lang w:val="en-US" w:eastAsia="zh-CN" w:bidi="bn-IN"/>
        </w:rPr>
        <w:t xml:space="preserve">, Degoma and Tsegaye, 2025; de Magalhaes Silva </w:t>
      </w:r>
      <w:r w:rsidR="001D1CA2" w:rsidRPr="001D1CA2">
        <w:rPr>
          <w:i/>
          <w:iCs/>
          <w:lang w:val="en-US" w:eastAsia="zh-CN" w:bidi="bn-IN"/>
        </w:rPr>
        <w:t>et al</w:t>
      </w:r>
      <w:r w:rsidRPr="00E3596B">
        <w:rPr>
          <w:lang w:val="en-US" w:eastAsia="zh-CN" w:bidi="bn-IN"/>
        </w:rPr>
        <w:t xml:space="preserve">., 2025). Nonetheless, the prevalence of symbolic sustainability and greenwashing shows that the TBL implementation is not always consistent, and economic and reputational goals are prioritized in most instances over meaningful environmental or social results (Goswami &amp; Jaiswal, 2023; Brydges, Henninger and Hanlon, 2022). This implies that more rigorous verification systems and regulation are required in order to make TBL principles come true in </w:t>
      </w:r>
      <w:proofErr w:type="spellStart"/>
      <w:r w:rsidRPr="00E3596B">
        <w:rPr>
          <w:lang w:val="en-US" w:eastAsia="zh-CN" w:bidi="bn-IN"/>
        </w:rPr>
        <w:t>practise</w:t>
      </w:r>
      <w:proofErr w:type="spellEnd"/>
      <w:r w:rsidRPr="00E3596B">
        <w:rPr>
          <w:lang w:val="en-US" w:eastAsia="zh-CN" w:bidi="bn-IN"/>
        </w:rPr>
        <w:t>.</w:t>
      </w:r>
    </w:p>
    <w:p w14:paraId="4035DCA4" w14:textId="1BA0987B" w:rsidR="00BF6B13" w:rsidRPr="00050EB0" w:rsidRDefault="00050EB0" w:rsidP="00050EB0">
      <w:pPr>
        <w:rPr>
          <w:lang w:val="en-US" w:eastAsia="zh-CN" w:bidi="bn-IN"/>
        </w:rPr>
      </w:pPr>
      <w:r>
        <w:rPr>
          <w:noProof/>
        </w:rPr>
        <w:drawing>
          <wp:inline distT="0" distB="0" distL="0" distR="0" wp14:anchorId="1587D9FC" wp14:editId="1F9A95F3">
            <wp:extent cx="4979035" cy="3037579"/>
            <wp:effectExtent l="0" t="0" r="0" b="0"/>
            <wp:docPr id="1920313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00242" cy="3050517"/>
                    </a:xfrm>
                    <a:prstGeom prst="rect">
                      <a:avLst/>
                    </a:prstGeom>
                    <a:noFill/>
                  </pic:spPr>
                </pic:pic>
              </a:graphicData>
            </a:graphic>
          </wp:inline>
        </w:drawing>
      </w:r>
    </w:p>
    <w:p w14:paraId="6172F67A" w14:textId="7EB61617" w:rsidR="00BF6B13" w:rsidRDefault="00BF6B13" w:rsidP="00050EB0">
      <w:pPr>
        <w:pStyle w:val="NoSpacing"/>
      </w:pPr>
      <w:r>
        <w:rPr>
          <w:lang w:val="en-US" w:eastAsia="zh-CN" w:bidi="bn-IN"/>
        </w:rPr>
        <w:t xml:space="preserve"> </w:t>
      </w:r>
      <w:bookmarkStart w:id="74" w:name="_Toc216197020"/>
      <w:bookmarkStart w:id="75" w:name="_Toc218439234"/>
      <w:bookmarkStart w:id="76" w:name="_Toc218441804"/>
      <w:bookmarkStart w:id="77" w:name="_Toc218446361"/>
      <w:r>
        <w:t xml:space="preserve">Figure </w:t>
      </w:r>
      <w:fldSimple w:instr=" SEQ Figure \* ARABIC ">
        <w:r w:rsidR="001C774D">
          <w:rPr>
            <w:noProof/>
          </w:rPr>
          <w:t>8</w:t>
        </w:r>
      </w:fldSimple>
      <w:r>
        <w:t xml:space="preserve"> Conceptual Framework of </w:t>
      </w:r>
      <w:r w:rsidR="00662D3A">
        <w:t xml:space="preserve">Fashion </w:t>
      </w:r>
      <w:r>
        <w:t xml:space="preserve">Sustainability and Greenwashing </w:t>
      </w:r>
      <w:bookmarkEnd w:id="74"/>
      <w:r w:rsidR="002B796F">
        <w:t>(Author)</w:t>
      </w:r>
      <w:bookmarkEnd w:id="75"/>
      <w:bookmarkEnd w:id="76"/>
      <w:bookmarkEnd w:id="77"/>
    </w:p>
    <w:p w14:paraId="353317AA" w14:textId="26665937" w:rsidR="00E3596B" w:rsidRPr="00E3596B" w:rsidRDefault="00E3596B" w:rsidP="00E3596B">
      <w:pPr>
        <w:rPr>
          <w:lang w:val="en-US"/>
        </w:rPr>
      </w:pPr>
      <w:r w:rsidRPr="00E3596B">
        <w:rPr>
          <w:lang w:val="en-US"/>
        </w:rPr>
        <w:t xml:space="preserve">The presented narrative synthesis confirms and expands the conceptual framework introduced in chapter two by showing how internal and external forces influence the direction of sustainability actions in the fashion industry through communicative </w:t>
      </w:r>
      <w:proofErr w:type="spellStart"/>
      <w:r w:rsidRPr="00E3596B">
        <w:rPr>
          <w:lang w:val="en-US"/>
        </w:rPr>
        <w:t>practises</w:t>
      </w:r>
      <w:proofErr w:type="spellEnd"/>
      <w:r w:rsidRPr="00E3596B">
        <w:rPr>
          <w:lang w:val="en-US"/>
        </w:rPr>
        <w:t xml:space="preserve"> and verification mechanisms. In line with the framework, synthesis reveals that the authentic sustainability is anchored to internal corporate culture and authentic dedication to social and environmental responsibility, whereas the superficial engagement and image management results in greenwashing. Synthesis identification of the concept of circularity, green innovation and ethical labour practices is in accordance with the framework focus of substantive environmental and social stewardship as a </w:t>
      </w:r>
      <w:r w:rsidRPr="00E3596B">
        <w:rPr>
          <w:lang w:val="en-US"/>
        </w:rPr>
        <w:t>determinant of credible sustainability outcomes</w:t>
      </w:r>
      <w:r w:rsidRPr="00E3596B">
        <w:rPr>
          <w:lang w:val="en-US"/>
        </w:rPr>
        <w:t xml:space="preserve">. Similarly, the repetitive significance of transparency, traceability, and verified reporting identifies the mediating role ascribed to the communication strategies and ESG verification in the </w:t>
      </w:r>
      <w:r w:rsidRPr="00E3596B">
        <w:rPr>
          <w:lang w:val="en-US"/>
        </w:rPr>
        <w:lastRenderedPageBreak/>
        <w:t xml:space="preserve">conceptual model, which proves that the manner in which sustainability is reported and proved has a strong impact on stakeholder interpretation and trust. Meanwhile, the synthesis will enhance the framework by showing how much selective disclosure, symbolic marketing and vague sustainability language can sabotage these mechanisms showing how communication can be used as a means of trust as well as a means of deception in poor regulation. The results found in the synthesis, trust, purchase intention, and brand loyalty, are reminiscent of the forecasts of the framework that stakeholder reactions to greenwashing would be determined by the perceived authenticity, but the synthesis also suggests emerging issues, including the social media scrutiny and consumer </w:t>
      </w:r>
      <w:proofErr w:type="spellStart"/>
      <w:r w:rsidRPr="00E3596B">
        <w:rPr>
          <w:lang w:val="en-US"/>
        </w:rPr>
        <w:t>scepticism</w:t>
      </w:r>
      <w:proofErr w:type="spellEnd"/>
      <w:r w:rsidRPr="00E3596B">
        <w:rPr>
          <w:lang w:val="en-US"/>
        </w:rPr>
        <w:t xml:space="preserve">, which only exacerbate the effects of greenwashing compared to the original framework. In this aspect, the results support the theoretical framework besides presenting a new level of complexity in terms of interaction of pressures, </w:t>
      </w:r>
      <w:proofErr w:type="spellStart"/>
      <w:r w:rsidRPr="00E3596B">
        <w:rPr>
          <w:lang w:val="en-US"/>
        </w:rPr>
        <w:t>practises</w:t>
      </w:r>
      <w:proofErr w:type="spellEnd"/>
      <w:r w:rsidRPr="00E3596B">
        <w:rPr>
          <w:lang w:val="en-US"/>
        </w:rPr>
        <w:t xml:space="preserve"> and perceptions, which highlights the necessity of more robust systems of verification and effective communication to facilitate effectiveness and legitimacy of sustainability efforts in the fashion industry.</w:t>
      </w:r>
    </w:p>
    <w:p w14:paraId="28360E34" w14:textId="041FA011" w:rsidR="00391EB6" w:rsidRPr="00E919EE" w:rsidRDefault="00E3596B" w:rsidP="00E3596B">
      <w:pPr>
        <w:rPr>
          <w:lang w:val="en-US"/>
        </w:rPr>
      </w:pPr>
      <w:r w:rsidRPr="00E3596B">
        <w:rPr>
          <w:lang w:val="en-US"/>
        </w:rPr>
        <w:t xml:space="preserve">To sum up, the systematic review proves the applicability of Stakeholder Theory, the </w:t>
      </w:r>
      <w:proofErr w:type="spellStart"/>
      <w:r w:rsidRPr="00E3596B">
        <w:rPr>
          <w:lang w:val="en-US"/>
        </w:rPr>
        <w:t>Signalling</w:t>
      </w:r>
      <w:proofErr w:type="spellEnd"/>
      <w:r w:rsidRPr="00E3596B">
        <w:rPr>
          <w:lang w:val="en-US"/>
        </w:rPr>
        <w:t xml:space="preserve"> Theory, and TBL Model in the explanation of corporate sustainability and greenwashing relationships in the fashion industry. Simultaneously, the results indicate the presence of practical gaps, such as the uneven impact of stakeholders, the problem of signal credibility, and partial TBL application, and the need to develop integrated approaches, including transparent communication, regulatory enforcement, and consumer education to promote authentic sustainability.</w:t>
      </w:r>
    </w:p>
    <w:p w14:paraId="1D96A31B" w14:textId="77777777" w:rsidR="00A7080E" w:rsidRPr="008C5097" w:rsidRDefault="00A7080E" w:rsidP="008C5097">
      <w:pPr>
        <w:ind w:left="360"/>
        <w:rPr>
          <w:i/>
        </w:rPr>
      </w:pPr>
    </w:p>
    <w:p w14:paraId="6A0802B2" w14:textId="77777777" w:rsidR="008C5097" w:rsidRDefault="008C5097">
      <w:r>
        <w:br w:type="page"/>
      </w:r>
    </w:p>
    <w:p w14:paraId="3CCBADD8" w14:textId="0F667E4D" w:rsidR="00391EB6" w:rsidRPr="008C5097" w:rsidRDefault="00786750" w:rsidP="008C5097">
      <w:pPr>
        <w:pStyle w:val="Heading1"/>
      </w:pPr>
      <w:bookmarkStart w:id="78" w:name="_Toc218445704"/>
      <w:r w:rsidRPr="008C5097">
        <w:lastRenderedPageBreak/>
        <w:t>CHAPTER 5: CONCLUSIONS AND RECOMMENDATIONS</w:t>
      </w:r>
      <w:bookmarkEnd w:id="78"/>
      <w:r w:rsidRPr="008C5097">
        <w:t xml:space="preserve"> </w:t>
      </w:r>
    </w:p>
    <w:p w14:paraId="3CDF9887" w14:textId="45D91730" w:rsidR="00050EB0" w:rsidRPr="00050EB0" w:rsidRDefault="00050EB0" w:rsidP="00050EB0">
      <w:pPr>
        <w:pStyle w:val="Heading2"/>
        <w:rPr>
          <w:lang w:val="en-US" w:eastAsia="zh-CN" w:bidi="bn-IN"/>
        </w:rPr>
      </w:pPr>
      <w:bookmarkStart w:id="79" w:name="_Toc218445705"/>
      <w:r w:rsidRPr="00050EB0">
        <w:rPr>
          <w:lang w:val="en-US" w:eastAsia="zh-CN" w:bidi="bn-IN"/>
        </w:rPr>
        <w:t>Summary of Main Findings</w:t>
      </w:r>
      <w:bookmarkEnd w:id="79"/>
    </w:p>
    <w:p w14:paraId="68EB46F6" w14:textId="50D8D7D3" w:rsidR="00050EB0" w:rsidRPr="00050EB0" w:rsidRDefault="00E3596B" w:rsidP="00050EB0">
      <w:pPr>
        <w:rPr>
          <w:lang w:val="en-US" w:eastAsia="zh-CN" w:bidi="bn-IN"/>
        </w:rPr>
      </w:pPr>
      <w:r w:rsidRPr="00E3596B">
        <w:rPr>
          <w:lang w:val="en-US" w:eastAsia="zh-CN" w:bidi="bn-IN"/>
        </w:rPr>
        <w:t xml:space="preserve">The systematic review reveals how sustainability in the fashion industry has grown beyond the solitary environmental efforts to include large scale approaches that incorporate the social responsibility and environmental stewardship. It is evidenced that brands have started to introduce circularity, resource-efficient production, eco-design, and digital traceability systems, which are all significant steps to </w:t>
      </w:r>
      <w:proofErr w:type="spellStart"/>
      <w:r w:rsidRPr="00E3596B">
        <w:rPr>
          <w:lang w:val="en-US" w:eastAsia="zh-CN" w:bidi="bn-IN"/>
        </w:rPr>
        <w:t>minimise</w:t>
      </w:r>
      <w:proofErr w:type="spellEnd"/>
      <w:r w:rsidRPr="00E3596B">
        <w:rPr>
          <w:lang w:val="en-US" w:eastAsia="zh-CN" w:bidi="bn-IN"/>
        </w:rPr>
        <w:t xml:space="preserve"> the impact on the environment. There has also been an emergence of social responsibility that is more focused on labour conditions, stakeholder participation and ethical supply chain management. The literature, however, repeatedly points out that such developments are not even, and are usually overshadowed by such </w:t>
      </w:r>
      <w:proofErr w:type="spellStart"/>
      <w:r w:rsidRPr="00E3596B">
        <w:rPr>
          <w:lang w:val="en-US" w:eastAsia="zh-CN" w:bidi="bn-IN"/>
        </w:rPr>
        <w:t>practises</w:t>
      </w:r>
      <w:proofErr w:type="spellEnd"/>
      <w:r w:rsidRPr="00E3596B">
        <w:rPr>
          <w:lang w:val="en-US" w:eastAsia="zh-CN" w:bidi="bn-IN"/>
        </w:rPr>
        <w:t xml:space="preserve"> that are greenwashing. False environmental marketing, inflated corporate social responsibility </w:t>
      </w:r>
      <w:proofErr w:type="spellStart"/>
      <w:r w:rsidRPr="00E3596B">
        <w:rPr>
          <w:lang w:val="en-US" w:eastAsia="zh-CN" w:bidi="bn-IN"/>
        </w:rPr>
        <w:t>storeys</w:t>
      </w:r>
      <w:proofErr w:type="spellEnd"/>
      <w:r w:rsidRPr="00E3596B">
        <w:rPr>
          <w:lang w:val="en-US" w:eastAsia="zh-CN" w:bidi="bn-IN"/>
        </w:rPr>
        <w:t>, partial disclosure and symbolic marketing become widespread strategies on the rise of consumer and regulatory pressures. The elements of transparency and verification seem to be the main conditions under which sustainability communications either develop or reduce consumer trust, verified reporting and traceable supply chains were linked to greater credibility and consumer loyalty. The review also demonstrates that consumers are increasingly able to differentiate between substantive and superficial sustainability, and authenticity is becoming a vital element of brand image.</w:t>
      </w:r>
    </w:p>
    <w:p w14:paraId="250E35FE" w14:textId="04424865" w:rsidR="00050EB0" w:rsidRPr="00050EB0" w:rsidRDefault="00050EB0" w:rsidP="00050EB0">
      <w:pPr>
        <w:pStyle w:val="Heading2"/>
        <w:rPr>
          <w:lang w:val="en-US" w:eastAsia="zh-CN" w:bidi="bn-IN"/>
        </w:rPr>
      </w:pPr>
      <w:bookmarkStart w:id="80" w:name="_Toc218445706"/>
      <w:r w:rsidRPr="00050EB0">
        <w:rPr>
          <w:lang w:val="en-US" w:eastAsia="zh-CN" w:bidi="bn-IN"/>
        </w:rPr>
        <w:t>Conclusion Based on the Research Questions</w:t>
      </w:r>
      <w:bookmarkEnd w:id="80"/>
    </w:p>
    <w:p w14:paraId="719EF942" w14:textId="77777777" w:rsidR="00E3596B" w:rsidRPr="00E3596B" w:rsidRDefault="00E3596B" w:rsidP="00E3596B">
      <w:pPr>
        <w:rPr>
          <w:lang w:val="en-US" w:eastAsia="zh-CN" w:bidi="bn-IN"/>
        </w:rPr>
      </w:pPr>
      <w:r w:rsidRPr="00E3596B">
        <w:rPr>
          <w:lang w:val="en-US" w:eastAsia="zh-CN" w:bidi="bn-IN"/>
        </w:rPr>
        <w:t xml:space="preserve">Regarding the first research question, circular production, eco-material innovation, green innovation in design and manufacturing, and ethical labour </w:t>
      </w:r>
      <w:proofErr w:type="spellStart"/>
      <w:r w:rsidRPr="00E3596B">
        <w:rPr>
          <w:lang w:val="en-US" w:eastAsia="zh-CN" w:bidi="bn-IN"/>
        </w:rPr>
        <w:t>practises</w:t>
      </w:r>
      <w:proofErr w:type="spellEnd"/>
      <w:r w:rsidRPr="00E3596B">
        <w:rPr>
          <w:lang w:val="en-US" w:eastAsia="zh-CN" w:bidi="bn-IN"/>
        </w:rPr>
        <w:t xml:space="preserve"> are all sustainable </w:t>
      </w:r>
      <w:proofErr w:type="spellStart"/>
      <w:r w:rsidRPr="00E3596B">
        <w:rPr>
          <w:lang w:val="en-US" w:eastAsia="zh-CN" w:bidi="bn-IN"/>
        </w:rPr>
        <w:t>practises</w:t>
      </w:r>
      <w:proofErr w:type="spellEnd"/>
      <w:r w:rsidRPr="00E3596B">
        <w:rPr>
          <w:lang w:val="en-US" w:eastAsia="zh-CN" w:bidi="bn-IN"/>
        </w:rPr>
        <w:t xml:space="preserve"> implemented by fashion brands, all of which support both social and environmental goals. Although the </w:t>
      </w:r>
      <w:proofErr w:type="spellStart"/>
      <w:r w:rsidRPr="00E3596B">
        <w:rPr>
          <w:lang w:val="en-US" w:eastAsia="zh-CN" w:bidi="bn-IN"/>
        </w:rPr>
        <w:t>practises</w:t>
      </w:r>
      <w:proofErr w:type="spellEnd"/>
      <w:r w:rsidRPr="00E3596B">
        <w:rPr>
          <w:lang w:val="en-US" w:eastAsia="zh-CN" w:bidi="bn-IN"/>
        </w:rPr>
        <w:t xml:space="preserve"> have proven to have the potential of enhancing the performance, their effects are usually diluted by the structural attributes of the industry such as rapid production cycles and overproduction which restricts the performance of isolated sustainability efforts.</w:t>
      </w:r>
    </w:p>
    <w:p w14:paraId="7ACD6012" w14:textId="77777777" w:rsidR="00E3596B" w:rsidRPr="00E3596B" w:rsidRDefault="00E3596B" w:rsidP="00E3596B">
      <w:pPr>
        <w:rPr>
          <w:lang w:val="en-US" w:eastAsia="zh-CN" w:bidi="bn-IN"/>
        </w:rPr>
      </w:pPr>
      <w:r w:rsidRPr="00E3596B">
        <w:rPr>
          <w:lang w:val="en-US" w:eastAsia="zh-CN" w:bidi="bn-IN"/>
        </w:rPr>
        <w:t>The second research question indicates that greenwashing is common and is done by using false product and process claims, exaggerated or vague statements on CSR, selective disclosure, and the abuse of eco-</w:t>
      </w:r>
      <w:proofErr w:type="spellStart"/>
      <w:r w:rsidRPr="00E3596B">
        <w:rPr>
          <w:lang w:val="en-US" w:eastAsia="zh-CN" w:bidi="bn-IN"/>
        </w:rPr>
        <w:t>signalling</w:t>
      </w:r>
      <w:proofErr w:type="spellEnd"/>
      <w:r w:rsidRPr="00E3596B">
        <w:rPr>
          <w:lang w:val="en-US" w:eastAsia="zh-CN" w:bidi="bn-IN"/>
        </w:rPr>
        <w:t xml:space="preserve"> in marketing. The latter </w:t>
      </w:r>
      <w:proofErr w:type="spellStart"/>
      <w:r w:rsidRPr="00E3596B">
        <w:rPr>
          <w:lang w:val="en-US" w:eastAsia="zh-CN" w:bidi="bn-IN"/>
        </w:rPr>
        <w:t>practises</w:t>
      </w:r>
      <w:proofErr w:type="spellEnd"/>
      <w:r w:rsidRPr="00E3596B">
        <w:rPr>
          <w:lang w:val="en-US" w:eastAsia="zh-CN" w:bidi="bn-IN"/>
        </w:rPr>
        <w:t xml:space="preserve"> are particular in fast-fashion brands whose business model creates an inherent </w:t>
      </w:r>
      <w:r w:rsidRPr="00E3596B">
        <w:rPr>
          <w:lang w:val="en-US" w:eastAsia="zh-CN" w:bidi="bn-IN"/>
        </w:rPr>
        <w:lastRenderedPageBreak/>
        <w:t xml:space="preserve">tension with environmental assertions. Greenwashing prevalence does not only make the sustainability communication less effective but also creates </w:t>
      </w:r>
      <w:proofErr w:type="spellStart"/>
      <w:r w:rsidRPr="00E3596B">
        <w:rPr>
          <w:lang w:val="en-US" w:eastAsia="zh-CN" w:bidi="bn-IN"/>
        </w:rPr>
        <w:t>scepticism</w:t>
      </w:r>
      <w:proofErr w:type="spellEnd"/>
      <w:r w:rsidRPr="00E3596B">
        <w:rPr>
          <w:lang w:val="en-US" w:eastAsia="zh-CN" w:bidi="bn-IN"/>
        </w:rPr>
        <w:t xml:space="preserve"> that could undermine the effectiveness of the genuine initiatives.</w:t>
      </w:r>
    </w:p>
    <w:p w14:paraId="25FA8B0F" w14:textId="33EB7F90" w:rsidR="00050EB0" w:rsidRPr="00050EB0" w:rsidRDefault="00E3596B" w:rsidP="00E3596B">
      <w:pPr>
        <w:rPr>
          <w:lang w:val="en-US" w:eastAsia="zh-CN" w:bidi="bn-IN"/>
        </w:rPr>
      </w:pPr>
      <w:r w:rsidRPr="00E3596B">
        <w:rPr>
          <w:lang w:val="en-US" w:eastAsia="zh-CN" w:bidi="bn-IN"/>
        </w:rPr>
        <w:t xml:space="preserve">Answering the third research question the review demonstrates that there is a significant difference between the actual sustainability </w:t>
      </w:r>
      <w:proofErr w:type="spellStart"/>
      <w:r w:rsidRPr="00E3596B">
        <w:rPr>
          <w:lang w:val="en-US" w:eastAsia="zh-CN" w:bidi="bn-IN"/>
        </w:rPr>
        <w:t>programmes</w:t>
      </w:r>
      <w:proofErr w:type="spellEnd"/>
      <w:r w:rsidRPr="00E3596B">
        <w:rPr>
          <w:lang w:val="en-US" w:eastAsia="zh-CN" w:bidi="bn-IN"/>
        </w:rPr>
        <w:t xml:space="preserve"> and greenwashing. True efforts are those which are quantifiable, transparent, verifiable, and embedded in corporate strategy, and greenwashing ones are those based on perception management, ambiguity, and partial disclosure. Literary gaps that have been noted are low regulatory supervision, uneven or non-uniform measurements, lack of proper verification mechanisms and the confusion of the consumers on certified and non-certified assertions. Such loopholes present avenues of improvement of both the corporate </w:t>
      </w:r>
      <w:proofErr w:type="spellStart"/>
      <w:r w:rsidRPr="00E3596B">
        <w:rPr>
          <w:lang w:val="en-US" w:eastAsia="zh-CN" w:bidi="bn-IN"/>
        </w:rPr>
        <w:t>practise</w:t>
      </w:r>
      <w:proofErr w:type="spellEnd"/>
      <w:r w:rsidRPr="00E3596B">
        <w:rPr>
          <w:lang w:val="en-US" w:eastAsia="zh-CN" w:bidi="bn-IN"/>
        </w:rPr>
        <w:t xml:space="preserve"> and policy to increase the credibility of the sustainability drive.</w:t>
      </w:r>
    </w:p>
    <w:p w14:paraId="17B574A0" w14:textId="53783D3C" w:rsidR="00050EB0" w:rsidRPr="00050EB0" w:rsidRDefault="00050EB0" w:rsidP="00050EB0">
      <w:pPr>
        <w:pStyle w:val="Heading2"/>
        <w:rPr>
          <w:lang w:val="en-US" w:eastAsia="zh-CN" w:bidi="bn-IN"/>
        </w:rPr>
      </w:pPr>
      <w:bookmarkStart w:id="81" w:name="_Toc218445707"/>
      <w:r w:rsidRPr="00050EB0">
        <w:rPr>
          <w:lang w:val="en-US" w:eastAsia="zh-CN" w:bidi="bn-IN"/>
        </w:rPr>
        <w:t>Recommendations</w:t>
      </w:r>
      <w:bookmarkEnd w:id="81"/>
    </w:p>
    <w:p w14:paraId="59D86E2D" w14:textId="77777777" w:rsidR="00E3596B" w:rsidRPr="00E3596B" w:rsidRDefault="00E3596B" w:rsidP="00E3596B">
      <w:pPr>
        <w:rPr>
          <w:lang w:val="en-US" w:eastAsia="zh-CN" w:bidi="bn-IN"/>
        </w:rPr>
      </w:pPr>
      <w:r w:rsidRPr="00E3596B">
        <w:rPr>
          <w:lang w:val="en-US" w:eastAsia="zh-CN" w:bidi="bn-IN"/>
        </w:rPr>
        <w:t xml:space="preserve">In </w:t>
      </w:r>
      <w:proofErr w:type="spellStart"/>
      <w:r w:rsidRPr="00E3596B">
        <w:rPr>
          <w:lang w:val="en-US" w:eastAsia="zh-CN" w:bidi="bn-IN"/>
        </w:rPr>
        <w:t>practise</w:t>
      </w:r>
      <w:proofErr w:type="spellEnd"/>
      <w:r w:rsidRPr="00E3596B">
        <w:rPr>
          <w:lang w:val="en-US" w:eastAsia="zh-CN" w:bidi="bn-IN"/>
        </w:rPr>
        <w:t xml:space="preserve">, fashion companies need to focus on quantifiable and verifiable sustainability approaches as opposed to symbolic communication. Implementing </w:t>
      </w:r>
      <w:proofErr w:type="spellStart"/>
      <w:r w:rsidRPr="00E3596B">
        <w:rPr>
          <w:lang w:val="en-US" w:eastAsia="zh-CN" w:bidi="bn-IN"/>
        </w:rPr>
        <w:t>standardised</w:t>
      </w:r>
      <w:proofErr w:type="spellEnd"/>
      <w:r w:rsidRPr="00E3596B">
        <w:rPr>
          <w:lang w:val="en-US" w:eastAsia="zh-CN" w:bidi="bn-IN"/>
        </w:rPr>
        <w:t xml:space="preserve"> reporting on ESG, making supply chains more traceable with the help of digital technologies, and hiring outside auditors can greatly increase transparency and alleviate the threat of deceiving consumers. Social responsibility should also be more incorporated in the sustainability strategies of the brands through the way they continue to observe ethical labour </w:t>
      </w:r>
      <w:proofErr w:type="spellStart"/>
      <w:r w:rsidRPr="00E3596B">
        <w:rPr>
          <w:lang w:val="en-US" w:eastAsia="zh-CN" w:bidi="bn-IN"/>
        </w:rPr>
        <w:t>practises</w:t>
      </w:r>
      <w:proofErr w:type="spellEnd"/>
      <w:r w:rsidRPr="00E3596B">
        <w:rPr>
          <w:lang w:val="en-US" w:eastAsia="zh-CN" w:bidi="bn-IN"/>
        </w:rPr>
        <w:t xml:space="preserve"> and engage stakeholders in dialogue. There should be uniformity in communication on all mediums and should not make ambiguous claims that cannot be proved with evidence.</w:t>
      </w:r>
    </w:p>
    <w:p w14:paraId="0B20DD06" w14:textId="5F079AD9" w:rsidR="00050EB0" w:rsidRPr="00050EB0" w:rsidRDefault="00E3596B" w:rsidP="00E3596B">
      <w:pPr>
        <w:rPr>
          <w:lang w:val="en-US" w:eastAsia="zh-CN" w:bidi="bn-IN"/>
        </w:rPr>
      </w:pPr>
      <w:r w:rsidRPr="00E3596B">
        <w:rPr>
          <w:lang w:val="en-US" w:eastAsia="zh-CN" w:bidi="bn-IN"/>
        </w:rPr>
        <w:t xml:space="preserve">Theoretically, further studies would be useful by investigating the interplay between the interpretation of consumers and corporate communication strategies. Further research may produce more sophisticated models of evaluating authenticity in more digitalized and socially mediated marketplace environments. Comparative analysis of various portions of the fashion sector may also elucidate the role of structural business models affecting the possibility and shape of greenwashing and thus improve on current theoretical understanding of corporate </w:t>
      </w:r>
      <w:proofErr w:type="spellStart"/>
      <w:r w:rsidRPr="00E3596B">
        <w:rPr>
          <w:lang w:val="en-US" w:eastAsia="zh-CN" w:bidi="bn-IN"/>
        </w:rPr>
        <w:t>signalling</w:t>
      </w:r>
      <w:proofErr w:type="spellEnd"/>
      <w:r w:rsidRPr="00E3596B">
        <w:rPr>
          <w:lang w:val="en-US" w:eastAsia="zh-CN" w:bidi="bn-IN"/>
        </w:rPr>
        <w:t xml:space="preserve"> and stakeholder appraisal.</w:t>
      </w:r>
    </w:p>
    <w:p w14:paraId="06CBE488" w14:textId="1006F52D" w:rsidR="00050EB0" w:rsidRPr="00050EB0" w:rsidRDefault="00050EB0" w:rsidP="00050EB0">
      <w:pPr>
        <w:pStyle w:val="Heading2"/>
        <w:rPr>
          <w:lang w:val="en-US" w:eastAsia="zh-CN" w:bidi="bn-IN"/>
        </w:rPr>
      </w:pPr>
      <w:bookmarkStart w:id="82" w:name="_Toc218445708"/>
      <w:r w:rsidRPr="00050EB0">
        <w:rPr>
          <w:lang w:val="en-US" w:eastAsia="zh-CN" w:bidi="bn-IN"/>
        </w:rPr>
        <w:lastRenderedPageBreak/>
        <w:t>Limitations of Research</w:t>
      </w:r>
      <w:bookmarkEnd w:id="82"/>
    </w:p>
    <w:p w14:paraId="570AF578" w14:textId="54488474" w:rsidR="00050EB0" w:rsidRPr="00050EB0" w:rsidRDefault="00E3596B" w:rsidP="00050EB0">
      <w:pPr>
        <w:rPr>
          <w:lang w:val="en-US" w:eastAsia="zh-CN" w:bidi="bn-IN"/>
        </w:rPr>
      </w:pPr>
      <w:r w:rsidRPr="00E3596B">
        <w:rPr>
          <w:lang w:val="en-US" w:eastAsia="zh-CN" w:bidi="bn-IN"/>
        </w:rPr>
        <w:t>The study is limited as a systematic review because it uses published literature, which may lead to publication bias and miss any useful findings that could be found in the grey literature or in non-English literature. The diversity of methodological solutions in the studies limited the chance of synthesis through meta-analysis and necessitated the use of narrative interpretation, which is subjective in nature, despite the attempts to reduce bias. The time limit and choice of keywords could have also limited the range of evidence included and differences in the quality of studies also imply that some results should be viewed with cautiousness.</w:t>
      </w:r>
    </w:p>
    <w:p w14:paraId="5A77E20C" w14:textId="2EFE584D" w:rsidR="00050EB0" w:rsidRPr="00050EB0" w:rsidRDefault="00050EB0" w:rsidP="00050EB0">
      <w:pPr>
        <w:pStyle w:val="Heading2"/>
        <w:rPr>
          <w:lang w:val="en-US" w:eastAsia="zh-CN" w:bidi="bn-IN"/>
        </w:rPr>
      </w:pPr>
      <w:bookmarkStart w:id="83" w:name="_Toc218445709"/>
      <w:r w:rsidRPr="00050EB0">
        <w:rPr>
          <w:lang w:val="en-US" w:eastAsia="zh-CN" w:bidi="bn-IN"/>
        </w:rPr>
        <w:t>Recommendations for Future Work</w:t>
      </w:r>
      <w:bookmarkEnd w:id="83"/>
    </w:p>
    <w:p w14:paraId="4427BDF3" w14:textId="164D91C0" w:rsidR="00050EB0" w:rsidRPr="00050EB0" w:rsidRDefault="00E3596B" w:rsidP="00050EB0">
      <w:pPr>
        <w:rPr>
          <w:lang w:val="en-US" w:eastAsia="zh-CN" w:bidi="bn-IN"/>
        </w:rPr>
      </w:pPr>
      <w:r w:rsidRPr="00E3596B">
        <w:rPr>
          <w:lang w:val="en-US" w:eastAsia="zh-CN" w:bidi="bn-IN"/>
        </w:rPr>
        <w:t xml:space="preserve">The research question that should be addressed in future studies is how long-term effects of verified sustainability </w:t>
      </w:r>
      <w:proofErr w:type="spellStart"/>
      <w:r w:rsidRPr="00E3596B">
        <w:rPr>
          <w:lang w:val="en-US" w:eastAsia="zh-CN" w:bidi="bn-IN"/>
        </w:rPr>
        <w:t>practises</w:t>
      </w:r>
      <w:proofErr w:type="spellEnd"/>
      <w:r w:rsidRPr="00E3596B">
        <w:rPr>
          <w:lang w:val="en-US" w:eastAsia="zh-CN" w:bidi="bn-IN"/>
        </w:rPr>
        <w:t xml:space="preserve"> on consumer behaviour and corporate performance can be identified to define whether authenticity can provide competitive advantage that is measurable. Longitudinal studies could help to explain the development of consumer trust as transparency and regulatory change increase. The use of the latest technologies like blockchain and artificial intelligence to enhance traceability and </w:t>
      </w:r>
      <w:proofErr w:type="spellStart"/>
      <w:r w:rsidRPr="00E3596B">
        <w:rPr>
          <w:lang w:val="en-US" w:eastAsia="zh-CN" w:bidi="bn-IN"/>
        </w:rPr>
        <w:t>minimise</w:t>
      </w:r>
      <w:proofErr w:type="spellEnd"/>
      <w:r w:rsidRPr="00E3596B">
        <w:rPr>
          <w:lang w:val="en-US" w:eastAsia="zh-CN" w:bidi="bn-IN"/>
        </w:rPr>
        <w:t xml:space="preserve"> the chances of false claims should also be studied further. Lastly, cross-cultural research would improve the knowledge of the differences between consumer expectations and perceptions of sustainability in different markets and thus be used to make effective global sustainability communication strategies.</w:t>
      </w:r>
    </w:p>
    <w:p w14:paraId="72C49E1B" w14:textId="3DA91846" w:rsidR="00391EB6" w:rsidRPr="00050EB0" w:rsidRDefault="00391EB6" w:rsidP="00050EB0">
      <w:pPr>
        <w:rPr>
          <w:lang w:val="en-US"/>
        </w:rPr>
      </w:pPr>
    </w:p>
    <w:p w14:paraId="3DB7E462" w14:textId="77777777" w:rsidR="008C5097" w:rsidRDefault="008C5097">
      <w:r>
        <w:br w:type="page"/>
      </w:r>
    </w:p>
    <w:p w14:paraId="0110039E" w14:textId="115BF4D7" w:rsidR="00245F03" w:rsidRDefault="00786750" w:rsidP="00245F03">
      <w:pPr>
        <w:pStyle w:val="Heading1"/>
        <w:numPr>
          <w:ilvl w:val="0"/>
          <w:numId w:val="0"/>
        </w:numPr>
        <w:ind w:left="432" w:hanging="432"/>
        <w:jc w:val="both"/>
      </w:pPr>
      <w:bookmarkStart w:id="84" w:name="_Toc218445710"/>
      <w:r w:rsidRPr="008C5097">
        <w:lastRenderedPageBreak/>
        <w:t>REFERENCES</w:t>
      </w:r>
      <w:bookmarkEnd w:id="84"/>
      <w:r w:rsidRPr="008C5097">
        <w:t xml:space="preserve"> </w:t>
      </w:r>
    </w:p>
    <w:p w14:paraId="12755826"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Adamkiewicz, J. </w:t>
      </w:r>
      <w:r w:rsidRPr="001D1CA2">
        <w:rPr>
          <w:rFonts w:asciiTheme="minorBidi" w:hAnsiTheme="minorBidi"/>
          <w:i/>
          <w:iCs/>
          <w:color w:val="0D0D0D" w:themeColor="text1" w:themeTint="F2"/>
          <w:szCs w:val="24"/>
          <w:lang w:val="en-US"/>
        </w:rPr>
        <w:t>et al</w:t>
      </w:r>
      <w:r w:rsidRPr="00BD6A96">
        <w:rPr>
          <w:rFonts w:asciiTheme="minorBidi" w:hAnsiTheme="minorBidi"/>
          <w:color w:val="0D0D0D" w:themeColor="text1" w:themeTint="F2"/>
          <w:szCs w:val="24"/>
          <w:lang w:val="en-US"/>
        </w:rPr>
        <w:t xml:space="preserve">. (2022) ‘Greenwashing and Sustainable Fashion Industry’, </w:t>
      </w:r>
      <w:r w:rsidRPr="00BD6A96">
        <w:rPr>
          <w:rFonts w:asciiTheme="minorBidi" w:hAnsiTheme="minorBidi"/>
          <w:i/>
          <w:iCs/>
          <w:color w:val="0D0D0D" w:themeColor="text1" w:themeTint="F2"/>
          <w:szCs w:val="24"/>
          <w:lang w:val="en-US"/>
        </w:rPr>
        <w:t>Current Opinion in Green and Sustainable Chemistry</w:t>
      </w:r>
      <w:r w:rsidRPr="00BD6A96">
        <w:rPr>
          <w:rFonts w:asciiTheme="minorBidi" w:hAnsiTheme="minorBidi"/>
          <w:color w:val="0D0D0D" w:themeColor="text1" w:themeTint="F2"/>
          <w:szCs w:val="24"/>
          <w:lang w:val="en-US"/>
        </w:rPr>
        <w:t xml:space="preserve">, 38, 100710. Available at: </w:t>
      </w:r>
      <w:hyperlink r:id="rId19" w:tgtFrame="_new" w:history="1">
        <w:r w:rsidRPr="00BD6A96">
          <w:rPr>
            <w:rStyle w:val="Hyperlink"/>
            <w:rFonts w:asciiTheme="minorBidi" w:hAnsiTheme="minorBidi"/>
            <w:color w:val="0D0D0D" w:themeColor="text1" w:themeTint="F2"/>
            <w:szCs w:val="24"/>
            <w:u w:val="none"/>
            <w:lang w:val="en-US"/>
          </w:rPr>
          <w:t>https://doi.org/10.1016/j.cogsc.2022.100710</w:t>
        </w:r>
      </w:hyperlink>
      <w:r w:rsidRPr="00BD6A96">
        <w:rPr>
          <w:rFonts w:asciiTheme="minorBidi" w:hAnsiTheme="minorBidi"/>
          <w:color w:val="0D0D0D" w:themeColor="text1" w:themeTint="F2"/>
          <w:szCs w:val="24"/>
          <w:lang w:val="en-US"/>
        </w:rPr>
        <w:t>.</w:t>
      </w:r>
    </w:p>
    <w:p w14:paraId="3AC36EF7"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Afifi, M., Stryhn, H. and Sánchez, J. (2023) ‘Data extraction and comparison for complex systematic reviews: a step-by-step guideline and an implementation example using open-source software’, </w:t>
      </w:r>
      <w:r w:rsidRPr="00BD6A96">
        <w:rPr>
          <w:rFonts w:asciiTheme="minorBidi" w:hAnsiTheme="minorBidi"/>
          <w:i/>
          <w:iCs/>
          <w:szCs w:val="24"/>
          <w:lang w:val="en-US"/>
        </w:rPr>
        <w:t>Systematic Reviews</w:t>
      </w:r>
      <w:r w:rsidRPr="00BD6A96">
        <w:rPr>
          <w:rFonts w:asciiTheme="minorBidi" w:hAnsiTheme="minorBidi"/>
          <w:szCs w:val="24"/>
          <w:lang w:val="en-US"/>
        </w:rPr>
        <w:t>, 12(1). Available at: https://doi.org/10.1186/s13643-023-02322-1.</w:t>
      </w:r>
    </w:p>
    <w:p w14:paraId="7684C64E"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Andria, F., Triani, M., Gunawan, A.D. and </w:t>
      </w:r>
      <w:proofErr w:type="spellStart"/>
      <w:r w:rsidRPr="00BD6A96">
        <w:rPr>
          <w:rFonts w:asciiTheme="minorBidi" w:hAnsiTheme="minorBidi"/>
          <w:color w:val="0D0D0D" w:themeColor="text1" w:themeTint="F2"/>
          <w:szCs w:val="24"/>
          <w:lang w:val="en-US"/>
        </w:rPr>
        <w:t>Hananto</w:t>
      </w:r>
      <w:proofErr w:type="spellEnd"/>
      <w:r w:rsidRPr="00BD6A96">
        <w:rPr>
          <w:rFonts w:asciiTheme="minorBidi" w:hAnsiTheme="minorBidi"/>
          <w:color w:val="0D0D0D" w:themeColor="text1" w:themeTint="F2"/>
          <w:szCs w:val="24"/>
          <w:lang w:val="en-US"/>
        </w:rPr>
        <w:t xml:space="preserve">, B. (2023) ‘Encouraging consumption enhancement: Green marketing mix study with customer satisfaction in Indonesians sustainable fashion’, </w:t>
      </w:r>
      <w:r w:rsidRPr="00BD6A96">
        <w:rPr>
          <w:rFonts w:asciiTheme="minorBidi" w:hAnsiTheme="minorBidi"/>
          <w:i/>
          <w:iCs/>
          <w:color w:val="0D0D0D" w:themeColor="text1" w:themeTint="F2"/>
          <w:szCs w:val="24"/>
          <w:lang w:val="en-US"/>
        </w:rPr>
        <w:t>Proceedings of the 2023 International Conference on Informatics, Multimedia, Cyber and Information Systems (ICIMCIS 2023)</w:t>
      </w:r>
      <w:r w:rsidRPr="00BD6A96">
        <w:rPr>
          <w:rFonts w:asciiTheme="minorBidi" w:hAnsiTheme="minorBidi"/>
          <w:color w:val="0D0D0D" w:themeColor="text1" w:themeTint="F2"/>
          <w:szCs w:val="24"/>
          <w:lang w:val="en-US"/>
        </w:rPr>
        <w:t>, pp. 606–610.</w:t>
      </w:r>
    </w:p>
    <w:p w14:paraId="5EB8909A"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Boateng, W. </w:t>
      </w:r>
      <w:r w:rsidRPr="001D1CA2">
        <w:rPr>
          <w:rFonts w:asciiTheme="minorBidi" w:hAnsiTheme="minorBidi"/>
          <w:i/>
          <w:iCs/>
          <w:color w:val="0D0D0D" w:themeColor="text1" w:themeTint="F2"/>
          <w:szCs w:val="24"/>
          <w:lang w:val="en-US"/>
        </w:rPr>
        <w:t>et al</w:t>
      </w:r>
      <w:r w:rsidRPr="00BD6A96">
        <w:rPr>
          <w:rFonts w:asciiTheme="minorBidi" w:hAnsiTheme="minorBidi"/>
          <w:color w:val="0D0D0D" w:themeColor="text1" w:themeTint="F2"/>
          <w:szCs w:val="24"/>
          <w:lang w:val="en-US"/>
        </w:rPr>
        <w:t xml:space="preserve">. (2025) ‘Unravelling the motivations for the environmental harm posed by the unsustainable practices by the apparel industry in Ghana’, </w:t>
      </w:r>
      <w:r w:rsidRPr="00BD6A96">
        <w:rPr>
          <w:rFonts w:asciiTheme="minorBidi" w:hAnsiTheme="minorBidi"/>
          <w:i/>
          <w:iCs/>
          <w:color w:val="0D0D0D" w:themeColor="text1" w:themeTint="F2"/>
          <w:szCs w:val="24"/>
          <w:lang w:val="en-US"/>
        </w:rPr>
        <w:t>Discover Environment</w:t>
      </w:r>
      <w:r w:rsidRPr="00BD6A96">
        <w:rPr>
          <w:rFonts w:asciiTheme="minorBidi" w:hAnsiTheme="minorBidi"/>
          <w:color w:val="0D0D0D" w:themeColor="text1" w:themeTint="F2"/>
          <w:szCs w:val="24"/>
          <w:lang w:val="en-US"/>
        </w:rPr>
        <w:t>, 3(1), 56.</w:t>
      </w:r>
    </w:p>
    <w:p w14:paraId="69903DEF"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Boland, A., Cherry, M. and Dickson, R. (2017) </w:t>
      </w:r>
      <w:r w:rsidRPr="00BD6A96">
        <w:rPr>
          <w:rFonts w:asciiTheme="minorBidi" w:hAnsiTheme="minorBidi"/>
          <w:i/>
          <w:iCs/>
          <w:szCs w:val="24"/>
          <w:lang w:val="en-US"/>
        </w:rPr>
        <w:t>Doing a Systematic Review: a student’s Guide</w:t>
      </w:r>
      <w:r w:rsidRPr="00BD6A96">
        <w:rPr>
          <w:rFonts w:asciiTheme="minorBidi" w:hAnsiTheme="minorBidi"/>
          <w:szCs w:val="24"/>
          <w:lang w:val="en-US"/>
        </w:rPr>
        <w:t xml:space="preserve">. 2nd </w:t>
      </w:r>
      <w:proofErr w:type="spellStart"/>
      <w:r w:rsidRPr="00BD6A96">
        <w:rPr>
          <w:rFonts w:asciiTheme="minorBidi" w:hAnsiTheme="minorBidi"/>
          <w:szCs w:val="24"/>
          <w:lang w:val="en-US"/>
        </w:rPr>
        <w:t>edn</w:t>
      </w:r>
      <w:proofErr w:type="spellEnd"/>
      <w:r w:rsidRPr="00BD6A96">
        <w:rPr>
          <w:rFonts w:asciiTheme="minorBidi" w:hAnsiTheme="minorBidi"/>
          <w:szCs w:val="24"/>
          <w:lang w:val="en-US"/>
        </w:rPr>
        <w:t>. Sage.</w:t>
      </w:r>
    </w:p>
    <w:p w14:paraId="5DA4D96E"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Bramer, W., Giustini, D., de Jonge, G., Holland, L. and Bekhuis, T. (2017) ‘De-duplication of database search results for systematic reviews in EndNote’, </w:t>
      </w:r>
      <w:r w:rsidRPr="00BD6A96">
        <w:rPr>
          <w:rFonts w:asciiTheme="minorBidi" w:hAnsiTheme="minorBidi"/>
          <w:i/>
          <w:iCs/>
          <w:color w:val="0D0D0D" w:themeColor="text1" w:themeTint="F2"/>
          <w:szCs w:val="24"/>
          <w:lang w:val="en-US"/>
        </w:rPr>
        <w:t>Journal of the Medical Library Association</w:t>
      </w:r>
      <w:r w:rsidRPr="00BD6A96">
        <w:rPr>
          <w:rFonts w:asciiTheme="minorBidi" w:hAnsiTheme="minorBidi"/>
          <w:color w:val="0D0D0D" w:themeColor="text1" w:themeTint="F2"/>
          <w:szCs w:val="24"/>
          <w:lang w:val="en-US"/>
        </w:rPr>
        <w:t xml:space="preserve">, 105(1), pp. 84–87. Available at: </w:t>
      </w:r>
      <w:hyperlink r:id="rId20" w:tgtFrame="_new" w:history="1">
        <w:r w:rsidRPr="00BD6A96">
          <w:rPr>
            <w:rStyle w:val="Hyperlink"/>
            <w:rFonts w:asciiTheme="minorBidi" w:hAnsiTheme="minorBidi"/>
            <w:color w:val="0D0D0D" w:themeColor="text1" w:themeTint="F2"/>
            <w:szCs w:val="24"/>
            <w:u w:val="none"/>
            <w:lang w:val="en-US"/>
          </w:rPr>
          <w:t>https://doi.org/10.5195/jmla.2017.88</w:t>
        </w:r>
      </w:hyperlink>
      <w:r w:rsidRPr="00BD6A96">
        <w:rPr>
          <w:rFonts w:asciiTheme="minorBidi" w:hAnsiTheme="minorBidi"/>
          <w:color w:val="0D0D0D" w:themeColor="text1" w:themeTint="F2"/>
          <w:szCs w:val="24"/>
          <w:lang w:val="en-US"/>
        </w:rPr>
        <w:t>.</w:t>
      </w:r>
    </w:p>
    <w:p w14:paraId="18364879"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Brugman, B.C., van </w:t>
      </w:r>
      <w:proofErr w:type="spellStart"/>
      <w:r w:rsidRPr="00BD6A96">
        <w:rPr>
          <w:rFonts w:asciiTheme="minorBidi" w:hAnsiTheme="minorBidi"/>
          <w:color w:val="0D0D0D" w:themeColor="text1" w:themeTint="F2"/>
          <w:szCs w:val="24"/>
          <w:lang w:val="en-US"/>
        </w:rPr>
        <w:t>Huijstee</w:t>
      </w:r>
      <w:proofErr w:type="spellEnd"/>
      <w:r w:rsidRPr="00BD6A96">
        <w:rPr>
          <w:rFonts w:asciiTheme="minorBidi" w:hAnsiTheme="minorBidi"/>
          <w:color w:val="0D0D0D" w:themeColor="text1" w:themeTint="F2"/>
          <w:szCs w:val="24"/>
          <w:lang w:val="en-US"/>
        </w:rPr>
        <w:t xml:space="preserve">, D. and Droog, E. (2024) ‘Debunking the corporate paint shop: Examining the effects of misleading corporate social responsibility claims on social media’, </w:t>
      </w:r>
      <w:r w:rsidRPr="00BD6A96">
        <w:rPr>
          <w:rFonts w:asciiTheme="minorBidi" w:hAnsiTheme="minorBidi"/>
          <w:i/>
          <w:iCs/>
          <w:color w:val="0D0D0D" w:themeColor="text1" w:themeTint="F2"/>
          <w:szCs w:val="24"/>
          <w:lang w:val="en-US"/>
        </w:rPr>
        <w:t>New Media &amp; Society</w:t>
      </w:r>
      <w:r w:rsidRPr="00BD6A96">
        <w:rPr>
          <w:rFonts w:asciiTheme="minorBidi" w:hAnsiTheme="minorBidi"/>
          <w:color w:val="0D0D0D" w:themeColor="text1" w:themeTint="F2"/>
          <w:szCs w:val="24"/>
          <w:lang w:val="en-US"/>
        </w:rPr>
        <w:t>. (Article in press).</w:t>
      </w:r>
    </w:p>
    <w:p w14:paraId="758718EE"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Brydges, T. </w:t>
      </w:r>
      <w:r w:rsidRPr="001D1CA2">
        <w:rPr>
          <w:rFonts w:asciiTheme="minorBidi" w:hAnsiTheme="minorBidi"/>
          <w:i/>
          <w:iCs/>
          <w:color w:val="0D0D0D" w:themeColor="text1" w:themeTint="F2"/>
          <w:szCs w:val="24"/>
          <w:lang w:val="en-US"/>
        </w:rPr>
        <w:t>et al</w:t>
      </w:r>
      <w:r w:rsidRPr="00BD6A96">
        <w:rPr>
          <w:rFonts w:asciiTheme="minorBidi" w:hAnsiTheme="minorBidi"/>
          <w:color w:val="0D0D0D" w:themeColor="text1" w:themeTint="F2"/>
          <w:szCs w:val="24"/>
          <w:lang w:val="en-US"/>
        </w:rPr>
        <w:t xml:space="preserve">. (2022) ‘Selling sustainability: Investigating how Swedish fashion brands communicate sustainability to consumers’, </w:t>
      </w:r>
      <w:r w:rsidRPr="00BD6A96">
        <w:rPr>
          <w:rFonts w:asciiTheme="minorBidi" w:hAnsiTheme="minorBidi"/>
          <w:i/>
          <w:iCs/>
          <w:color w:val="0D0D0D" w:themeColor="text1" w:themeTint="F2"/>
          <w:szCs w:val="24"/>
          <w:lang w:val="en-US"/>
        </w:rPr>
        <w:t>Sustainability Science Practice and Policy</w:t>
      </w:r>
      <w:r w:rsidRPr="00BD6A96">
        <w:rPr>
          <w:rFonts w:asciiTheme="minorBidi" w:hAnsiTheme="minorBidi"/>
          <w:color w:val="0D0D0D" w:themeColor="text1" w:themeTint="F2"/>
          <w:szCs w:val="24"/>
          <w:lang w:val="en-US"/>
        </w:rPr>
        <w:t>, 18(1), pp. 357–370.</w:t>
      </w:r>
    </w:p>
    <w:p w14:paraId="5AD44D88"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lastRenderedPageBreak/>
        <w:t xml:space="preserve">Burnstine, A.P. and Ghattas, R. (2025) ‘Assessing the sustainable circular fashion supply chain as a model for achieving economic growth in the global market’,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17(19), 8558.</w:t>
      </w:r>
    </w:p>
    <w:p w14:paraId="1DAF49FA"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Campbell, M., </w:t>
      </w:r>
      <w:proofErr w:type="spellStart"/>
      <w:r w:rsidRPr="00BD6A96">
        <w:rPr>
          <w:rFonts w:asciiTheme="minorBidi" w:hAnsiTheme="minorBidi"/>
          <w:color w:val="0D0D0D" w:themeColor="text1" w:themeTint="F2"/>
          <w:szCs w:val="24"/>
          <w:lang w:val="en-US"/>
        </w:rPr>
        <w:t>Katikireddi</w:t>
      </w:r>
      <w:proofErr w:type="spellEnd"/>
      <w:r w:rsidRPr="00BD6A96">
        <w:rPr>
          <w:rFonts w:asciiTheme="minorBidi" w:hAnsiTheme="minorBidi"/>
          <w:color w:val="0D0D0D" w:themeColor="text1" w:themeTint="F2"/>
          <w:szCs w:val="24"/>
          <w:lang w:val="en-US"/>
        </w:rPr>
        <w:t xml:space="preserve">, S., Sowden, A., Stein, K., Mockford, C. and Ritchie, F. (2020) ‘Synthesis without meta-analysis (SWiM) in systematic reviews: reporting guideline’, </w:t>
      </w:r>
      <w:r w:rsidRPr="00BD6A96">
        <w:rPr>
          <w:rFonts w:asciiTheme="minorBidi" w:hAnsiTheme="minorBidi"/>
          <w:i/>
          <w:iCs/>
          <w:color w:val="0D0D0D" w:themeColor="text1" w:themeTint="F2"/>
          <w:szCs w:val="24"/>
          <w:lang w:val="en-US"/>
        </w:rPr>
        <w:t>BMJ</w:t>
      </w:r>
      <w:r w:rsidRPr="00BD6A96">
        <w:rPr>
          <w:rFonts w:asciiTheme="minorBidi" w:hAnsiTheme="minorBidi"/>
          <w:color w:val="0D0D0D" w:themeColor="text1" w:themeTint="F2"/>
          <w:szCs w:val="24"/>
          <w:lang w:val="en-US"/>
        </w:rPr>
        <w:t xml:space="preserve">. Available at: </w:t>
      </w:r>
      <w:hyperlink r:id="rId21" w:tgtFrame="_new" w:history="1">
        <w:r w:rsidRPr="00BD6A96">
          <w:rPr>
            <w:rStyle w:val="Hyperlink"/>
            <w:rFonts w:asciiTheme="minorBidi" w:hAnsiTheme="minorBidi"/>
            <w:color w:val="0D0D0D" w:themeColor="text1" w:themeTint="F2"/>
            <w:szCs w:val="24"/>
            <w:u w:val="none"/>
            <w:lang w:val="en-US"/>
          </w:rPr>
          <w:t>https://doi.org/10.1136/bmj.m5375</w:t>
        </w:r>
      </w:hyperlink>
      <w:r w:rsidRPr="00BD6A96">
        <w:rPr>
          <w:rFonts w:asciiTheme="minorBidi" w:hAnsiTheme="minorBidi"/>
          <w:color w:val="0D0D0D" w:themeColor="text1" w:themeTint="F2"/>
          <w:szCs w:val="24"/>
          <w:lang w:val="en-US"/>
        </w:rPr>
        <w:t>.</w:t>
      </w:r>
    </w:p>
    <w:p w14:paraId="68B5C10D" w14:textId="77777777" w:rsidR="00C93844" w:rsidRDefault="00C93844" w:rsidP="00144854">
      <w:pPr>
        <w:jc w:val="left"/>
        <w:rPr>
          <w:rFonts w:asciiTheme="minorBidi" w:hAnsiTheme="minorBidi"/>
          <w:color w:val="0D0D0D" w:themeColor="text1" w:themeTint="F2"/>
          <w:szCs w:val="24"/>
          <w:lang w:val="en-US"/>
        </w:rPr>
      </w:pPr>
      <w:r w:rsidRPr="00C47275">
        <w:rPr>
          <w:rFonts w:asciiTheme="minorBidi" w:hAnsiTheme="minorBidi"/>
          <w:color w:val="0D0D0D" w:themeColor="text1" w:themeTint="F2"/>
          <w:szCs w:val="24"/>
          <w:lang w:val="en-US"/>
        </w:rPr>
        <w:t xml:space="preserve">Carufel, R. (2020) </w:t>
      </w:r>
      <w:r w:rsidRPr="00C47275">
        <w:rPr>
          <w:rFonts w:asciiTheme="minorBidi" w:hAnsiTheme="minorBidi"/>
          <w:i/>
          <w:iCs/>
          <w:color w:val="0D0D0D" w:themeColor="text1" w:themeTint="F2"/>
          <w:szCs w:val="24"/>
          <w:lang w:val="en-US"/>
        </w:rPr>
        <w:t>Sustainable retail expectations on the rise with Gen Z shoppers</w:t>
      </w:r>
      <w:r w:rsidRPr="00C47275">
        <w:rPr>
          <w:rFonts w:asciiTheme="minorBidi" w:hAnsiTheme="minorBidi"/>
          <w:color w:val="0D0D0D" w:themeColor="text1" w:themeTint="F2"/>
          <w:szCs w:val="24"/>
          <w:lang w:val="en-US"/>
        </w:rPr>
        <w:t xml:space="preserve">, </w:t>
      </w:r>
      <w:r w:rsidRPr="00C47275">
        <w:rPr>
          <w:rFonts w:asciiTheme="minorBidi" w:hAnsiTheme="minorBidi"/>
          <w:i/>
          <w:iCs/>
          <w:color w:val="0D0D0D" w:themeColor="text1" w:themeTint="F2"/>
          <w:szCs w:val="24"/>
          <w:lang w:val="en-US"/>
        </w:rPr>
        <w:t>Agility PR Solutions</w:t>
      </w:r>
      <w:r w:rsidRPr="00C47275">
        <w:rPr>
          <w:rFonts w:asciiTheme="minorBidi" w:hAnsiTheme="minorBidi"/>
          <w:color w:val="0D0D0D" w:themeColor="text1" w:themeTint="F2"/>
          <w:szCs w:val="24"/>
          <w:lang w:val="en-US"/>
        </w:rPr>
        <w:t>. Available at: https://www.agilitypr.com/pr-news/public-relations/sustainable-retail-expectations-on-the-rise-with-gen-z-shoppers/.</w:t>
      </w:r>
    </w:p>
    <w:p w14:paraId="1FBC09A2"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CASP (2018) </w:t>
      </w:r>
      <w:r w:rsidRPr="00BD6A96">
        <w:rPr>
          <w:rFonts w:asciiTheme="minorBidi" w:hAnsiTheme="minorBidi"/>
          <w:i/>
          <w:iCs/>
          <w:color w:val="0D0D0D" w:themeColor="text1" w:themeTint="F2"/>
          <w:szCs w:val="24"/>
          <w:lang w:val="en-US"/>
        </w:rPr>
        <w:t>CASP Checklists</w:t>
      </w:r>
      <w:r w:rsidRPr="00BD6A96">
        <w:rPr>
          <w:rFonts w:asciiTheme="minorBidi" w:hAnsiTheme="minorBidi"/>
          <w:color w:val="0D0D0D" w:themeColor="text1" w:themeTint="F2"/>
          <w:szCs w:val="24"/>
          <w:lang w:val="en-US"/>
        </w:rPr>
        <w:t xml:space="preserve">. Critical Appraisal Skills </w:t>
      </w:r>
      <w:proofErr w:type="spellStart"/>
      <w:r w:rsidRPr="00BD6A96">
        <w:rPr>
          <w:rFonts w:asciiTheme="minorBidi" w:hAnsiTheme="minorBidi"/>
          <w:color w:val="0D0D0D" w:themeColor="text1" w:themeTint="F2"/>
          <w:szCs w:val="24"/>
          <w:lang w:val="en-US"/>
        </w:rPr>
        <w:t>Programme</w:t>
      </w:r>
      <w:proofErr w:type="spellEnd"/>
      <w:r w:rsidRPr="00BD6A96">
        <w:rPr>
          <w:rFonts w:asciiTheme="minorBidi" w:hAnsiTheme="minorBidi"/>
          <w:color w:val="0D0D0D" w:themeColor="text1" w:themeTint="F2"/>
          <w:szCs w:val="24"/>
          <w:lang w:val="en-US"/>
        </w:rPr>
        <w:t xml:space="preserve">. Available at: </w:t>
      </w:r>
      <w:hyperlink r:id="rId22" w:tgtFrame="_new" w:history="1">
        <w:r w:rsidRPr="00BD6A96">
          <w:rPr>
            <w:rStyle w:val="Hyperlink"/>
            <w:rFonts w:asciiTheme="minorBidi" w:hAnsiTheme="minorBidi"/>
            <w:color w:val="0D0D0D" w:themeColor="text1" w:themeTint="F2"/>
            <w:szCs w:val="24"/>
            <w:u w:val="none"/>
            <w:lang w:val="en-US"/>
          </w:rPr>
          <w:t>https://casp-uk.net/casp-tools-checklists/</w:t>
        </w:r>
      </w:hyperlink>
      <w:r w:rsidRPr="00BD6A96">
        <w:rPr>
          <w:rFonts w:asciiTheme="minorBidi" w:hAnsiTheme="minorBidi"/>
          <w:color w:val="0D0D0D" w:themeColor="text1" w:themeTint="F2"/>
          <w:szCs w:val="24"/>
          <w:lang w:val="en-US"/>
        </w:rPr>
        <w:t xml:space="preserve">.  </w:t>
      </w:r>
      <w:r w:rsidRPr="00BD6A96">
        <w:rPr>
          <w:rFonts w:asciiTheme="minorBidi" w:hAnsiTheme="minorBidi"/>
          <w:szCs w:val="24"/>
          <w:lang w:val="en-US"/>
        </w:rPr>
        <w:t>(Accessed: 30 October 2025)</w:t>
      </w:r>
    </w:p>
    <w:p w14:paraId="0BCA53A3"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Changing Markets Foundation (2021) </w:t>
      </w:r>
      <w:r w:rsidRPr="00BD6A96">
        <w:rPr>
          <w:rFonts w:asciiTheme="minorBidi" w:hAnsiTheme="minorBidi"/>
          <w:i/>
          <w:iCs/>
          <w:color w:val="0D0D0D" w:themeColor="text1" w:themeTint="F2"/>
          <w:szCs w:val="24"/>
          <w:lang w:val="en-US"/>
        </w:rPr>
        <w:t>Fossil Fashion: The hidden reliance of fast fashion on fossil fuels</w:t>
      </w:r>
      <w:r w:rsidRPr="00BD6A96">
        <w:rPr>
          <w:rFonts w:asciiTheme="minorBidi" w:hAnsiTheme="minorBidi"/>
          <w:color w:val="0D0D0D" w:themeColor="text1" w:themeTint="F2"/>
          <w:szCs w:val="24"/>
          <w:lang w:val="en-US"/>
        </w:rPr>
        <w:t xml:space="preserve">. London: Changing Markets Foundation. Available at: </w:t>
      </w:r>
      <w:hyperlink r:id="rId23" w:tgtFrame="_new" w:history="1">
        <w:r w:rsidRPr="00BD6A96">
          <w:rPr>
            <w:rStyle w:val="Hyperlink"/>
            <w:rFonts w:asciiTheme="minorBidi" w:hAnsiTheme="minorBidi"/>
            <w:color w:val="0D0D0D" w:themeColor="text1" w:themeTint="F2"/>
            <w:szCs w:val="24"/>
            <w:u w:val="none"/>
            <w:lang w:val="en-US"/>
          </w:rPr>
          <w:t>http://changingmarkets.org/wp-content/uploads/2021/01/FOSSIL-FASHION_Web-compressed.pdf</w:t>
        </w:r>
      </w:hyperlink>
      <w:r w:rsidRPr="00BD6A96">
        <w:rPr>
          <w:rFonts w:asciiTheme="minorBidi" w:hAnsiTheme="minorBidi"/>
          <w:color w:val="0D0D0D" w:themeColor="text1" w:themeTint="F2"/>
          <w:szCs w:val="24"/>
          <w:lang w:val="en-US"/>
        </w:rPr>
        <w:t>.</w:t>
      </w:r>
    </w:p>
    <w:p w14:paraId="6BF74823"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Cooper, H.M. (1984) </w:t>
      </w:r>
      <w:r w:rsidRPr="00BD6A96">
        <w:rPr>
          <w:rFonts w:asciiTheme="minorBidi" w:hAnsiTheme="minorBidi"/>
          <w:i/>
          <w:iCs/>
          <w:szCs w:val="24"/>
          <w:lang w:val="en-US"/>
        </w:rPr>
        <w:t>The integrative research review: a systematic approach</w:t>
      </w:r>
      <w:r w:rsidRPr="00BD6A96">
        <w:rPr>
          <w:rFonts w:asciiTheme="minorBidi" w:hAnsiTheme="minorBidi"/>
          <w:szCs w:val="24"/>
          <w:lang w:val="en-US"/>
        </w:rPr>
        <w:t>. Sage Publications.</w:t>
      </w:r>
    </w:p>
    <w:p w14:paraId="08976233" w14:textId="77777777" w:rsidR="00C93844"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Crapa</w:t>
      </w:r>
      <w:proofErr w:type="spellEnd"/>
      <w:r w:rsidRPr="00BD6A96">
        <w:rPr>
          <w:rFonts w:asciiTheme="minorBidi" w:hAnsiTheme="minorBidi"/>
          <w:color w:val="0D0D0D" w:themeColor="text1" w:themeTint="F2"/>
          <w:szCs w:val="24"/>
          <w:lang w:val="en-US"/>
        </w:rPr>
        <w:t xml:space="preserve">, G., Roma, P. and Bruccoleri, M. (2025) ‘The influence of NGO-corporate relationship on environmental disclosure: Evidence from the fashion industry’, </w:t>
      </w:r>
      <w:r w:rsidRPr="00BD6A96">
        <w:rPr>
          <w:rFonts w:asciiTheme="minorBidi" w:hAnsiTheme="minorBidi"/>
          <w:i/>
          <w:iCs/>
          <w:color w:val="0D0D0D" w:themeColor="text1" w:themeTint="F2"/>
          <w:szCs w:val="24"/>
          <w:lang w:val="en-US"/>
        </w:rPr>
        <w:t>Corporate Social Responsibility and Environmental Management</w:t>
      </w:r>
      <w:r w:rsidRPr="00BD6A96">
        <w:rPr>
          <w:rFonts w:asciiTheme="minorBidi" w:hAnsiTheme="minorBidi"/>
          <w:color w:val="0D0D0D" w:themeColor="text1" w:themeTint="F2"/>
          <w:szCs w:val="24"/>
          <w:lang w:val="en-US"/>
        </w:rPr>
        <w:t>, 32(2), pp. 2104–2127.</w:t>
      </w:r>
    </w:p>
    <w:p w14:paraId="329EFF31"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Dalecki, L. (2023) ‘</w:t>
      </w:r>
      <w:proofErr w:type="spellStart"/>
      <w:r w:rsidRPr="00BD6A96">
        <w:rPr>
          <w:rFonts w:asciiTheme="minorBidi" w:hAnsiTheme="minorBidi"/>
          <w:color w:val="0D0D0D" w:themeColor="text1" w:themeTint="F2"/>
          <w:szCs w:val="24"/>
          <w:lang w:val="en-US"/>
        </w:rPr>
        <w:t>Ecotton</w:t>
      </w:r>
      <w:proofErr w:type="spellEnd"/>
      <w:r w:rsidRPr="00BD6A96">
        <w:rPr>
          <w:rFonts w:asciiTheme="minorBidi" w:hAnsiTheme="minorBidi"/>
          <w:color w:val="0D0D0D" w:themeColor="text1" w:themeTint="F2"/>
          <w:szCs w:val="24"/>
          <w:lang w:val="en-US"/>
        </w:rPr>
        <w:t xml:space="preserve">: Rebranding a substantiable, sustainable ingredient brand’, </w:t>
      </w:r>
      <w:r w:rsidRPr="00BD6A96">
        <w:rPr>
          <w:rFonts w:asciiTheme="minorBidi" w:hAnsiTheme="minorBidi"/>
          <w:i/>
          <w:iCs/>
          <w:color w:val="0D0D0D" w:themeColor="text1" w:themeTint="F2"/>
          <w:szCs w:val="24"/>
          <w:lang w:val="en-US"/>
        </w:rPr>
        <w:t>Journal of Brand Strategy</w:t>
      </w:r>
      <w:r w:rsidRPr="00BD6A96">
        <w:rPr>
          <w:rFonts w:asciiTheme="minorBidi" w:hAnsiTheme="minorBidi"/>
          <w:color w:val="0D0D0D" w:themeColor="text1" w:themeTint="F2"/>
          <w:szCs w:val="24"/>
          <w:lang w:val="en-US"/>
        </w:rPr>
        <w:t>, 12(3), pp. 243–255.</w:t>
      </w:r>
    </w:p>
    <w:p w14:paraId="18B0CB47"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de Magalhães Silva, F.R., Miranda, C.M.S., Reinert, P.S., Patricio, G.A. and Rodrigues, N.C. (2025) ‘Greenwashing and the preservation of corporate identity: A study of ESG actions in luxury fashion’, </w:t>
      </w:r>
      <w:r w:rsidRPr="00BD6A96">
        <w:rPr>
          <w:rFonts w:asciiTheme="minorBidi" w:hAnsiTheme="minorBidi"/>
          <w:i/>
          <w:iCs/>
          <w:color w:val="0D0D0D" w:themeColor="text1" w:themeTint="F2"/>
          <w:szCs w:val="24"/>
          <w:lang w:val="en-US"/>
        </w:rPr>
        <w:t>Revista Brasileira de Marketing</w:t>
      </w:r>
      <w:r w:rsidRPr="00BD6A96">
        <w:rPr>
          <w:rFonts w:asciiTheme="minorBidi" w:hAnsiTheme="minorBidi"/>
          <w:color w:val="0D0D0D" w:themeColor="text1" w:themeTint="F2"/>
          <w:szCs w:val="24"/>
          <w:lang w:val="en-US"/>
        </w:rPr>
        <w:t>, 24(1), pp. 1474–1506.</w:t>
      </w:r>
    </w:p>
    <w:p w14:paraId="5173196A"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Díaz-Bustamante-Ventisca, M., Carcelén-García, S., Díaz-</w:t>
      </w:r>
      <w:proofErr w:type="spellStart"/>
      <w:r w:rsidRPr="00BD6A96">
        <w:rPr>
          <w:rFonts w:asciiTheme="minorBidi" w:hAnsiTheme="minorBidi"/>
          <w:color w:val="0D0D0D" w:themeColor="text1" w:themeTint="F2"/>
          <w:szCs w:val="24"/>
          <w:lang w:val="en-US"/>
        </w:rPr>
        <w:t>Soloaga</w:t>
      </w:r>
      <w:proofErr w:type="spellEnd"/>
      <w:r w:rsidRPr="00BD6A96">
        <w:rPr>
          <w:rFonts w:asciiTheme="minorBidi" w:hAnsiTheme="minorBidi"/>
          <w:color w:val="0D0D0D" w:themeColor="text1" w:themeTint="F2"/>
          <w:szCs w:val="24"/>
          <w:lang w:val="en-US"/>
        </w:rPr>
        <w:t xml:space="preserve">, P. and </w:t>
      </w:r>
      <w:proofErr w:type="spellStart"/>
      <w:r w:rsidRPr="00BD6A96">
        <w:rPr>
          <w:rFonts w:asciiTheme="minorBidi" w:hAnsiTheme="minorBidi"/>
          <w:color w:val="0D0D0D" w:themeColor="text1" w:themeTint="F2"/>
          <w:szCs w:val="24"/>
          <w:lang w:val="en-US"/>
        </w:rPr>
        <w:t>Kolotouchkina</w:t>
      </w:r>
      <w:proofErr w:type="spellEnd"/>
      <w:r w:rsidRPr="00BD6A96">
        <w:rPr>
          <w:rFonts w:asciiTheme="minorBidi" w:hAnsiTheme="minorBidi"/>
          <w:color w:val="0D0D0D" w:themeColor="text1" w:themeTint="F2"/>
          <w:szCs w:val="24"/>
          <w:lang w:val="en-US"/>
        </w:rPr>
        <w:t xml:space="preserve">, O. (2025) ‘Greenwashing perception in Spanish fast-fashion brands’ communication: Modelling sustainable </w:t>
      </w:r>
      <w:proofErr w:type="spellStart"/>
      <w:r w:rsidRPr="00BD6A96">
        <w:rPr>
          <w:rFonts w:asciiTheme="minorBidi" w:hAnsiTheme="minorBidi"/>
          <w:color w:val="0D0D0D" w:themeColor="text1" w:themeTint="F2"/>
          <w:szCs w:val="24"/>
          <w:lang w:val="en-US"/>
        </w:rPr>
        <w:t>behaviours</w:t>
      </w:r>
      <w:proofErr w:type="spellEnd"/>
      <w:r w:rsidRPr="00BD6A96">
        <w:rPr>
          <w:rFonts w:asciiTheme="minorBidi" w:hAnsiTheme="minorBidi"/>
          <w:color w:val="0D0D0D" w:themeColor="text1" w:themeTint="F2"/>
          <w:szCs w:val="24"/>
          <w:lang w:val="en-US"/>
        </w:rPr>
        <w:t xml:space="preserve"> and attitudes’, </w:t>
      </w:r>
      <w:r w:rsidRPr="00BD6A96">
        <w:rPr>
          <w:rFonts w:asciiTheme="minorBidi" w:hAnsiTheme="minorBidi"/>
          <w:i/>
          <w:iCs/>
          <w:color w:val="0D0D0D" w:themeColor="text1" w:themeTint="F2"/>
          <w:szCs w:val="24"/>
          <w:lang w:val="en-US"/>
        </w:rPr>
        <w:t>International Journal of Fashion Design, Technology and Education</w:t>
      </w:r>
      <w:r w:rsidRPr="00BD6A96">
        <w:rPr>
          <w:rFonts w:asciiTheme="minorBidi" w:hAnsiTheme="minorBidi"/>
          <w:color w:val="0D0D0D" w:themeColor="text1" w:themeTint="F2"/>
          <w:szCs w:val="24"/>
          <w:lang w:val="en-US"/>
        </w:rPr>
        <w:t>, 18(2), pp. 179–189.</w:t>
      </w:r>
    </w:p>
    <w:p w14:paraId="47A2E14E"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lastRenderedPageBreak/>
        <w:t xml:space="preserve">Do, A.D., Ha, D.L., Phan, T.T.L., Tran, M.N. and Dang, D.Q. (2025) ‘Antecedents of Gen Z’s green purchase intention in Vietnam’s fashion industry with the moderating role of greenwash perception’, </w:t>
      </w:r>
      <w:r w:rsidRPr="00BD6A96">
        <w:rPr>
          <w:rFonts w:asciiTheme="minorBidi" w:hAnsiTheme="minorBidi"/>
          <w:i/>
          <w:iCs/>
          <w:color w:val="0D0D0D" w:themeColor="text1" w:themeTint="F2"/>
          <w:szCs w:val="24"/>
          <w:lang w:val="en-US"/>
        </w:rPr>
        <w:t>PLOS ONE</w:t>
      </w:r>
      <w:r w:rsidRPr="00BD6A96">
        <w:rPr>
          <w:rFonts w:asciiTheme="minorBidi" w:hAnsiTheme="minorBidi"/>
          <w:color w:val="0D0D0D" w:themeColor="text1" w:themeTint="F2"/>
          <w:szCs w:val="24"/>
          <w:lang w:val="en-US"/>
        </w:rPr>
        <w:t>, 20(5), e0324923.</w:t>
      </w:r>
    </w:p>
    <w:p w14:paraId="4EAA5975"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Dobos, E. and Éltető, A. (2023) ‘Regulation of the fashion supply chains and the sustainability–growth balance’, </w:t>
      </w:r>
      <w:r w:rsidRPr="00BD6A96">
        <w:rPr>
          <w:rFonts w:asciiTheme="minorBidi" w:hAnsiTheme="minorBidi"/>
          <w:i/>
          <w:iCs/>
          <w:color w:val="0D0D0D" w:themeColor="text1" w:themeTint="F2"/>
          <w:szCs w:val="24"/>
          <w:lang w:val="en-US"/>
        </w:rPr>
        <w:t>Sustainability Accounting Management and Policy Journal</w:t>
      </w:r>
      <w:r w:rsidRPr="00BD6A96">
        <w:rPr>
          <w:rFonts w:asciiTheme="minorBidi" w:hAnsiTheme="minorBidi"/>
          <w:color w:val="0D0D0D" w:themeColor="text1" w:themeTint="F2"/>
          <w:szCs w:val="24"/>
          <w:lang w:val="en-US"/>
        </w:rPr>
        <w:t>, 14(1), pp. 101–129.</w:t>
      </w:r>
    </w:p>
    <w:p w14:paraId="7836BB76" w14:textId="77777777" w:rsidR="00C93844" w:rsidRPr="00C93844" w:rsidRDefault="00C93844" w:rsidP="00C93844">
      <w:pPr>
        <w:jc w:val="left"/>
        <w:rPr>
          <w:rFonts w:asciiTheme="minorBidi" w:hAnsiTheme="minorBidi"/>
          <w:color w:val="0D0D0D" w:themeColor="text1" w:themeTint="F2"/>
          <w:szCs w:val="24"/>
          <w:lang w:val="en-US"/>
        </w:rPr>
      </w:pPr>
      <w:r w:rsidRPr="00C93844">
        <w:rPr>
          <w:rFonts w:asciiTheme="minorBidi" w:hAnsiTheme="minorBidi"/>
          <w:color w:val="0D0D0D" w:themeColor="text1" w:themeTint="F2"/>
          <w:szCs w:val="24"/>
          <w:lang w:val="en-US"/>
        </w:rPr>
        <w:t xml:space="preserve">Elkington, J. (1997) </w:t>
      </w:r>
      <w:r w:rsidRPr="00C93844">
        <w:rPr>
          <w:rFonts w:asciiTheme="minorBidi" w:hAnsiTheme="minorBidi"/>
          <w:i/>
          <w:iCs/>
          <w:color w:val="0D0D0D" w:themeColor="text1" w:themeTint="F2"/>
          <w:szCs w:val="24"/>
          <w:lang w:val="en-US"/>
        </w:rPr>
        <w:t xml:space="preserve">Cannibals with Forks: </w:t>
      </w:r>
      <w:proofErr w:type="gramStart"/>
      <w:r w:rsidRPr="00C93844">
        <w:rPr>
          <w:rFonts w:asciiTheme="minorBidi" w:hAnsiTheme="minorBidi"/>
          <w:i/>
          <w:iCs/>
          <w:color w:val="0D0D0D" w:themeColor="text1" w:themeTint="F2"/>
          <w:szCs w:val="24"/>
          <w:lang w:val="en-US"/>
        </w:rPr>
        <w:t>the</w:t>
      </w:r>
      <w:proofErr w:type="gramEnd"/>
      <w:r w:rsidRPr="00C93844">
        <w:rPr>
          <w:rFonts w:asciiTheme="minorBidi" w:hAnsiTheme="minorBidi"/>
          <w:i/>
          <w:iCs/>
          <w:color w:val="0D0D0D" w:themeColor="text1" w:themeTint="F2"/>
          <w:szCs w:val="24"/>
          <w:lang w:val="en-US"/>
        </w:rPr>
        <w:t xml:space="preserve"> Triple Bottom Line of 21st Century Business</w:t>
      </w:r>
      <w:r w:rsidRPr="00C93844">
        <w:rPr>
          <w:rFonts w:asciiTheme="minorBidi" w:hAnsiTheme="minorBidi"/>
          <w:color w:val="0D0D0D" w:themeColor="text1" w:themeTint="F2"/>
          <w:szCs w:val="24"/>
          <w:lang w:val="en-US"/>
        </w:rPr>
        <w:t>. Capstone.</w:t>
      </w:r>
    </w:p>
    <w:p w14:paraId="66C29587"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Eppinger, E. (2022) ‘Recycling technologies for enabling sustainability transitions of the fashion industry: status quo and avenues for increasing post-consumer waste recycling’, </w:t>
      </w:r>
      <w:r w:rsidRPr="00BD6A96">
        <w:rPr>
          <w:rFonts w:asciiTheme="minorBidi" w:hAnsiTheme="minorBidi"/>
          <w:i/>
          <w:iCs/>
          <w:color w:val="0D0D0D" w:themeColor="text1" w:themeTint="F2"/>
          <w:szCs w:val="24"/>
          <w:lang w:val="en-US"/>
        </w:rPr>
        <w:t>Sustainability Science Practice and Policy</w:t>
      </w:r>
      <w:r w:rsidRPr="00BD6A96">
        <w:rPr>
          <w:rFonts w:asciiTheme="minorBidi" w:hAnsiTheme="minorBidi"/>
          <w:color w:val="0D0D0D" w:themeColor="text1" w:themeTint="F2"/>
          <w:szCs w:val="24"/>
          <w:lang w:val="en-US"/>
        </w:rPr>
        <w:t>, 18(1), pp. 114–128.</w:t>
      </w:r>
    </w:p>
    <w:p w14:paraId="51EF3907"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Evans, S. and Peirson-Smith, A. (2018) ‘The sustainability word challenge: Exploring consumer interpretations of frequently used words to promote sustainable fashion brand behaviors and imagery’, </w:t>
      </w:r>
      <w:r w:rsidRPr="00BD6A96">
        <w:rPr>
          <w:rFonts w:asciiTheme="minorBidi" w:hAnsiTheme="minorBidi"/>
          <w:i/>
          <w:iCs/>
          <w:color w:val="0D0D0D" w:themeColor="text1" w:themeTint="F2"/>
          <w:szCs w:val="24"/>
          <w:lang w:val="en-US"/>
        </w:rPr>
        <w:t>Journal of Fashion Marketing and Management</w:t>
      </w:r>
      <w:r w:rsidRPr="00BD6A96">
        <w:rPr>
          <w:rFonts w:asciiTheme="minorBidi" w:hAnsiTheme="minorBidi"/>
          <w:color w:val="0D0D0D" w:themeColor="text1" w:themeTint="F2"/>
          <w:szCs w:val="24"/>
          <w:lang w:val="en-US"/>
        </w:rPr>
        <w:t>, 22(2), pp. 252–269.</w:t>
      </w:r>
    </w:p>
    <w:p w14:paraId="616BAB57"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Falagas</w:t>
      </w:r>
      <w:proofErr w:type="spellEnd"/>
      <w:r w:rsidRPr="00BD6A96">
        <w:rPr>
          <w:rFonts w:asciiTheme="minorBidi" w:hAnsiTheme="minorBidi"/>
          <w:color w:val="0D0D0D" w:themeColor="text1" w:themeTint="F2"/>
          <w:szCs w:val="24"/>
          <w:lang w:val="en-US"/>
        </w:rPr>
        <w:t xml:space="preserve">, M., Pitsouni, E., </w:t>
      </w:r>
      <w:proofErr w:type="spellStart"/>
      <w:r w:rsidRPr="00BD6A96">
        <w:rPr>
          <w:rFonts w:asciiTheme="minorBidi" w:hAnsiTheme="minorBidi"/>
          <w:color w:val="0D0D0D" w:themeColor="text1" w:themeTint="F2"/>
          <w:szCs w:val="24"/>
          <w:lang w:val="en-US"/>
        </w:rPr>
        <w:t>Malietzis</w:t>
      </w:r>
      <w:proofErr w:type="spellEnd"/>
      <w:r w:rsidRPr="00BD6A96">
        <w:rPr>
          <w:rFonts w:asciiTheme="minorBidi" w:hAnsiTheme="minorBidi"/>
          <w:color w:val="0D0D0D" w:themeColor="text1" w:themeTint="F2"/>
          <w:szCs w:val="24"/>
          <w:lang w:val="en-US"/>
        </w:rPr>
        <w:t xml:space="preserve">, G. and Pappas, G. (2008) ‘Comparison of PubMed, Scopus, Web of Science, and Google Scholar: strengths and weaknesses’, </w:t>
      </w:r>
      <w:r w:rsidRPr="00BD6A96">
        <w:rPr>
          <w:rFonts w:asciiTheme="minorBidi" w:hAnsiTheme="minorBidi"/>
          <w:i/>
          <w:iCs/>
          <w:color w:val="0D0D0D" w:themeColor="text1" w:themeTint="F2"/>
          <w:szCs w:val="24"/>
          <w:lang w:val="en-US"/>
        </w:rPr>
        <w:t>The FASEB Journal</w:t>
      </w:r>
      <w:r w:rsidRPr="00BD6A96">
        <w:rPr>
          <w:rFonts w:asciiTheme="minorBidi" w:hAnsiTheme="minorBidi"/>
          <w:color w:val="0D0D0D" w:themeColor="text1" w:themeTint="F2"/>
          <w:szCs w:val="24"/>
          <w:lang w:val="en-US"/>
        </w:rPr>
        <w:t xml:space="preserve">, 22(2), pp. 338–342. Available at: </w:t>
      </w:r>
      <w:hyperlink r:id="rId24" w:tgtFrame="_new" w:history="1">
        <w:r w:rsidRPr="00BD6A96">
          <w:rPr>
            <w:rStyle w:val="Hyperlink"/>
            <w:rFonts w:asciiTheme="minorBidi" w:hAnsiTheme="minorBidi"/>
            <w:color w:val="0D0D0D" w:themeColor="text1" w:themeTint="F2"/>
            <w:szCs w:val="24"/>
            <w:u w:val="none"/>
            <w:lang w:val="en-US"/>
          </w:rPr>
          <w:t>https://doi.org/10.1096/fj.07-9492LSF</w:t>
        </w:r>
      </w:hyperlink>
      <w:r w:rsidRPr="00BD6A96">
        <w:rPr>
          <w:rFonts w:asciiTheme="minorBidi" w:hAnsiTheme="minorBidi"/>
          <w:color w:val="0D0D0D" w:themeColor="text1" w:themeTint="F2"/>
          <w:szCs w:val="24"/>
          <w:lang w:val="en-US"/>
        </w:rPr>
        <w:t>.</w:t>
      </w:r>
    </w:p>
    <w:p w14:paraId="7A9914B9"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Fang, Z. (2024) ‘Greenwashing versus green authenticity: How green social media influences consumer perceptions and green purchase decisions’,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16(23), 10723.</w:t>
      </w:r>
    </w:p>
    <w:p w14:paraId="5DBD0187"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Foster, M.J. and Jewell, S.T. (2017) </w:t>
      </w:r>
      <w:r w:rsidRPr="00BD6A96">
        <w:rPr>
          <w:rFonts w:asciiTheme="minorBidi" w:hAnsiTheme="minorBidi"/>
          <w:i/>
          <w:iCs/>
          <w:szCs w:val="24"/>
          <w:lang w:val="en-US"/>
        </w:rPr>
        <w:t>Assembling the pieces of a systematic review: guide for librarians</w:t>
      </w:r>
      <w:r w:rsidRPr="00BD6A96">
        <w:rPr>
          <w:rFonts w:asciiTheme="minorBidi" w:hAnsiTheme="minorBidi"/>
          <w:szCs w:val="24"/>
          <w:lang w:val="en-US"/>
        </w:rPr>
        <w:t>. Rowman &amp; Littlefield.</w:t>
      </w:r>
    </w:p>
    <w:p w14:paraId="36F08FDB" w14:textId="77777777" w:rsidR="00C93844" w:rsidRPr="00C93844" w:rsidRDefault="00C93844" w:rsidP="00C93844">
      <w:pPr>
        <w:jc w:val="left"/>
        <w:rPr>
          <w:rFonts w:asciiTheme="minorBidi" w:hAnsiTheme="minorBidi"/>
          <w:color w:val="0D0D0D" w:themeColor="text1" w:themeTint="F2"/>
          <w:szCs w:val="24"/>
          <w:lang w:val="en-US"/>
        </w:rPr>
      </w:pPr>
      <w:r w:rsidRPr="00C93844">
        <w:rPr>
          <w:rFonts w:asciiTheme="minorBidi" w:hAnsiTheme="minorBidi"/>
          <w:color w:val="0D0D0D" w:themeColor="text1" w:themeTint="F2"/>
          <w:szCs w:val="24"/>
          <w:lang w:val="en-US"/>
        </w:rPr>
        <w:t xml:space="preserve">Freeman, R.E. (1984) </w:t>
      </w:r>
      <w:r w:rsidRPr="00C93844">
        <w:rPr>
          <w:rFonts w:asciiTheme="minorBidi" w:hAnsiTheme="minorBidi"/>
          <w:i/>
          <w:iCs/>
          <w:color w:val="0D0D0D" w:themeColor="text1" w:themeTint="F2"/>
          <w:szCs w:val="24"/>
          <w:lang w:val="en-US"/>
        </w:rPr>
        <w:t>Strategic Management: a Stakeholder Approach</w:t>
      </w:r>
      <w:r w:rsidRPr="00C93844">
        <w:rPr>
          <w:rFonts w:asciiTheme="minorBidi" w:hAnsiTheme="minorBidi"/>
          <w:color w:val="0D0D0D" w:themeColor="text1" w:themeTint="F2"/>
          <w:szCs w:val="24"/>
          <w:lang w:val="en-US"/>
        </w:rPr>
        <w:t>. Cambridge University Press.</w:t>
      </w:r>
    </w:p>
    <w:p w14:paraId="45CB890B"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Garcia-Ortega, B., Galan-Cubillo, J., Llorens-Montes, F.J. and de-Miguel-Molina, B. (2023) ‘Sufficient consumption as a missing link toward sustainability: The case of fast fashion’, </w:t>
      </w:r>
      <w:r w:rsidRPr="00BD6A96">
        <w:rPr>
          <w:rFonts w:asciiTheme="minorBidi" w:hAnsiTheme="minorBidi"/>
          <w:i/>
          <w:iCs/>
          <w:color w:val="0D0D0D" w:themeColor="text1" w:themeTint="F2"/>
          <w:szCs w:val="24"/>
          <w:lang w:val="en-US"/>
        </w:rPr>
        <w:t>Journal of Cleaner Production</w:t>
      </w:r>
      <w:r w:rsidRPr="00BD6A96">
        <w:rPr>
          <w:rFonts w:asciiTheme="minorBidi" w:hAnsiTheme="minorBidi"/>
          <w:color w:val="0D0D0D" w:themeColor="text1" w:themeTint="F2"/>
          <w:szCs w:val="24"/>
          <w:lang w:val="en-US"/>
        </w:rPr>
        <w:t>, 399, 136678.</w:t>
      </w:r>
    </w:p>
    <w:p w14:paraId="2C554596"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lastRenderedPageBreak/>
        <w:t xml:space="preserve">Garcia-Ortega, B., Galan-Cubillo, J., Morozova, D. and Llorens-Montes, F.J. (2025) ‘Decoding business strategies toward sufficient consumption in the fashion industry’, </w:t>
      </w:r>
      <w:r w:rsidRPr="00BD6A96">
        <w:rPr>
          <w:rFonts w:asciiTheme="minorBidi" w:hAnsiTheme="minorBidi"/>
          <w:i/>
          <w:iCs/>
          <w:color w:val="0D0D0D" w:themeColor="text1" w:themeTint="F2"/>
          <w:szCs w:val="24"/>
          <w:lang w:val="en-US"/>
        </w:rPr>
        <w:t>Journal of Fashion Marketing and Management</w:t>
      </w:r>
      <w:r w:rsidRPr="00BD6A96">
        <w:rPr>
          <w:rFonts w:asciiTheme="minorBidi" w:hAnsiTheme="minorBidi"/>
          <w:color w:val="0D0D0D" w:themeColor="text1" w:themeTint="F2"/>
          <w:szCs w:val="24"/>
          <w:lang w:val="en-US"/>
        </w:rPr>
        <w:t>. (Article in press).</w:t>
      </w:r>
    </w:p>
    <w:p w14:paraId="5E5B561F" w14:textId="77777777" w:rsidR="00C93844" w:rsidRPr="00BD6A96" w:rsidRDefault="00C93844" w:rsidP="00BD6A96">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Generation Climate Europe (2021) </w:t>
      </w:r>
      <w:r w:rsidRPr="00BD6A96">
        <w:rPr>
          <w:rFonts w:asciiTheme="minorBidi" w:hAnsiTheme="minorBidi"/>
          <w:i/>
          <w:iCs/>
          <w:color w:val="0D0D0D" w:themeColor="text1" w:themeTint="F2"/>
          <w:szCs w:val="24"/>
          <w:lang w:val="en-US"/>
        </w:rPr>
        <w:t>Greenwashing in the Fashion Industry</w:t>
      </w:r>
      <w:r w:rsidRPr="00BD6A96">
        <w:rPr>
          <w:rFonts w:asciiTheme="minorBidi" w:hAnsiTheme="minorBidi"/>
          <w:color w:val="0D0D0D" w:themeColor="text1" w:themeTint="F2"/>
          <w:szCs w:val="24"/>
          <w:lang w:val="en-US"/>
        </w:rPr>
        <w:t xml:space="preserve">, </w:t>
      </w:r>
      <w:r w:rsidRPr="00BD6A96">
        <w:rPr>
          <w:rFonts w:asciiTheme="minorBidi" w:hAnsiTheme="minorBidi"/>
          <w:i/>
          <w:iCs/>
          <w:color w:val="0D0D0D" w:themeColor="text1" w:themeTint="F2"/>
          <w:szCs w:val="24"/>
          <w:lang w:val="en-US"/>
        </w:rPr>
        <w:t>European Circular Economy Stakeholder Platform</w:t>
      </w:r>
      <w:r w:rsidRPr="00BD6A96">
        <w:rPr>
          <w:rFonts w:asciiTheme="minorBidi" w:hAnsiTheme="minorBidi"/>
          <w:color w:val="0D0D0D" w:themeColor="text1" w:themeTint="F2"/>
          <w:szCs w:val="24"/>
          <w:lang w:val="en-US"/>
        </w:rPr>
        <w:t>. Available at: https://circulareconomy.europa.eu/platform/en/knowledge/greenwashing-fashion-industry-0.</w:t>
      </w:r>
    </w:p>
    <w:p w14:paraId="7103B9CD"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Goswami, S. and Jaiswal, G. (2023) ‘Lying by telling the truth – the risks of deception by paltering and hypocrisy in corporate social responsibilities context’, </w:t>
      </w:r>
      <w:r w:rsidRPr="00BD6A96">
        <w:rPr>
          <w:rFonts w:asciiTheme="minorBidi" w:hAnsiTheme="minorBidi"/>
          <w:i/>
          <w:iCs/>
          <w:color w:val="0D0D0D" w:themeColor="text1" w:themeTint="F2"/>
          <w:szCs w:val="24"/>
          <w:lang w:val="en-US"/>
        </w:rPr>
        <w:t>Journal of Global Fashion Marketing</w:t>
      </w:r>
      <w:r w:rsidRPr="00BD6A96">
        <w:rPr>
          <w:rFonts w:asciiTheme="minorBidi" w:hAnsiTheme="minorBidi"/>
          <w:color w:val="0D0D0D" w:themeColor="text1" w:themeTint="F2"/>
          <w:szCs w:val="24"/>
          <w:lang w:val="en-US"/>
        </w:rPr>
        <w:t>, 14(4), pp. 489–504.</w:t>
      </w:r>
    </w:p>
    <w:p w14:paraId="36FBE5CF"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Gough, D., Oliver, S. and Thomas, J. (2017) </w:t>
      </w:r>
      <w:r w:rsidRPr="00BD6A96">
        <w:rPr>
          <w:rFonts w:asciiTheme="minorBidi" w:hAnsiTheme="minorBidi"/>
          <w:i/>
          <w:iCs/>
          <w:color w:val="0D0D0D" w:themeColor="text1" w:themeTint="F2"/>
          <w:szCs w:val="24"/>
          <w:lang w:val="en-US"/>
        </w:rPr>
        <w:t>An Introduction to Systematic Reviews</w:t>
      </w:r>
      <w:r w:rsidRPr="00BD6A96">
        <w:rPr>
          <w:rFonts w:asciiTheme="minorBidi" w:hAnsiTheme="minorBidi"/>
          <w:color w:val="0D0D0D" w:themeColor="text1" w:themeTint="F2"/>
          <w:szCs w:val="24"/>
          <w:lang w:val="en-US"/>
        </w:rPr>
        <w:t>. 2nd edition. London: Sage.</w:t>
      </w:r>
    </w:p>
    <w:p w14:paraId="78AC053F"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Gough, D.A., Oliver, S. and Thomas, J. (2017) </w:t>
      </w:r>
      <w:r w:rsidRPr="00BD6A96">
        <w:rPr>
          <w:rFonts w:asciiTheme="minorBidi" w:hAnsiTheme="minorBidi"/>
          <w:i/>
          <w:iCs/>
          <w:szCs w:val="24"/>
          <w:lang w:val="en-US"/>
        </w:rPr>
        <w:t>An introduction to systematic reviews</w:t>
      </w:r>
      <w:r w:rsidRPr="00BD6A96">
        <w:rPr>
          <w:rFonts w:asciiTheme="minorBidi" w:hAnsiTheme="minorBidi"/>
          <w:szCs w:val="24"/>
          <w:lang w:val="en-US"/>
        </w:rPr>
        <w:t>. Sage.</w:t>
      </w:r>
    </w:p>
    <w:p w14:paraId="7A5233ED"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Gusenbauer, M. and </w:t>
      </w:r>
      <w:proofErr w:type="spellStart"/>
      <w:r w:rsidRPr="00BD6A96">
        <w:rPr>
          <w:rFonts w:asciiTheme="minorBidi" w:hAnsiTheme="minorBidi"/>
          <w:szCs w:val="24"/>
          <w:lang w:val="en-US"/>
        </w:rPr>
        <w:t>Gauster</w:t>
      </w:r>
      <w:proofErr w:type="spellEnd"/>
      <w:r w:rsidRPr="00BD6A96">
        <w:rPr>
          <w:rFonts w:asciiTheme="minorBidi" w:hAnsiTheme="minorBidi"/>
          <w:szCs w:val="24"/>
          <w:lang w:val="en-US"/>
        </w:rPr>
        <w:t xml:space="preserve">, S.P. (2024) ‘How to Search for Literature in Systematic Reviews and meta-analyses: a Comprehensive step-by-step Guide’, </w:t>
      </w:r>
      <w:r w:rsidRPr="00BD6A96">
        <w:rPr>
          <w:rFonts w:asciiTheme="minorBidi" w:hAnsiTheme="minorBidi"/>
          <w:i/>
          <w:iCs/>
          <w:szCs w:val="24"/>
          <w:lang w:val="en-US"/>
        </w:rPr>
        <w:t>Technological Forecasting and Social Change</w:t>
      </w:r>
      <w:r w:rsidRPr="00BD6A96">
        <w:rPr>
          <w:rFonts w:asciiTheme="minorBidi" w:hAnsiTheme="minorBidi"/>
          <w:szCs w:val="24"/>
          <w:lang w:val="en-US"/>
        </w:rPr>
        <w:t>, 212, p. 123833. Available at: https://doi.org/10.1016/j.techfore.2024.123833.</w:t>
      </w:r>
    </w:p>
    <w:p w14:paraId="3E9EF69F"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Habtemaryam</w:t>
      </w:r>
      <w:proofErr w:type="spellEnd"/>
      <w:r w:rsidRPr="00BD6A96">
        <w:rPr>
          <w:rFonts w:asciiTheme="minorBidi" w:hAnsiTheme="minorBidi"/>
          <w:color w:val="0D0D0D" w:themeColor="text1" w:themeTint="F2"/>
          <w:szCs w:val="24"/>
          <w:lang w:val="en-US"/>
        </w:rPr>
        <w:t xml:space="preserve">, T.N., Degoma, A. and Tsegaye, A. (2025) ‘Driving environmental sustainability through synergistic green business practices and green innovation in developing economies’ leather, textile and garment industries’, </w:t>
      </w:r>
      <w:r w:rsidRPr="00BD6A96">
        <w:rPr>
          <w:rFonts w:asciiTheme="minorBidi" w:hAnsiTheme="minorBidi"/>
          <w:i/>
          <w:iCs/>
          <w:color w:val="0D0D0D" w:themeColor="text1" w:themeTint="F2"/>
          <w:szCs w:val="24"/>
          <w:lang w:val="en-US"/>
        </w:rPr>
        <w:t>Management and Sustainability</w:t>
      </w:r>
      <w:r w:rsidRPr="00BD6A96">
        <w:rPr>
          <w:rFonts w:asciiTheme="minorBidi" w:hAnsiTheme="minorBidi"/>
          <w:color w:val="0D0D0D" w:themeColor="text1" w:themeTint="F2"/>
          <w:szCs w:val="24"/>
          <w:lang w:val="en-US"/>
        </w:rPr>
        <w:t>. (Article in press).</w:t>
      </w:r>
    </w:p>
    <w:p w14:paraId="7367FE69"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Hairudinor</w:t>
      </w:r>
      <w:proofErr w:type="spellEnd"/>
      <w:r w:rsidRPr="00BD6A96">
        <w:rPr>
          <w:rFonts w:asciiTheme="minorBidi" w:hAnsiTheme="minorBidi"/>
          <w:color w:val="0D0D0D" w:themeColor="text1" w:themeTint="F2"/>
          <w:szCs w:val="24"/>
          <w:lang w:val="en-US"/>
        </w:rPr>
        <w:t xml:space="preserve"> and Barkatullah, A.H. (2020) ‘Implications of </w:t>
      </w:r>
      <w:proofErr w:type="spellStart"/>
      <w:r w:rsidRPr="00BD6A96">
        <w:rPr>
          <w:rFonts w:asciiTheme="minorBidi" w:hAnsiTheme="minorBidi"/>
          <w:color w:val="0D0D0D" w:themeColor="text1" w:themeTint="F2"/>
          <w:szCs w:val="24"/>
          <w:lang w:val="en-US"/>
        </w:rPr>
        <w:t>enviropreneurial</w:t>
      </w:r>
      <w:proofErr w:type="spellEnd"/>
      <w:r w:rsidRPr="00BD6A96">
        <w:rPr>
          <w:rFonts w:asciiTheme="minorBidi" w:hAnsiTheme="minorBidi"/>
          <w:color w:val="0D0D0D" w:themeColor="text1" w:themeTint="F2"/>
          <w:szCs w:val="24"/>
          <w:lang w:val="en-US"/>
        </w:rPr>
        <w:t xml:space="preserve"> orientation for garments brands in Indonesia: Can suitability be achieved through green marketing, eco-labeling and greenwashing strategies?’, </w:t>
      </w:r>
      <w:r w:rsidRPr="00BD6A96">
        <w:rPr>
          <w:rFonts w:asciiTheme="minorBidi" w:hAnsiTheme="minorBidi"/>
          <w:i/>
          <w:iCs/>
          <w:color w:val="0D0D0D" w:themeColor="text1" w:themeTint="F2"/>
          <w:szCs w:val="24"/>
          <w:lang w:val="en-US"/>
        </w:rPr>
        <w:t>Journal of Security and Sustainability Issues</w:t>
      </w:r>
      <w:r w:rsidRPr="00BD6A96">
        <w:rPr>
          <w:rFonts w:asciiTheme="minorBidi" w:hAnsiTheme="minorBidi"/>
          <w:color w:val="0D0D0D" w:themeColor="text1" w:themeTint="F2"/>
          <w:szCs w:val="24"/>
          <w:lang w:val="en-US"/>
        </w:rPr>
        <w:t>, 10(Oct), pp. 179–193.</w:t>
      </w:r>
    </w:p>
    <w:p w14:paraId="7797FB60"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Haque, M.N. and Lang, C. (2025) ‘Unraveling the green veil: Investigating the affective responses of U.S. Generation Z to fast fashion greenwashing through C-A-B theory’,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17(11), 4973.</w:t>
      </w:r>
    </w:p>
    <w:p w14:paraId="1C938E2F"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Heidenstrøm</w:t>
      </w:r>
      <w:proofErr w:type="spellEnd"/>
      <w:r w:rsidRPr="00BD6A96">
        <w:rPr>
          <w:rFonts w:asciiTheme="minorBidi" w:hAnsiTheme="minorBidi"/>
          <w:color w:val="0D0D0D" w:themeColor="text1" w:themeTint="F2"/>
          <w:szCs w:val="24"/>
          <w:lang w:val="en-US"/>
        </w:rPr>
        <w:t xml:space="preserve">, N. (2024) ‘Green marketing in the fashion industry: A critical analysis of sustainability narratives’, </w:t>
      </w:r>
      <w:r w:rsidRPr="00BD6A96">
        <w:rPr>
          <w:rFonts w:asciiTheme="minorBidi" w:hAnsiTheme="minorBidi"/>
          <w:i/>
          <w:iCs/>
          <w:color w:val="0D0D0D" w:themeColor="text1" w:themeTint="F2"/>
          <w:szCs w:val="24"/>
          <w:lang w:val="en-US"/>
        </w:rPr>
        <w:t>Consumption Markets &amp; Culture</w:t>
      </w:r>
      <w:r w:rsidRPr="00BD6A96">
        <w:rPr>
          <w:rFonts w:asciiTheme="minorBidi" w:hAnsiTheme="minorBidi"/>
          <w:color w:val="0D0D0D" w:themeColor="text1" w:themeTint="F2"/>
          <w:szCs w:val="24"/>
          <w:lang w:val="en-US"/>
        </w:rPr>
        <w:t>, 27(5), pp. 488–504.</w:t>
      </w:r>
    </w:p>
    <w:p w14:paraId="63C261BC"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lastRenderedPageBreak/>
        <w:t xml:space="preserve">Hejlova, D., </w:t>
      </w:r>
      <w:proofErr w:type="spellStart"/>
      <w:r w:rsidRPr="00BD6A96">
        <w:rPr>
          <w:rFonts w:asciiTheme="minorBidi" w:hAnsiTheme="minorBidi"/>
          <w:color w:val="0D0D0D" w:themeColor="text1" w:themeTint="F2"/>
          <w:szCs w:val="24"/>
          <w:lang w:val="en-US"/>
        </w:rPr>
        <w:t>Ariestya</w:t>
      </w:r>
      <w:proofErr w:type="spellEnd"/>
      <w:r w:rsidRPr="00BD6A96">
        <w:rPr>
          <w:rFonts w:asciiTheme="minorBidi" w:hAnsiTheme="minorBidi"/>
          <w:color w:val="0D0D0D" w:themeColor="text1" w:themeTint="F2"/>
          <w:szCs w:val="24"/>
          <w:lang w:val="en-US"/>
        </w:rPr>
        <w:t xml:space="preserve">, A., </w:t>
      </w:r>
      <w:proofErr w:type="spellStart"/>
      <w:r w:rsidRPr="00BD6A96">
        <w:rPr>
          <w:rFonts w:asciiTheme="minorBidi" w:hAnsiTheme="minorBidi"/>
          <w:color w:val="0D0D0D" w:themeColor="text1" w:themeTint="F2"/>
          <w:szCs w:val="24"/>
          <w:lang w:val="en-US"/>
        </w:rPr>
        <w:t>Koudelkova</w:t>
      </w:r>
      <w:proofErr w:type="spellEnd"/>
      <w:r w:rsidRPr="00BD6A96">
        <w:rPr>
          <w:rFonts w:asciiTheme="minorBidi" w:hAnsiTheme="minorBidi"/>
          <w:color w:val="0D0D0D" w:themeColor="text1" w:themeTint="F2"/>
          <w:szCs w:val="24"/>
          <w:lang w:val="en-US"/>
        </w:rPr>
        <w:t xml:space="preserve">, P. and </w:t>
      </w:r>
      <w:proofErr w:type="spellStart"/>
      <w:r w:rsidRPr="00BD6A96">
        <w:rPr>
          <w:rFonts w:asciiTheme="minorBidi" w:hAnsiTheme="minorBidi"/>
          <w:color w:val="0D0D0D" w:themeColor="text1" w:themeTint="F2"/>
          <w:szCs w:val="24"/>
          <w:lang w:val="en-US"/>
        </w:rPr>
        <w:t>Schneiderova</w:t>
      </w:r>
      <w:proofErr w:type="spellEnd"/>
      <w:r w:rsidRPr="00BD6A96">
        <w:rPr>
          <w:rFonts w:asciiTheme="minorBidi" w:hAnsiTheme="minorBidi"/>
          <w:color w:val="0D0D0D" w:themeColor="text1" w:themeTint="F2"/>
          <w:szCs w:val="24"/>
          <w:lang w:val="en-US"/>
        </w:rPr>
        <w:t xml:space="preserve">, S. (2025) ‘Strategic silence in corporate communication concerning deadstock and overstock in the fashion industry’, </w:t>
      </w:r>
      <w:r w:rsidRPr="00BD6A96">
        <w:rPr>
          <w:rFonts w:asciiTheme="minorBidi" w:hAnsiTheme="minorBidi"/>
          <w:i/>
          <w:iCs/>
          <w:color w:val="0D0D0D" w:themeColor="text1" w:themeTint="F2"/>
          <w:szCs w:val="24"/>
          <w:lang w:val="en-US"/>
        </w:rPr>
        <w:t>Corporate Communications</w:t>
      </w:r>
      <w:r w:rsidRPr="00BD6A96">
        <w:rPr>
          <w:rFonts w:asciiTheme="minorBidi" w:hAnsiTheme="minorBidi"/>
          <w:color w:val="0D0D0D" w:themeColor="text1" w:themeTint="F2"/>
          <w:szCs w:val="24"/>
          <w:lang w:val="en-US"/>
        </w:rPr>
        <w:t>, 30(2), pp. 294–312.</w:t>
      </w:r>
    </w:p>
    <w:p w14:paraId="332C6022"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Henninger, C.E., Alevizou, P.J. and Oates, C.J. (2016) ‘What is sustainable fashion?’, </w:t>
      </w:r>
      <w:r w:rsidRPr="00BD6A96">
        <w:rPr>
          <w:rFonts w:asciiTheme="minorBidi" w:hAnsiTheme="minorBidi"/>
          <w:i/>
          <w:iCs/>
          <w:color w:val="0D0D0D" w:themeColor="text1" w:themeTint="F2"/>
          <w:szCs w:val="24"/>
          <w:lang w:val="en-US"/>
        </w:rPr>
        <w:t>Journal of Fashion Marketing and Management</w:t>
      </w:r>
      <w:r w:rsidRPr="00BD6A96">
        <w:rPr>
          <w:rFonts w:asciiTheme="minorBidi" w:hAnsiTheme="minorBidi"/>
          <w:color w:val="0D0D0D" w:themeColor="text1" w:themeTint="F2"/>
          <w:szCs w:val="24"/>
          <w:lang w:val="en-US"/>
        </w:rPr>
        <w:t>, 20(4), pp. 400–416.</w:t>
      </w:r>
    </w:p>
    <w:p w14:paraId="4870D556"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Higgins, J.P.T. and Green, S. (2011) </w:t>
      </w:r>
      <w:r w:rsidRPr="00BD6A96">
        <w:rPr>
          <w:rFonts w:asciiTheme="minorBidi" w:hAnsiTheme="minorBidi"/>
          <w:i/>
          <w:iCs/>
          <w:color w:val="0D0D0D" w:themeColor="text1" w:themeTint="F2"/>
          <w:szCs w:val="24"/>
          <w:lang w:val="en-US"/>
        </w:rPr>
        <w:t>Cochrane Handbook for Systematic Reviews of Interventions</w:t>
      </w:r>
      <w:r w:rsidRPr="00BD6A96">
        <w:rPr>
          <w:rFonts w:asciiTheme="minorBidi" w:hAnsiTheme="minorBidi"/>
          <w:color w:val="0D0D0D" w:themeColor="text1" w:themeTint="F2"/>
          <w:szCs w:val="24"/>
          <w:lang w:val="en-US"/>
        </w:rPr>
        <w:t xml:space="preserve">. Version 5.1.0. London: The Cochrane Collaboration. Available at: </w:t>
      </w:r>
      <w:hyperlink r:id="rId25" w:tgtFrame="_new" w:history="1">
        <w:r w:rsidRPr="00BD6A96">
          <w:rPr>
            <w:rStyle w:val="Hyperlink"/>
            <w:rFonts w:asciiTheme="minorBidi" w:hAnsiTheme="minorBidi"/>
            <w:color w:val="0D0D0D" w:themeColor="text1" w:themeTint="F2"/>
            <w:szCs w:val="24"/>
            <w:u w:val="none"/>
            <w:lang w:val="en-US"/>
          </w:rPr>
          <w:t>www.cochrane-handbook.org</w:t>
        </w:r>
      </w:hyperlink>
      <w:r w:rsidRPr="00BD6A96">
        <w:rPr>
          <w:rFonts w:asciiTheme="minorBidi" w:hAnsiTheme="minorBidi"/>
          <w:color w:val="0D0D0D" w:themeColor="text1" w:themeTint="F2"/>
          <w:szCs w:val="24"/>
          <w:lang w:val="en-US"/>
        </w:rPr>
        <w:t>.</w:t>
      </w:r>
    </w:p>
    <w:p w14:paraId="2BB52E0B"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Higgins, J.P.T. and Green, S. (2019) </w:t>
      </w:r>
      <w:r w:rsidRPr="00BD6A96">
        <w:rPr>
          <w:rFonts w:asciiTheme="minorBidi" w:hAnsiTheme="minorBidi"/>
          <w:i/>
          <w:iCs/>
          <w:szCs w:val="24"/>
          <w:lang w:val="en-US"/>
        </w:rPr>
        <w:t>Cochrane Handbook for Systematic Reviews of Interventions</w:t>
      </w:r>
      <w:r w:rsidRPr="00BD6A96">
        <w:rPr>
          <w:rFonts w:asciiTheme="minorBidi" w:hAnsiTheme="minorBidi"/>
          <w:szCs w:val="24"/>
          <w:lang w:val="en-US"/>
        </w:rPr>
        <w:t>. Wiley-Blackwell.</w:t>
      </w:r>
    </w:p>
    <w:p w14:paraId="60B421C1"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Hoffmann, S. </w:t>
      </w:r>
      <w:r w:rsidRPr="001D1CA2">
        <w:rPr>
          <w:rFonts w:asciiTheme="minorBidi" w:hAnsiTheme="minorBidi"/>
          <w:i/>
          <w:iCs/>
          <w:color w:val="0D0D0D" w:themeColor="text1" w:themeTint="F2"/>
          <w:szCs w:val="24"/>
          <w:lang w:val="en-US"/>
        </w:rPr>
        <w:t>et al</w:t>
      </w:r>
      <w:r w:rsidRPr="00BD6A96">
        <w:rPr>
          <w:rFonts w:asciiTheme="minorBidi" w:hAnsiTheme="minorBidi"/>
          <w:color w:val="0D0D0D" w:themeColor="text1" w:themeTint="F2"/>
          <w:szCs w:val="24"/>
          <w:lang w:val="en-US"/>
        </w:rPr>
        <w:t xml:space="preserve">. (2025) ‘Greenwashing risk and the fashion industry: a snapshot of legal developments’, White &amp; Case LLP. Available at: </w:t>
      </w:r>
      <w:hyperlink r:id="rId26" w:tgtFrame="_new" w:history="1">
        <w:r w:rsidRPr="00BD6A96">
          <w:rPr>
            <w:rStyle w:val="Hyperlink"/>
            <w:rFonts w:asciiTheme="minorBidi" w:hAnsiTheme="minorBidi"/>
            <w:color w:val="0D0D0D" w:themeColor="text1" w:themeTint="F2"/>
            <w:szCs w:val="24"/>
            <w:u w:val="none"/>
            <w:lang w:val="en-US"/>
          </w:rPr>
          <w:t>https://www.whitecase.com/insight-our-thinking/greenwashing-risk-and-fashion-industry-snapshot-legal-developments</w:t>
        </w:r>
      </w:hyperlink>
      <w:r w:rsidRPr="00BD6A96">
        <w:rPr>
          <w:rFonts w:asciiTheme="minorBidi" w:hAnsiTheme="minorBidi"/>
          <w:color w:val="0D0D0D" w:themeColor="text1" w:themeTint="F2"/>
          <w:szCs w:val="24"/>
          <w:lang w:val="en-US"/>
        </w:rPr>
        <w:t>.</w:t>
      </w:r>
    </w:p>
    <w:p w14:paraId="797FC712"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Jestratijevic</w:t>
      </w:r>
      <w:proofErr w:type="spellEnd"/>
      <w:r w:rsidRPr="00BD6A96">
        <w:rPr>
          <w:rFonts w:asciiTheme="minorBidi" w:hAnsiTheme="minorBidi"/>
          <w:color w:val="0D0D0D" w:themeColor="text1" w:themeTint="F2"/>
          <w:szCs w:val="24"/>
          <w:lang w:val="en-US"/>
        </w:rPr>
        <w:t xml:space="preserve">, I., </w:t>
      </w:r>
      <w:proofErr w:type="spellStart"/>
      <w:r w:rsidRPr="00BD6A96">
        <w:rPr>
          <w:rFonts w:asciiTheme="minorBidi" w:hAnsiTheme="minorBidi"/>
          <w:color w:val="0D0D0D" w:themeColor="text1" w:themeTint="F2"/>
          <w:szCs w:val="24"/>
          <w:lang w:val="en-US"/>
        </w:rPr>
        <w:t>Uanhoro</w:t>
      </w:r>
      <w:proofErr w:type="spellEnd"/>
      <w:r w:rsidRPr="00BD6A96">
        <w:rPr>
          <w:rFonts w:asciiTheme="minorBidi" w:hAnsiTheme="minorBidi"/>
          <w:color w:val="0D0D0D" w:themeColor="text1" w:themeTint="F2"/>
          <w:szCs w:val="24"/>
          <w:lang w:val="en-US"/>
        </w:rPr>
        <w:t xml:space="preserve">, J.O. and Rana, M.R.I. (2024) ‘Transparency of sustainability disclosures among luxury and mass-market fashion brands: Longitudinal approach’, </w:t>
      </w:r>
      <w:r w:rsidRPr="00BD6A96">
        <w:rPr>
          <w:rFonts w:asciiTheme="minorBidi" w:hAnsiTheme="minorBidi"/>
          <w:i/>
          <w:iCs/>
          <w:color w:val="0D0D0D" w:themeColor="text1" w:themeTint="F2"/>
          <w:szCs w:val="24"/>
          <w:lang w:val="en-US"/>
        </w:rPr>
        <w:t>Journal of Cleaner Production</w:t>
      </w:r>
      <w:r w:rsidRPr="00BD6A96">
        <w:rPr>
          <w:rFonts w:asciiTheme="minorBidi" w:hAnsiTheme="minorBidi"/>
          <w:color w:val="0D0D0D" w:themeColor="text1" w:themeTint="F2"/>
          <w:szCs w:val="24"/>
          <w:lang w:val="en-US"/>
        </w:rPr>
        <w:t>, 436, 140481.</w:t>
      </w:r>
    </w:p>
    <w:p w14:paraId="3604F533"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Kim, Y. and Oh, K.W. (2020) ‘Which consumer associations can build a sustainable fashion brand image? Evidence from fast fashion brands’,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12(5), 1703.</w:t>
      </w:r>
    </w:p>
    <w:p w14:paraId="773F8283"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Kitchenham, B. and Charters, S. (2007) </w:t>
      </w:r>
      <w:r w:rsidRPr="00BD6A96">
        <w:rPr>
          <w:rFonts w:asciiTheme="minorBidi" w:hAnsiTheme="minorBidi"/>
          <w:i/>
          <w:iCs/>
          <w:color w:val="0D0D0D" w:themeColor="text1" w:themeTint="F2"/>
          <w:szCs w:val="24"/>
          <w:lang w:val="en-US"/>
        </w:rPr>
        <w:t>Guidelines for Performing Systematic Literature Reviews in Software Engineering</w:t>
      </w:r>
      <w:r w:rsidRPr="00BD6A96">
        <w:rPr>
          <w:rFonts w:asciiTheme="minorBidi" w:hAnsiTheme="minorBidi"/>
          <w:color w:val="0D0D0D" w:themeColor="text1" w:themeTint="F2"/>
          <w:szCs w:val="24"/>
          <w:lang w:val="en-US"/>
        </w:rPr>
        <w:t>. EBSE Technical Report. Keele University and Durham University.</w:t>
      </w:r>
    </w:p>
    <w:p w14:paraId="5A7EC563"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Li, M., Cavender, R. and Lee, M.-Y. (2025) ‘Consumer awareness of fashion greenwashing: Insights from social media discussions’, </w:t>
      </w:r>
      <w:r w:rsidRPr="00BD6A96">
        <w:rPr>
          <w:rFonts w:asciiTheme="minorBidi" w:hAnsiTheme="minorBidi"/>
          <w:i/>
          <w:iCs/>
          <w:color w:val="0D0D0D" w:themeColor="text1" w:themeTint="F2"/>
          <w:szCs w:val="24"/>
          <w:lang w:val="en-US"/>
        </w:rPr>
        <w:t>Sustainability</w:t>
      </w:r>
      <w:r w:rsidRPr="00BD6A96">
        <w:rPr>
          <w:rFonts w:asciiTheme="minorBidi" w:hAnsiTheme="minorBidi"/>
          <w:color w:val="0D0D0D" w:themeColor="text1" w:themeTint="F2"/>
          <w:szCs w:val="24"/>
          <w:lang w:val="en-US"/>
        </w:rPr>
        <w:t xml:space="preserve">, 17(7), 2982. Available at: </w:t>
      </w:r>
      <w:hyperlink r:id="rId27" w:tgtFrame="_new" w:history="1">
        <w:r w:rsidRPr="00BD6A96">
          <w:rPr>
            <w:rStyle w:val="Hyperlink"/>
            <w:rFonts w:asciiTheme="minorBidi" w:hAnsiTheme="minorBidi"/>
            <w:color w:val="0D0D0D" w:themeColor="text1" w:themeTint="F2"/>
            <w:szCs w:val="24"/>
            <w:u w:val="none"/>
            <w:lang w:val="en-US"/>
          </w:rPr>
          <w:t>https://doi.org/10.3390/su17072982</w:t>
        </w:r>
      </w:hyperlink>
      <w:r w:rsidRPr="00BD6A96">
        <w:rPr>
          <w:rFonts w:asciiTheme="minorBidi" w:hAnsiTheme="minorBidi"/>
          <w:color w:val="0D0D0D" w:themeColor="text1" w:themeTint="F2"/>
          <w:szCs w:val="24"/>
          <w:lang w:val="en-US"/>
        </w:rPr>
        <w:t>.</w:t>
      </w:r>
    </w:p>
    <w:p w14:paraId="4C675316"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Liedong</w:t>
      </w:r>
      <w:proofErr w:type="spellEnd"/>
      <w:r w:rsidRPr="00BD6A96">
        <w:rPr>
          <w:rFonts w:asciiTheme="minorBidi" w:hAnsiTheme="minorBidi"/>
          <w:color w:val="0D0D0D" w:themeColor="text1" w:themeTint="F2"/>
          <w:szCs w:val="24"/>
          <w:lang w:val="en-US"/>
        </w:rPr>
        <w:t xml:space="preserve">, T.A., </w:t>
      </w:r>
      <w:proofErr w:type="spellStart"/>
      <w:r w:rsidRPr="00BD6A96">
        <w:rPr>
          <w:rFonts w:asciiTheme="minorBidi" w:hAnsiTheme="minorBidi"/>
          <w:color w:val="0D0D0D" w:themeColor="text1" w:themeTint="F2"/>
          <w:szCs w:val="24"/>
          <w:lang w:val="en-US"/>
        </w:rPr>
        <w:t>Taticchi</w:t>
      </w:r>
      <w:proofErr w:type="spellEnd"/>
      <w:r w:rsidRPr="00BD6A96">
        <w:rPr>
          <w:rFonts w:asciiTheme="minorBidi" w:hAnsiTheme="minorBidi"/>
          <w:color w:val="0D0D0D" w:themeColor="text1" w:themeTint="F2"/>
          <w:szCs w:val="24"/>
          <w:lang w:val="en-US"/>
        </w:rPr>
        <w:t xml:space="preserve">, P., Rajwani, T. and Pisani, N. (2022) ‘Gracious growth: How to manage the trade-off between corporate greening and corporate growth’, </w:t>
      </w:r>
      <w:r w:rsidRPr="00BD6A96">
        <w:rPr>
          <w:rFonts w:asciiTheme="minorBidi" w:hAnsiTheme="minorBidi"/>
          <w:i/>
          <w:iCs/>
          <w:color w:val="0D0D0D" w:themeColor="text1" w:themeTint="F2"/>
          <w:szCs w:val="24"/>
          <w:lang w:val="en-US"/>
        </w:rPr>
        <w:t>Organizational Dynamics</w:t>
      </w:r>
      <w:r w:rsidRPr="00BD6A96">
        <w:rPr>
          <w:rFonts w:asciiTheme="minorBidi" w:hAnsiTheme="minorBidi"/>
          <w:color w:val="0D0D0D" w:themeColor="text1" w:themeTint="F2"/>
          <w:szCs w:val="24"/>
          <w:lang w:val="en-US"/>
        </w:rPr>
        <w:t>, 51(3), 100895.</w:t>
      </w:r>
    </w:p>
    <w:p w14:paraId="32EB50F4"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lastRenderedPageBreak/>
        <w:t xml:space="preserve">Lovrić, I.B. and Čagalj, M. (2025) ‘Fast fashion as a reflection of risk society and the culture of unsustainability: Insights from youth in Croatia’, </w:t>
      </w:r>
      <w:r w:rsidRPr="00BD6A96">
        <w:rPr>
          <w:rFonts w:asciiTheme="minorBidi" w:hAnsiTheme="minorBidi"/>
          <w:i/>
          <w:iCs/>
          <w:color w:val="0D0D0D" w:themeColor="text1" w:themeTint="F2"/>
          <w:szCs w:val="24"/>
          <w:lang w:val="en-US"/>
        </w:rPr>
        <w:t xml:space="preserve">Studia </w:t>
      </w:r>
      <w:proofErr w:type="spellStart"/>
      <w:r w:rsidRPr="00BD6A96">
        <w:rPr>
          <w:rFonts w:asciiTheme="minorBidi" w:hAnsiTheme="minorBidi"/>
          <w:i/>
          <w:iCs/>
          <w:color w:val="0D0D0D" w:themeColor="text1" w:themeTint="F2"/>
          <w:szCs w:val="24"/>
          <w:lang w:val="en-US"/>
        </w:rPr>
        <w:t>Ecologiae</w:t>
      </w:r>
      <w:proofErr w:type="spellEnd"/>
      <w:r w:rsidRPr="00BD6A96">
        <w:rPr>
          <w:rFonts w:asciiTheme="minorBidi" w:hAnsiTheme="minorBidi"/>
          <w:i/>
          <w:iCs/>
          <w:color w:val="0D0D0D" w:themeColor="text1" w:themeTint="F2"/>
          <w:szCs w:val="24"/>
          <w:lang w:val="en-US"/>
        </w:rPr>
        <w:t xml:space="preserve"> et </w:t>
      </w:r>
      <w:proofErr w:type="spellStart"/>
      <w:r w:rsidRPr="00BD6A96">
        <w:rPr>
          <w:rFonts w:asciiTheme="minorBidi" w:hAnsiTheme="minorBidi"/>
          <w:i/>
          <w:iCs/>
          <w:color w:val="0D0D0D" w:themeColor="text1" w:themeTint="F2"/>
          <w:szCs w:val="24"/>
          <w:lang w:val="en-US"/>
        </w:rPr>
        <w:t>Bioethicae</w:t>
      </w:r>
      <w:proofErr w:type="spellEnd"/>
      <w:r w:rsidRPr="00BD6A96">
        <w:rPr>
          <w:rFonts w:asciiTheme="minorBidi" w:hAnsiTheme="minorBidi"/>
          <w:color w:val="0D0D0D" w:themeColor="text1" w:themeTint="F2"/>
          <w:szCs w:val="24"/>
          <w:lang w:val="en-US"/>
        </w:rPr>
        <w:t>, 23(3), pp. 49–61.</w:t>
      </w:r>
    </w:p>
    <w:p w14:paraId="088D71F1"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Lu, X., Sheng, T., Zhou, X., Shen, C. and Fang, B. (2022) ‘How does young consumers’ greenwashing perception impact their green purchase intention in the fast fashion industry? An analysis from the perspective of perceived risk theory’,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14(20), 13473.</w:t>
      </w:r>
    </w:p>
    <w:p w14:paraId="3558E119"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Marko, M. and </w:t>
      </w:r>
      <w:proofErr w:type="spellStart"/>
      <w:r w:rsidRPr="00BD6A96">
        <w:rPr>
          <w:rFonts w:asciiTheme="minorBidi" w:hAnsiTheme="minorBidi"/>
          <w:color w:val="0D0D0D" w:themeColor="text1" w:themeTint="F2"/>
          <w:szCs w:val="24"/>
          <w:lang w:val="en-US"/>
        </w:rPr>
        <w:t>Kusá</w:t>
      </w:r>
      <w:proofErr w:type="spellEnd"/>
      <w:r w:rsidRPr="00BD6A96">
        <w:rPr>
          <w:rFonts w:asciiTheme="minorBidi" w:hAnsiTheme="minorBidi"/>
          <w:color w:val="0D0D0D" w:themeColor="text1" w:themeTint="F2"/>
          <w:szCs w:val="24"/>
          <w:lang w:val="en-US"/>
        </w:rPr>
        <w:t xml:space="preserve">, A. (2023) ‘Greenwashing and the nature of education in relation to consumer trust in fast fashion marketing communication’, </w:t>
      </w:r>
      <w:r w:rsidRPr="00BD6A96">
        <w:rPr>
          <w:rFonts w:asciiTheme="minorBidi" w:hAnsiTheme="minorBidi"/>
          <w:i/>
          <w:iCs/>
          <w:color w:val="0D0D0D" w:themeColor="text1" w:themeTint="F2"/>
          <w:szCs w:val="24"/>
          <w:lang w:val="en-US"/>
        </w:rPr>
        <w:t>Communication Today</w:t>
      </w:r>
      <w:r w:rsidRPr="00BD6A96">
        <w:rPr>
          <w:rFonts w:asciiTheme="minorBidi" w:hAnsiTheme="minorBidi"/>
          <w:color w:val="0D0D0D" w:themeColor="text1" w:themeTint="F2"/>
          <w:szCs w:val="24"/>
          <w:lang w:val="en-US"/>
        </w:rPr>
        <w:t>, 14(1), pp. 86–98.</w:t>
      </w:r>
    </w:p>
    <w:p w14:paraId="2DC05EEA" w14:textId="77777777" w:rsidR="00C93844" w:rsidRPr="00BD6A96" w:rsidRDefault="00C93844" w:rsidP="00BD6A96">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Mintel (2024) </w:t>
      </w:r>
      <w:r w:rsidRPr="00BD6A96">
        <w:rPr>
          <w:rFonts w:asciiTheme="minorBidi" w:hAnsiTheme="minorBidi"/>
          <w:i/>
          <w:iCs/>
          <w:color w:val="0D0D0D" w:themeColor="text1" w:themeTint="F2"/>
          <w:szCs w:val="24"/>
          <w:lang w:val="en-US"/>
        </w:rPr>
        <w:t>The Future of Fashion: Circular and Sustainable Fashion Trends | Mintel</w:t>
      </w:r>
      <w:r w:rsidRPr="00BD6A96">
        <w:rPr>
          <w:rFonts w:asciiTheme="minorBidi" w:hAnsiTheme="minorBidi"/>
          <w:color w:val="0D0D0D" w:themeColor="text1" w:themeTint="F2"/>
          <w:szCs w:val="24"/>
          <w:lang w:val="en-US"/>
        </w:rPr>
        <w:t xml:space="preserve">, </w:t>
      </w:r>
      <w:r w:rsidRPr="00BD6A96">
        <w:rPr>
          <w:rFonts w:asciiTheme="minorBidi" w:hAnsiTheme="minorBidi"/>
          <w:i/>
          <w:iCs/>
          <w:color w:val="0D0D0D" w:themeColor="text1" w:themeTint="F2"/>
          <w:szCs w:val="24"/>
          <w:lang w:val="en-US"/>
        </w:rPr>
        <w:t>Mintel</w:t>
      </w:r>
      <w:r w:rsidRPr="00BD6A96">
        <w:rPr>
          <w:rFonts w:asciiTheme="minorBidi" w:hAnsiTheme="minorBidi"/>
          <w:color w:val="0D0D0D" w:themeColor="text1" w:themeTint="F2"/>
          <w:szCs w:val="24"/>
          <w:lang w:val="en-US"/>
        </w:rPr>
        <w:t>. Mintel. Available at: https://www.mintel.com/insights/retail/the-growth-of-circular-and-sustainable-fashion-trends/.</w:t>
      </w:r>
    </w:p>
    <w:p w14:paraId="480600E3"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Mofokeng, T.M. (2025) ‘Mediating and moderating effects of green practices on environmental and operational performance in South African textiles’, </w:t>
      </w:r>
      <w:r w:rsidRPr="00BD6A96">
        <w:rPr>
          <w:rFonts w:asciiTheme="minorBidi" w:hAnsiTheme="minorBidi"/>
          <w:i/>
          <w:iCs/>
          <w:color w:val="0D0D0D" w:themeColor="text1" w:themeTint="F2"/>
          <w:szCs w:val="24"/>
          <w:lang w:val="en-US"/>
        </w:rPr>
        <w:t>Journal of Transport and Supply Chain Management</w:t>
      </w:r>
      <w:r w:rsidRPr="00BD6A96">
        <w:rPr>
          <w:rFonts w:asciiTheme="minorBidi" w:hAnsiTheme="minorBidi"/>
          <w:color w:val="0D0D0D" w:themeColor="text1" w:themeTint="F2"/>
          <w:szCs w:val="24"/>
          <w:lang w:val="en-US"/>
        </w:rPr>
        <w:t>, 19, a1182.</w:t>
      </w:r>
    </w:p>
    <w:p w14:paraId="295CE20D"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Moher, D., Liberati, A., Tetzlaff, J., Altman, D. and PRISMA Group (2009) ‘Preferred reporting items for systematic reviews and meta-analyses: the PRISMA statement’, </w:t>
      </w:r>
      <w:r w:rsidRPr="00BD6A96">
        <w:rPr>
          <w:rFonts w:asciiTheme="minorBidi" w:hAnsiTheme="minorBidi"/>
          <w:i/>
          <w:iCs/>
          <w:color w:val="0D0D0D" w:themeColor="text1" w:themeTint="F2"/>
          <w:szCs w:val="24"/>
          <w:lang w:val="en-US"/>
        </w:rPr>
        <w:t>PLoS Medicine</w:t>
      </w:r>
      <w:r w:rsidRPr="00BD6A96">
        <w:rPr>
          <w:rFonts w:asciiTheme="minorBidi" w:hAnsiTheme="minorBidi"/>
          <w:color w:val="0D0D0D" w:themeColor="text1" w:themeTint="F2"/>
          <w:szCs w:val="24"/>
          <w:lang w:val="en-US"/>
        </w:rPr>
        <w:t xml:space="preserve">, 6(7), e1000097. Available at: </w:t>
      </w:r>
      <w:hyperlink r:id="rId28" w:tgtFrame="_new" w:history="1">
        <w:r w:rsidRPr="00BD6A96">
          <w:rPr>
            <w:rStyle w:val="Hyperlink"/>
            <w:rFonts w:asciiTheme="minorBidi" w:hAnsiTheme="minorBidi"/>
            <w:color w:val="0D0D0D" w:themeColor="text1" w:themeTint="F2"/>
            <w:szCs w:val="24"/>
            <w:u w:val="none"/>
            <w:lang w:val="en-US"/>
          </w:rPr>
          <w:t>https://doi.org/10.1371/journal.pmed.1000097</w:t>
        </w:r>
      </w:hyperlink>
      <w:r w:rsidRPr="00BD6A96">
        <w:rPr>
          <w:rFonts w:asciiTheme="minorBidi" w:hAnsiTheme="minorBidi"/>
          <w:color w:val="0D0D0D" w:themeColor="text1" w:themeTint="F2"/>
          <w:szCs w:val="24"/>
          <w:lang w:val="en-US"/>
        </w:rPr>
        <w:t>.</w:t>
      </w:r>
    </w:p>
    <w:p w14:paraId="6B58E18A"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Mousavi, K., Kowsari, E., Ramakrishna, S., Chinnappan, A. and </w:t>
      </w:r>
      <w:proofErr w:type="spellStart"/>
      <w:r w:rsidRPr="00BD6A96">
        <w:rPr>
          <w:rFonts w:asciiTheme="minorBidi" w:hAnsiTheme="minorBidi"/>
          <w:color w:val="0D0D0D" w:themeColor="text1" w:themeTint="F2"/>
          <w:szCs w:val="24"/>
          <w:lang w:val="en-US"/>
        </w:rPr>
        <w:t>Gheibi</w:t>
      </w:r>
      <w:proofErr w:type="spellEnd"/>
      <w:r w:rsidRPr="00BD6A96">
        <w:rPr>
          <w:rFonts w:asciiTheme="minorBidi" w:hAnsiTheme="minorBidi"/>
          <w:color w:val="0D0D0D" w:themeColor="text1" w:themeTint="F2"/>
          <w:szCs w:val="24"/>
          <w:lang w:val="en-US"/>
        </w:rPr>
        <w:t xml:space="preserve">, M. (2025) ‘A comprehensive review of greenwashing in the textile industry (life cycle assessment, life cycle cost, and eco-labeling)’, </w:t>
      </w:r>
      <w:r w:rsidRPr="00BD6A96">
        <w:rPr>
          <w:rFonts w:asciiTheme="minorBidi" w:hAnsiTheme="minorBidi"/>
          <w:i/>
          <w:iCs/>
          <w:color w:val="0D0D0D" w:themeColor="text1" w:themeTint="F2"/>
          <w:szCs w:val="24"/>
          <w:lang w:val="en-US"/>
        </w:rPr>
        <w:t>Environment, Development and Sustainability</w:t>
      </w:r>
      <w:r w:rsidRPr="00BD6A96">
        <w:rPr>
          <w:rFonts w:asciiTheme="minorBidi" w:hAnsiTheme="minorBidi"/>
          <w:color w:val="0D0D0D" w:themeColor="text1" w:themeTint="F2"/>
          <w:szCs w:val="24"/>
          <w:lang w:val="en-US"/>
        </w:rPr>
        <w:t>, 27(9), pp. 21737–21777.</w:t>
      </w:r>
    </w:p>
    <w:p w14:paraId="4BD15CA6"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Nigatu, T., Degoma, A. and Tsegaye, A. (2024) ‘Green practices and economic performance: Mediating role of green innovation in Ethiopian leather, textile, and garment industries—An integrated PLS-SEM analysis’, </w:t>
      </w:r>
      <w:proofErr w:type="spellStart"/>
      <w:r w:rsidRPr="00BD6A96">
        <w:rPr>
          <w:rFonts w:asciiTheme="minorBidi" w:hAnsiTheme="minorBidi"/>
          <w:i/>
          <w:iCs/>
          <w:color w:val="0D0D0D" w:themeColor="text1" w:themeTint="F2"/>
          <w:szCs w:val="24"/>
          <w:lang w:val="en-US"/>
        </w:rPr>
        <w:t>Heliyon</w:t>
      </w:r>
      <w:proofErr w:type="spellEnd"/>
      <w:r w:rsidRPr="00BD6A96">
        <w:rPr>
          <w:rFonts w:asciiTheme="minorBidi" w:hAnsiTheme="minorBidi"/>
          <w:color w:val="0D0D0D" w:themeColor="text1" w:themeTint="F2"/>
          <w:szCs w:val="24"/>
          <w:lang w:val="en-US"/>
        </w:rPr>
        <w:t>, 10(15), e35188.</w:t>
      </w:r>
    </w:p>
    <w:p w14:paraId="39DC2D56"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nl-NL"/>
        </w:rPr>
        <w:t xml:space="preserve">Page, M.J. </w:t>
      </w:r>
      <w:r w:rsidRPr="001D1CA2">
        <w:rPr>
          <w:rFonts w:asciiTheme="minorBidi" w:hAnsiTheme="minorBidi"/>
          <w:i/>
          <w:iCs/>
          <w:szCs w:val="24"/>
          <w:lang w:val="nl-NL"/>
        </w:rPr>
        <w:t>et al</w:t>
      </w:r>
      <w:r w:rsidRPr="00BD6A96">
        <w:rPr>
          <w:rFonts w:asciiTheme="minorBidi" w:hAnsiTheme="minorBidi"/>
          <w:i/>
          <w:iCs/>
          <w:szCs w:val="24"/>
          <w:lang w:val="nl-NL"/>
        </w:rPr>
        <w:t>.</w:t>
      </w:r>
      <w:r w:rsidRPr="00BD6A96">
        <w:rPr>
          <w:rFonts w:asciiTheme="minorBidi" w:hAnsiTheme="minorBidi"/>
          <w:szCs w:val="24"/>
          <w:lang w:val="nl-NL"/>
        </w:rPr>
        <w:t xml:space="preserve"> </w:t>
      </w:r>
      <w:r w:rsidRPr="00BD6A96">
        <w:rPr>
          <w:rFonts w:asciiTheme="minorBidi" w:hAnsiTheme="minorBidi"/>
          <w:szCs w:val="24"/>
          <w:lang w:val="en-US"/>
        </w:rPr>
        <w:t xml:space="preserve">(2021) ‘The PRISMA 2020 statement: an Updated Guideline for Reporting Systematic Reviews’, </w:t>
      </w:r>
      <w:r w:rsidRPr="00BD6A96">
        <w:rPr>
          <w:rFonts w:asciiTheme="minorBidi" w:hAnsiTheme="minorBidi"/>
          <w:i/>
          <w:iCs/>
          <w:szCs w:val="24"/>
          <w:lang w:val="en-US"/>
        </w:rPr>
        <w:t>Systematic Reviews</w:t>
      </w:r>
      <w:r w:rsidRPr="00BD6A96">
        <w:rPr>
          <w:rFonts w:asciiTheme="minorBidi" w:hAnsiTheme="minorBidi"/>
          <w:szCs w:val="24"/>
          <w:lang w:val="en-US"/>
        </w:rPr>
        <w:t>, 10(1). Available at: https://doi.org/10.1186/s13643-021-01626-4.</w:t>
      </w:r>
    </w:p>
    <w:p w14:paraId="4EC41EB3"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lastRenderedPageBreak/>
        <w:t xml:space="preserve">Petticrew, M. and Roberts, H. (2006) </w:t>
      </w:r>
      <w:r w:rsidRPr="00BD6A96">
        <w:rPr>
          <w:rFonts w:asciiTheme="minorBidi" w:hAnsiTheme="minorBidi"/>
          <w:i/>
          <w:iCs/>
          <w:color w:val="0D0D0D" w:themeColor="text1" w:themeTint="F2"/>
          <w:szCs w:val="24"/>
          <w:lang w:val="en-US"/>
        </w:rPr>
        <w:t>Systematic Reviews in the Social Sciences: A Practical Guide</w:t>
      </w:r>
      <w:r w:rsidRPr="00BD6A96">
        <w:rPr>
          <w:rFonts w:asciiTheme="minorBidi" w:hAnsiTheme="minorBidi"/>
          <w:color w:val="0D0D0D" w:themeColor="text1" w:themeTint="F2"/>
          <w:szCs w:val="24"/>
          <w:lang w:val="en-US"/>
        </w:rPr>
        <w:t>. Oxford: Blackwell Publishing.</w:t>
      </w:r>
    </w:p>
    <w:p w14:paraId="54DA866D"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Policarpo, M.C., </w:t>
      </w:r>
      <w:proofErr w:type="spellStart"/>
      <w:r w:rsidRPr="00BD6A96">
        <w:rPr>
          <w:rFonts w:asciiTheme="minorBidi" w:hAnsiTheme="minorBidi"/>
          <w:color w:val="0D0D0D" w:themeColor="text1" w:themeTint="F2"/>
          <w:szCs w:val="24"/>
          <w:lang w:val="en-US"/>
        </w:rPr>
        <w:t>Apaolaza</w:t>
      </w:r>
      <w:proofErr w:type="spellEnd"/>
      <w:r w:rsidRPr="00BD6A96">
        <w:rPr>
          <w:rFonts w:asciiTheme="minorBidi" w:hAnsiTheme="minorBidi"/>
          <w:color w:val="0D0D0D" w:themeColor="text1" w:themeTint="F2"/>
          <w:szCs w:val="24"/>
          <w:lang w:val="en-US"/>
        </w:rPr>
        <w:t xml:space="preserve">, V., Hartmann, P., Paredes, M.R. and D’Souza, C. (2023) ‘Social cynicism, greenwashing, and trust in green clothing brands’, </w:t>
      </w:r>
      <w:r w:rsidRPr="00BD6A96">
        <w:rPr>
          <w:rFonts w:asciiTheme="minorBidi" w:hAnsiTheme="minorBidi"/>
          <w:i/>
          <w:iCs/>
          <w:color w:val="0D0D0D" w:themeColor="text1" w:themeTint="F2"/>
          <w:szCs w:val="24"/>
          <w:lang w:val="en-US"/>
        </w:rPr>
        <w:t>International Journal of Consumer Studies</w:t>
      </w:r>
      <w:r w:rsidRPr="00BD6A96">
        <w:rPr>
          <w:rFonts w:asciiTheme="minorBidi" w:hAnsiTheme="minorBidi"/>
          <w:color w:val="0D0D0D" w:themeColor="text1" w:themeTint="F2"/>
          <w:szCs w:val="24"/>
          <w:lang w:val="en-US"/>
        </w:rPr>
        <w:t>, 47(5), pp. 1950–1961.</w:t>
      </w:r>
    </w:p>
    <w:p w14:paraId="5E63F5C9"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Popay, J., Roberts, H., Sowden, A., Petticrew, M., Arai, L., Rodgers, M., Britten, N., Roen, K. and Duffy, S. (2006) </w:t>
      </w:r>
      <w:r w:rsidRPr="00BD6A96">
        <w:rPr>
          <w:rFonts w:asciiTheme="minorBidi" w:hAnsiTheme="minorBidi"/>
          <w:i/>
          <w:iCs/>
          <w:color w:val="0D0D0D" w:themeColor="text1" w:themeTint="F2"/>
          <w:szCs w:val="24"/>
          <w:lang w:val="en-US"/>
        </w:rPr>
        <w:t xml:space="preserve">Guidance on the Conduct of Narrative Synthesis in Systematic Reviews. A Product from the ESRC Methods </w:t>
      </w:r>
      <w:proofErr w:type="spellStart"/>
      <w:r w:rsidRPr="00BD6A96">
        <w:rPr>
          <w:rFonts w:asciiTheme="minorBidi" w:hAnsiTheme="minorBidi"/>
          <w:i/>
          <w:iCs/>
          <w:color w:val="0D0D0D" w:themeColor="text1" w:themeTint="F2"/>
          <w:szCs w:val="24"/>
          <w:lang w:val="en-US"/>
        </w:rPr>
        <w:t>Programme</w:t>
      </w:r>
      <w:proofErr w:type="spellEnd"/>
      <w:r w:rsidRPr="00BD6A96">
        <w:rPr>
          <w:rFonts w:asciiTheme="minorBidi" w:hAnsiTheme="minorBidi"/>
          <w:color w:val="0D0D0D" w:themeColor="text1" w:themeTint="F2"/>
          <w:szCs w:val="24"/>
          <w:lang w:val="en-US"/>
        </w:rPr>
        <w:t xml:space="preserve">. Available at: </w:t>
      </w:r>
      <w:hyperlink r:id="rId29" w:tgtFrame="_new" w:history="1">
        <w:r w:rsidRPr="00BD6A96">
          <w:rPr>
            <w:rStyle w:val="Hyperlink"/>
            <w:rFonts w:asciiTheme="minorBidi" w:hAnsiTheme="minorBidi"/>
            <w:color w:val="0D0D0D" w:themeColor="text1" w:themeTint="F2"/>
            <w:szCs w:val="24"/>
            <w:u w:val="none"/>
            <w:lang w:val="en-US"/>
          </w:rPr>
          <w:t>https://www.lancaster.ac.uk/media/lancaster-university/content-assets/documents/fhm/dhr/chir/NSsynthesisguidanceVersion1-April2006.pdf</w:t>
        </w:r>
      </w:hyperlink>
      <w:r w:rsidRPr="00BD6A96">
        <w:rPr>
          <w:rFonts w:asciiTheme="minorBidi" w:hAnsiTheme="minorBidi"/>
          <w:color w:val="0D0D0D" w:themeColor="text1" w:themeTint="F2"/>
          <w:szCs w:val="24"/>
          <w:lang w:val="en-US"/>
        </w:rPr>
        <w:t>.</w:t>
      </w:r>
    </w:p>
    <w:p w14:paraId="3BD91954"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Pozzo, B. (2023) ‘Sustainable fashion… Italian style!’, </w:t>
      </w:r>
      <w:r w:rsidRPr="00BD6A96">
        <w:rPr>
          <w:rFonts w:asciiTheme="minorBidi" w:hAnsiTheme="minorBidi"/>
          <w:i/>
          <w:iCs/>
          <w:color w:val="0D0D0D" w:themeColor="text1" w:themeTint="F2"/>
          <w:szCs w:val="24"/>
          <w:lang w:val="en-US"/>
        </w:rPr>
        <w:t>Italian Law Journal</w:t>
      </w:r>
      <w:r w:rsidRPr="00BD6A96">
        <w:rPr>
          <w:rFonts w:asciiTheme="minorBidi" w:hAnsiTheme="minorBidi"/>
          <w:color w:val="0D0D0D" w:themeColor="text1" w:themeTint="F2"/>
          <w:szCs w:val="24"/>
          <w:lang w:val="en-US"/>
        </w:rPr>
        <w:t>, 9(1), pp. 263–287.</w:t>
      </w:r>
    </w:p>
    <w:p w14:paraId="12AD8848"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Promalessy</w:t>
      </w:r>
      <w:proofErr w:type="spellEnd"/>
      <w:r w:rsidRPr="00BD6A96">
        <w:rPr>
          <w:rFonts w:asciiTheme="minorBidi" w:hAnsiTheme="minorBidi"/>
          <w:color w:val="0D0D0D" w:themeColor="text1" w:themeTint="F2"/>
          <w:szCs w:val="24"/>
          <w:lang w:val="en-US"/>
        </w:rPr>
        <w:t xml:space="preserve">, R. and </w:t>
      </w:r>
      <w:proofErr w:type="spellStart"/>
      <w:r w:rsidRPr="00BD6A96">
        <w:rPr>
          <w:rFonts w:asciiTheme="minorBidi" w:hAnsiTheme="minorBidi"/>
          <w:color w:val="0D0D0D" w:themeColor="text1" w:themeTint="F2"/>
          <w:szCs w:val="24"/>
          <w:lang w:val="en-US"/>
        </w:rPr>
        <w:t>Handriana</w:t>
      </w:r>
      <w:proofErr w:type="spellEnd"/>
      <w:r w:rsidRPr="00BD6A96">
        <w:rPr>
          <w:rFonts w:asciiTheme="minorBidi" w:hAnsiTheme="minorBidi"/>
          <w:color w:val="0D0D0D" w:themeColor="text1" w:themeTint="F2"/>
          <w:szCs w:val="24"/>
          <w:lang w:val="en-US"/>
        </w:rPr>
        <w:t xml:space="preserve">, T. (2024) ‘How does greenwashing affect green word of mouth through green skepticism? Empirical research for fast fashion business’, </w:t>
      </w:r>
      <w:r w:rsidRPr="00BD6A96">
        <w:rPr>
          <w:rFonts w:asciiTheme="minorBidi" w:hAnsiTheme="minorBidi"/>
          <w:i/>
          <w:iCs/>
          <w:color w:val="0D0D0D" w:themeColor="text1" w:themeTint="F2"/>
          <w:szCs w:val="24"/>
          <w:lang w:val="en-US"/>
        </w:rPr>
        <w:t>Cogent Business &amp; Management</w:t>
      </w:r>
      <w:r w:rsidRPr="00BD6A96">
        <w:rPr>
          <w:rFonts w:asciiTheme="minorBidi" w:hAnsiTheme="minorBidi"/>
          <w:color w:val="0D0D0D" w:themeColor="text1" w:themeTint="F2"/>
          <w:szCs w:val="24"/>
          <w:lang w:val="en-US"/>
        </w:rPr>
        <w:t>, 11(1), 2389467.</w:t>
      </w:r>
    </w:p>
    <w:p w14:paraId="2651E0B0"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Rausch, T.M. and Kopplin, C.S. (2021) ‘Bridge the gap: Consumers’ purchase intention and behavior regarding sustainable clothing’, </w:t>
      </w:r>
      <w:r w:rsidRPr="00BD6A96">
        <w:rPr>
          <w:rFonts w:asciiTheme="minorBidi" w:hAnsiTheme="minorBidi"/>
          <w:i/>
          <w:iCs/>
          <w:color w:val="0D0D0D" w:themeColor="text1" w:themeTint="F2"/>
          <w:szCs w:val="24"/>
          <w:lang w:val="en-US"/>
        </w:rPr>
        <w:t>Journal of Cleaner Production</w:t>
      </w:r>
      <w:r w:rsidRPr="00BD6A96">
        <w:rPr>
          <w:rFonts w:asciiTheme="minorBidi" w:hAnsiTheme="minorBidi"/>
          <w:color w:val="0D0D0D" w:themeColor="text1" w:themeTint="F2"/>
          <w:szCs w:val="24"/>
          <w:lang w:val="en-US"/>
        </w:rPr>
        <w:t>, 278, 123882.</w:t>
      </w:r>
    </w:p>
    <w:p w14:paraId="2E25920F"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Reck, R., Castagna, A.C., </w:t>
      </w:r>
      <w:proofErr w:type="spellStart"/>
      <w:r w:rsidRPr="00BD6A96">
        <w:rPr>
          <w:rFonts w:asciiTheme="minorBidi" w:hAnsiTheme="minorBidi"/>
          <w:color w:val="0D0D0D" w:themeColor="text1" w:themeTint="F2"/>
          <w:szCs w:val="24"/>
          <w:lang w:val="en-US"/>
        </w:rPr>
        <w:t>Shuqair</w:t>
      </w:r>
      <w:proofErr w:type="spellEnd"/>
      <w:r w:rsidRPr="00BD6A96">
        <w:rPr>
          <w:rFonts w:asciiTheme="minorBidi" w:hAnsiTheme="minorBidi"/>
          <w:color w:val="0D0D0D" w:themeColor="text1" w:themeTint="F2"/>
          <w:szCs w:val="24"/>
          <w:lang w:val="en-US"/>
        </w:rPr>
        <w:t xml:space="preserve">, S. and Costa Pinto, D. (2022) ‘The transparency paradox: When transparency cues helps or backfires for brands?’, </w:t>
      </w:r>
      <w:r w:rsidRPr="00BD6A96">
        <w:rPr>
          <w:rFonts w:asciiTheme="minorBidi" w:hAnsiTheme="minorBidi"/>
          <w:i/>
          <w:iCs/>
          <w:color w:val="0D0D0D" w:themeColor="text1" w:themeTint="F2"/>
          <w:szCs w:val="24"/>
          <w:lang w:val="en-US"/>
        </w:rPr>
        <w:t>Journal of Cleaner Production</w:t>
      </w:r>
      <w:r w:rsidRPr="00BD6A96">
        <w:rPr>
          <w:rFonts w:asciiTheme="minorBidi" w:hAnsiTheme="minorBidi"/>
          <w:color w:val="0D0D0D" w:themeColor="text1" w:themeTint="F2"/>
          <w:szCs w:val="24"/>
          <w:lang w:val="en-US"/>
        </w:rPr>
        <w:t>, 372, 133381.</w:t>
      </w:r>
    </w:p>
    <w:p w14:paraId="72612648"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Redman, A. (2025) ‘“There is no fashion on a dead planet:” How a mandatory reporting directive shared by the US and the EU and centered on transparency could be the first step to increased sustainability in the fashion industry’, </w:t>
      </w:r>
      <w:r w:rsidRPr="00BD6A96">
        <w:rPr>
          <w:rFonts w:asciiTheme="minorBidi" w:hAnsiTheme="minorBidi"/>
          <w:i/>
          <w:iCs/>
          <w:color w:val="0D0D0D" w:themeColor="text1" w:themeTint="F2"/>
          <w:szCs w:val="24"/>
          <w:lang w:val="en-US"/>
        </w:rPr>
        <w:t>Northwestern Journal of International Law and Business</w:t>
      </w:r>
      <w:r w:rsidRPr="00BD6A96">
        <w:rPr>
          <w:rFonts w:asciiTheme="minorBidi" w:hAnsiTheme="minorBidi"/>
          <w:color w:val="0D0D0D" w:themeColor="text1" w:themeTint="F2"/>
          <w:szCs w:val="24"/>
          <w:lang w:val="en-US"/>
        </w:rPr>
        <w:t>, 45(2), pp. 263–286.</w:t>
      </w:r>
    </w:p>
    <w:p w14:paraId="14069A62"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Reza, N. and Du Plessis, J.J. (2022) ‘The garment industry in Bangladesh, corporate social responsibility of multinational corporations, and the impact of COVID-19’, </w:t>
      </w:r>
      <w:r w:rsidRPr="00BD6A96">
        <w:rPr>
          <w:rFonts w:asciiTheme="minorBidi" w:hAnsiTheme="minorBidi"/>
          <w:i/>
          <w:iCs/>
          <w:color w:val="0D0D0D" w:themeColor="text1" w:themeTint="F2"/>
          <w:szCs w:val="24"/>
          <w:lang w:val="en-US"/>
        </w:rPr>
        <w:t>Asian Journal of Law and Society</w:t>
      </w:r>
      <w:r w:rsidRPr="00BD6A96">
        <w:rPr>
          <w:rFonts w:asciiTheme="minorBidi" w:hAnsiTheme="minorBidi"/>
          <w:color w:val="0D0D0D" w:themeColor="text1" w:themeTint="F2"/>
          <w:szCs w:val="24"/>
          <w:lang w:val="en-US"/>
        </w:rPr>
        <w:t>, 9(2), pp. 255–285.</w:t>
      </w:r>
    </w:p>
    <w:p w14:paraId="5C5D6FC0"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Roozen, I., </w:t>
      </w:r>
      <w:proofErr w:type="spellStart"/>
      <w:r w:rsidRPr="00BD6A96">
        <w:rPr>
          <w:rFonts w:asciiTheme="minorBidi" w:hAnsiTheme="minorBidi"/>
          <w:color w:val="0D0D0D" w:themeColor="text1" w:themeTint="F2"/>
          <w:szCs w:val="24"/>
          <w:lang w:val="en-US"/>
        </w:rPr>
        <w:t>Raedts</w:t>
      </w:r>
      <w:proofErr w:type="spellEnd"/>
      <w:r w:rsidRPr="00BD6A96">
        <w:rPr>
          <w:rFonts w:asciiTheme="minorBidi" w:hAnsiTheme="minorBidi"/>
          <w:color w:val="0D0D0D" w:themeColor="text1" w:themeTint="F2"/>
          <w:szCs w:val="24"/>
          <w:lang w:val="en-US"/>
        </w:rPr>
        <w:t xml:space="preserve">, M. and </w:t>
      </w:r>
      <w:proofErr w:type="spellStart"/>
      <w:r w:rsidRPr="00BD6A96">
        <w:rPr>
          <w:rFonts w:asciiTheme="minorBidi" w:hAnsiTheme="minorBidi"/>
          <w:color w:val="0D0D0D" w:themeColor="text1" w:themeTint="F2"/>
          <w:szCs w:val="24"/>
          <w:lang w:val="en-US"/>
        </w:rPr>
        <w:t>Henderix</w:t>
      </w:r>
      <w:proofErr w:type="spellEnd"/>
      <w:r w:rsidRPr="00BD6A96">
        <w:rPr>
          <w:rFonts w:asciiTheme="minorBidi" w:hAnsiTheme="minorBidi"/>
          <w:color w:val="0D0D0D" w:themeColor="text1" w:themeTint="F2"/>
          <w:szCs w:val="24"/>
          <w:lang w:val="en-US"/>
        </w:rPr>
        <w:t xml:space="preserve">, M. (2025) ‘Exploring the role of green brand extensions and greenwashing in the fashion industry’, </w:t>
      </w:r>
      <w:r w:rsidRPr="00BD6A96">
        <w:rPr>
          <w:rFonts w:asciiTheme="minorBidi" w:hAnsiTheme="minorBidi"/>
          <w:i/>
          <w:iCs/>
          <w:color w:val="0D0D0D" w:themeColor="text1" w:themeTint="F2"/>
          <w:szCs w:val="24"/>
          <w:lang w:val="en-US"/>
        </w:rPr>
        <w:t>Journal of Global Fashion Marketing</w:t>
      </w:r>
      <w:r w:rsidRPr="00BD6A96">
        <w:rPr>
          <w:rFonts w:asciiTheme="minorBidi" w:hAnsiTheme="minorBidi"/>
          <w:color w:val="0D0D0D" w:themeColor="text1" w:themeTint="F2"/>
          <w:szCs w:val="24"/>
          <w:lang w:val="en-US"/>
        </w:rPr>
        <w:t>, 16(1), pp. 32–46.</w:t>
      </w:r>
    </w:p>
    <w:p w14:paraId="079503E7"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lastRenderedPageBreak/>
        <w:t xml:space="preserve">Sailer, A., Wilfing, H. and Straus, E. (2022) ‘Greenwashing and </w:t>
      </w:r>
      <w:proofErr w:type="spellStart"/>
      <w:r w:rsidRPr="00BD6A96">
        <w:rPr>
          <w:rFonts w:asciiTheme="minorBidi" w:hAnsiTheme="minorBidi"/>
          <w:color w:val="0D0D0D" w:themeColor="text1" w:themeTint="F2"/>
          <w:szCs w:val="24"/>
          <w:lang w:val="en-US"/>
        </w:rPr>
        <w:t>bluewashing</w:t>
      </w:r>
      <w:proofErr w:type="spellEnd"/>
      <w:r w:rsidRPr="00BD6A96">
        <w:rPr>
          <w:rFonts w:asciiTheme="minorBidi" w:hAnsiTheme="minorBidi"/>
          <w:color w:val="0D0D0D" w:themeColor="text1" w:themeTint="F2"/>
          <w:szCs w:val="24"/>
          <w:lang w:val="en-US"/>
        </w:rPr>
        <w:t xml:space="preserve"> in Black Friday-related sustainable fashion marketing on Instagram’,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14(3), 1494.</w:t>
      </w:r>
    </w:p>
    <w:p w14:paraId="7AC35EA6"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Savilia</w:t>
      </w:r>
      <w:proofErr w:type="spellEnd"/>
      <w:r w:rsidRPr="00BD6A96">
        <w:rPr>
          <w:rFonts w:asciiTheme="minorBidi" w:hAnsiTheme="minorBidi"/>
          <w:color w:val="0D0D0D" w:themeColor="text1" w:themeTint="F2"/>
          <w:szCs w:val="24"/>
          <w:lang w:val="en-US"/>
        </w:rPr>
        <w:t xml:space="preserve">, K. (2024) ‘The importance of sustainability in fashion’, </w:t>
      </w:r>
      <w:r w:rsidRPr="00BD6A96">
        <w:rPr>
          <w:rFonts w:asciiTheme="minorBidi" w:hAnsiTheme="minorBidi"/>
          <w:i/>
          <w:iCs/>
          <w:color w:val="0D0D0D" w:themeColor="text1" w:themeTint="F2"/>
          <w:szCs w:val="24"/>
          <w:lang w:val="en-US"/>
        </w:rPr>
        <w:t>Forbes</w:t>
      </w:r>
      <w:r w:rsidRPr="00BD6A96">
        <w:rPr>
          <w:rFonts w:asciiTheme="minorBidi" w:hAnsiTheme="minorBidi"/>
          <w:color w:val="0D0D0D" w:themeColor="text1" w:themeTint="F2"/>
          <w:szCs w:val="24"/>
          <w:lang w:val="en-US"/>
        </w:rPr>
        <w:t xml:space="preserve">, 26 April. Available at: </w:t>
      </w:r>
      <w:hyperlink r:id="rId30" w:tgtFrame="_new" w:history="1">
        <w:r w:rsidRPr="00BD6A96">
          <w:rPr>
            <w:rStyle w:val="Hyperlink"/>
            <w:rFonts w:asciiTheme="minorBidi" w:hAnsiTheme="minorBidi"/>
            <w:color w:val="0D0D0D" w:themeColor="text1" w:themeTint="F2"/>
            <w:szCs w:val="24"/>
            <w:u w:val="none"/>
            <w:lang w:val="en-US"/>
          </w:rPr>
          <w:t>https://www.forbes.com/councils/forbestechcouncil/2024/04/26/the-importance-of-sustainability-in-fashion/</w:t>
        </w:r>
      </w:hyperlink>
      <w:r w:rsidRPr="00BD6A96">
        <w:rPr>
          <w:rFonts w:asciiTheme="minorBidi" w:hAnsiTheme="minorBidi"/>
          <w:color w:val="0D0D0D" w:themeColor="text1" w:themeTint="F2"/>
          <w:szCs w:val="24"/>
          <w:lang w:val="en-US"/>
        </w:rPr>
        <w:t>.</w:t>
      </w:r>
    </w:p>
    <w:p w14:paraId="34130D2D"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Schwoy</w:t>
      </w:r>
      <w:proofErr w:type="spellEnd"/>
      <w:r w:rsidRPr="00BD6A96">
        <w:rPr>
          <w:rFonts w:asciiTheme="minorBidi" w:hAnsiTheme="minorBidi"/>
          <w:color w:val="0D0D0D" w:themeColor="text1" w:themeTint="F2"/>
          <w:szCs w:val="24"/>
          <w:lang w:val="en-US"/>
        </w:rPr>
        <w:t xml:space="preserve">, S.M., </w:t>
      </w:r>
      <w:proofErr w:type="spellStart"/>
      <w:r w:rsidRPr="00BD6A96">
        <w:rPr>
          <w:rFonts w:asciiTheme="minorBidi" w:hAnsiTheme="minorBidi"/>
          <w:color w:val="0D0D0D" w:themeColor="text1" w:themeTint="F2"/>
          <w:szCs w:val="24"/>
          <w:lang w:val="en-US"/>
        </w:rPr>
        <w:t>Dutzi</w:t>
      </w:r>
      <w:proofErr w:type="spellEnd"/>
      <w:r w:rsidRPr="00BD6A96">
        <w:rPr>
          <w:rFonts w:asciiTheme="minorBidi" w:hAnsiTheme="minorBidi"/>
          <w:color w:val="0D0D0D" w:themeColor="text1" w:themeTint="F2"/>
          <w:szCs w:val="24"/>
          <w:lang w:val="en-US"/>
        </w:rPr>
        <w:t xml:space="preserve">, A. and Messing, J. (2025) ‘Silence is golden? – Analysing the transparency of ESG controversies in corporate reporting within the pharmaceutical and textile industry’, </w:t>
      </w:r>
      <w:r w:rsidRPr="00BD6A96">
        <w:rPr>
          <w:rFonts w:asciiTheme="minorBidi" w:hAnsiTheme="minorBidi"/>
          <w:i/>
          <w:iCs/>
          <w:color w:val="0D0D0D" w:themeColor="text1" w:themeTint="F2"/>
          <w:szCs w:val="24"/>
          <w:lang w:val="en-US"/>
        </w:rPr>
        <w:t>Management Decision</w:t>
      </w:r>
      <w:r w:rsidRPr="00BD6A96">
        <w:rPr>
          <w:rFonts w:asciiTheme="minorBidi" w:hAnsiTheme="minorBidi"/>
          <w:color w:val="0D0D0D" w:themeColor="text1" w:themeTint="F2"/>
          <w:szCs w:val="24"/>
          <w:lang w:val="en-US"/>
        </w:rPr>
        <w:t>, 63(2), pp. 665–707.</w:t>
      </w:r>
    </w:p>
    <w:p w14:paraId="59ED4F63"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Shaheen, N. </w:t>
      </w:r>
      <w:r w:rsidRPr="001D1CA2">
        <w:rPr>
          <w:rFonts w:asciiTheme="minorBidi" w:hAnsiTheme="minorBidi"/>
          <w:i/>
          <w:iCs/>
          <w:szCs w:val="24"/>
          <w:lang w:val="en-US"/>
        </w:rPr>
        <w:t>et al</w:t>
      </w:r>
      <w:r w:rsidRPr="00BD6A96">
        <w:rPr>
          <w:rFonts w:asciiTheme="minorBidi" w:hAnsiTheme="minorBidi"/>
          <w:i/>
          <w:iCs/>
          <w:szCs w:val="24"/>
          <w:lang w:val="en-US"/>
        </w:rPr>
        <w:t>.</w:t>
      </w:r>
      <w:r w:rsidRPr="00BD6A96">
        <w:rPr>
          <w:rFonts w:asciiTheme="minorBidi" w:hAnsiTheme="minorBidi"/>
          <w:szCs w:val="24"/>
          <w:lang w:val="en-US"/>
        </w:rPr>
        <w:t xml:space="preserve"> (2023) ‘Appraising Systematic reviews: a Comprehensive Guide to Ensuring Validity and Reliability’, </w:t>
      </w:r>
      <w:r w:rsidRPr="00BD6A96">
        <w:rPr>
          <w:rFonts w:asciiTheme="minorBidi" w:hAnsiTheme="minorBidi"/>
          <w:i/>
          <w:iCs/>
          <w:szCs w:val="24"/>
          <w:lang w:val="en-US"/>
        </w:rPr>
        <w:t>Frontiers in Research Metrics and Analytics</w:t>
      </w:r>
      <w:r w:rsidRPr="00BD6A96">
        <w:rPr>
          <w:rFonts w:asciiTheme="minorBidi" w:hAnsiTheme="minorBidi"/>
          <w:szCs w:val="24"/>
          <w:lang w:val="en-US"/>
        </w:rPr>
        <w:t>, 8(8). Available at: https://doi.org/10.3389/frma.2023.1268045.</w:t>
      </w:r>
    </w:p>
    <w:p w14:paraId="000B7338" w14:textId="77777777" w:rsidR="00C93844" w:rsidRPr="00BD6A96" w:rsidRDefault="00C93844" w:rsidP="00BD6A96">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Singh, S. (2024) </w:t>
      </w:r>
      <w:r w:rsidRPr="00BD6A96">
        <w:rPr>
          <w:rFonts w:asciiTheme="minorBidi" w:hAnsiTheme="minorBidi"/>
          <w:i/>
          <w:iCs/>
          <w:color w:val="0D0D0D" w:themeColor="text1" w:themeTint="F2"/>
          <w:szCs w:val="24"/>
          <w:lang w:val="en-US"/>
        </w:rPr>
        <w:t>Greenwashing in the fashion industry</w:t>
      </w:r>
      <w:r w:rsidRPr="00BD6A96">
        <w:rPr>
          <w:rFonts w:asciiTheme="minorBidi" w:hAnsiTheme="minorBidi"/>
          <w:color w:val="0D0D0D" w:themeColor="text1" w:themeTint="F2"/>
          <w:szCs w:val="24"/>
          <w:lang w:val="en-US"/>
        </w:rPr>
        <w:t xml:space="preserve">, </w:t>
      </w:r>
      <w:r w:rsidRPr="00BD6A96">
        <w:rPr>
          <w:rFonts w:asciiTheme="minorBidi" w:hAnsiTheme="minorBidi"/>
          <w:i/>
          <w:iCs/>
          <w:color w:val="0D0D0D" w:themeColor="text1" w:themeTint="F2"/>
          <w:szCs w:val="24"/>
          <w:lang w:val="en-US"/>
        </w:rPr>
        <w:t>Carbon Trail</w:t>
      </w:r>
      <w:r w:rsidRPr="00BD6A96">
        <w:rPr>
          <w:rFonts w:asciiTheme="minorBidi" w:hAnsiTheme="minorBidi"/>
          <w:color w:val="0D0D0D" w:themeColor="text1" w:themeTint="F2"/>
          <w:szCs w:val="24"/>
          <w:lang w:val="en-US"/>
        </w:rPr>
        <w:t>. Available at: https://carbontrail.net/blog/greenwashing-in-the-fashion-industry/.</w:t>
      </w:r>
    </w:p>
    <w:p w14:paraId="524FCE2F" w14:textId="77777777" w:rsidR="00C93844" w:rsidRPr="00BD6A96" w:rsidRDefault="00C93844" w:rsidP="00BD6A96">
      <w:pPr>
        <w:jc w:val="left"/>
        <w:rPr>
          <w:rFonts w:asciiTheme="minorBidi" w:hAnsiTheme="minorBidi"/>
          <w:color w:val="0D0D0D" w:themeColor="text1" w:themeTint="F2"/>
          <w:szCs w:val="24"/>
          <w:lang w:val="en-US"/>
        </w:rPr>
      </w:pPr>
      <w:r w:rsidRPr="00C93844">
        <w:rPr>
          <w:rFonts w:asciiTheme="minorBidi" w:hAnsiTheme="minorBidi"/>
          <w:color w:val="0D0D0D" w:themeColor="text1" w:themeTint="F2"/>
          <w:szCs w:val="24"/>
          <w:lang w:val="en-US"/>
        </w:rPr>
        <w:t xml:space="preserve">Spence, M. (1973) ‘Job Market Signaling’, </w:t>
      </w:r>
      <w:r w:rsidRPr="00C93844">
        <w:rPr>
          <w:rFonts w:asciiTheme="minorBidi" w:hAnsiTheme="minorBidi"/>
          <w:i/>
          <w:iCs/>
          <w:color w:val="0D0D0D" w:themeColor="text1" w:themeTint="F2"/>
          <w:szCs w:val="24"/>
          <w:lang w:val="en-US"/>
        </w:rPr>
        <w:t>The Quarterly Journal of Economics</w:t>
      </w:r>
      <w:r w:rsidRPr="00C93844">
        <w:rPr>
          <w:rFonts w:asciiTheme="minorBidi" w:hAnsiTheme="minorBidi"/>
          <w:color w:val="0D0D0D" w:themeColor="text1" w:themeTint="F2"/>
          <w:szCs w:val="24"/>
          <w:lang w:val="en-US"/>
        </w:rPr>
        <w:t>, 87(3), pp. 355–374. Available at: https://doi.org/10.2307/1882010.</w:t>
      </w:r>
    </w:p>
    <w:p w14:paraId="5AA5CCAC"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Statista (2024) </w:t>
      </w:r>
      <w:r w:rsidRPr="00BD6A96">
        <w:rPr>
          <w:rFonts w:asciiTheme="minorBidi" w:hAnsiTheme="minorBidi"/>
          <w:i/>
          <w:iCs/>
          <w:color w:val="0D0D0D" w:themeColor="text1" w:themeTint="F2"/>
          <w:szCs w:val="24"/>
          <w:lang w:val="en-US"/>
        </w:rPr>
        <w:t>Sustainable fashion worldwide</w:t>
      </w:r>
      <w:r w:rsidRPr="00BD6A96">
        <w:rPr>
          <w:rFonts w:asciiTheme="minorBidi" w:hAnsiTheme="minorBidi"/>
          <w:color w:val="0D0D0D" w:themeColor="text1" w:themeTint="F2"/>
          <w:szCs w:val="24"/>
          <w:lang w:val="en-US"/>
        </w:rPr>
        <w:t xml:space="preserve">. Available at: </w:t>
      </w:r>
      <w:hyperlink r:id="rId31" w:anchor="topicOverview" w:tgtFrame="_new" w:history="1">
        <w:r w:rsidRPr="00BD6A96">
          <w:rPr>
            <w:rStyle w:val="Hyperlink"/>
            <w:rFonts w:asciiTheme="minorBidi" w:hAnsiTheme="minorBidi"/>
            <w:color w:val="0D0D0D" w:themeColor="text1" w:themeTint="F2"/>
            <w:szCs w:val="24"/>
            <w:u w:val="none"/>
            <w:lang w:val="en-US"/>
          </w:rPr>
          <w:t>https://www.statista.com/topics/9543/sustainable-fashion-worldwide/?srsltid=AfmBOopou9mEl5JsSxO0mFVTnUJ5aDZxXor4vKqRNc6MX2u07o03cRKg#topicOverview</w:t>
        </w:r>
      </w:hyperlink>
      <w:r w:rsidRPr="00BD6A96">
        <w:rPr>
          <w:rFonts w:asciiTheme="minorBidi" w:hAnsiTheme="minorBidi"/>
          <w:color w:val="0D0D0D" w:themeColor="text1" w:themeTint="F2"/>
          <w:szCs w:val="24"/>
          <w:lang w:val="en-US"/>
        </w:rPr>
        <w:t xml:space="preserve"> (Accessed: 30 September 2025).</w:t>
      </w:r>
    </w:p>
    <w:p w14:paraId="25A9C3AB"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Suri, H. (2020) ‘Ethical Considerations of Conducting Systematic Reviews in Educational Research’, </w:t>
      </w:r>
      <w:r w:rsidRPr="00BD6A96">
        <w:rPr>
          <w:rFonts w:asciiTheme="minorBidi" w:hAnsiTheme="minorBidi"/>
          <w:i/>
          <w:iCs/>
          <w:szCs w:val="24"/>
          <w:lang w:val="en-US"/>
        </w:rPr>
        <w:t>Systematic Reviews in Educational Research</w:t>
      </w:r>
      <w:r w:rsidRPr="00BD6A96">
        <w:rPr>
          <w:rFonts w:asciiTheme="minorBidi" w:hAnsiTheme="minorBidi"/>
          <w:szCs w:val="24"/>
          <w:lang w:val="en-US"/>
        </w:rPr>
        <w:t>, 1(1), pp. 41–54. Available at: https://doi.org/10.1007/978-3-658-27602-7_3.</w:t>
      </w:r>
    </w:p>
    <w:p w14:paraId="7CC44126"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Tolentino-Zondervan, F. and DiVito, L. (2024) ‘Sustainability performance of Dutch firms and the role of digitalization: The case of textile and apparel industry’, </w:t>
      </w:r>
      <w:r w:rsidRPr="00BD6A96">
        <w:rPr>
          <w:rFonts w:asciiTheme="minorBidi" w:hAnsiTheme="minorBidi"/>
          <w:i/>
          <w:iCs/>
          <w:color w:val="0D0D0D" w:themeColor="text1" w:themeTint="F2"/>
          <w:szCs w:val="24"/>
          <w:lang w:val="en-US"/>
        </w:rPr>
        <w:t>Journal of Cleaner Production</w:t>
      </w:r>
      <w:r w:rsidRPr="00BD6A96">
        <w:rPr>
          <w:rFonts w:asciiTheme="minorBidi" w:hAnsiTheme="minorBidi"/>
          <w:color w:val="0D0D0D" w:themeColor="text1" w:themeTint="F2"/>
          <w:szCs w:val="24"/>
          <w:lang w:val="en-US"/>
        </w:rPr>
        <w:t>, 459, 142573.</w:t>
      </w:r>
    </w:p>
    <w:p w14:paraId="10043A54"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Tsang, E.W.K. (2016) </w:t>
      </w:r>
      <w:r w:rsidRPr="00BD6A96">
        <w:rPr>
          <w:rFonts w:asciiTheme="minorBidi" w:hAnsiTheme="minorBidi"/>
          <w:i/>
          <w:iCs/>
          <w:szCs w:val="24"/>
          <w:lang w:val="en-US"/>
        </w:rPr>
        <w:t>The philosophy of management research</w:t>
      </w:r>
      <w:r w:rsidRPr="00BD6A96">
        <w:rPr>
          <w:rFonts w:asciiTheme="minorBidi" w:hAnsiTheme="minorBidi"/>
          <w:szCs w:val="24"/>
          <w:lang w:val="en-US"/>
        </w:rPr>
        <w:t>. Routledge.</w:t>
      </w:r>
    </w:p>
    <w:p w14:paraId="0D3E752C"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UWTSD (2022) </w:t>
      </w:r>
      <w:r w:rsidRPr="00BD6A96">
        <w:rPr>
          <w:rFonts w:asciiTheme="minorBidi" w:hAnsiTheme="minorBidi"/>
          <w:i/>
          <w:iCs/>
          <w:szCs w:val="24"/>
          <w:lang w:val="en-US"/>
        </w:rPr>
        <w:t>Research Integrity and Ethics</w:t>
      </w:r>
      <w:r w:rsidRPr="00BD6A96">
        <w:rPr>
          <w:rFonts w:asciiTheme="minorBidi" w:hAnsiTheme="minorBidi"/>
          <w:szCs w:val="24"/>
          <w:lang w:val="en-US"/>
        </w:rPr>
        <w:t xml:space="preserve">, </w:t>
      </w:r>
      <w:r w:rsidRPr="00BD6A96">
        <w:rPr>
          <w:rFonts w:asciiTheme="minorBidi" w:hAnsiTheme="minorBidi"/>
          <w:i/>
          <w:iCs/>
          <w:szCs w:val="24"/>
          <w:lang w:val="en-US"/>
        </w:rPr>
        <w:t>The University of Wales Trinity Saint David</w:t>
      </w:r>
      <w:r w:rsidRPr="00BD6A96">
        <w:rPr>
          <w:rFonts w:asciiTheme="minorBidi" w:hAnsiTheme="minorBidi"/>
          <w:szCs w:val="24"/>
          <w:lang w:val="en-US"/>
        </w:rPr>
        <w:t xml:space="preserve">. Available at: </w:t>
      </w:r>
      <w:hyperlink r:id="rId32" w:history="1">
        <w:r w:rsidRPr="00BD6A96">
          <w:rPr>
            <w:rStyle w:val="Hyperlink"/>
            <w:rFonts w:asciiTheme="minorBidi" w:hAnsiTheme="minorBidi"/>
            <w:szCs w:val="24"/>
            <w:lang w:val="en-US"/>
          </w:rPr>
          <w:t>https://www.uwtsd.ac.uk/research/research-integrity-and-ethics</w:t>
        </w:r>
      </w:hyperlink>
      <w:r w:rsidRPr="00BD6A96">
        <w:rPr>
          <w:rFonts w:asciiTheme="minorBidi" w:hAnsiTheme="minorBidi"/>
          <w:szCs w:val="24"/>
          <w:lang w:val="en-US"/>
        </w:rPr>
        <w:t xml:space="preserve"> (Accessed: 30 October 2025)</w:t>
      </w:r>
    </w:p>
    <w:p w14:paraId="3021C57E"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nl-NL"/>
        </w:rPr>
        <w:lastRenderedPageBreak/>
        <w:t xml:space="preserve">Vassalo, A.L. </w:t>
      </w:r>
      <w:r w:rsidRPr="001D1CA2">
        <w:rPr>
          <w:rFonts w:asciiTheme="minorBidi" w:hAnsiTheme="minorBidi"/>
          <w:i/>
          <w:iCs/>
          <w:color w:val="0D0D0D" w:themeColor="text1" w:themeTint="F2"/>
          <w:szCs w:val="24"/>
          <w:lang w:val="nl-NL"/>
        </w:rPr>
        <w:t>et al</w:t>
      </w:r>
      <w:r w:rsidRPr="00BD6A96">
        <w:rPr>
          <w:rFonts w:asciiTheme="minorBidi" w:hAnsiTheme="minorBidi"/>
          <w:color w:val="0D0D0D" w:themeColor="text1" w:themeTint="F2"/>
          <w:szCs w:val="24"/>
          <w:lang w:val="nl-NL"/>
        </w:rPr>
        <w:t xml:space="preserve">. </w:t>
      </w:r>
      <w:r w:rsidRPr="00BD6A96">
        <w:rPr>
          <w:rFonts w:asciiTheme="minorBidi" w:hAnsiTheme="minorBidi"/>
          <w:color w:val="0D0D0D" w:themeColor="text1" w:themeTint="F2"/>
          <w:szCs w:val="24"/>
          <w:lang w:val="en-US"/>
        </w:rPr>
        <w:t xml:space="preserve">(2024) ‘Sustainability in the fashion industry in relation to consumption in a digital age’, </w:t>
      </w:r>
      <w:r w:rsidRPr="00BD6A96">
        <w:rPr>
          <w:rFonts w:asciiTheme="minorBidi" w:hAnsiTheme="minorBidi"/>
          <w:i/>
          <w:iCs/>
          <w:color w:val="0D0D0D" w:themeColor="text1" w:themeTint="F2"/>
          <w:szCs w:val="24"/>
          <w:lang w:val="en-US"/>
        </w:rPr>
        <w:t>Sustainability</w:t>
      </w:r>
      <w:r w:rsidRPr="00BD6A96">
        <w:rPr>
          <w:rFonts w:asciiTheme="minorBidi" w:hAnsiTheme="minorBidi"/>
          <w:color w:val="0D0D0D" w:themeColor="text1" w:themeTint="F2"/>
          <w:szCs w:val="24"/>
          <w:lang w:val="en-US"/>
        </w:rPr>
        <w:t xml:space="preserve">, 16(13), 5303. Available at: </w:t>
      </w:r>
      <w:hyperlink r:id="rId33" w:tgtFrame="_new" w:history="1">
        <w:r w:rsidRPr="00BD6A96">
          <w:rPr>
            <w:rStyle w:val="Hyperlink"/>
            <w:rFonts w:asciiTheme="minorBidi" w:hAnsiTheme="minorBidi"/>
            <w:color w:val="0D0D0D" w:themeColor="text1" w:themeTint="F2"/>
            <w:szCs w:val="24"/>
            <w:u w:val="none"/>
            <w:lang w:val="en-US"/>
          </w:rPr>
          <w:t>https://doi.org/10.3390/su16135303</w:t>
        </w:r>
      </w:hyperlink>
      <w:r w:rsidRPr="00BD6A96">
        <w:rPr>
          <w:rFonts w:asciiTheme="minorBidi" w:hAnsiTheme="minorBidi"/>
          <w:color w:val="0D0D0D" w:themeColor="text1" w:themeTint="F2"/>
          <w:szCs w:val="24"/>
          <w:lang w:val="en-US"/>
        </w:rPr>
        <w:t>.</w:t>
      </w:r>
    </w:p>
    <w:p w14:paraId="1AA24892"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Vehbi</w:t>
      </w:r>
      <w:proofErr w:type="spellEnd"/>
      <w:r w:rsidRPr="00BD6A96">
        <w:rPr>
          <w:rFonts w:asciiTheme="minorBidi" w:hAnsiTheme="minorBidi"/>
          <w:color w:val="0D0D0D" w:themeColor="text1" w:themeTint="F2"/>
          <w:szCs w:val="24"/>
          <w:lang w:val="en-US"/>
        </w:rPr>
        <w:t xml:space="preserve">, A., </w:t>
      </w:r>
      <w:proofErr w:type="spellStart"/>
      <w:r w:rsidRPr="00BD6A96">
        <w:rPr>
          <w:rFonts w:asciiTheme="minorBidi" w:hAnsiTheme="minorBidi"/>
          <w:color w:val="0D0D0D" w:themeColor="text1" w:themeTint="F2"/>
          <w:szCs w:val="24"/>
          <w:lang w:val="en-US"/>
        </w:rPr>
        <w:t>Farmanesh</w:t>
      </w:r>
      <w:proofErr w:type="spellEnd"/>
      <w:r w:rsidRPr="00BD6A96">
        <w:rPr>
          <w:rFonts w:asciiTheme="minorBidi" w:hAnsiTheme="minorBidi"/>
          <w:color w:val="0D0D0D" w:themeColor="text1" w:themeTint="F2"/>
          <w:szCs w:val="24"/>
          <w:lang w:val="en-US"/>
        </w:rPr>
        <w:t xml:space="preserve">, P. and </w:t>
      </w:r>
      <w:proofErr w:type="spellStart"/>
      <w:r w:rsidRPr="00BD6A96">
        <w:rPr>
          <w:rFonts w:asciiTheme="minorBidi" w:hAnsiTheme="minorBidi"/>
          <w:color w:val="0D0D0D" w:themeColor="text1" w:themeTint="F2"/>
          <w:szCs w:val="24"/>
          <w:lang w:val="en-US"/>
        </w:rPr>
        <w:t>Solati</w:t>
      </w:r>
      <w:proofErr w:type="spellEnd"/>
      <w:r w:rsidRPr="00BD6A96">
        <w:rPr>
          <w:rFonts w:asciiTheme="minorBidi" w:hAnsiTheme="minorBidi"/>
          <w:color w:val="0D0D0D" w:themeColor="text1" w:themeTint="F2"/>
          <w:szCs w:val="24"/>
          <w:lang w:val="en-US"/>
        </w:rPr>
        <w:t xml:space="preserve"> Dehkordi, N. (2025) ‘Nexus amid green marketing, green business strategy, and competitive business among the fashion industry: Does environmental turbulence matter?’,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17(5), 1769.</w:t>
      </w:r>
    </w:p>
    <w:p w14:paraId="5EC6BBB0"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Velasco-</w:t>
      </w:r>
      <w:proofErr w:type="spellStart"/>
      <w:r w:rsidRPr="00BD6A96">
        <w:rPr>
          <w:rFonts w:asciiTheme="minorBidi" w:hAnsiTheme="minorBidi"/>
          <w:color w:val="0D0D0D" w:themeColor="text1" w:themeTint="F2"/>
          <w:szCs w:val="24"/>
          <w:lang w:val="en-US"/>
        </w:rPr>
        <w:t>Molpeceres</w:t>
      </w:r>
      <w:proofErr w:type="spellEnd"/>
      <w:r w:rsidRPr="00BD6A96">
        <w:rPr>
          <w:rFonts w:asciiTheme="minorBidi" w:hAnsiTheme="minorBidi"/>
          <w:color w:val="0D0D0D" w:themeColor="text1" w:themeTint="F2"/>
          <w:szCs w:val="24"/>
          <w:lang w:val="en-US"/>
        </w:rPr>
        <w:t xml:space="preserve">, A., Zarauza-Castro, J., Pérez-Curiel, C. and Mateos-González, S. (2023) ‘Slow fashion as a communication strategy of fashion brands on Instagram’, </w:t>
      </w:r>
      <w:r w:rsidRPr="00BD6A96">
        <w:rPr>
          <w:rFonts w:asciiTheme="minorBidi" w:hAnsiTheme="minorBidi"/>
          <w:i/>
          <w:iCs/>
          <w:color w:val="0D0D0D" w:themeColor="text1" w:themeTint="F2"/>
          <w:szCs w:val="24"/>
          <w:lang w:val="en-US"/>
        </w:rPr>
        <w:t>Sustainability (Switzerland)</w:t>
      </w:r>
      <w:r w:rsidRPr="00BD6A96">
        <w:rPr>
          <w:rFonts w:asciiTheme="minorBidi" w:hAnsiTheme="minorBidi"/>
          <w:color w:val="0D0D0D" w:themeColor="text1" w:themeTint="F2"/>
          <w:szCs w:val="24"/>
          <w:lang w:val="en-US"/>
        </w:rPr>
        <w:t>, 15(1), 423.</w:t>
      </w:r>
    </w:p>
    <w:p w14:paraId="091B470D" w14:textId="77777777" w:rsidR="00C93844" w:rsidRPr="00BD6A96" w:rsidRDefault="00C93844" w:rsidP="00144854">
      <w:pPr>
        <w:jc w:val="left"/>
        <w:rPr>
          <w:rFonts w:asciiTheme="minorBidi" w:hAnsiTheme="minorBidi"/>
          <w:color w:val="0D0D0D" w:themeColor="text1" w:themeTint="F2"/>
          <w:szCs w:val="24"/>
          <w:lang w:val="en-US"/>
        </w:rPr>
      </w:pPr>
      <w:proofErr w:type="spellStart"/>
      <w:r w:rsidRPr="00BD6A96">
        <w:rPr>
          <w:rFonts w:asciiTheme="minorBidi" w:hAnsiTheme="minorBidi"/>
          <w:color w:val="0D0D0D" w:themeColor="text1" w:themeTint="F2"/>
          <w:szCs w:val="24"/>
          <w:lang w:val="en-US"/>
        </w:rPr>
        <w:t>Venciute</w:t>
      </w:r>
      <w:proofErr w:type="spellEnd"/>
      <w:r w:rsidRPr="00BD6A96">
        <w:rPr>
          <w:rFonts w:asciiTheme="minorBidi" w:hAnsiTheme="minorBidi"/>
          <w:color w:val="0D0D0D" w:themeColor="text1" w:themeTint="F2"/>
          <w:szCs w:val="24"/>
          <w:lang w:val="en-US"/>
        </w:rPr>
        <w:t xml:space="preserve">, D., </w:t>
      </w:r>
      <w:proofErr w:type="spellStart"/>
      <w:r w:rsidRPr="00BD6A96">
        <w:rPr>
          <w:rFonts w:asciiTheme="minorBidi" w:hAnsiTheme="minorBidi"/>
          <w:color w:val="0D0D0D" w:themeColor="text1" w:themeTint="F2"/>
          <w:szCs w:val="24"/>
          <w:lang w:val="en-US"/>
        </w:rPr>
        <w:t>Lukosiute</w:t>
      </w:r>
      <w:proofErr w:type="spellEnd"/>
      <w:r w:rsidRPr="00BD6A96">
        <w:rPr>
          <w:rFonts w:asciiTheme="minorBidi" w:hAnsiTheme="minorBidi"/>
          <w:color w:val="0D0D0D" w:themeColor="text1" w:themeTint="F2"/>
          <w:szCs w:val="24"/>
          <w:lang w:val="en-US"/>
        </w:rPr>
        <w:t xml:space="preserve">, N., Correia, R., Meneses, R. and </w:t>
      </w:r>
      <w:proofErr w:type="spellStart"/>
      <w:r w:rsidRPr="00BD6A96">
        <w:rPr>
          <w:rFonts w:asciiTheme="minorBidi" w:hAnsiTheme="minorBidi"/>
          <w:color w:val="0D0D0D" w:themeColor="text1" w:themeTint="F2"/>
          <w:szCs w:val="24"/>
          <w:lang w:val="en-US"/>
        </w:rPr>
        <w:t>Kuslys</w:t>
      </w:r>
      <w:proofErr w:type="spellEnd"/>
      <w:r w:rsidRPr="00BD6A96">
        <w:rPr>
          <w:rFonts w:asciiTheme="minorBidi" w:hAnsiTheme="minorBidi"/>
          <w:color w:val="0D0D0D" w:themeColor="text1" w:themeTint="F2"/>
          <w:szCs w:val="24"/>
          <w:lang w:val="en-US"/>
        </w:rPr>
        <w:t xml:space="preserve">, M. (2025) ‘Leveraging sustainability cues in fashion advertising: Comparative insights from Lithuania’s slow and fast fashion markets’, </w:t>
      </w:r>
      <w:r w:rsidRPr="00BD6A96">
        <w:rPr>
          <w:rFonts w:asciiTheme="minorBidi" w:hAnsiTheme="minorBidi"/>
          <w:i/>
          <w:iCs/>
          <w:color w:val="0D0D0D" w:themeColor="text1" w:themeTint="F2"/>
          <w:szCs w:val="24"/>
          <w:lang w:val="en-US"/>
        </w:rPr>
        <w:t>European Business Review</w:t>
      </w:r>
      <w:r w:rsidRPr="00BD6A96">
        <w:rPr>
          <w:rFonts w:asciiTheme="minorBidi" w:hAnsiTheme="minorBidi"/>
          <w:color w:val="0D0D0D" w:themeColor="text1" w:themeTint="F2"/>
          <w:szCs w:val="24"/>
          <w:lang w:val="en-US"/>
        </w:rPr>
        <w:t>.</w:t>
      </w:r>
    </w:p>
    <w:p w14:paraId="768177B7" w14:textId="77777777" w:rsidR="00C93844" w:rsidRPr="00BD6A96" w:rsidRDefault="00C93844" w:rsidP="00144854">
      <w:pPr>
        <w:jc w:val="left"/>
        <w:rPr>
          <w:rFonts w:asciiTheme="minorBidi" w:hAnsiTheme="minorBidi"/>
          <w:szCs w:val="24"/>
          <w:lang w:val="en-US"/>
        </w:rPr>
      </w:pPr>
      <w:r w:rsidRPr="00BD6A96">
        <w:rPr>
          <w:rFonts w:asciiTheme="minorBidi" w:hAnsiTheme="minorBidi"/>
          <w:szCs w:val="24"/>
          <w:lang w:val="en-US"/>
        </w:rPr>
        <w:t xml:space="preserve">Wager, E. and Wiffen, P.J. (2011) ‘Ethical issues in preparing and publishing systematic reviews’, </w:t>
      </w:r>
      <w:r w:rsidRPr="00BD6A96">
        <w:rPr>
          <w:rFonts w:asciiTheme="minorBidi" w:hAnsiTheme="minorBidi"/>
          <w:i/>
          <w:iCs/>
          <w:szCs w:val="24"/>
          <w:lang w:val="en-US"/>
        </w:rPr>
        <w:t>Journal of Evidence-Based Medicine</w:t>
      </w:r>
      <w:r w:rsidRPr="00BD6A96">
        <w:rPr>
          <w:rFonts w:asciiTheme="minorBidi" w:hAnsiTheme="minorBidi"/>
          <w:szCs w:val="24"/>
          <w:lang w:val="en-US"/>
        </w:rPr>
        <w:t>, 4(2), pp. 130–134. Available at: https://doi.org/10.1111/j.1756-5391.2011.01122.x.</w:t>
      </w:r>
    </w:p>
    <w:p w14:paraId="5FDA97F2"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Wang, Y. and Jung, S. (2025) ‘The aftermath of greenwashing in the fashion industry: Chinese consumer responses to different types of greenwashing’, </w:t>
      </w:r>
      <w:r w:rsidRPr="00BD6A96">
        <w:rPr>
          <w:rFonts w:asciiTheme="minorBidi" w:hAnsiTheme="minorBidi"/>
          <w:i/>
          <w:iCs/>
          <w:color w:val="0D0D0D" w:themeColor="text1" w:themeTint="F2"/>
          <w:szCs w:val="24"/>
          <w:lang w:val="en-US"/>
        </w:rPr>
        <w:t>Asia Pacific Journal of Marketing and Logistics</w:t>
      </w:r>
      <w:r w:rsidRPr="00BD6A96">
        <w:rPr>
          <w:rFonts w:asciiTheme="minorBidi" w:hAnsiTheme="minorBidi"/>
          <w:color w:val="0D0D0D" w:themeColor="text1" w:themeTint="F2"/>
          <w:szCs w:val="24"/>
          <w:lang w:val="en-US"/>
        </w:rPr>
        <w:t>. (Article in press).</w:t>
      </w:r>
    </w:p>
    <w:p w14:paraId="6004117A" w14:textId="77777777" w:rsidR="00C93844" w:rsidRPr="00BD6A96" w:rsidRDefault="00C93844" w:rsidP="00144854">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Wu, W., Fu, Y., Wang, Z., Li, B. and Huang, G.Q. (2022) ‘Consortium blockchain-enabled smart ESG reporting platform with token-based incentives for corporate crowdsensing’, </w:t>
      </w:r>
      <w:r w:rsidRPr="00BD6A96">
        <w:rPr>
          <w:rFonts w:asciiTheme="minorBidi" w:hAnsiTheme="minorBidi"/>
          <w:i/>
          <w:iCs/>
          <w:color w:val="0D0D0D" w:themeColor="text1" w:themeTint="F2"/>
          <w:szCs w:val="24"/>
          <w:lang w:val="en-US"/>
        </w:rPr>
        <w:t>Computers &amp; Industrial Engineering</w:t>
      </w:r>
      <w:r w:rsidRPr="00BD6A96">
        <w:rPr>
          <w:rFonts w:asciiTheme="minorBidi" w:hAnsiTheme="minorBidi"/>
          <w:color w:val="0D0D0D" w:themeColor="text1" w:themeTint="F2"/>
          <w:szCs w:val="24"/>
          <w:lang w:val="en-US"/>
        </w:rPr>
        <w:t>, 172, 108456.</w:t>
      </w:r>
    </w:p>
    <w:p w14:paraId="171F6B1C" w14:textId="77777777" w:rsidR="00C93844" w:rsidRDefault="00C93844" w:rsidP="00BD6A96">
      <w:pPr>
        <w:jc w:val="left"/>
        <w:rPr>
          <w:rFonts w:asciiTheme="minorBidi" w:hAnsiTheme="minorBidi"/>
          <w:color w:val="0D0D0D" w:themeColor="text1" w:themeTint="F2"/>
          <w:szCs w:val="24"/>
          <w:lang w:val="en-US"/>
        </w:rPr>
      </w:pPr>
      <w:r w:rsidRPr="00BD6A96">
        <w:rPr>
          <w:rFonts w:asciiTheme="minorBidi" w:hAnsiTheme="minorBidi"/>
          <w:color w:val="0D0D0D" w:themeColor="text1" w:themeTint="F2"/>
          <w:szCs w:val="24"/>
          <w:lang w:val="en-US"/>
        </w:rPr>
        <w:t xml:space="preserve">Yang, Y., Chen, M. and Meng, H. (2024) ‘The drivers of sharing willingness regarding sustainable fashion brand image based on commitment theory’, </w:t>
      </w:r>
      <w:r w:rsidRPr="00BD6A96">
        <w:rPr>
          <w:rFonts w:asciiTheme="minorBidi" w:hAnsiTheme="minorBidi"/>
          <w:i/>
          <w:iCs/>
          <w:color w:val="0D0D0D" w:themeColor="text1" w:themeTint="F2"/>
          <w:szCs w:val="24"/>
          <w:lang w:val="en-US"/>
        </w:rPr>
        <w:t>Asia Pacific Journal of Marketing and Logistics</w:t>
      </w:r>
      <w:r w:rsidRPr="00BD6A96">
        <w:rPr>
          <w:rFonts w:asciiTheme="minorBidi" w:hAnsiTheme="minorBidi"/>
          <w:color w:val="0D0D0D" w:themeColor="text1" w:themeTint="F2"/>
          <w:szCs w:val="24"/>
          <w:lang w:val="en-US"/>
        </w:rPr>
        <w:t>, 36(11), pp. 2831–2848.</w:t>
      </w:r>
    </w:p>
    <w:p w14:paraId="68BA6060" w14:textId="4244F93D" w:rsidR="00BD6A96" w:rsidRPr="00144854" w:rsidRDefault="00BD6A96" w:rsidP="00144854">
      <w:pPr>
        <w:jc w:val="left"/>
        <w:rPr>
          <w:rFonts w:asciiTheme="minorBidi" w:hAnsiTheme="minorBidi"/>
          <w:color w:val="0D0D0D" w:themeColor="text1" w:themeTint="F2"/>
          <w:szCs w:val="24"/>
          <w:lang w:val="en-US"/>
        </w:rPr>
        <w:sectPr w:rsidR="00BD6A96" w:rsidRPr="00144854" w:rsidSect="00144854">
          <w:pgSz w:w="11906" w:h="16838" w:code="9"/>
          <w:pgMar w:top="1440" w:right="1440" w:bottom="1440" w:left="1440" w:header="708" w:footer="708" w:gutter="0"/>
          <w:cols w:space="708"/>
          <w:titlePg/>
          <w:docGrid w:linePitch="360"/>
        </w:sectPr>
      </w:pPr>
    </w:p>
    <w:p w14:paraId="24E99701" w14:textId="1507ADC6" w:rsidR="00144854" w:rsidRDefault="00144854" w:rsidP="00144854">
      <w:pPr>
        <w:pStyle w:val="Heading1"/>
        <w:rPr>
          <w:lang w:val="en-US"/>
        </w:rPr>
      </w:pPr>
      <w:bookmarkStart w:id="85" w:name="_Toc218445711"/>
      <w:r>
        <w:rPr>
          <w:lang w:val="en-US"/>
        </w:rPr>
        <w:lastRenderedPageBreak/>
        <w:t>Appendix 1: Quality Assessment</w:t>
      </w:r>
      <w:bookmarkEnd w:id="85"/>
    </w:p>
    <w:p w14:paraId="1D619ECD" w14:textId="39E0C08C" w:rsidR="00144854" w:rsidRPr="00144854" w:rsidRDefault="00144854" w:rsidP="00144854">
      <w:pPr>
        <w:pStyle w:val="NoSpacing"/>
        <w:jc w:val="left"/>
        <w:rPr>
          <w:lang w:val="en-US"/>
        </w:rPr>
      </w:pPr>
      <w:bookmarkStart w:id="86" w:name="_Toc218439133"/>
      <w:r>
        <w:t xml:space="preserve">Table </w:t>
      </w:r>
      <w:fldSimple w:instr=" SEQ Table \* ARABIC ">
        <w:r w:rsidR="002B796F">
          <w:rPr>
            <w:noProof/>
          </w:rPr>
          <w:t>6</w:t>
        </w:r>
      </w:fldSimple>
      <w:r>
        <w:t xml:space="preserve"> </w:t>
      </w:r>
      <w:r w:rsidRPr="00144854">
        <w:t>Critical Appraisal Skills Programme (CASP) Summary of Quality Assessment</w:t>
      </w:r>
      <w:bookmarkEnd w:id="86"/>
    </w:p>
    <w:tbl>
      <w:tblPr>
        <w:tblStyle w:val="PlainTable1"/>
        <w:tblW w:w="13826" w:type="dxa"/>
        <w:tblLook w:val="04A0" w:firstRow="1" w:lastRow="0" w:firstColumn="1" w:lastColumn="0" w:noHBand="0" w:noVBand="1"/>
      </w:tblPr>
      <w:tblGrid>
        <w:gridCol w:w="2736"/>
        <w:gridCol w:w="788"/>
        <w:gridCol w:w="1008"/>
        <w:gridCol w:w="1008"/>
        <w:gridCol w:w="1008"/>
        <w:gridCol w:w="1008"/>
        <w:gridCol w:w="1008"/>
        <w:gridCol w:w="1008"/>
        <w:gridCol w:w="1008"/>
        <w:gridCol w:w="1008"/>
        <w:gridCol w:w="1008"/>
        <w:gridCol w:w="1230"/>
      </w:tblGrid>
      <w:tr w:rsidR="00144854" w:rsidRPr="00144854" w14:paraId="196C6644" w14:textId="77777777" w:rsidTr="00144854">
        <w:trPr>
          <w:cnfStyle w:val="100000000000" w:firstRow="1" w:lastRow="0" w:firstColumn="0" w:lastColumn="0" w:oddVBand="0" w:evenVBand="0" w:oddHBand="0" w:evenHBand="0" w:firstRowFirstColumn="0" w:firstRowLastColumn="0" w:lastRowFirstColumn="0" w:lastRowLastColumn="0"/>
          <w:cantSplit/>
          <w:trHeight w:val="2960"/>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481774F"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Author (Year)</w:t>
            </w:r>
          </w:p>
        </w:tc>
        <w:tc>
          <w:tcPr>
            <w:tcW w:w="788" w:type="dxa"/>
            <w:noWrap/>
            <w:textDirection w:val="btLr"/>
            <w:vAlign w:val="center"/>
            <w:hideMark/>
          </w:tcPr>
          <w:p w14:paraId="75CACC71"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Q1 Clear aims</w:t>
            </w:r>
          </w:p>
        </w:tc>
        <w:tc>
          <w:tcPr>
            <w:tcW w:w="1008" w:type="dxa"/>
            <w:noWrap/>
            <w:textDirection w:val="btLr"/>
            <w:vAlign w:val="center"/>
            <w:hideMark/>
          </w:tcPr>
          <w:p w14:paraId="0011F47B"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Q2 Appropriate methodology</w:t>
            </w:r>
          </w:p>
        </w:tc>
        <w:tc>
          <w:tcPr>
            <w:tcW w:w="1008" w:type="dxa"/>
            <w:noWrap/>
            <w:textDirection w:val="btLr"/>
            <w:vAlign w:val="center"/>
            <w:hideMark/>
          </w:tcPr>
          <w:p w14:paraId="4BDCB5AD"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Q3 Appropriate design</w:t>
            </w:r>
          </w:p>
        </w:tc>
        <w:tc>
          <w:tcPr>
            <w:tcW w:w="1008" w:type="dxa"/>
            <w:noWrap/>
            <w:textDirection w:val="btLr"/>
            <w:vAlign w:val="center"/>
            <w:hideMark/>
          </w:tcPr>
          <w:p w14:paraId="6D328104"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Q4 Recruitment strategy</w:t>
            </w:r>
          </w:p>
        </w:tc>
        <w:tc>
          <w:tcPr>
            <w:tcW w:w="1008" w:type="dxa"/>
            <w:noWrap/>
            <w:textDirection w:val="btLr"/>
            <w:vAlign w:val="center"/>
            <w:hideMark/>
          </w:tcPr>
          <w:p w14:paraId="458C75C2"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Q5 Data collection</w:t>
            </w:r>
          </w:p>
        </w:tc>
        <w:tc>
          <w:tcPr>
            <w:tcW w:w="1008" w:type="dxa"/>
            <w:noWrap/>
            <w:textDirection w:val="btLr"/>
            <w:vAlign w:val="center"/>
            <w:hideMark/>
          </w:tcPr>
          <w:p w14:paraId="388E5E55"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Q6 Researcher–participant relationship</w:t>
            </w:r>
          </w:p>
        </w:tc>
        <w:tc>
          <w:tcPr>
            <w:tcW w:w="1008" w:type="dxa"/>
            <w:noWrap/>
            <w:textDirection w:val="btLr"/>
            <w:vAlign w:val="center"/>
            <w:hideMark/>
          </w:tcPr>
          <w:p w14:paraId="48C5A7F6"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Q7 Ethical considerations</w:t>
            </w:r>
          </w:p>
        </w:tc>
        <w:tc>
          <w:tcPr>
            <w:tcW w:w="1008" w:type="dxa"/>
            <w:noWrap/>
            <w:textDirection w:val="btLr"/>
            <w:vAlign w:val="center"/>
            <w:hideMark/>
          </w:tcPr>
          <w:p w14:paraId="61C97456"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Q8 Rigorous analysis</w:t>
            </w:r>
          </w:p>
        </w:tc>
        <w:tc>
          <w:tcPr>
            <w:tcW w:w="1008" w:type="dxa"/>
            <w:noWrap/>
            <w:textDirection w:val="btLr"/>
            <w:vAlign w:val="center"/>
            <w:hideMark/>
          </w:tcPr>
          <w:p w14:paraId="0880FDA2"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Q9 Clear findings</w:t>
            </w:r>
          </w:p>
        </w:tc>
        <w:tc>
          <w:tcPr>
            <w:tcW w:w="1008" w:type="dxa"/>
            <w:noWrap/>
            <w:textDirection w:val="btLr"/>
            <w:vAlign w:val="center"/>
            <w:hideMark/>
          </w:tcPr>
          <w:p w14:paraId="578EE307" w14:textId="77777777" w:rsidR="00144854" w:rsidRPr="00144854" w:rsidRDefault="00144854" w:rsidP="00144854">
            <w:pPr>
              <w:spacing w:line="276" w:lineRule="auto"/>
              <w:ind w:left="113" w:right="113"/>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Q10 Value of research</w:t>
            </w:r>
          </w:p>
        </w:tc>
        <w:tc>
          <w:tcPr>
            <w:tcW w:w="1230" w:type="dxa"/>
            <w:noWrap/>
            <w:vAlign w:val="center"/>
            <w:hideMark/>
          </w:tcPr>
          <w:p w14:paraId="1FA85FB5" w14:textId="77777777" w:rsidR="00144854" w:rsidRPr="00144854" w:rsidRDefault="00144854" w:rsidP="00144854">
            <w:pPr>
              <w:spacing w:line="276" w:lineRule="auto"/>
              <w:jc w:val="left"/>
              <w:cnfStyle w:val="100000000000" w:firstRow="1" w:lastRow="0" w:firstColumn="0" w:lastColumn="0" w:oddVBand="0" w:evenVBand="0" w:oddHBand="0" w:evenHBand="0" w:firstRowFirstColumn="0" w:firstRowLastColumn="0" w:lastRowFirstColumn="0" w:lastRowLastColumn="0"/>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Overall Quality</w:t>
            </w:r>
          </w:p>
        </w:tc>
      </w:tr>
      <w:tr w:rsidR="00144854" w:rsidRPr="00144854" w14:paraId="4AB356A8"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6E9C0B6D" w14:textId="0718BCA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Andria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(2023)</w:t>
            </w:r>
          </w:p>
        </w:tc>
        <w:tc>
          <w:tcPr>
            <w:tcW w:w="788" w:type="dxa"/>
            <w:noWrap/>
            <w:vAlign w:val="center"/>
            <w:hideMark/>
          </w:tcPr>
          <w:p w14:paraId="736F54C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1150E3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FCF5AC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DA555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309BF4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7FCEA1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7CADD9C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488D4E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5C768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63B5C3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5E4CFDD9"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7AAC1659"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D10494A" w14:textId="27F149C4"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Boateng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54D8890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20EAA8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7B047E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0C3E48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622E6F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4023B2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4A37F2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F5232B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F717DC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FF27A6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244EB615"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2FB9F28C"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36E2428D" w14:textId="31050245"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Brugman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(2024)</w:t>
            </w:r>
          </w:p>
        </w:tc>
        <w:tc>
          <w:tcPr>
            <w:tcW w:w="788" w:type="dxa"/>
            <w:noWrap/>
            <w:vAlign w:val="center"/>
            <w:hideMark/>
          </w:tcPr>
          <w:p w14:paraId="211FFC8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328AB8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A4A238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940D93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7D8F1A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8BBB78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047CE62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6952DE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40F777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067346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525205EB"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534C86BC"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B9AA719" w14:textId="0DA3C04E"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Brydges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(2022)</w:t>
            </w:r>
          </w:p>
        </w:tc>
        <w:tc>
          <w:tcPr>
            <w:tcW w:w="788" w:type="dxa"/>
            <w:noWrap/>
            <w:vAlign w:val="center"/>
            <w:hideMark/>
          </w:tcPr>
          <w:p w14:paraId="4709337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70722D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7D11D3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C5B029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A7FA13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D57A71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6B1485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A2FF8A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D64205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538E65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22E8AD49"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53765E84"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39D9C37F"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Burnstine and Ghattas (2025)</w:t>
            </w:r>
          </w:p>
        </w:tc>
        <w:tc>
          <w:tcPr>
            <w:tcW w:w="788" w:type="dxa"/>
            <w:noWrap/>
            <w:vAlign w:val="center"/>
            <w:hideMark/>
          </w:tcPr>
          <w:p w14:paraId="722DB9D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F409EF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D1E520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1F3CAAA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56BD50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4D78FB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1CB1E94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04E20C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004D4F8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0F1066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298E4EEB"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2C4B5608"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7F14E34A" w14:textId="6EF152DE"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Crapa</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5F6078F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30D183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86694D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26942B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B323AE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109AB0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AF1C9C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8D6F2F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934F0E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F09FC8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D2A56A9"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3D574271"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61303311"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lastRenderedPageBreak/>
              <w:t>Dalecki (2023)</w:t>
            </w:r>
          </w:p>
        </w:tc>
        <w:tc>
          <w:tcPr>
            <w:tcW w:w="788" w:type="dxa"/>
            <w:noWrap/>
            <w:vAlign w:val="center"/>
            <w:hideMark/>
          </w:tcPr>
          <w:p w14:paraId="1123FBE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C848A6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3BDE94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7AA550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C8CD57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1E633F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764364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A8296A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ED9C42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346FD4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3570A42E"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33D44D10"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79CB8B3" w14:textId="47EA430D" w:rsidR="00144854" w:rsidRPr="00144854" w:rsidRDefault="00144854" w:rsidP="00144854">
            <w:pPr>
              <w:spacing w:line="276" w:lineRule="auto"/>
              <w:jc w:val="left"/>
              <w:rPr>
                <w:rFonts w:asciiTheme="minorBidi" w:eastAsia="Times New Roman" w:hAnsiTheme="minorBidi"/>
                <w:b w:val="0"/>
                <w:bCs w:val="0"/>
                <w:color w:val="000000"/>
                <w:szCs w:val="24"/>
                <w:lang w:val="nl-NL" w:eastAsia="zh-CN" w:bidi="bn-IN"/>
              </w:rPr>
            </w:pPr>
            <w:r w:rsidRPr="00144854">
              <w:rPr>
                <w:rFonts w:asciiTheme="minorBidi" w:eastAsia="Times New Roman" w:hAnsiTheme="minorBidi"/>
                <w:b w:val="0"/>
                <w:bCs w:val="0"/>
                <w:color w:val="000000"/>
                <w:szCs w:val="24"/>
                <w:lang w:val="nl-NL" w:eastAsia="zh-CN" w:bidi="bn-IN"/>
              </w:rPr>
              <w:t xml:space="preserve">de Magalhães Silva </w:t>
            </w:r>
            <w:r w:rsidR="001D1CA2" w:rsidRPr="001D1CA2">
              <w:rPr>
                <w:rFonts w:asciiTheme="minorBidi" w:eastAsia="Times New Roman" w:hAnsiTheme="minorBidi"/>
                <w:b w:val="0"/>
                <w:bCs w:val="0"/>
                <w:i/>
                <w:iCs/>
                <w:color w:val="000000"/>
                <w:szCs w:val="24"/>
                <w:lang w:val="nl-NL" w:eastAsia="zh-CN" w:bidi="bn-IN"/>
              </w:rPr>
              <w:t>et al</w:t>
            </w:r>
            <w:r w:rsidRPr="00144854">
              <w:rPr>
                <w:rFonts w:asciiTheme="minorBidi" w:eastAsia="Times New Roman" w:hAnsiTheme="minorBidi"/>
                <w:b w:val="0"/>
                <w:bCs w:val="0"/>
                <w:color w:val="000000"/>
                <w:szCs w:val="24"/>
                <w:lang w:val="nl-NL" w:eastAsia="zh-CN" w:bidi="bn-IN"/>
              </w:rPr>
              <w:t>. (2025)</w:t>
            </w:r>
          </w:p>
        </w:tc>
        <w:tc>
          <w:tcPr>
            <w:tcW w:w="788" w:type="dxa"/>
            <w:noWrap/>
            <w:vAlign w:val="center"/>
            <w:hideMark/>
          </w:tcPr>
          <w:p w14:paraId="3266881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27FA4C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5E08E7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2C6BCA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D4046C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5E93B8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F9CA8A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7FE812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9AEA73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C52ADB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ADF4E87"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75A38E5B"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729D253E" w14:textId="09F0B453"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Díaz-Bustamante-</w:t>
            </w:r>
            <w:proofErr w:type="spellStart"/>
            <w:r w:rsidRPr="00144854">
              <w:rPr>
                <w:rFonts w:asciiTheme="minorBidi" w:eastAsia="Times New Roman" w:hAnsiTheme="minorBidi"/>
                <w:b w:val="0"/>
                <w:bCs w:val="0"/>
                <w:color w:val="000000"/>
                <w:szCs w:val="24"/>
                <w:lang w:val="en-US" w:eastAsia="zh-CN" w:bidi="bn-IN"/>
              </w:rPr>
              <w:t>Ventisca</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11AAB1D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C75316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6F48A3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E67455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ADCAB0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E9AAFE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2F5BABE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ADF8FF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DA2F40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F77E58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5ADBFCB"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0D332D20"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1E99416E" w14:textId="7C26767F"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Do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786FE2E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7610F8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19ED82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5D7767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5E75C7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7D3EAE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07E82C7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0FE84B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F35E56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1AF602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4007FAF4"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13B0CF24"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7F56DDDE"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Dobos and Éltető (2023)</w:t>
            </w:r>
          </w:p>
        </w:tc>
        <w:tc>
          <w:tcPr>
            <w:tcW w:w="788" w:type="dxa"/>
            <w:noWrap/>
            <w:vAlign w:val="center"/>
            <w:hideMark/>
          </w:tcPr>
          <w:p w14:paraId="428A852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72344F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F18C39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414633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D2F8D2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446C5F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1A267D4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1A1357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08C9E7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DA8610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5F9FE213"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50892C4B"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1076290"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Eppinger (2022)</w:t>
            </w:r>
          </w:p>
        </w:tc>
        <w:tc>
          <w:tcPr>
            <w:tcW w:w="788" w:type="dxa"/>
            <w:noWrap/>
            <w:vAlign w:val="center"/>
            <w:hideMark/>
          </w:tcPr>
          <w:p w14:paraId="135CD08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AB9B1C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0E6DF1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40AA21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06F95A0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700445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04AB07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C60D6E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A20C6D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679E48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2D41CE04"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02E5A9B0"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397525F8"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Evans &amp; Peirson-Smith (2018)</w:t>
            </w:r>
          </w:p>
        </w:tc>
        <w:tc>
          <w:tcPr>
            <w:tcW w:w="788" w:type="dxa"/>
            <w:noWrap/>
            <w:vAlign w:val="center"/>
            <w:hideMark/>
          </w:tcPr>
          <w:p w14:paraId="5E3E641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A92039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EA0BE2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7AABEA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C60A4D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2A1CC3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14232AB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42ADA8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B0DEC9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3A599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598CA012"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05A3683C"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3FAB69F4"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Fang (2024)</w:t>
            </w:r>
          </w:p>
        </w:tc>
        <w:tc>
          <w:tcPr>
            <w:tcW w:w="788" w:type="dxa"/>
            <w:noWrap/>
            <w:vAlign w:val="center"/>
            <w:hideMark/>
          </w:tcPr>
          <w:p w14:paraId="2E0C852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15C9C3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8E166D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A32E17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D00047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4B7531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67FAA23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52E1F8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57C481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BE5C61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28EC2064"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201CA1A3"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68E27958" w14:textId="1F79F226"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Garcia-Ortega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(2023)</w:t>
            </w:r>
          </w:p>
        </w:tc>
        <w:tc>
          <w:tcPr>
            <w:tcW w:w="788" w:type="dxa"/>
            <w:noWrap/>
            <w:vAlign w:val="center"/>
            <w:hideMark/>
          </w:tcPr>
          <w:p w14:paraId="535623F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AAEDCB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1569A2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265523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40FE5B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0EC803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C00671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67EFF3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112E85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D67D38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632BBDC9"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72715319"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571A6FC" w14:textId="7AE7CF66"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Garcia-Ortega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741FD0E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39F544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271714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51374D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675C02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E59A1E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6FA455E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0E809A5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6AD0B2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791254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464F7CBE"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0D2DB543"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08DCA44"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lastRenderedPageBreak/>
              <w:t>Goswami &amp; Jaiswal (2023)</w:t>
            </w:r>
          </w:p>
        </w:tc>
        <w:tc>
          <w:tcPr>
            <w:tcW w:w="788" w:type="dxa"/>
            <w:noWrap/>
            <w:vAlign w:val="center"/>
            <w:hideMark/>
          </w:tcPr>
          <w:p w14:paraId="5A9540A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ADD6DF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BD00C8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77E27B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DC6243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5684D8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4D736EC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06D218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5AD21F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DFC273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7D785A50"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275C3897"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2D8F8B1B" w14:textId="3B5E294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Habtemaryam</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76D8546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42A420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4345F0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82DC6B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F2D1F0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10CA43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5D03B27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1E2175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9A6F61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53BD04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42B15023"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576FA7B9"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17F3C596"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Hairudinor</w:t>
            </w:r>
            <w:proofErr w:type="spellEnd"/>
            <w:r w:rsidRPr="00144854">
              <w:rPr>
                <w:rFonts w:asciiTheme="minorBidi" w:eastAsia="Times New Roman" w:hAnsiTheme="minorBidi"/>
                <w:b w:val="0"/>
                <w:bCs w:val="0"/>
                <w:color w:val="000000"/>
                <w:szCs w:val="24"/>
                <w:lang w:val="en-US" w:eastAsia="zh-CN" w:bidi="bn-IN"/>
              </w:rPr>
              <w:t xml:space="preserve"> &amp; Barkatullah (2020)</w:t>
            </w:r>
          </w:p>
        </w:tc>
        <w:tc>
          <w:tcPr>
            <w:tcW w:w="788" w:type="dxa"/>
            <w:noWrap/>
            <w:vAlign w:val="center"/>
            <w:hideMark/>
          </w:tcPr>
          <w:p w14:paraId="7DEFBEF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17E01C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A1695B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F7B764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E74B2D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DFCEAE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2ACC2D6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5F6BCE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5BAE19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D6DEDE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3D4D3ED1"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1EB1B583"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71824F34"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Haque &amp; Lang (2025)</w:t>
            </w:r>
          </w:p>
        </w:tc>
        <w:tc>
          <w:tcPr>
            <w:tcW w:w="788" w:type="dxa"/>
            <w:noWrap/>
            <w:vAlign w:val="center"/>
            <w:hideMark/>
          </w:tcPr>
          <w:p w14:paraId="2F25666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8D6D95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55C702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646DBE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76E5FF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64721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287A347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33AF3E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7AC8C4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18EA78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8BEE707"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5CAFE953"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228D1E62"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Heidenstrøm</w:t>
            </w:r>
            <w:proofErr w:type="spellEnd"/>
            <w:r w:rsidRPr="00144854">
              <w:rPr>
                <w:rFonts w:asciiTheme="minorBidi" w:eastAsia="Times New Roman" w:hAnsiTheme="minorBidi"/>
                <w:b w:val="0"/>
                <w:bCs w:val="0"/>
                <w:color w:val="000000"/>
                <w:szCs w:val="24"/>
                <w:lang w:val="en-US" w:eastAsia="zh-CN" w:bidi="bn-IN"/>
              </w:rPr>
              <w:t xml:space="preserve"> (2024)</w:t>
            </w:r>
          </w:p>
        </w:tc>
        <w:tc>
          <w:tcPr>
            <w:tcW w:w="788" w:type="dxa"/>
            <w:noWrap/>
            <w:vAlign w:val="center"/>
            <w:hideMark/>
          </w:tcPr>
          <w:p w14:paraId="1AD36D7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C1C571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645B87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BC18B8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2B12E15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E5C510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069E364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E94A0A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6E4DBC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4CF129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70818E6"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43246BA5"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6396F0B6" w14:textId="294EBCED"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Hejlova</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309D74F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39D3BC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20B8B3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FE8F78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76DC10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89202A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047D935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08A716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A2D85D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F74418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2A02A944"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463DFAE4"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67427FE4" w14:textId="7D760A9F"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Henninger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(2016)</w:t>
            </w:r>
          </w:p>
        </w:tc>
        <w:tc>
          <w:tcPr>
            <w:tcW w:w="788" w:type="dxa"/>
            <w:noWrap/>
            <w:vAlign w:val="center"/>
            <w:hideMark/>
          </w:tcPr>
          <w:p w14:paraId="7D313DB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518B6C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288CF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EB5B58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C02D4C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3AA273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1AE6C8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B8635D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6CC0E7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D5395D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7AA926AF"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0E6BCCA5"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2CEC548" w14:textId="0DB1E283"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Jestratijevic</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(2024)</w:t>
            </w:r>
          </w:p>
        </w:tc>
        <w:tc>
          <w:tcPr>
            <w:tcW w:w="788" w:type="dxa"/>
            <w:noWrap/>
            <w:vAlign w:val="center"/>
            <w:hideMark/>
          </w:tcPr>
          <w:p w14:paraId="61734DC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F7C618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1B555E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4AD2FB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230BA30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079E21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2EE4509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7F3C94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E7E8E2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81F44D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72A065BC"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353F1C4A"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896866B"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Kim &amp; Oh (2020)</w:t>
            </w:r>
          </w:p>
        </w:tc>
        <w:tc>
          <w:tcPr>
            <w:tcW w:w="788" w:type="dxa"/>
            <w:noWrap/>
            <w:vAlign w:val="center"/>
            <w:hideMark/>
          </w:tcPr>
          <w:p w14:paraId="21AFA4B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A4EE54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FBDFA9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642E54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F634CE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F893D6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1F04DD2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8A4E10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858DA4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3BA936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37B4FC48"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7B327BA4"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12D1D52"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Li, Cavender &amp; Lee (2025)</w:t>
            </w:r>
          </w:p>
        </w:tc>
        <w:tc>
          <w:tcPr>
            <w:tcW w:w="788" w:type="dxa"/>
            <w:noWrap/>
            <w:vAlign w:val="center"/>
            <w:hideMark/>
          </w:tcPr>
          <w:p w14:paraId="4ACAB5D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DAEFE4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D5CD4D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D5DEBB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67277F8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154278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47E06F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1DE1B2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0C496D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DA75C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57E4AFA0"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73B8641F"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ABE4B2C" w14:textId="7338E4A2"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Liedong</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(2022)</w:t>
            </w:r>
          </w:p>
        </w:tc>
        <w:tc>
          <w:tcPr>
            <w:tcW w:w="788" w:type="dxa"/>
            <w:noWrap/>
            <w:vAlign w:val="center"/>
            <w:hideMark/>
          </w:tcPr>
          <w:p w14:paraId="5156B5E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68DD78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A924A1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931D58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7D8C50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20C61F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017C78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B4D7A3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656DF2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DBBE48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4C3A4D68"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13C3A704"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3E5F532"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lastRenderedPageBreak/>
              <w:t>Lovrić &amp; Čagalj (2025)</w:t>
            </w:r>
          </w:p>
        </w:tc>
        <w:tc>
          <w:tcPr>
            <w:tcW w:w="788" w:type="dxa"/>
            <w:noWrap/>
            <w:vAlign w:val="center"/>
            <w:hideMark/>
          </w:tcPr>
          <w:p w14:paraId="27FC436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3B3724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6340B2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59C863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0D6153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FF9D1F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2DF83CB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73EA9A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A00203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1E1046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107280CB"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765F9297"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3EB11EE" w14:textId="10D59FDC"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Lu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(2022)</w:t>
            </w:r>
          </w:p>
        </w:tc>
        <w:tc>
          <w:tcPr>
            <w:tcW w:w="788" w:type="dxa"/>
            <w:noWrap/>
            <w:vAlign w:val="center"/>
            <w:hideMark/>
          </w:tcPr>
          <w:p w14:paraId="7C1BAA4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C5F74C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510B99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DAD670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056F4E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2FD142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11FB3A1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DF166D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1032D0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1E4621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41946E7D"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171B301D"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4B879B3F"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Marko &amp; </w:t>
            </w:r>
            <w:proofErr w:type="spellStart"/>
            <w:r w:rsidRPr="00144854">
              <w:rPr>
                <w:rFonts w:asciiTheme="minorBidi" w:eastAsia="Times New Roman" w:hAnsiTheme="minorBidi"/>
                <w:b w:val="0"/>
                <w:bCs w:val="0"/>
                <w:color w:val="000000"/>
                <w:szCs w:val="24"/>
                <w:lang w:val="en-US" w:eastAsia="zh-CN" w:bidi="bn-IN"/>
              </w:rPr>
              <w:t>Kusá</w:t>
            </w:r>
            <w:proofErr w:type="spellEnd"/>
            <w:r w:rsidRPr="00144854">
              <w:rPr>
                <w:rFonts w:asciiTheme="minorBidi" w:eastAsia="Times New Roman" w:hAnsiTheme="minorBidi"/>
                <w:b w:val="0"/>
                <w:bCs w:val="0"/>
                <w:color w:val="000000"/>
                <w:szCs w:val="24"/>
                <w:lang w:val="en-US" w:eastAsia="zh-CN" w:bidi="bn-IN"/>
              </w:rPr>
              <w:t xml:space="preserve"> (2023)</w:t>
            </w:r>
          </w:p>
        </w:tc>
        <w:tc>
          <w:tcPr>
            <w:tcW w:w="788" w:type="dxa"/>
            <w:noWrap/>
            <w:vAlign w:val="center"/>
            <w:hideMark/>
          </w:tcPr>
          <w:p w14:paraId="2C5BAB6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3CBA7B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6EE301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AB87C1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27D30A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7BF8C1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7A6F4FD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B57998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AA93AB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93D54B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60E6F393"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18664A2C"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911769F"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Mofokeng (2025)</w:t>
            </w:r>
          </w:p>
        </w:tc>
        <w:tc>
          <w:tcPr>
            <w:tcW w:w="788" w:type="dxa"/>
            <w:noWrap/>
            <w:vAlign w:val="center"/>
            <w:hideMark/>
          </w:tcPr>
          <w:p w14:paraId="7E005A1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E8C5A1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969712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D260F8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82E704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896438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67A8CBC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19DC32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C542AF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40165B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34A77CAA"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59245FD6"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2738273E" w14:textId="4FC50126"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Mousavi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3046444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2B6079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C4E4E1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1316126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0CD020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3D30BF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27E417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0A26A6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1D94BD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83F16B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5757AA12"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7AA7608B"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637D72C6" w14:textId="079229B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Nigatu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(2024)</w:t>
            </w:r>
          </w:p>
        </w:tc>
        <w:tc>
          <w:tcPr>
            <w:tcW w:w="788" w:type="dxa"/>
            <w:noWrap/>
            <w:vAlign w:val="center"/>
            <w:hideMark/>
          </w:tcPr>
          <w:p w14:paraId="5EA9148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7868AB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F8557D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988A60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A5563B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8DEED7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4B480E5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65A4CD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141860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9C08D4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6AF957BA"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58E8EA88"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22FBCF2" w14:textId="5F743084"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Policarpo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(2023)</w:t>
            </w:r>
          </w:p>
        </w:tc>
        <w:tc>
          <w:tcPr>
            <w:tcW w:w="788" w:type="dxa"/>
            <w:noWrap/>
            <w:vAlign w:val="center"/>
            <w:hideMark/>
          </w:tcPr>
          <w:p w14:paraId="7C703A8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882F44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2E1925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2B90CD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2F8FF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BB3D9F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7DBDB8A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261409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7F8F3E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4B173D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66B56B79"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4FCAC9B1"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7A7A3A9F"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Pozzo (2023)</w:t>
            </w:r>
          </w:p>
        </w:tc>
        <w:tc>
          <w:tcPr>
            <w:tcW w:w="788" w:type="dxa"/>
            <w:noWrap/>
            <w:vAlign w:val="center"/>
            <w:hideMark/>
          </w:tcPr>
          <w:p w14:paraId="3E27D01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866AC3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5EA8E9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026DA01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2A416C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C0BC55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A9F5A2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2E533E9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A94592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82D1F8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361E9F1C"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353DC387"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31A860F2"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Promalessy</w:t>
            </w:r>
            <w:proofErr w:type="spellEnd"/>
            <w:r w:rsidRPr="00144854">
              <w:rPr>
                <w:rFonts w:asciiTheme="minorBidi" w:eastAsia="Times New Roman" w:hAnsiTheme="minorBidi"/>
                <w:b w:val="0"/>
                <w:bCs w:val="0"/>
                <w:color w:val="000000"/>
                <w:szCs w:val="24"/>
                <w:lang w:val="en-US" w:eastAsia="zh-CN" w:bidi="bn-IN"/>
              </w:rPr>
              <w:t xml:space="preserve"> &amp; </w:t>
            </w:r>
            <w:proofErr w:type="spellStart"/>
            <w:r w:rsidRPr="00144854">
              <w:rPr>
                <w:rFonts w:asciiTheme="minorBidi" w:eastAsia="Times New Roman" w:hAnsiTheme="minorBidi"/>
                <w:b w:val="0"/>
                <w:bCs w:val="0"/>
                <w:color w:val="000000"/>
                <w:szCs w:val="24"/>
                <w:lang w:val="en-US" w:eastAsia="zh-CN" w:bidi="bn-IN"/>
              </w:rPr>
              <w:t>Handriana</w:t>
            </w:r>
            <w:proofErr w:type="spellEnd"/>
            <w:r w:rsidRPr="00144854">
              <w:rPr>
                <w:rFonts w:asciiTheme="minorBidi" w:eastAsia="Times New Roman" w:hAnsiTheme="minorBidi"/>
                <w:b w:val="0"/>
                <w:bCs w:val="0"/>
                <w:color w:val="000000"/>
                <w:szCs w:val="24"/>
                <w:lang w:val="en-US" w:eastAsia="zh-CN" w:bidi="bn-IN"/>
              </w:rPr>
              <w:t xml:space="preserve"> (2024)</w:t>
            </w:r>
          </w:p>
        </w:tc>
        <w:tc>
          <w:tcPr>
            <w:tcW w:w="788" w:type="dxa"/>
            <w:noWrap/>
            <w:vAlign w:val="center"/>
            <w:hideMark/>
          </w:tcPr>
          <w:p w14:paraId="239BEEF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02C604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175C9F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ED1406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CA1649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69C201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4E88C1A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F7A7B6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8DC5CA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8DA7A6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096D388"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249220F9"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1D82D196"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Rausch &amp; Kopplin (2021)</w:t>
            </w:r>
          </w:p>
        </w:tc>
        <w:tc>
          <w:tcPr>
            <w:tcW w:w="788" w:type="dxa"/>
            <w:noWrap/>
            <w:vAlign w:val="center"/>
            <w:hideMark/>
          </w:tcPr>
          <w:p w14:paraId="3EAF27A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091A7D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EE0EE0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6182CE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87E7F4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7E5312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2E9AF8F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A4DC8E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52180C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1569FA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3385E9B"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4396CF7B"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1507C0EF" w14:textId="5CB42F72"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Reck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(2022)</w:t>
            </w:r>
          </w:p>
        </w:tc>
        <w:tc>
          <w:tcPr>
            <w:tcW w:w="788" w:type="dxa"/>
            <w:noWrap/>
            <w:vAlign w:val="center"/>
            <w:hideMark/>
          </w:tcPr>
          <w:p w14:paraId="65815E7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F11428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431622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5900FD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2BDA85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0EFF2A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403C39B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18028D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CAB420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111E24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4622E422"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4E91FCED"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BA28771"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Redman (2025)</w:t>
            </w:r>
          </w:p>
        </w:tc>
        <w:tc>
          <w:tcPr>
            <w:tcW w:w="788" w:type="dxa"/>
            <w:noWrap/>
            <w:vAlign w:val="center"/>
            <w:hideMark/>
          </w:tcPr>
          <w:p w14:paraId="7532A0C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24F3BB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4B2257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6153D4C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6816462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98F50E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A1F102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24BC3D8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49234B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7FC6EC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A32812B"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5CC2076C"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51A0F3AD"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lastRenderedPageBreak/>
              <w:t>Reza &amp; Du Plessis (2022)</w:t>
            </w:r>
          </w:p>
        </w:tc>
        <w:tc>
          <w:tcPr>
            <w:tcW w:w="788" w:type="dxa"/>
            <w:noWrap/>
            <w:vAlign w:val="center"/>
            <w:hideMark/>
          </w:tcPr>
          <w:p w14:paraId="26B11D0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3B4301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2A607A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168039C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03481C5"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963488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0E2DE8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A7EC4D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C516A7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A6EC16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35FD9821"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4AEE593A"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1AA3A77C" w14:textId="47A2090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Roozen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135CED1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EFFF87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CEC1C7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90DBBD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EEC8F4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4429FD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7AFBDD2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B5F919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C60E35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BFF1F4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55FE55A"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0E488865"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34E1F45E" w14:textId="13DCAF4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Sailer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(2022)</w:t>
            </w:r>
          </w:p>
        </w:tc>
        <w:tc>
          <w:tcPr>
            <w:tcW w:w="788" w:type="dxa"/>
            <w:noWrap/>
            <w:vAlign w:val="center"/>
            <w:hideMark/>
          </w:tcPr>
          <w:p w14:paraId="5B687C0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26A4BF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2F12A8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8F886A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152B52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CFD202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35C7DA8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F173CC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9830F3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3EC371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5809E2A4"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19D26C55"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FA543DD" w14:textId="02894CFF"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Schwoy</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52293F7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3748B5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911D9D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CDF4CD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D93F3C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FFBF60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501B4BF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423EAE4E"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9B1C32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3994AD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1AD934FC"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56F876BF"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3892C8FA"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Tolentino-Zondervan &amp; DiVito (2024)</w:t>
            </w:r>
          </w:p>
        </w:tc>
        <w:tc>
          <w:tcPr>
            <w:tcW w:w="788" w:type="dxa"/>
            <w:noWrap/>
            <w:vAlign w:val="center"/>
            <w:hideMark/>
          </w:tcPr>
          <w:p w14:paraId="7234FF5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634118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6925EE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84FE0E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2B73794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800426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CFF55D0"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A8BC67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F4A462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F73495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4D0BD3D"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4AC0371D"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14F04FF6" w14:textId="1BD2C59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Vehbi</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62384A4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486BC05"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FE7DC1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CF2404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497F3C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46FDDED"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32A1B5A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0C17D84"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9F8E1E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BFE660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699D1875"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2BFC26A8"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4B0F41FB" w14:textId="250417AA"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Velasco-</w:t>
            </w:r>
            <w:proofErr w:type="spellStart"/>
            <w:r w:rsidRPr="00144854">
              <w:rPr>
                <w:rFonts w:asciiTheme="minorBidi" w:eastAsia="Times New Roman" w:hAnsiTheme="minorBidi"/>
                <w:b w:val="0"/>
                <w:bCs w:val="0"/>
                <w:color w:val="000000"/>
                <w:szCs w:val="24"/>
                <w:lang w:val="en-US" w:eastAsia="zh-CN" w:bidi="bn-IN"/>
              </w:rPr>
              <w:t>Molpeceres</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(2023)</w:t>
            </w:r>
          </w:p>
        </w:tc>
        <w:tc>
          <w:tcPr>
            <w:tcW w:w="788" w:type="dxa"/>
            <w:noWrap/>
            <w:vAlign w:val="center"/>
            <w:hideMark/>
          </w:tcPr>
          <w:p w14:paraId="236309F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982CD2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A06463D"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DC1548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CD5562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F56E12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6309281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15371F6"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947DD6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504CB8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6401969E"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6400A138"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363CD28" w14:textId="63571A7F"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proofErr w:type="spellStart"/>
            <w:r w:rsidRPr="00144854">
              <w:rPr>
                <w:rFonts w:asciiTheme="minorBidi" w:eastAsia="Times New Roman" w:hAnsiTheme="minorBidi"/>
                <w:b w:val="0"/>
                <w:bCs w:val="0"/>
                <w:color w:val="000000"/>
                <w:szCs w:val="24"/>
                <w:lang w:val="en-US" w:eastAsia="zh-CN" w:bidi="bn-IN"/>
              </w:rPr>
              <w:t>Venciute</w:t>
            </w:r>
            <w:proofErr w:type="spellEnd"/>
            <w:r w:rsidRPr="00144854">
              <w:rPr>
                <w:rFonts w:asciiTheme="minorBidi" w:eastAsia="Times New Roman" w:hAnsiTheme="minorBidi"/>
                <w:b w:val="0"/>
                <w:bCs w:val="0"/>
                <w:color w:val="000000"/>
                <w:szCs w:val="24"/>
                <w:lang w:val="en-US" w:eastAsia="zh-CN" w:bidi="bn-IN"/>
              </w:rPr>
              <w:t xml:space="preserve">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(2025)</w:t>
            </w:r>
          </w:p>
        </w:tc>
        <w:tc>
          <w:tcPr>
            <w:tcW w:w="788" w:type="dxa"/>
            <w:noWrap/>
            <w:vAlign w:val="center"/>
            <w:hideMark/>
          </w:tcPr>
          <w:p w14:paraId="26C22E02"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26BB83B"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987571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8242AC0"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E88F72A"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77F0A4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0FBA4819"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86C95A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8B75A0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D05975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4A8B7B29"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5FE08E9D"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735CC92" w14:textId="77777777"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Wang &amp; Jung (2025)</w:t>
            </w:r>
          </w:p>
        </w:tc>
        <w:tc>
          <w:tcPr>
            <w:tcW w:w="788" w:type="dxa"/>
            <w:noWrap/>
            <w:vAlign w:val="center"/>
            <w:hideMark/>
          </w:tcPr>
          <w:p w14:paraId="35F5ADB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D172E6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D5C4A8F"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8A536AE"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52F65E3"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664838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1917295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898B649"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595C84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5E319A72"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2FFEDFE8"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r w:rsidR="00144854" w:rsidRPr="00144854" w14:paraId="36EBC0B2" w14:textId="77777777" w:rsidTr="00144854">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44CBF3E1" w14:textId="6A14F230"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Wu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(2022)</w:t>
            </w:r>
          </w:p>
        </w:tc>
        <w:tc>
          <w:tcPr>
            <w:tcW w:w="788" w:type="dxa"/>
            <w:noWrap/>
            <w:vAlign w:val="center"/>
            <w:hideMark/>
          </w:tcPr>
          <w:p w14:paraId="5F57C638"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55C371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DBB85DC"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1E0B54D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33C18E3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378FDD1"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3ADF2BF"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3466F96"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Can’t tell</w:t>
            </w:r>
          </w:p>
        </w:tc>
        <w:tc>
          <w:tcPr>
            <w:tcW w:w="1008" w:type="dxa"/>
            <w:noWrap/>
            <w:vAlign w:val="center"/>
            <w:hideMark/>
          </w:tcPr>
          <w:p w14:paraId="7033C467"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0D028773" w14:textId="77777777" w:rsidR="00144854" w:rsidRPr="00144854" w:rsidRDefault="00144854" w:rsidP="00144854">
            <w:pPr>
              <w:spacing w:line="276" w:lineRule="auto"/>
              <w:jc w:val="center"/>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35130D23" w14:textId="77777777" w:rsidR="00144854" w:rsidRPr="00144854" w:rsidRDefault="00144854" w:rsidP="00144854">
            <w:pPr>
              <w:spacing w:line="276" w:lineRule="auto"/>
              <w:jc w:val="left"/>
              <w:cnfStyle w:val="000000100000" w:firstRow="0" w:lastRow="0" w:firstColumn="0" w:lastColumn="0" w:oddVBand="0" w:evenVBand="0" w:oddHBand="1"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Moderate</w:t>
            </w:r>
          </w:p>
        </w:tc>
      </w:tr>
      <w:tr w:rsidR="00144854" w:rsidRPr="00144854" w14:paraId="67426332" w14:textId="77777777" w:rsidTr="00144854">
        <w:trPr>
          <w:trHeight w:val="288"/>
        </w:trPr>
        <w:tc>
          <w:tcPr>
            <w:cnfStyle w:val="001000000000" w:firstRow="0" w:lastRow="0" w:firstColumn="1" w:lastColumn="0" w:oddVBand="0" w:evenVBand="0" w:oddHBand="0" w:evenHBand="0" w:firstRowFirstColumn="0" w:firstRowLastColumn="0" w:lastRowFirstColumn="0" w:lastRowLastColumn="0"/>
            <w:tcW w:w="2736" w:type="dxa"/>
            <w:noWrap/>
            <w:vAlign w:val="center"/>
            <w:hideMark/>
          </w:tcPr>
          <w:p w14:paraId="0D4C435C" w14:textId="4044AF98" w:rsidR="00144854" w:rsidRPr="00144854" w:rsidRDefault="00144854" w:rsidP="00144854">
            <w:pPr>
              <w:spacing w:line="276" w:lineRule="auto"/>
              <w:jc w:val="left"/>
              <w:rPr>
                <w:rFonts w:asciiTheme="minorBidi" w:eastAsia="Times New Roman" w:hAnsiTheme="minorBidi"/>
                <w:b w:val="0"/>
                <w:bCs w:val="0"/>
                <w:color w:val="000000"/>
                <w:szCs w:val="24"/>
                <w:lang w:val="en-US" w:eastAsia="zh-CN" w:bidi="bn-IN"/>
              </w:rPr>
            </w:pPr>
            <w:r w:rsidRPr="00144854">
              <w:rPr>
                <w:rFonts w:asciiTheme="minorBidi" w:eastAsia="Times New Roman" w:hAnsiTheme="minorBidi"/>
                <w:b w:val="0"/>
                <w:bCs w:val="0"/>
                <w:color w:val="000000"/>
                <w:szCs w:val="24"/>
                <w:lang w:val="en-US" w:eastAsia="zh-CN" w:bidi="bn-IN"/>
              </w:rPr>
              <w:t xml:space="preserve">Yang </w:t>
            </w:r>
            <w:r w:rsidR="001D1CA2" w:rsidRPr="001D1CA2">
              <w:rPr>
                <w:rFonts w:asciiTheme="minorBidi" w:eastAsia="Times New Roman" w:hAnsiTheme="minorBidi"/>
                <w:b w:val="0"/>
                <w:bCs w:val="0"/>
                <w:i/>
                <w:iCs/>
                <w:color w:val="000000"/>
                <w:szCs w:val="24"/>
                <w:lang w:val="en-US" w:eastAsia="zh-CN" w:bidi="bn-IN"/>
              </w:rPr>
              <w:t>et al</w:t>
            </w:r>
            <w:r w:rsidRPr="00144854">
              <w:rPr>
                <w:rFonts w:asciiTheme="minorBidi" w:eastAsia="Times New Roman" w:hAnsiTheme="minorBidi"/>
                <w:b w:val="0"/>
                <w:bCs w:val="0"/>
                <w:color w:val="000000"/>
                <w:szCs w:val="24"/>
                <w:lang w:val="en-US" w:eastAsia="zh-CN" w:bidi="bn-IN"/>
              </w:rPr>
              <w:t>. (2024)</w:t>
            </w:r>
          </w:p>
        </w:tc>
        <w:tc>
          <w:tcPr>
            <w:tcW w:w="788" w:type="dxa"/>
            <w:noWrap/>
            <w:vAlign w:val="center"/>
            <w:hideMark/>
          </w:tcPr>
          <w:p w14:paraId="41C0D9F8"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1E76C5C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D8D3B9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3E346F84"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7CA6FC5B"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D2C345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No</w:t>
            </w:r>
          </w:p>
        </w:tc>
        <w:tc>
          <w:tcPr>
            <w:tcW w:w="1008" w:type="dxa"/>
            <w:noWrap/>
            <w:vAlign w:val="center"/>
            <w:hideMark/>
          </w:tcPr>
          <w:p w14:paraId="13E1664C"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491E1FEA"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23BB3797"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008" w:type="dxa"/>
            <w:noWrap/>
            <w:vAlign w:val="center"/>
            <w:hideMark/>
          </w:tcPr>
          <w:p w14:paraId="60505EB1" w14:textId="77777777" w:rsidR="00144854" w:rsidRPr="00144854" w:rsidRDefault="00144854" w:rsidP="00144854">
            <w:pPr>
              <w:spacing w:line="276" w:lineRule="auto"/>
              <w:jc w:val="center"/>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Yes</w:t>
            </w:r>
          </w:p>
        </w:tc>
        <w:tc>
          <w:tcPr>
            <w:tcW w:w="1230" w:type="dxa"/>
            <w:noWrap/>
            <w:vAlign w:val="center"/>
            <w:hideMark/>
          </w:tcPr>
          <w:p w14:paraId="064D870B" w14:textId="77777777" w:rsidR="00144854" w:rsidRPr="00144854" w:rsidRDefault="00144854" w:rsidP="00144854">
            <w:pPr>
              <w:spacing w:line="276" w:lineRule="auto"/>
              <w:jc w:val="left"/>
              <w:cnfStyle w:val="000000000000" w:firstRow="0" w:lastRow="0" w:firstColumn="0" w:lastColumn="0" w:oddVBand="0" w:evenVBand="0" w:oddHBand="0" w:evenHBand="0" w:firstRowFirstColumn="0" w:firstRowLastColumn="0" w:lastRowFirstColumn="0" w:lastRowLastColumn="0"/>
              <w:rPr>
                <w:rFonts w:asciiTheme="minorBidi" w:eastAsia="Times New Roman" w:hAnsiTheme="minorBidi"/>
                <w:color w:val="000000"/>
                <w:szCs w:val="24"/>
                <w:lang w:val="en-US" w:eastAsia="zh-CN" w:bidi="bn-IN"/>
              </w:rPr>
            </w:pPr>
            <w:r w:rsidRPr="00144854">
              <w:rPr>
                <w:rFonts w:asciiTheme="minorBidi" w:eastAsia="Times New Roman" w:hAnsiTheme="minorBidi"/>
                <w:color w:val="000000"/>
                <w:szCs w:val="24"/>
                <w:lang w:val="en-US" w:eastAsia="zh-CN" w:bidi="bn-IN"/>
              </w:rPr>
              <w:t>High</w:t>
            </w:r>
          </w:p>
        </w:tc>
      </w:tr>
    </w:tbl>
    <w:p w14:paraId="64E37193" w14:textId="77777777" w:rsidR="00144854" w:rsidRDefault="00144854" w:rsidP="00050EB0">
      <w:pPr>
        <w:jc w:val="left"/>
        <w:rPr>
          <w:rFonts w:asciiTheme="minorBidi" w:hAnsiTheme="minorBidi"/>
          <w:color w:val="0D0D0D" w:themeColor="text1" w:themeTint="F2"/>
          <w:szCs w:val="24"/>
          <w:lang w:val="en-US"/>
        </w:rPr>
      </w:pPr>
    </w:p>
    <w:p w14:paraId="4F4E16C4" w14:textId="4CAD0C03" w:rsidR="00A430EC" w:rsidRPr="00144854" w:rsidRDefault="00A430EC">
      <w:pPr>
        <w:spacing w:before="0" w:after="160" w:line="259" w:lineRule="auto"/>
        <w:jc w:val="left"/>
        <w:rPr>
          <w:rFonts w:asciiTheme="minorBidi" w:hAnsiTheme="minorBidi"/>
          <w:color w:val="0D0D0D" w:themeColor="text1" w:themeTint="F2"/>
          <w:szCs w:val="24"/>
          <w:lang w:val="en-US"/>
        </w:rPr>
      </w:pPr>
    </w:p>
    <w:sectPr w:rsidR="00A430EC" w:rsidRPr="00144854" w:rsidSect="00144854">
      <w:pgSz w:w="16838" w:h="11906" w:orient="landscape" w:code="9"/>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07C2D" w14:textId="77777777" w:rsidR="000F33D7" w:rsidRDefault="000F33D7" w:rsidP="00177CC9">
      <w:pPr>
        <w:spacing w:after="0" w:line="240" w:lineRule="auto"/>
      </w:pPr>
      <w:r>
        <w:separator/>
      </w:r>
    </w:p>
  </w:endnote>
  <w:endnote w:type="continuationSeparator" w:id="0">
    <w:p w14:paraId="1F7754AC" w14:textId="77777777" w:rsidR="000F33D7" w:rsidRDefault="000F33D7" w:rsidP="00177C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Noto Sans Symbols">
    <w:charset w:val="00"/>
    <w:family w:val="auto"/>
    <w:pitch w:val="default"/>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7608753"/>
      <w:docPartObj>
        <w:docPartGallery w:val="Page Numbers (Bottom of Page)"/>
        <w:docPartUnique/>
      </w:docPartObj>
    </w:sdtPr>
    <w:sdtEndPr>
      <w:rPr>
        <w:noProof/>
      </w:rPr>
    </w:sdtEndPr>
    <w:sdtContent>
      <w:p w14:paraId="4C98A0DB" w14:textId="3D76251F" w:rsidR="008C5097" w:rsidRDefault="008C50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21E42" w14:textId="77777777" w:rsidR="008C5097" w:rsidRDefault="008C50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F5E3F" w14:textId="77777777" w:rsidR="000F33D7" w:rsidRDefault="000F33D7" w:rsidP="00177CC9">
      <w:pPr>
        <w:spacing w:after="0" w:line="240" w:lineRule="auto"/>
      </w:pPr>
      <w:r>
        <w:separator/>
      </w:r>
    </w:p>
  </w:footnote>
  <w:footnote w:type="continuationSeparator" w:id="0">
    <w:p w14:paraId="247CB623" w14:textId="77777777" w:rsidR="000F33D7" w:rsidRDefault="000F33D7" w:rsidP="00177C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F3D86"/>
    <w:multiLevelType w:val="hybridMultilevel"/>
    <w:tmpl w:val="A35C7D1E"/>
    <w:lvl w:ilvl="0" w:tplc="0409001B">
      <w:start w:val="1"/>
      <w:numFmt w:val="lowerRoman"/>
      <w:lvlText w:val="%1."/>
      <w:lvlJc w:val="right"/>
      <w:pPr>
        <w:ind w:left="1080" w:hanging="36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067C694F"/>
    <w:multiLevelType w:val="multilevel"/>
    <w:tmpl w:val="818A20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6BC10FF"/>
    <w:multiLevelType w:val="hybridMultilevel"/>
    <w:tmpl w:val="2B468D3E"/>
    <w:lvl w:ilvl="0" w:tplc="0409001B">
      <w:start w:val="1"/>
      <w:numFmt w:val="lowerRoman"/>
      <w:lvlText w:val="%1."/>
      <w:lvlJc w:val="right"/>
      <w:pPr>
        <w:ind w:left="1152" w:hanging="360"/>
      </w:pPr>
    </w:lvl>
    <w:lvl w:ilvl="1" w:tplc="FFFFFFFF">
      <w:start w:val="1"/>
      <w:numFmt w:val="bullet"/>
      <w:lvlText w:val="o"/>
      <w:lvlJc w:val="left"/>
      <w:pPr>
        <w:ind w:left="1872" w:hanging="360"/>
      </w:pPr>
      <w:rPr>
        <w:rFonts w:ascii="Courier New" w:hAnsi="Courier New" w:cs="Courier New" w:hint="default"/>
      </w:rPr>
    </w:lvl>
    <w:lvl w:ilvl="2" w:tplc="FFFFFFFF">
      <w:start w:val="1"/>
      <w:numFmt w:val="bullet"/>
      <w:lvlText w:val=""/>
      <w:lvlJc w:val="left"/>
      <w:pPr>
        <w:ind w:left="2592" w:hanging="360"/>
      </w:pPr>
      <w:rPr>
        <w:rFonts w:ascii="Wingdings" w:hAnsi="Wingdings" w:hint="default"/>
      </w:rPr>
    </w:lvl>
    <w:lvl w:ilvl="3" w:tplc="FFFFFFFF">
      <w:start w:val="1"/>
      <w:numFmt w:val="bullet"/>
      <w:lvlText w:val=""/>
      <w:lvlJc w:val="left"/>
      <w:pPr>
        <w:ind w:left="3312" w:hanging="360"/>
      </w:pPr>
      <w:rPr>
        <w:rFonts w:ascii="Symbol" w:hAnsi="Symbol" w:hint="default"/>
      </w:rPr>
    </w:lvl>
    <w:lvl w:ilvl="4" w:tplc="FFFFFFFF">
      <w:start w:val="1"/>
      <w:numFmt w:val="bullet"/>
      <w:lvlText w:val="o"/>
      <w:lvlJc w:val="left"/>
      <w:pPr>
        <w:ind w:left="4032" w:hanging="360"/>
      </w:pPr>
      <w:rPr>
        <w:rFonts w:ascii="Courier New" w:hAnsi="Courier New" w:cs="Courier New" w:hint="default"/>
      </w:rPr>
    </w:lvl>
    <w:lvl w:ilvl="5" w:tplc="FFFFFFFF">
      <w:start w:val="1"/>
      <w:numFmt w:val="bullet"/>
      <w:lvlText w:val=""/>
      <w:lvlJc w:val="left"/>
      <w:pPr>
        <w:ind w:left="4752" w:hanging="360"/>
      </w:pPr>
      <w:rPr>
        <w:rFonts w:ascii="Wingdings" w:hAnsi="Wingdings" w:hint="default"/>
      </w:rPr>
    </w:lvl>
    <w:lvl w:ilvl="6" w:tplc="FFFFFFFF">
      <w:start w:val="1"/>
      <w:numFmt w:val="bullet"/>
      <w:lvlText w:val=""/>
      <w:lvlJc w:val="left"/>
      <w:pPr>
        <w:ind w:left="5472" w:hanging="360"/>
      </w:pPr>
      <w:rPr>
        <w:rFonts w:ascii="Symbol" w:hAnsi="Symbol" w:hint="default"/>
      </w:rPr>
    </w:lvl>
    <w:lvl w:ilvl="7" w:tplc="FFFFFFFF">
      <w:start w:val="1"/>
      <w:numFmt w:val="bullet"/>
      <w:lvlText w:val="o"/>
      <w:lvlJc w:val="left"/>
      <w:pPr>
        <w:ind w:left="6192" w:hanging="360"/>
      </w:pPr>
      <w:rPr>
        <w:rFonts w:ascii="Courier New" w:hAnsi="Courier New" w:cs="Courier New" w:hint="default"/>
      </w:rPr>
    </w:lvl>
    <w:lvl w:ilvl="8" w:tplc="FFFFFFFF">
      <w:start w:val="1"/>
      <w:numFmt w:val="bullet"/>
      <w:lvlText w:val=""/>
      <w:lvlJc w:val="left"/>
      <w:pPr>
        <w:ind w:left="6912" w:hanging="360"/>
      </w:pPr>
      <w:rPr>
        <w:rFonts w:ascii="Wingdings" w:hAnsi="Wingdings" w:hint="default"/>
      </w:rPr>
    </w:lvl>
  </w:abstractNum>
  <w:abstractNum w:abstractNumId="3" w15:restartNumberingAfterBreak="0">
    <w:nsid w:val="078E00C0"/>
    <w:multiLevelType w:val="hybridMultilevel"/>
    <w:tmpl w:val="ED404D92"/>
    <w:lvl w:ilvl="0" w:tplc="A7A03B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F24F95"/>
    <w:multiLevelType w:val="multilevel"/>
    <w:tmpl w:val="3F5ABD14"/>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482775B"/>
    <w:multiLevelType w:val="multilevel"/>
    <w:tmpl w:val="83480092"/>
    <w:lvl w:ilvl="0">
      <w:start w:val="1"/>
      <w:numFmt w:val="decimal"/>
      <w:pStyle w:val="Heading1"/>
      <w:lvlText w:val="%1"/>
      <w:lvlJc w:val="left"/>
      <w:pPr>
        <w:ind w:left="432" w:hanging="432"/>
      </w:pPr>
      <w:rPr>
        <w:color w:val="FFFFFF" w:themeColor="background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D3954D7"/>
    <w:multiLevelType w:val="hybridMultilevel"/>
    <w:tmpl w:val="ED3A4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69963FC"/>
    <w:multiLevelType w:val="multilevel"/>
    <w:tmpl w:val="3F5ABD14"/>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27117159"/>
    <w:multiLevelType w:val="hybridMultilevel"/>
    <w:tmpl w:val="61440B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524038"/>
    <w:multiLevelType w:val="hybridMultilevel"/>
    <w:tmpl w:val="31B65D0A"/>
    <w:lvl w:ilvl="0" w:tplc="D55A9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6E3747"/>
    <w:multiLevelType w:val="hybridMultilevel"/>
    <w:tmpl w:val="9AC635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16179C0"/>
    <w:multiLevelType w:val="hybridMultilevel"/>
    <w:tmpl w:val="03589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A875F4"/>
    <w:multiLevelType w:val="hybridMultilevel"/>
    <w:tmpl w:val="A162D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71A3DDA"/>
    <w:multiLevelType w:val="hybridMultilevel"/>
    <w:tmpl w:val="35D6B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0C1FAA"/>
    <w:multiLevelType w:val="hybridMultilevel"/>
    <w:tmpl w:val="B0F077C8"/>
    <w:lvl w:ilvl="0" w:tplc="0409000F">
      <w:start w:val="1"/>
      <w:numFmt w:val="decimal"/>
      <w:lvlText w:val="%1."/>
      <w:lvlJc w:val="left"/>
      <w:pPr>
        <w:ind w:left="1152" w:hanging="360"/>
      </w:pPr>
    </w:lvl>
    <w:lvl w:ilvl="1" w:tplc="FFFFFFFF">
      <w:start w:val="1"/>
      <w:numFmt w:val="bullet"/>
      <w:lvlText w:val="o"/>
      <w:lvlJc w:val="left"/>
      <w:pPr>
        <w:ind w:left="1872" w:hanging="360"/>
      </w:pPr>
      <w:rPr>
        <w:rFonts w:ascii="Courier New" w:hAnsi="Courier New" w:cs="Courier New" w:hint="default"/>
      </w:rPr>
    </w:lvl>
    <w:lvl w:ilvl="2" w:tplc="FFFFFFFF">
      <w:start w:val="1"/>
      <w:numFmt w:val="bullet"/>
      <w:lvlText w:val=""/>
      <w:lvlJc w:val="left"/>
      <w:pPr>
        <w:ind w:left="2592" w:hanging="360"/>
      </w:pPr>
      <w:rPr>
        <w:rFonts w:ascii="Wingdings" w:hAnsi="Wingdings" w:hint="default"/>
      </w:rPr>
    </w:lvl>
    <w:lvl w:ilvl="3" w:tplc="FFFFFFFF">
      <w:start w:val="1"/>
      <w:numFmt w:val="bullet"/>
      <w:lvlText w:val=""/>
      <w:lvlJc w:val="left"/>
      <w:pPr>
        <w:ind w:left="3312" w:hanging="360"/>
      </w:pPr>
      <w:rPr>
        <w:rFonts w:ascii="Symbol" w:hAnsi="Symbol" w:hint="default"/>
      </w:rPr>
    </w:lvl>
    <w:lvl w:ilvl="4" w:tplc="FFFFFFFF">
      <w:start w:val="1"/>
      <w:numFmt w:val="bullet"/>
      <w:lvlText w:val="o"/>
      <w:lvlJc w:val="left"/>
      <w:pPr>
        <w:ind w:left="4032" w:hanging="360"/>
      </w:pPr>
      <w:rPr>
        <w:rFonts w:ascii="Courier New" w:hAnsi="Courier New" w:cs="Courier New" w:hint="default"/>
      </w:rPr>
    </w:lvl>
    <w:lvl w:ilvl="5" w:tplc="FFFFFFFF">
      <w:start w:val="1"/>
      <w:numFmt w:val="bullet"/>
      <w:lvlText w:val=""/>
      <w:lvlJc w:val="left"/>
      <w:pPr>
        <w:ind w:left="4752" w:hanging="360"/>
      </w:pPr>
      <w:rPr>
        <w:rFonts w:ascii="Wingdings" w:hAnsi="Wingdings" w:hint="default"/>
      </w:rPr>
    </w:lvl>
    <w:lvl w:ilvl="6" w:tplc="FFFFFFFF">
      <w:start w:val="1"/>
      <w:numFmt w:val="bullet"/>
      <w:lvlText w:val=""/>
      <w:lvlJc w:val="left"/>
      <w:pPr>
        <w:ind w:left="5472" w:hanging="360"/>
      </w:pPr>
      <w:rPr>
        <w:rFonts w:ascii="Symbol" w:hAnsi="Symbol" w:hint="default"/>
      </w:rPr>
    </w:lvl>
    <w:lvl w:ilvl="7" w:tplc="FFFFFFFF">
      <w:start w:val="1"/>
      <w:numFmt w:val="bullet"/>
      <w:lvlText w:val="o"/>
      <w:lvlJc w:val="left"/>
      <w:pPr>
        <w:ind w:left="6192" w:hanging="360"/>
      </w:pPr>
      <w:rPr>
        <w:rFonts w:ascii="Courier New" w:hAnsi="Courier New" w:cs="Courier New" w:hint="default"/>
      </w:rPr>
    </w:lvl>
    <w:lvl w:ilvl="8" w:tplc="FFFFFFFF">
      <w:start w:val="1"/>
      <w:numFmt w:val="bullet"/>
      <w:lvlText w:val=""/>
      <w:lvlJc w:val="left"/>
      <w:pPr>
        <w:ind w:left="6912" w:hanging="360"/>
      </w:pPr>
      <w:rPr>
        <w:rFonts w:ascii="Wingdings" w:hAnsi="Wingdings" w:hint="default"/>
      </w:rPr>
    </w:lvl>
  </w:abstractNum>
  <w:abstractNum w:abstractNumId="16" w15:restartNumberingAfterBreak="0">
    <w:nsid w:val="5FD377BB"/>
    <w:multiLevelType w:val="multilevel"/>
    <w:tmpl w:val="F60818AE"/>
    <w:lvl w:ilvl="0">
      <w:start w:val="1"/>
      <w:numFmt w:val="decimal"/>
      <w:lvlText w:val="%1."/>
      <w:lvlJc w:val="left"/>
      <w:pPr>
        <w:ind w:left="768" w:hanging="408"/>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15:restartNumberingAfterBreak="0">
    <w:nsid w:val="6C7E5C44"/>
    <w:multiLevelType w:val="multilevel"/>
    <w:tmpl w:val="ABDC8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B534BA"/>
    <w:multiLevelType w:val="hybridMultilevel"/>
    <w:tmpl w:val="0CF6AAC4"/>
    <w:lvl w:ilvl="0" w:tplc="0409000F">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16cid:durableId="563174743">
    <w:abstractNumId w:val="3"/>
  </w:num>
  <w:num w:numId="2" w16cid:durableId="1814640174">
    <w:abstractNumId w:val="10"/>
  </w:num>
  <w:num w:numId="3" w16cid:durableId="1484155584">
    <w:abstractNumId w:val="9"/>
  </w:num>
  <w:num w:numId="4" w16cid:durableId="1237128198">
    <w:abstractNumId w:val="14"/>
  </w:num>
  <w:num w:numId="5" w16cid:durableId="1871068900">
    <w:abstractNumId w:val="5"/>
  </w:num>
  <w:num w:numId="6" w16cid:durableId="1959723349">
    <w:abstractNumId w:val="5"/>
  </w:num>
  <w:num w:numId="7" w16cid:durableId="1457990053">
    <w:abstractNumId w:val="5"/>
  </w:num>
  <w:num w:numId="8" w16cid:durableId="1520967555">
    <w:abstractNumId w:val="5"/>
  </w:num>
  <w:num w:numId="9" w16cid:durableId="174811159">
    <w:abstractNumId w:val="5"/>
  </w:num>
  <w:num w:numId="10" w16cid:durableId="2030988137">
    <w:abstractNumId w:val="5"/>
  </w:num>
  <w:num w:numId="11" w16cid:durableId="2082284854">
    <w:abstractNumId w:val="5"/>
  </w:num>
  <w:num w:numId="12" w16cid:durableId="971785175">
    <w:abstractNumId w:val="5"/>
  </w:num>
  <w:num w:numId="13" w16cid:durableId="1270505543">
    <w:abstractNumId w:val="5"/>
  </w:num>
  <w:num w:numId="14" w16cid:durableId="1748116825">
    <w:abstractNumId w:val="5"/>
  </w:num>
  <w:num w:numId="15" w16cid:durableId="1339892382">
    <w:abstractNumId w:val="15"/>
    <w:lvlOverride w:ilvl="0">
      <w:startOverride w:val="1"/>
    </w:lvlOverride>
    <w:lvlOverride w:ilvl="1"/>
    <w:lvlOverride w:ilvl="2"/>
    <w:lvlOverride w:ilvl="3"/>
    <w:lvlOverride w:ilvl="4"/>
    <w:lvlOverride w:ilvl="5"/>
    <w:lvlOverride w:ilvl="6"/>
    <w:lvlOverride w:ilvl="7"/>
    <w:lvlOverride w:ilvl="8"/>
  </w:num>
  <w:num w:numId="16" w16cid:durableId="76311205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232234372">
    <w:abstractNumId w:val="15"/>
  </w:num>
  <w:num w:numId="18" w16cid:durableId="1949963556">
    <w:abstractNumId w:val="18"/>
  </w:num>
  <w:num w:numId="19" w16cid:durableId="1857033715">
    <w:abstractNumId w:val="0"/>
  </w:num>
  <w:num w:numId="20" w16cid:durableId="841041537">
    <w:abstractNumId w:val="2"/>
  </w:num>
  <w:num w:numId="21" w16cid:durableId="1145656680">
    <w:abstractNumId w:val="13"/>
  </w:num>
  <w:num w:numId="22" w16cid:durableId="1299336773">
    <w:abstractNumId w:val="17"/>
  </w:num>
  <w:num w:numId="23" w16cid:durableId="10837259">
    <w:abstractNumId w:val="12"/>
  </w:num>
  <w:num w:numId="24" w16cid:durableId="1005286995">
    <w:abstractNumId w:val="6"/>
  </w:num>
  <w:num w:numId="25" w16cid:durableId="1712997053">
    <w:abstractNumId w:val="16"/>
    <w:lvlOverride w:ilvl="0">
      <w:startOverride w:val="1"/>
    </w:lvlOverride>
    <w:lvlOverride w:ilvl="1"/>
    <w:lvlOverride w:ilvl="2"/>
    <w:lvlOverride w:ilvl="3"/>
    <w:lvlOverride w:ilvl="4"/>
    <w:lvlOverride w:ilvl="5"/>
    <w:lvlOverride w:ilvl="6"/>
    <w:lvlOverride w:ilvl="7"/>
    <w:lvlOverride w:ilvl="8"/>
  </w:num>
  <w:num w:numId="26" w16cid:durableId="72641782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887689214">
    <w:abstractNumId w:val="8"/>
  </w:num>
  <w:num w:numId="28" w16cid:durableId="1876383754">
    <w:abstractNumId w:val="11"/>
  </w:num>
  <w:num w:numId="29" w16cid:durableId="377970875">
    <w:abstractNumId w:val="7"/>
  </w:num>
  <w:num w:numId="30" w16cid:durableId="13556936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1EB6"/>
    <w:rsid w:val="00006562"/>
    <w:rsid w:val="0000695C"/>
    <w:rsid w:val="00023C1D"/>
    <w:rsid w:val="000245C4"/>
    <w:rsid w:val="00025DE6"/>
    <w:rsid w:val="00026AA8"/>
    <w:rsid w:val="000327D9"/>
    <w:rsid w:val="000336AF"/>
    <w:rsid w:val="00044EBD"/>
    <w:rsid w:val="00045FFD"/>
    <w:rsid w:val="00050EB0"/>
    <w:rsid w:val="00053ECC"/>
    <w:rsid w:val="00054353"/>
    <w:rsid w:val="0005635E"/>
    <w:rsid w:val="0007105C"/>
    <w:rsid w:val="00073282"/>
    <w:rsid w:val="00075149"/>
    <w:rsid w:val="000812D7"/>
    <w:rsid w:val="000823A9"/>
    <w:rsid w:val="00086105"/>
    <w:rsid w:val="000934FE"/>
    <w:rsid w:val="000A1170"/>
    <w:rsid w:val="000D7BDD"/>
    <w:rsid w:val="000E34B1"/>
    <w:rsid w:val="000E67B0"/>
    <w:rsid w:val="000F33D7"/>
    <w:rsid w:val="000F7BA6"/>
    <w:rsid w:val="00110437"/>
    <w:rsid w:val="0011433A"/>
    <w:rsid w:val="00114BA2"/>
    <w:rsid w:val="00116FF3"/>
    <w:rsid w:val="001205E3"/>
    <w:rsid w:val="00123928"/>
    <w:rsid w:val="00124D19"/>
    <w:rsid w:val="001263B3"/>
    <w:rsid w:val="00131052"/>
    <w:rsid w:val="00131195"/>
    <w:rsid w:val="00132628"/>
    <w:rsid w:val="00134673"/>
    <w:rsid w:val="0013528E"/>
    <w:rsid w:val="00136A7C"/>
    <w:rsid w:val="001447EC"/>
    <w:rsid w:val="00144854"/>
    <w:rsid w:val="00144F55"/>
    <w:rsid w:val="00146BF1"/>
    <w:rsid w:val="00150228"/>
    <w:rsid w:val="001552EF"/>
    <w:rsid w:val="001557CE"/>
    <w:rsid w:val="001575A8"/>
    <w:rsid w:val="00160182"/>
    <w:rsid w:val="00162D5E"/>
    <w:rsid w:val="00173913"/>
    <w:rsid w:val="00173CA7"/>
    <w:rsid w:val="00177CC9"/>
    <w:rsid w:val="001810E8"/>
    <w:rsid w:val="00183867"/>
    <w:rsid w:val="0018464E"/>
    <w:rsid w:val="0018485B"/>
    <w:rsid w:val="0018489B"/>
    <w:rsid w:val="00184F98"/>
    <w:rsid w:val="00190813"/>
    <w:rsid w:val="00196F7D"/>
    <w:rsid w:val="001B056D"/>
    <w:rsid w:val="001B0F28"/>
    <w:rsid w:val="001B1D02"/>
    <w:rsid w:val="001C774D"/>
    <w:rsid w:val="001D1CA2"/>
    <w:rsid w:val="001E4CD8"/>
    <w:rsid w:val="001F2018"/>
    <w:rsid w:val="001F7590"/>
    <w:rsid w:val="0020193B"/>
    <w:rsid w:val="00201F8E"/>
    <w:rsid w:val="002033FB"/>
    <w:rsid w:val="00215254"/>
    <w:rsid w:val="00220990"/>
    <w:rsid w:val="00221B94"/>
    <w:rsid w:val="00222CDA"/>
    <w:rsid w:val="002267A7"/>
    <w:rsid w:val="0023531B"/>
    <w:rsid w:val="00245F03"/>
    <w:rsid w:val="00253B08"/>
    <w:rsid w:val="00257E8E"/>
    <w:rsid w:val="00263943"/>
    <w:rsid w:val="00266A9B"/>
    <w:rsid w:val="00270A2E"/>
    <w:rsid w:val="00274CCD"/>
    <w:rsid w:val="0027595A"/>
    <w:rsid w:val="00281D09"/>
    <w:rsid w:val="00290907"/>
    <w:rsid w:val="00295FB2"/>
    <w:rsid w:val="00297961"/>
    <w:rsid w:val="002A140E"/>
    <w:rsid w:val="002A2A73"/>
    <w:rsid w:val="002A5B23"/>
    <w:rsid w:val="002A741A"/>
    <w:rsid w:val="002B420F"/>
    <w:rsid w:val="002B796F"/>
    <w:rsid w:val="002C44B0"/>
    <w:rsid w:val="002D3337"/>
    <w:rsid w:val="002D36C3"/>
    <w:rsid w:val="002D4F29"/>
    <w:rsid w:val="002D7DA5"/>
    <w:rsid w:val="002E13D7"/>
    <w:rsid w:val="002E5DC2"/>
    <w:rsid w:val="002E6C92"/>
    <w:rsid w:val="002E7258"/>
    <w:rsid w:val="002F35B3"/>
    <w:rsid w:val="002F3D87"/>
    <w:rsid w:val="002F65AD"/>
    <w:rsid w:val="002F765A"/>
    <w:rsid w:val="00300BFD"/>
    <w:rsid w:val="00303EAD"/>
    <w:rsid w:val="00311D74"/>
    <w:rsid w:val="00316906"/>
    <w:rsid w:val="00331060"/>
    <w:rsid w:val="00333A4C"/>
    <w:rsid w:val="003344CF"/>
    <w:rsid w:val="003358E7"/>
    <w:rsid w:val="003379CD"/>
    <w:rsid w:val="003400F8"/>
    <w:rsid w:val="003463E2"/>
    <w:rsid w:val="00356DF5"/>
    <w:rsid w:val="00357FC2"/>
    <w:rsid w:val="00360CEC"/>
    <w:rsid w:val="0036206F"/>
    <w:rsid w:val="00365D07"/>
    <w:rsid w:val="0036662F"/>
    <w:rsid w:val="00367681"/>
    <w:rsid w:val="00376456"/>
    <w:rsid w:val="0037671D"/>
    <w:rsid w:val="00391EB6"/>
    <w:rsid w:val="003945BC"/>
    <w:rsid w:val="003A1846"/>
    <w:rsid w:val="003B099C"/>
    <w:rsid w:val="003C08E6"/>
    <w:rsid w:val="003C29CF"/>
    <w:rsid w:val="003D367C"/>
    <w:rsid w:val="003D69FC"/>
    <w:rsid w:val="003E07D0"/>
    <w:rsid w:val="003E52DE"/>
    <w:rsid w:val="003F2E67"/>
    <w:rsid w:val="00416852"/>
    <w:rsid w:val="00420B3B"/>
    <w:rsid w:val="0042410A"/>
    <w:rsid w:val="00425D9D"/>
    <w:rsid w:val="00427090"/>
    <w:rsid w:val="00430A11"/>
    <w:rsid w:val="00431C43"/>
    <w:rsid w:val="004356A4"/>
    <w:rsid w:val="004505F9"/>
    <w:rsid w:val="00464BB6"/>
    <w:rsid w:val="004724F8"/>
    <w:rsid w:val="00481E3B"/>
    <w:rsid w:val="004967D8"/>
    <w:rsid w:val="004A1753"/>
    <w:rsid w:val="004A2B2B"/>
    <w:rsid w:val="004A42C5"/>
    <w:rsid w:val="004B0E8E"/>
    <w:rsid w:val="004B32A2"/>
    <w:rsid w:val="004B38F7"/>
    <w:rsid w:val="004C0955"/>
    <w:rsid w:val="004C26D6"/>
    <w:rsid w:val="004C498E"/>
    <w:rsid w:val="004C5F89"/>
    <w:rsid w:val="004C6B06"/>
    <w:rsid w:val="004C7E07"/>
    <w:rsid w:val="004D36B1"/>
    <w:rsid w:val="004D518A"/>
    <w:rsid w:val="004D55B6"/>
    <w:rsid w:val="004D602A"/>
    <w:rsid w:val="004E1E89"/>
    <w:rsid w:val="004E1F0F"/>
    <w:rsid w:val="004E2DCA"/>
    <w:rsid w:val="004E4695"/>
    <w:rsid w:val="004F1254"/>
    <w:rsid w:val="004F7621"/>
    <w:rsid w:val="00505BFF"/>
    <w:rsid w:val="00507E0D"/>
    <w:rsid w:val="005124A1"/>
    <w:rsid w:val="00515587"/>
    <w:rsid w:val="00521270"/>
    <w:rsid w:val="005413D5"/>
    <w:rsid w:val="00542821"/>
    <w:rsid w:val="00551FE5"/>
    <w:rsid w:val="00573080"/>
    <w:rsid w:val="00573D28"/>
    <w:rsid w:val="00575EFC"/>
    <w:rsid w:val="00576B56"/>
    <w:rsid w:val="00582568"/>
    <w:rsid w:val="00586DF9"/>
    <w:rsid w:val="00587916"/>
    <w:rsid w:val="005B0BEF"/>
    <w:rsid w:val="005B7853"/>
    <w:rsid w:val="005B7E0A"/>
    <w:rsid w:val="005C5F43"/>
    <w:rsid w:val="005C6A89"/>
    <w:rsid w:val="005C6AAA"/>
    <w:rsid w:val="005C79DD"/>
    <w:rsid w:val="005D2AE4"/>
    <w:rsid w:val="005E358F"/>
    <w:rsid w:val="005E4203"/>
    <w:rsid w:val="005F3C84"/>
    <w:rsid w:val="005F3D73"/>
    <w:rsid w:val="005F5508"/>
    <w:rsid w:val="00600127"/>
    <w:rsid w:val="0060189B"/>
    <w:rsid w:val="00612428"/>
    <w:rsid w:val="00613033"/>
    <w:rsid w:val="00613767"/>
    <w:rsid w:val="00616036"/>
    <w:rsid w:val="00625F21"/>
    <w:rsid w:val="00630355"/>
    <w:rsid w:val="00632EC9"/>
    <w:rsid w:val="00642FB6"/>
    <w:rsid w:val="00644DD1"/>
    <w:rsid w:val="006471DD"/>
    <w:rsid w:val="006514D2"/>
    <w:rsid w:val="00656E91"/>
    <w:rsid w:val="00662D3A"/>
    <w:rsid w:val="006651AC"/>
    <w:rsid w:val="006950FB"/>
    <w:rsid w:val="006A6E25"/>
    <w:rsid w:val="006B0A27"/>
    <w:rsid w:val="006B3DF2"/>
    <w:rsid w:val="006B3F18"/>
    <w:rsid w:val="006B5A34"/>
    <w:rsid w:val="006C2E8F"/>
    <w:rsid w:val="006C65F5"/>
    <w:rsid w:val="006F3C1C"/>
    <w:rsid w:val="006F3C8C"/>
    <w:rsid w:val="006F6CEE"/>
    <w:rsid w:val="0070287A"/>
    <w:rsid w:val="00702AB6"/>
    <w:rsid w:val="0071021E"/>
    <w:rsid w:val="00710716"/>
    <w:rsid w:val="007204EC"/>
    <w:rsid w:val="00721358"/>
    <w:rsid w:val="0072303F"/>
    <w:rsid w:val="007344A1"/>
    <w:rsid w:val="0073623E"/>
    <w:rsid w:val="007400C9"/>
    <w:rsid w:val="00750EE3"/>
    <w:rsid w:val="00763434"/>
    <w:rsid w:val="00764D6C"/>
    <w:rsid w:val="00766A16"/>
    <w:rsid w:val="0077475B"/>
    <w:rsid w:val="00774DDD"/>
    <w:rsid w:val="00777B7D"/>
    <w:rsid w:val="00781A44"/>
    <w:rsid w:val="00783B53"/>
    <w:rsid w:val="00784DDC"/>
    <w:rsid w:val="00786750"/>
    <w:rsid w:val="00787BE5"/>
    <w:rsid w:val="0079224E"/>
    <w:rsid w:val="007A6353"/>
    <w:rsid w:val="007B1503"/>
    <w:rsid w:val="007C1595"/>
    <w:rsid w:val="007C2BE7"/>
    <w:rsid w:val="007C525D"/>
    <w:rsid w:val="007C5573"/>
    <w:rsid w:val="007E0A19"/>
    <w:rsid w:val="007E43CB"/>
    <w:rsid w:val="007E64DB"/>
    <w:rsid w:val="007F790A"/>
    <w:rsid w:val="008000E0"/>
    <w:rsid w:val="008019B4"/>
    <w:rsid w:val="0080206B"/>
    <w:rsid w:val="00817118"/>
    <w:rsid w:val="00825156"/>
    <w:rsid w:val="008269FA"/>
    <w:rsid w:val="00826C4D"/>
    <w:rsid w:val="00833F2A"/>
    <w:rsid w:val="00836D99"/>
    <w:rsid w:val="00842E62"/>
    <w:rsid w:val="0084454D"/>
    <w:rsid w:val="00852E01"/>
    <w:rsid w:val="00853372"/>
    <w:rsid w:val="00864325"/>
    <w:rsid w:val="00865F87"/>
    <w:rsid w:val="008720EE"/>
    <w:rsid w:val="00886CA0"/>
    <w:rsid w:val="00886DBA"/>
    <w:rsid w:val="00895FD5"/>
    <w:rsid w:val="00896005"/>
    <w:rsid w:val="008B6088"/>
    <w:rsid w:val="008B716E"/>
    <w:rsid w:val="008B75B9"/>
    <w:rsid w:val="008B7779"/>
    <w:rsid w:val="008C5097"/>
    <w:rsid w:val="008C6233"/>
    <w:rsid w:val="008E2284"/>
    <w:rsid w:val="008E5B2C"/>
    <w:rsid w:val="008F01BE"/>
    <w:rsid w:val="008F1273"/>
    <w:rsid w:val="008F78FC"/>
    <w:rsid w:val="00903D96"/>
    <w:rsid w:val="00903E37"/>
    <w:rsid w:val="00913E1C"/>
    <w:rsid w:val="00917756"/>
    <w:rsid w:val="00917E8A"/>
    <w:rsid w:val="00920740"/>
    <w:rsid w:val="00921E6C"/>
    <w:rsid w:val="00924AC3"/>
    <w:rsid w:val="009314FB"/>
    <w:rsid w:val="0093397D"/>
    <w:rsid w:val="00934FB7"/>
    <w:rsid w:val="00935F51"/>
    <w:rsid w:val="009400C6"/>
    <w:rsid w:val="009437CA"/>
    <w:rsid w:val="00945344"/>
    <w:rsid w:val="009462E1"/>
    <w:rsid w:val="00953689"/>
    <w:rsid w:val="00957D2C"/>
    <w:rsid w:val="0096254D"/>
    <w:rsid w:val="00971E7B"/>
    <w:rsid w:val="00972F0F"/>
    <w:rsid w:val="0097548D"/>
    <w:rsid w:val="00981A13"/>
    <w:rsid w:val="00983A75"/>
    <w:rsid w:val="009847AB"/>
    <w:rsid w:val="009865E1"/>
    <w:rsid w:val="00990C76"/>
    <w:rsid w:val="00991B44"/>
    <w:rsid w:val="009A01FF"/>
    <w:rsid w:val="009A3886"/>
    <w:rsid w:val="009B0640"/>
    <w:rsid w:val="009B22E1"/>
    <w:rsid w:val="009B2427"/>
    <w:rsid w:val="009B4996"/>
    <w:rsid w:val="009C3E60"/>
    <w:rsid w:val="009C3E91"/>
    <w:rsid w:val="009D14F8"/>
    <w:rsid w:val="009D3348"/>
    <w:rsid w:val="009E302C"/>
    <w:rsid w:val="009E6AA3"/>
    <w:rsid w:val="009F474D"/>
    <w:rsid w:val="009F7F38"/>
    <w:rsid w:val="00A0131F"/>
    <w:rsid w:val="00A135B1"/>
    <w:rsid w:val="00A15DA7"/>
    <w:rsid w:val="00A248A7"/>
    <w:rsid w:val="00A31AA9"/>
    <w:rsid w:val="00A361D7"/>
    <w:rsid w:val="00A36771"/>
    <w:rsid w:val="00A40718"/>
    <w:rsid w:val="00A430EC"/>
    <w:rsid w:val="00A44C11"/>
    <w:rsid w:val="00A4691E"/>
    <w:rsid w:val="00A57D1B"/>
    <w:rsid w:val="00A7080E"/>
    <w:rsid w:val="00A82EBE"/>
    <w:rsid w:val="00A85E77"/>
    <w:rsid w:val="00A90D95"/>
    <w:rsid w:val="00A93049"/>
    <w:rsid w:val="00A9343B"/>
    <w:rsid w:val="00A94E97"/>
    <w:rsid w:val="00A9674A"/>
    <w:rsid w:val="00AA4D7F"/>
    <w:rsid w:val="00AA53DC"/>
    <w:rsid w:val="00AA5CDC"/>
    <w:rsid w:val="00AB1546"/>
    <w:rsid w:val="00AB6AC0"/>
    <w:rsid w:val="00AD7BAC"/>
    <w:rsid w:val="00AE5923"/>
    <w:rsid w:val="00AF097C"/>
    <w:rsid w:val="00AF2194"/>
    <w:rsid w:val="00AF27AD"/>
    <w:rsid w:val="00AF32C6"/>
    <w:rsid w:val="00B02494"/>
    <w:rsid w:val="00B05905"/>
    <w:rsid w:val="00B069E4"/>
    <w:rsid w:val="00B07D93"/>
    <w:rsid w:val="00B14817"/>
    <w:rsid w:val="00B15BE6"/>
    <w:rsid w:val="00B20C35"/>
    <w:rsid w:val="00B20E80"/>
    <w:rsid w:val="00B267C5"/>
    <w:rsid w:val="00B3099C"/>
    <w:rsid w:val="00B36A79"/>
    <w:rsid w:val="00B37A65"/>
    <w:rsid w:val="00B40521"/>
    <w:rsid w:val="00B43AF1"/>
    <w:rsid w:val="00B4409F"/>
    <w:rsid w:val="00B45F51"/>
    <w:rsid w:val="00B46FF9"/>
    <w:rsid w:val="00B50265"/>
    <w:rsid w:val="00B55361"/>
    <w:rsid w:val="00B55608"/>
    <w:rsid w:val="00B564FB"/>
    <w:rsid w:val="00B56C66"/>
    <w:rsid w:val="00B67FB8"/>
    <w:rsid w:val="00B716BD"/>
    <w:rsid w:val="00B84E2B"/>
    <w:rsid w:val="00B85D20"/>
    <w:rsid w:val="00B8670E"/>
    <w:rsid w:val="00B87834"/>
    <w:rsid w:val="00B9447F"/>
    <w:rsid w:val="00B95016"/>
    <w:rsid w:val="00B95693"/>
    <w:rsid w:val="00BA23F4"/>
    <w:rsid w:val="00BA2416"/>
    <w:rsid w:val="00BA25E8"/>
    <w:rsid w:val="00BB0BAA"/>
    <w:rsid w:val="00BC1D7B"/>
    <w:rsid w:val="00BD0912"/>
    <w:rsid w:val="00BD6A96"/>
    <w:rsid w:val="00BE04DD"/>
    <w:rsid w:val="00BE0886"/>
    <w:rsid w:val="00BE7CC6"/>
    <w:rsid w:val="00BF4FD7"/>
    <w:rsid w:val="00BF52C5"/>
    <w:rsid w:val="00BF5946"/>
    <w:rsid w:val="00BF6B13"/>
    <w:rsid w:val="00C06EEA"/>
    <w:rsid w:val="00C1168F"/>
    <w:rsid w:val="00C1191D"/>
    <w:rsid w:val="00C23EB3"/>
    <w:rsid w:val="00C23EC2"/>
    <w:rsid w:val="00C2426C"/>
    <w:rsid w:val="00C352FF"/>
    <w:rsid w:val="00C47275"/>
    <w:rsid w:val="00C5312A"/>
    <w:rsid w:val="00C57E74"/>
    <w:rsid w:val="00C61BF8"/>
    <w:rsid w:val="00C76992"/>
    <w:rsid w:val="00C77887"/>
    <w:rsid w:val="00C77B6C"/>
    <w:rsid w:val="00C807F6"/>
    <w:rsid w:val="00C838E4"/>
    <w:rsid w:val="00C83E04"/>
    <w:rsid w:val="00C84A05"/>
    <w:rsid w:val="00C9153F"/>
    <w:rsid w:val="00C93844"/>
    <w:rsid w:val="00C94426"/>
    <w:rsid w:val="00C955B0"/>
    <w:rsid w:val="00CA377E"/>
    <w:rsid w:val="00CA64EF"/>
    <w:rsid w:val="00CB5157"/>
    <w:rsid w:val="00CD2430"/>
    <w:rsid w:val="00CE049F"/>
    <w:rsid w:val="00CE25E7"/>
    <w:rsid w:val="00CE30FD"/>
    <w:rsid w:val="00CE5E89"/>
    <w:rsid w:val="00CE653C"/>
    <w:rsid w:val="00CE6882"/>
    <w:rsid w:val="00CF065A"/>
    <w:rsid w:val="00CF103F"/>
    <w:rsid w:val="00D023C5"/>
    <w:rsid w:val="00D02E6D"/>
    <w:rsid w:val="00D03F60"/>
    <w:rsid w:val="00D07F91"/>
    <w:rsid w:val="00D235D8"/>
    <w:rsid w:val="00D2412E"/>
    <w:rsid w:val="00D25F17"/>
    <w:rsid w:val="00D320CB"/>
    <w:rsid w:val="00D478F9"/>
    <w:rsid w:val="00D52EDC"/>
    <w:rsid w:val="00D53504"/>
    <w:rsid w:val="00D61CE6"/>
    <w:rsid w:val="00D620EE"/>
    <w:rsid w:val="00D6276F"/>
    <w:rsid w:val="00D643DA"/>
    <w:rsid w:val="00D64501"/>
    <w:rsid w:val="00D65A48"/>
    <w:rsid w:val="00D66FDF"/>
    <w:rsid w:val="00D72408"/>
    <w:rsid w:val="00D72C59"/>
    <w:rsid w:val="00D776D1"/>
    <w:rsid w:val="00D80451"/>
    <w:rsid w:val="00D80EDD"/>
    <w:rsid w:val="00D8328F"/>
    <w:rsid w:val="00D854E9"/>
    <w:rsid w:val="00D864CA"/>
    <w:rsid w:val="00D86557"/>
    <w:rsid w:val="00D870C0"/>
    <w:rsid w:val="00DA4B3A"/>
    <w:rsid w:val="00DA6645"/>
    <w:rsid w:val="00DB11F2"/>
    <w:rsid w:val="00DB7E38"/>
    <w:rsid w:val="00DC0142"/>
    <w:rsid w:val="00DD0977"/>
    <w:rsid w:val="00DD1231"/>
    <w:rsid w:val="00DE049A"/>
    <w:rsid w:val="00DE087B"/>
    <w:rsid w:val="00DE38FA"/>
    <w:rsid w:val="00DE4530"/>
    <w:rsid w:val="00DE4753"/>
    <w:rsid w:val="00DF19BC"/>
    <w:rsid w:val="00DF5153"/>
    <w:rsid w:val="00E10932"/>
    <w:rsid w:val="00E12FAC"/>
    <w:rsid w:val="00E16323"/>
    <w:rsid w:val="00E35615"/>
    <w:rsid w:val="00E3596B"/>
    <w:rsid w:val="00E51032"/>
    <w:rsid w:val="00E53F87"/>
    <w:rsid w:val="00E578B4"/>
    <w:rsid w:val="00E62D38"/>
    <w:rsid w:val="00E66708"/>
    <w:rsid w:val="00E6722A"/>
    <w:rsid w:val="00E72D74"/>
    <w:rsid w:val="00E83E7F"/>
    <w:rsid w:val="00E8587F"/>
    <w:rsid w:val="00E919EE"/>
    <w:rsid w:val="00E94AFA"/>
    <w:rsid w:val="00EA5B5B"/>
    <w:rsid w:val="00EB59EF"/>
    <w:rsid w:val="00ED388B"/>
    <w:rsid w:val="00ED5F34"/>
    <w:rsid w:val="00EF1B95"/>
    <w:rsid w:val="00EF4A9F"/>
    <w:rsid w:val="00F01025"/>
    <w:rsid w:val="00F10401"/>
    <w:rsid w:val="00F10EA3"/>
    <w:rsid w:val="00F12EE2"/>
    <w:rsid w:val="00F145C9"/>
    <w:rsid w:val="00F16CAD"/>
    <w:rsid w:val="00F22389"/>
    <w:rsid w:val="00F22F35"/>
    <w:rsid w:val="00F26110"/>
    <w:rsid w:val="00F279CD"/>
    <w:rsid w:val="00F312F1"/>
    <w:rsid w:val="00F318E4"/>
    <w:rsid w:val="00F34DBE"/>
    <w:rsid w:val="00F35082"/>
    <w:rsid w:val="00F527C8"/>
    <w:rsid w:val="00F721FC"/>
    <w:rsid w:val="00F83B24"/>
    <w:rsid w:val="00F87FEA"/>
    <w:rsid w:val="00F97B39"/>
    <w:rsid w:val="00F97E6E"/>
    <w:rsid w:val="00FA2B67"/>
    <w:rsid w:val="00FA4D12"/>
    <w:rsid w:val="00FA5583"/>
    <w:rsid w:val="00FB3D87"/>
    <w:rsid w:val="00FC1EA2"/>
    <w:rsid w:val="00FC44CB"/>
    <w:rsid w:val="00FD342C"/>
    <w:rsid w:val="00FE29C3"/>
    <w:rsid w:val="00FF20B6"/>
    <w:rsid w:val="00FF254F"/>
    <w:rsid w:val="00FF39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DBD9B2"/>
  <w15:chartTrackingRefBased/>
  <w15:docId w15:val="{9D54C2D9-8B37-4085-B1D2-C29ABCA3F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AC0"/>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E16323"/>
    <w:pPr>
      <w:keepNext/>
      <w:keepLines/>
      <w:numPr>
        <w:numId w:val="14"/>
      </w:numPr>
      <w:pBdr>
        <w:bottom w:val="single" w:sz="4" w:space="1" w:color="595959" w:themeColor="text1" w:themeTint="A6"/>
      </w:pBdr>
      <w:jc w:val="center"/>
      <w:outlineLvl w:val="0"/>
    </w:pPr>
    <w:rPr>
      <w:rFonts w:eastAsiaTheme="majorEastAsia" w:cstheme="majorBidi"/>
      <w:b/>
      <w:bCs/>
      <w:smallCaps/>
      <w:color w:val="0070C0"/>
      <w:sz w:val="32"/>
      <w:szCs w:val="36"/>
    </w:rPr>
  </w:style>
  <w:style w:type="paragraph" w:styleId="Heading2">
    <w:name w:val="heading 2"/>
    <w:basedOn w:val="Normal"/>
    <w:next w:val="Normal"/>
    <w:link w:val="Heading2Char"/>
    <w:uiPriority w:val="9"/>
    <w:unhideWhenUsed/>
    <w:qFormat/>
    <w:rsid w:val="00E16323"/>
    <w:pPr>
      <w:keepNext/>
      <w:keepLines/>
      <w:numPr>
        <w:ilvl w:val="1"/>
        <w:numId w:val="14"/>
      </w:numPr>
      <w:outlineLvl w:val="1"/>
    </w:pPr>
    <w:rPr>
      <w:rFonts w:eastAsiaTheme="majorEastAsia" w:cstheme="majorBidi"/>
      <w:bCs/>
      <w:color w:val="0070C0"/>
      <w:sz w:val="30"/>
      <w:szCs w:val="28"/>
    </w:rPr>
  </w:style>
  <w:style w:type="paragraph" w:styleId="Heading3">
    <w:name w:val="heading 3"/>
    <w:basedOn w:val="Normal"/>
    <w:next w:val="Normal"/>
    <w:link w:val="Heading3Char"/>
    <w:uiPriority w:val="9"/>
    <w:unhideWhenUsed/>
    <w:qFormat/>
    <w:rsid w:val="00E16323"/>
    <w:pPr>
      <w:keepNext/>
      <w:keepLines/>
      <w:numPr>
        <w:ilvl w:val="2"/>
        <w:numId w:val="14"/>
      </w:numPr>
      <w:outlineLvl w:val="2"/>
    </w:pPr>
    <w:rPr>
      <w:rFonts w:eastAsiaTheme="majorEastAsia" w:cstheme="majorBidi"/>
      <w:bCs/>
      <w:color w:val="0070C0"/>
      <w:sz w:val="26"/>
    </w:rPr>
  </w:style>
  <w:style w:type="paragraph" w:styleId="Heading4">
    <w:name w:val="heading 4"/>
    <w:basedOn w:val="Normal"/>
    <w:next w:val="Normal"/>
    <w:link w:val="Heading4Char"/>
    <w:uiPriority w:val="9"/>
    <w:semiHidden/>
    <w:unhideWhenUsed/>
    <w:qFormat/>
    <w:rsid w:val="008C5097"/>
    <w:pPr>
      <w:keepNext/>
      <w:keepLines/>
      <w:numPr>
        <w:ilvl w:val="3"/>
        <w:numId w:val="14"/>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C5097"/>
    <w:pPr>
      <w:keepNext/>
      <w:keepLines/>
      <w:numPr>
        <w:ilvl w:val="4"/>
        <w:numId w:val="14"/>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8C5097"/>
    <w:pPr>
      <w:keepNext/>
      <w:keepLines/>
      <w:numPr>
        <w:ilvl w:val="5"/>
        <w:numId w:val="14"/>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C5097"/>
    <w:pPr>
      <w:keepNext/>
      <w:keepLines/>
      <w:numPr>
        <w:ilvl w:val="6"/>
        <w:numId w:val="1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C5097"/>
    <w:pPr>
      <w:keepNext/>
      <w:keepLines/>
      <w:numPr>
        <w:ilvl w:val="7"/>
        <w:numId w:val="1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C5097"/>
    <w:pPr>
      <w:keepNext/>
      <w:keepLines/>
      <w:numPr>
        <w:ilvl w:val="8"/>
        <w:numId w:val="1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1EB6"/>
    <w:pPr>
      <w:ind w:left="720"/>
      <w:contextualSpacing/>
    </w:pPr>
  </w:style>
  <w:style w:type="paragraph" w:customStyle="1" w:styleId="paragraph">
    <w:name w:val="paragraph"/>
    <w:basedOn w:val="Normal"/>
    <w:rsid w:val="003C08E6"/>
    <w:pPr>
      <w:spacing w:before="100" w:beforeAutospacing="1" w:after="100" w:afterAutospacing="1" w:line="240" w:lineRule="auto"/>
    </w:pPr>
    <w:rPr>
      <w:rFonts w:ascii="Times New Roman" w:eastAsia="Times New Roman" w:hAnsi="Times New Roman" w:cs="Times New Roman"/>
      <w:szCs w:val="24"/>
      <w:lang w:eastAsia="zh-CN"/>
    </w:rPr>
  </w:style>
  <w:style w:type="character" w:customStyle="1" w:styleId="normaltextrun">
    <w:name w:val="normaltextrun"/>
    <w:basedOn w:val="DefaultParagraphFont"/>
    <w:rsid w:val="003C08E6"/>
  </w:style>
  <w:style w:type="character" w:customStyle="1" w:styleId="eop">
    <w:name w:val="eop"/>
    <w:basedOn w:val="DefaultParagraphFont"/>
    <w:rsid w:val="003C08E6"/>
  </w:style>
  <w:style w:type="paragraph" w:styleId="Header">
    <w:name w:val="header"/>
    <w:basedOn w:val="Normal"/>
    <w:link w:val="HeaderChar"/>
    <w:uiPriority w:val="99"/>
    <w:unhideWhenUsed/>
    <w:rsid w:val="00177C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CC9"/>
  </w:style>
  <w:style w:type="paragraph" w:styleId="Footer">
    <w:name w:val="footer"/>
    <w:basedOn w:val="Normal"/>
    <w:link w:val="FooterChar"/>
    <w:uiPriority w:val="99"/>
    <w:unhideWhenUsed/>
    <w:rsid w:val="00177C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CC9"/>
  </w:style>
  <w:style w:type="character" w:customStyle="1" w:styleId="Heading1Char">
    <w:name w:val="Heading 1 Char"/>
    <w:basedOn w:val="DefaultParagraphFont"/>
    <w:link w:val="Heading1"/>
    <w:uiPriority w:val="9"/>
    <w:rsid w:val="00E16323"/>
    <w:rPr>
      <w:rFonts w:ascii="Arial" w:eastAsiaTheme="majorEastAsia" w:hAnsi="Arial" w:cstheme="majorBidi"/>
      <w:b/>
      <w:bCs/>
      <w:smallCaps/>
      <w:color w:val="0070C0"/>
      <w:sz w:val="32"/>
      <w:szCs w:val="36"/>
    </w:rPr>
  </w:style>
  <w:style w:type="character" w:customStyle="1" w:styleId="Heading2Char">
    <w:name w:val="Heading 2 Char"/>
    <w:basedOn w:val="DefaultParagraphFont"/>
    <w:link w:val="Heading2"/>
    <w:uiPriority w:val="9"/>
    <w:rsid w:val="00E16323"/>
    <w:rPr>
      <w:rFonts w:ascii="Arial" w:eastAsiaTheme="majorEastAsia" w:hAnsi="Arial" w:cstheme="majorBidi"/>
      <w:bCs/>
      <w:color w:val="0070C0"/>
      <w:sz w:val="30"/>
      <w:szCs w:val="28"/>
    </w:rPr>
  </w:style>
  <w:style w:type="character" w:customStyle="1" w:styleId="Heading3Char">
    <w:name w:val="Heading 3 Char"/>
    <w:basedOn w:val="DefaultParagraphFont"/>
    <w:link w:val="Heading3"/>
    <w:uiPriority w:val="9"/>
    <w:rsid w:val="00E16323"/>
    <w:rPr>
      <w:rFonts w:ascii="Arial" w:eastAsiaTheme="majorEastAsia" w:hAnsi="Arial" w:cstheme="majorBidi"/>
      <w:bCs/>
      <w:color w:val="0070C0"/>
      <w:sz w:val="26"/>
    </w:rPr>
  </w:style>
  <w:style w:type="character" w:customStyle="1" w:styleId="Heading4Char">
    <w:name w:val="Heading 4 Char"/>
    <w:basedOn w:val="DefaultParagraphFont"/>
    <w:link w:val="Heading4"/>
    <w:uiPriority w:val="9"/>
    <w:semiHidden/>
    <w:rsid w:val="008C509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C5097"/>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8C5097"/>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C509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C509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C509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8C509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C509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C509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C509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C5097"/>
    <w:rPr>
      <w:color w:val="5A5A5A" w:themeColor="text1" w:themeTint="A5"/>
      <w:spacing w:val="10"/>
    </w:rPr>
  </w:style>
  <w:style w:type="character" w:styleId="Strong">
    <w:name w:val="Strong"/>
    <w:basedOn w:val="DefaultParagraphFont"/>
    <w:uiPriority w:val="22"/>
    <w:qFormat/>
    <w:rsid w:val="008C5097"/>
    <w:rPr>
      <w:b/>
      <w:bCs/>
      <w:color w:val="000000" w:themeColor="text1"/>
    </w:rPr>
  </w:style>
  <w:style w:type="character" w:styleId="Emphasis">
    <w:name w:val="Emphasis"/>
    <w:basedOn w:val="DefaultParagraphFont"/>
    <w:uiPriority w:val="20"/>
    <w:qFormat/>
    <w:rsid w:val="008C5097"/>
    <w:rPr>
      <w:i/>
      <w:iCs/>
      <w:color w:val="auto"/>
    </w:rPr>
  </w:style>
  <w:style w:type="paragraph" w:styleId="NoSpacing">
    <w:name w:val="No Spacing"/>
    <w:uiPriority w:val="1"/>
    <w:qFormat/>
    <w:rsid w:val="001F7590"/>
    <w:pPr>
      <w:spacing w:after="0" w:line="360" w:lineRule="auto"/>
      <w:jc w:val="center"/>
    </w:pPr>
    <w:rPr>
      <w:rFonts w:asciiTheme="minorBidi" w:hAnsiTheme="minorBidi"/>
      <w:i/>
      <w:color w:val="1F4E79" w:themeColor="accent1" w:themeShade="80"/>
    </w:rPr>
  </w:style>
  <w:style w:type="paragraph" w:styleId="Quote">
    <w:name w:val="Quote"/>
    <w:basedOn w:val="Normal"/>
    <w:next w:val="Normal"/>
    <w:link w:val="QuoteChar"/>
    <w:uiPriority w:val="29"/>
    <w:qFormat/>
    <w:rsid w:val="008C5097"/>
    <w:pPr>
      <w:spacing w:before="160"/>
      <w:ind w:left="720" w:right="720"/>
    </w:pPr>
    <w:rPr>
      <w:i/>
      <w:iCs/>
      <w:color w:val="000000" w:themeColor="text1"/>
    </w:rPr>
  </w:style>
  <w:style w:type="character" w:customStyle="1" w:styleId="QuoteChar">
    <w:name w:val="Quote Char"/>
    <w:basedOn w:val="DefaultParagraphFont"/>
    <w:link w:val="Quote"/>
    <w:uiPriority w:val="29"/>
    <w:rsid w:val="008C5097"/>
    <w:rPr>
      <w:i/>
      <w:iCs/>
      <w:color w:val="000000" w:themeColor="text1"/>
    </w:rPr>
  </w:style>
  <w:style w:type="paragraph" w:styleId="IntenseQuote">
    <w:name w:val="Intense Quote"/>
    <w:basedOn w:val="Normal"/>
    <w:next w:val="Normal"/>
    <w:link w:val="IntenseQuoteChar"/>
    <w:uiPriority w:val="30"/>
    <w:qFormat/>
    <w:rsid w:val="008C509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C5097"/>
    <w:rPr>
      <w:color w:val="000000" w:themeColor="text1"/>
      <w:shd w:val="clear" w:color="auto" w:fill="F2F2F2" w:themeFill="background1" w:themeFillShade="F2"/>
    </w:rPr>
  </w:style>
  <w:style w:type="character" w:styleId="SubtleEmphasis">
    <w:name w:val="Subtle Emphasis"/>
    <w:basedOn w:val="DefaultParagraphFont"/>
    <w:uiPriority w:val="19"/>
    <w:qFormat/>
    <w:rsid w:val="008C5097"/>
    <w:rPr>
      <w:i/>
      <w:iCs/>
      <w:color w:val="404040" w:themeColor="text1" w:themeTint="BF"/>
    </w:rPr>
  </w:style>
  <w:style w:type="character" w:styleId="IntenseEmphasis">
    <w:name w:val="Intense Emphasis"/>
    <w:basedOn w:val="DefaultParagraphFont"/>
    <w:uiPriority w:val="21"/>
    <w:qFormat/>
    <w:rsid w:val="008C5097"/>
    <w:rPr>
      <w:b/>
      <w:bCs/>
      <w:i/>
      <w:iCs/>
      <w:caps/>
    </w:rPr>
  </w:style>
  <w:style w:type="character" w:styleId="SubtleReference">
    <w:name w:val="Subtle Reference"/>
    <w:basedOn w:val="DefaultParagraphFont"/>
    <w:uiPriority w:val="31"/>
    <w:qFormat/>
    <w:rsid w:val="008C509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C5097"/>
    <w:rPr>
      <w:b/>
      <w:bCs/>
      <w:smallCaps/>
      <w:u w:val="single"/>
    </w:rPr>
  </w:style>
  <w:style w:type="character" w:styleId="BookTitle">
    <w:name w:val="Book Title"/>
    <w:basedOn w:val="DefaultParagraphFont"/>
    <w:uiPriority w:val="33"/>
    <w:qFormat/>
    <w:rsid w:val="008C5097"/>
    <w:rPr>
      <w:b w:val="0"/>
      <w:bCs w:val="0"/>
      <w:smallCaps/>
      <w:spacing w:val="5"/>
    </w:rPr>
  </w:style>
  <w:style w:type="paragraph" w:styleId="TOCHeading">
    <w:name w:val="TOC Heading"/>
    <w:basedOn w:val="Heading1"/>
    <w:next w:val="Normal"/>
    <w:uiPriority w:val="39"/>
    <w:unhideWhenUsed/>
    <w:qFormat/>
    <w:rsid w:val="008C5097"/>
    <w:pPr>
      <w:outlineLvl w:val="9"/>
    </w:pPr>
  </w:style>
  <w:style w:type="paragraph" w:styleId="TOC2">
    <w:name w:val="toc 2"/>
    <w:basedOn w:val="Normal"/>
    <w:next w:val="Normal"/>
    <w:autoRedefine/>
    <w:uiPriority w:val="39"/>
    <w:unhideWhenUsed/>
    <w:rsid w:val="008C5097"/>
    <w:pPr>
      <w:spacing w:after="100"/>
      <w:ind w:left="220"/>
    </w:pPr>
    <w:rPr>
      <w:rFonts w:cs="Times New Roman"/>
      <w:lang w:val="en-US"/>
    </w:rPr>
  </w:style>
  <w:style w:type="paragraph" w:styleId="TOC1">
    <w:name w:val="toc 1"/>
    <w:basedOn w:val="Normal"/>
    <w:next w:val="Normal"/>
    <w:autoRedefine/>
    <w:uiPriority w:val="39"/>
    <w:unhideWhenUsed/>
    <w:rsid w:val="008C5097"/>
    <w:pPr>
      <w:spacing w:after="100"/>
    </w:pPr>
    <w:rPr>
      <w:rFonts w:cs="Times New Roman"/>
      <w:lang w:val="en-US"/>
    </w:rPr>
  </w:style>
  <w:style w:type="paragraph" w:styleId="TOC3">
    <w:name w:val="toc 3"/>
    <w:basedOn w:val="Normal"/>
    <w:next w:val="Normal"/>
    <w:autoRedefine/>
    <w:uiPriority w:val="39"/>
    <w:unhideWhenUsed/>
    <w:rsid w:val="008C5097"/>
    <w:pPr>
      <w:spacing w:after="100"/>
      <w:ind w:left="440"/>
    </w:pPr>
    <w:rPr>
      <w:rFonts w:cs="Times New Roman"/>
      <w:lang w:val="en-US"/>
    </w:rPr>
  </w:style>
  <w:style w:type="character" w:styleId="Hyperlink">
    <w:name w:val="Hyperlink"/>
    <w:basedOn w:val="DefaultParagraphFont"/>
    <w:uiPriority w:val="99"/>
    <w:unhideWhenUsed/>
    <w:rsid w:val="008C5097"/>
    <w:rPr>
      <w:color w:val="0563C1" w:themeColor="hyperlink"/>
      <w:u w:val="single"/>
    </w:rPr>
  </w:style>
  <w:style w:type="paragraph" w:styleId="NormalWeb">
    <w:name w:val="Normal (Web)"/>
    <w:basedOn w:val="Normal"/>
    <w:uiPriority w:val="99"/>
    <w:unhideWhenUsed/>
    <w:rsid w:val="00E578B4"/>
    <w:pPr>
      <w:spacing w:before="100" w:beforeAutospacing="1" w:after="100" w:afterAutospacing="1" w:line="240" w:lineRule="auto"/>
      <w:jc w:val="left"/>
    </w:pPr>
    <w:rPr>
      <w:rFonts w:ascii="Times New Roman" w:eastAsia="Times New Roman" w:hAnsi="Times New Roman" w:cs="Times New Roman"/>
      <w:szCs w:val="24"/>
      <w:lang w:val="en-US" w:eastAsia="zh-CN" w:bidi="bn-IN"/>
    </w:rPr>
  </w:style>
  <w:style w:type="character" w:styleId="UnresolvedMention">
    <w:name w:val="Unresolved Mention"/>
    <w:basedOn w:val="DefaultParagraphFont"/>
    <w:uiPriority w:val="99"/>
    <w:semiHidden/>
    <w:unhideWhenUsed/>
    <w:rsid w:val="00E578B4"/>
    <w:rPr>
      <w:color w:val="605E5C"/>
      <w:shd w:val="clear" w:color="auto" w:fill="E1DFDD"/>
    </w:rPr>
  </w:style>
  <w:style w:type="table" w:styleId="PlainTable2">
    <w:name w:val="Plain Table 2"/>
    <w:basedOn w:val="TableNormal"/>
    <w:uiPriority w:val="42"/>
    <w:rsid w:val="0061242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4D6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A6353"/>
    <w:pPr>
      <w:spacing w:after="0" w:line="240" w:lineRule="auto"/>
    </w:pPr>
    <w:rPr>
      <w:rFonts w:ascii="Calibri" w:eastAsia="Calibri" w:hAnsi="Calibri" w:cs="Calibri"/>
      <w:sz w:val="24"/>
      <w:szCs w:val="24"/>
      <w:lang w:val="en" w:eastAsia="zh-CN" w:bidi="bn-IN"/>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E228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TMLPreformatted">
    <w:name w:val="HTML Preformatted"/>
    <w:basedOn w:val="Normal"/>
    <w:link w:val="HTMLPreformattedChar"/>
    <w:uiPriority w:val="99"/>
    <w:semiHidden/>
    <w:unhideWhenUsed/>
    <w:rsid w:val="009462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left"/>
    </w:pPr>
    <w:rPr>
      <w:rFonts w:ascii="Courier New" w:eastAsia="Times New Roman" w:hAnsi="Courier New" w:cs="Courier New"/>
      <w:sz w:val="20"/>
      <w:szCs w:val="20"/>
      <w:lang w:val="en-US" w:eastAsia="zh-CN" w:bidi="bn-IN"/>
    </w:rPr>
  </w:style>
  <w:style w:type="character" w:customStyle="1" w:styleId="HTMLPreformattedChar">
    <w:name w:val="HTML Preformatted Char"/>
    <w:basedOn w:val="DefaultParagraphFont"/>
    <w:link w:val="HTMLPreformatted"/>
    <w:uiPriority w:val="99"/>
    <w:semiHidden/>
    <w:rsid w:val="009462E1"/>
    <w:rPr>
      <w:rFonts w:ascii="Courier New" w:eastAsia="Times New Roman" w:hAnsi="Courier New" w:cs="Courier New"/>
      <w:sz w:val="20"/>
      <w:szCs w:val="20"/>
      <w:lang w:val="en-US" w:eastAsia="zh-CN" w:bidi="bn-IN"/>
    </w:rPr>
  </w:style>
  <w:style w:type="character" w:styleId="HTMLCode">
    <w:name w:val="HTML Code"/>
    <w:basedOn w:val="DefaultParagraphFont"/>
    <w:uiPriority w:val="99"/>
    <w:semiHidden/>
    <w:unhideWhenUsed/>
    <w:rsid w:val="009462E1"/>
    <w:rPr>
      <w:rFonts w:ascii="Courier New" w:eastAsia="Times New Roman" w:hAnsi="Courier New" w:cs="Courier New"/>
      <w:sz w:val="20"/>
      <w:szCs w:val="20"/>
    </w:rPr>
  </w:style>
  <w:style w:type="table" w:styleId="PlainTable5">
    <w:name w:val="Plain Table 5"/>
    <w:basedOn w:val="TableNormal"/>
    <w:uiPriority w:val="45"/>
    <w:rsid w:val="009462E1"/>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4D36B1"/>
    <w:rPr>
      <w:sz w:val="16"/>
      <w:szCs w:val="16"/>
    </w:rPr>
  </w:style>
  <w:style w:type="paragraph" w:styleId="CommentText">
    <w:name w:val="annotation text"/>
    <w:basedOn w:val="Normal"/>
    <w:link w:val="CommentTextChar"/>
    <w:uiPriority w:val="99"/>
    <w:unhideWhenUsed/>
    <w:rsid w:val="004D36B1"/>
    <w:pPr>
      <w:spacing w:line="240" w:lineRule="auto"/>
    </w:pPr>
    <w:rPr>
      <w:sz w:val="20"/>
      <w:szCs w:val="20"/>
    </w:rPr>
  </w:style>
  <w:style w:type="character" w:customStyle="1" w:styleId="CommentTextChar">
    <w:name w:val="Comment Text Char"/>
    <w:basedOn w:val="DefaultParagraphFont"/>
    <w:link w:val="CommentText"/>
    <w:uiPriority w:val="99"/>
    <w:rsid w:val="004D36B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D36B1"/>
    <w:rPr>
      <w:b/>
      <w:bCs/>
    </w:rPr>
  </w:style>
  <w:style w:type="character" w:customStyle="1" w:styleId="CommentSubjectChar">
    <w:name w:val="Comment Subject Char"/>
    <w:basedOn w:val="CommentTextChar"/>
    <w:link w:val="CommentSubject"/>
    <w:uiPriority w:val="99"/>
    <w:semiHidden/>
    <w:rsid w:val="004D36B1"/>
    <w:rPr>
      <w:rFonts w:ascii="Arial" w:hAnsi="Arial"/>
      <w:b/>
      <w:bCs/>
      <w:sz w:val="20"/>
      <w:szCs w:val="20"/>
    </w:rPr>
  </w:style>
  <w:style w:type="paragraph" w:styleId="TableofFigures">
    <w:name w:val="table of figures"/>
    <w:basedOn w:val="Normal"/>
    <w:next w:val="Normal"/>
    <w:uiPriority w:val="99"/>
    <w:unhideWhenUsed/>
    <w:rsid w:val="00050EB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7769908">
      <w:bodyDiv w:val="1"/>
      <w:marLeft w:val="0"/>
      <w:marRight w:val="0"/>
      <w:marTop w:val="0"/>
      <w:marBottom w:val="0"/>
      <w:divBdr>
        <w:top w:val="none" w:sz="0" w:space="0" w:color="auto"/>
        <w:left w:val="none" w:sz="0" w:space="0" w:color="auto"/>
        <w:bottom w:val="none" w:sz="0" w:space="0" w:color="auto"/>
        <w:right w:val="none" w:sz="0" w:space="0" w:color="auto"/>
      </w:divBdr>
      <w:divsChild>
        <w:div w:id="194930276">
          <w:marLeft w:val="0"/>
          <w:marRight w:val="0"/>
          <w:marTop w:val="0"/>
          <w:marBottom w:val="0"/>
          <w:divBdr>
            <w:top w:val="none" w:sz="0" w:space="0" w:color="auto"/>
            <w:left w:val="none" w:sz="0" w:space="0" w:color="auto"/>
            <w:bottom w:val="none" w:sz="0" w:space="0" w:color="auto"/>
            <w:right w:val="none" w:sz="0" w:space="0" w:color="auto"/>
          </w:divBdr>
        </w:div>
        <w:div w:id="731152085">
          <w:marLeft w:val="0"/>
          <w:marRight w:val="0"/>
          <w:marTop w:val="0"/>
          <w:marBottom w:val="0"/>
          <w:divBdr>
            <w:top w:val="none" w:sz="0" w:space="0" w:color="auto"/>
            <w:left w:val="none" w:sz="0" w:space="0" w:color="auto"/>
            <w:bottom w:val="none" w:sz="0" w:space="0" w:color="auto"/>
            <w:right w:val="none" w:sz="0" w:space="0" w:color="auto"/>
          </w:divBdr>
        </w:div>
        <w:div w:id="1554343219">
          <w:marLeft w:val="0"/>
          <w:marRight w:val="0"/>
          <w:marTop w:val="0"/>
          <w:marBottom w:val="0"/>
          <w:divBdr>
            <w:top w:val="none" w:sz="0" w:space="0" w:color="auto"/>
            <w:left w:val="none" w:sz="0" w:space="0" w:color="auto"/>
            <w:bottom w:val="none" w:sz="0" w:space="0" w:color="auto"/>
            <w:right w:val="none" w:sz="0" w:space="0" w:color="auto"/>
          </w:divBdr>
        </w:div>
        <w:div w:id="1970818316">
          <w:marLeft w:val="0"/>
          <w:marRight w:val="0"/>
          <w:marTop w:val="0"/>
          <w:marBottom w:val="0"/>
          <w:divBdr>
            <w:top w:val="none" w:sz="0" w:space="0" w:color="auto"/>
            <w:left w:val="none" w:sz="0" w:space="0" w:color="auto"/>
            <w:bottom w:val="none" w:sz="0" w:space="0" w:color="auto"/>
            <w:right w:val="none" w:sz="0" w:space="0" w:color="auto"/>
          </w:divBdr>
        </w:div>
        <w:div w:id="17069810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footer" Target="footer1.xml"/><Relationship Id="rId26" Type="http://schemas.openxmlformats.org/officeDocument/2006/relationships/hyperlink" Target="https://www.whitecase.com/insight-our-thinking/greenwashing-risk-and-fashion-industry-snapshot-legal-developments" TargetMode="External"/><Relationship Id="rId3" Type="http://schemas.openxmlformats.org/officeDocument/2006/relationships/styles" Target="styles.xml"/><Relationship Id="rId21" Type="http://schemas.openxmlformats.org/officeDocument/2006/relationships/hyperlink" Target="https://doi.org/10.1136/bmj.m5375"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hyperlink" Target="http://www.cochrane-handbook.org" TargetMode="External"/><Relationship Id="rId33" Type="http://schemas.openxmlformats.org/officeDocument/2006/relationships/hyperlink" Target="https://doi.org/10.3390/su16135303" TargetMode="Externa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doi.org/10.5195/jmla.2017.88" TargetMode="External"/><Relationship Id="rId29" Type="http://schemas.openxmlformats.org/officeDocument/2006/relationships/hyperlink" Target="https://www.lancaster.ac.uk/media/lancaster-university/content-assets/documents/fhm/dhr/chir/NSsynthesisguidanceVersion1-April200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24" Type="http://schemas.openxmlformats.org/officeDocument/2006/relationships/hyperlink" Target="https://doi.org/10.1096/fj.07-9492LSF" TargetMode="External"/><Relationship Id="rId32" Type="http://schemas.openxmlformats.org/officeDocument/2006/relationships/hyperlink" Target="https://www.uwtsd.ac.uk/research/research-integrity-and-ethics" TargetMode="External"/><Relationship Id="rId5" Type="http://schemas.openxmlformats.org/officeDocument/2006/relationships/webSettings" Target="webSettings.xml"/><Relationship Id="rId15" Type="http://schemas.microsoft.com/office/2007/relationships/hdphoto" Target="media/hdphoto2.wdp"/><Relationship Id="rId23" Type="http://schemas.openxmlformats.org/officeDocument/2006/relationships/hyperlink" Target="http://changingmarkets.org/wp-content/uploads/2021/01/FOSSIL-FASHION_Web-compressed.pdf" TargetMode="External"/><Relationship Id="rId28" Type="http://schemas.openxmlformats.org/officeDocument/2006/relationships/hyperlink" Target="https://doi.org/10.1371/journal.pmed.1000097" TargetMode="External"/><Relationship Id="rId10" Type="http://schemas.openxmlformats.org/officeDocument/2006/relationships/image" Target="media/image3.png"/><Relationship Id="rId19" Type="http://schemas.openxmlformats.org/officeDocument/2006/relationships/hyperlink" Target="https://doi.org/10.1016/j.cogsc.2022.100710" TargetMode="External"/><Relationship Id="rId31" Type="http://schemas.openxmlformats.org/officeDocument/2006/relationships/hyperlink" Target="https://www.statista.com/topics/9543/sustainable-fashion-worldwide/?srsltid=AfmBOopou9mEl5JsSxO0mFVTnUJ5aDZxXor4vKqRNc6MX2u07o03cRK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casp-uk.net/casp-tools-checklists/" TargetMode="External"/><Relationship Id="rId27" Type="http://schemas.openxmlformats.org/officeDocument/2006/relationships/hyperlink" Target="https://doi.org/10.3390/su17072982" TargetMode="External"/><Relationship Id="rId30" Type="http://schemas.openxmlformats.org/officeDocument/2006/relationships/hyperlink" Target="https://www.forbes.com/councils/forbestechcouncil/2024/04/26/the-importance-of-sustainability-in-fashion/"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3980C2-16C8-437E-AC5C-E762836F75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84</Pages>
  <Words>22145</Words>
  <Characters>126227</Characters>
  <DocSecurity>0</DocSecurity>
  <Lines>1051</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2026-01-04T13:13:00Z</dcterms:created>
  <dcterms:modified xsi:type="dcterms:W3CDTF">2026-01-04T13:14:00Z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2b9b275e-de7d-426a-b953-79eee52dce30</vt:lpwstr>
  </property>
</Properties>
</file>