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EBA28" w14:textId="77777777" w:rsidR="00663E83" w:rsidRDefault="00663E83" w:rsidP="09C78EE9">
      <w:pPr>
        <w:spacing w:line="276" w:lineRule="auto"/>
        <w:jc w:val="center"/>
        <w:rPr>
          <w:rFonts w:eastAsiaTheme="minorEastAsia"/>
          <w:b/>
          <w:bCs/>
        </w:rPr>
      </w:pPr>
    </w:p>
    <w:p w14:paraId="23A5C800" w14:textId="77777777" w:rsidR="00663E83" w:rsidRDefault="00663E83" w:rsidP="09C78EE9">
      <w:pPr>
        <w:spacing w:line="276" w:lineRule="auto"/>
        <w:jc w:val="center"/>
        <w:rPr>
          <w:rFonts w:eastAsiaTheme="minorEastAsia"/>
          <w:b/>
          <w:bCs/>
        </w:rPr>
      </w:pPr>
    </w:p>
    <w:p w14:paraId="305D3464" w14:textId="6CE8377E" w:rsidR="00391F00" w:rsidRDefault="09C78EE9" w:rsidP="09C78EE9">
      <w:pPr>
        <w:spacing w:line="276" w:lineRule="auto"/>
        <w:jc w:val="center"/>
        <w:rPr>
          <w:rFonts w:eastAsiaTheme="minorEastAsia"/>
          <w:b/>
          <w:bCs/>
        </w:rPr>
      </w:pPr>
      <w:r w:rsidRPr="09C78EE9">
        <w:rPr>
          <w:rFonts w:eastAsiaTheme="minorEastAsia"/>
          <w:b/>
          <w:bCs/>
        </w:rPr>
        <w:t>Jack W. Bradley-Adams</w:t>
      </w:r>
    </w:p>
    <w:p w14:paraId="7FFCD244" w14:textId="4E625645" w:rsidR="00391F00" w:rsidRDefault="09C78EE9" w:rsidP="09C78EE9">
      <w:pPr>
        <w:spacing w:line="276" w:lineRule="auto"/>
        <w:jc w:val="center"/>
        <w:rPr>
          <w:rFonts w:eastAsiaTheme="minorEastAsia"/>
          <w:b/>
          <w:bCs/>
        </w:rPr>
      </w:pPr>
      <w:r w:rsidRPr="09C78EE9">
        <w:rPr>
          <w:rFonts w:eastAsiaTheme="minorEastAsia"/>
          <w:b/>
          <w:bCs/>
        </w:rPr>
        <w:t>Student ID: 1250239</w:t>
      </w:r>
    </w:p>
    <w:p w14:paraId="23021146" w14:textId="05CA994E" w:rsidR="00391F00" w:rsidRDefault="09C78EE9" w:rsidP="09C78EE9">
      <w:pPr>
        <w:spacing w:line="276" w:lineRule="auto"/>
        <w:jc w:val="center"/>
        <w:rPr>
          <w:rFonts w:eastAsiaTheme="minorEastAsia"/>
          <w:b/>
          <w:bCs/>
        </w:rPr>
      </w:pPr>
      <w:r w:rsidRPr="09C78EE9">
        <w:rPr>
          <w:rFonts w:eastAsiaTheme="minorEastAsia"/>
          <w:b/>
          <w:bCs/>
        </w:rPr>
        <w:t>University of Wales Trinity St. David</w:t>
      </w:r>
    </w:p>
    <w:p w14:paraId="3128DB6C" w14:textId="7FFEC63C" w:rsidR="00391F00" w:rsidRDefault="09C78EE9" w:rsidP="09C78EE9">
      <w:pPr>
        <w:spacing w:line="276" w:lineRule="auto"/>
        <w:jc w:val="center"/>
        <w:rPr>
          <w:rFonts w:eastAsiaTheme="minorEastAsia"/>
          <w:b/>
          <w:bCs/>
        </w:rPr>
      </w:pPr>
      <w:r w:rsidRPr="09C78EE9">
        <w:rPr>
          <w:rFonts w:eastAsiaTheme="minorEastAsia"/>
          <w:b/>
          <w:bCs/>
        </w:rPr>
        <w:t>Post-Graduate Certificate in Education (PGCE)</w:t>
      </w:r>
    </w:p>
    <w:p w14:paraId="53D05618" w14:textId="3AEB8344" w:rsidR="00391F00" w:rsidRDefault="09C78EE9" w:rsidP="09C78EE9">
      <w:pPr>
        <w:spacing w:line="276" w:lineRule="auto"/>
        <w:jc w:val="center"/>
        <w:rPr>
          <w:rFonts w:eastAsiaTheme="minorEastAsia"/>
          <w:b/>
          <w:bCs/>
        </w:rPr>
      </w:pPr>
      <w:r w:rsidRPr="09C78EE9">
        <w:rPr>
          <w:rFonts w:eastAsiaTheme="minorEastAsia"/>
          <w:b/>
          <w:bCs/>
        </w:rPr>
        <w:t xml:space="preserve"> </w:t>
      </w:r>
    </w:p>
    <w:p w14:paraId="0C30B200" w14:textId="23C15A69" w:rsidR="00391F00" w:rsidRDefault="09C78EE9" w:rsidP="09C78EE9">
      <w:pPr>
        <w:spacing w:line="276" w:lineRule="auto"/>
        <w:jc w:val="center"/>
        <w:rPr>
          <w:rFonts w:eastAsiaTheme="minorEastAsia"/>
          <w:b/>
          <w:bCs/>
        </w:rPr>
      </w:pPr>
      <w:r w:rsidRPr="09C78EE9">
        <w:rPr>
          <w:rFonts w:eastAsiaTheme="minorEastAsia"/>
          <w:b/>
          <w:bCs/>
        </w:rPr>
        <w:t xml:space="preserve"> </w:t>
      </w:r>
    </w:p>
    <w:p w14:paraId="5C283904" w14:textId="77777777" w:rsidR="00663E83" w:rsidRDefault="00663E83" w:rsidP="09C78EE9">
      <w:pPr>
        <w:spacing w:line="276" w:lineRule="auto"/>
        <w:jc w:val="center"/>
        <w:rPr>
          <w:rFonts w:eastAsiaTheme="minorEastAsia"/>
          <w:b/>
          <w:bCs/>
        </w:rPr>
      </w:pPr>
    </w:p>
    <w:p w14:paraId="154A05EB" w14:textId="3E14A68E" w:rsidR="00663E83" w:rsidRDefault="09C78EE9" w:rsidP="00663E83">
      <w:pPr>
        <w:spacing w:line="276" w:lineRule="auto"/>
        <w:jc w:val="center"/>
        <w:rPr>
          <w:rFonts w:eastAsiaTheme="minorEastAsia"/>
          <w:b/>
          <w:bCs/>
          <w:u w:val="single"/>
        </w:rPr>
      </w:pPr>
      <w:r w:rsidRPr="09C78EE9">
        <w:rPr>
          <w:rFonts w:eastAsiaTheme="minorEastAsia"/>
          <w:b/>
          <w:bCs/>
          <w:u w:val="single"/>
        </w:rPr>
        <w:t>ECAD700</w:t>
      </w:r>
      <w:r w:rsidR="00E42B85">
        <w:rPr>
          <w:rFonts w:eastAsiaTheme="minorEastAsia"/>
          <w:b/>
          <w:bCs/>
          <w:u w:val="single"/>
        </w:rPr>
        <w:t>3</w:t>
      </w:r>
      <w:r w:rsidRPr="09C78EE9">
        <w:rPr>
          <w:rFonts w:eastAsiaTheme="minorEastAsia"/>
          <w:b/>
          <w:bCs/>
          <w:u w:val="single"/>
        </w:rPr>
        <w:t>: Professional and Pedagogic Studies</w:t>
      </w:r>
    </w:p>
    <w:p w14:paraId="218829D3" w14:textId="07F46D56" w:rsidR="00391F00" w:rsidRDefault="00E42B85" w:rsidP="09C78EE9">
      <w:pPr>
        <w:spacing w:line="276" w:lineRule="auto"/>
        <w:jc w:val="center"/>
        <w:rPr>
          <w:b/>
          <w:bCs/>
          <w:u w:val="single"/>
        </w:rPr>
      </w:pPr>
      <w:r w:rsidRPr="00E42B85">
        <w:rPr>
          <w:b/>
          <w:bCs/>
          <w:u w:val="single"/>
        </w:rPr>
        <w:t>Learners, Schools &amp; Communities: where am I teaching?</w:t>
      </w:r>
    </w:p>
    <w:p w14:paraId="6E284612" w14:textId="77777777" w:rsidR="00663E83" w:rsidRDefault="00663E83" w:rsidP="09C78EE9">
      <w:pPr>
        <w:spacing w:line="276" w:lineRule="auto"/>
        <w:jc w:val="center"/>
        <w:rPr>
          <w:rFonts w:eastAsiaTheme="minorEastAsia"/>
          <w:b/>
          <w:bCs/>
          <w:u w:val="single"/>
        </w:rPr>
      </w:pPr>
    </w:p>
    <w:p w14:paraId="3F9ECD70" w14:textId="243C248C" w:rsidR="00391F00" w:rsidRPr="00E42B85" w:rsidRDefault="09C78EE9" w:rsidP="09C78EE9">
      <w:pPr>
        <w:spacing w:line="276" w:lineRule="auto"/>
        <w:jc w:val="center"/>
        <w:rPr>
          <w:rFonts w:eastAsiaTheme="minorEastAsia"/>
          <w:i/>
          <w:iCs/>
        </w:rPr>
      </w:pPr>
      <w:r w:rsidRPr="00E42B85">
        <w:rPr>
          <w:rFonts w:eastAsiaTheme="minorEastAsia"/>
          <w:i/>
          <w:iCs/>
        </w:rPr>
        <w:t>‘</w:t>
      </w:r>
      <w:r w:rsidR="00E42B85" w:rsidRPr="00E42B85">
        <w:rPr>
          <w:i/>
          <w:iCs/>
        </w:rPr>
        <w:t>How a school develops one aspect of its SDP: a report that critically reflects on the actions, impact and evidence base</w:t>
      </w:r>
      <w:r w:rsidRPr="00E42B85">
        <w:rPr>
          <w:rFonts w:eastAsiaTheme="minorEastAsia"/>
          <w:i/>
          <w:iCs/>
        </w:rPr>
        <w:t>.’</w:t>
      </w:r>
    </w:p>
    <w:p w14:paraId="268F91BD" w14:textId="33C8B7B6" w:rsidR="00391F00" w:rsidRDefault="09C78EE9" w:rsidP="09C78EE9">
      <w:pPr>
        <w:spacing w:line="276" w:lineRule="auto"/>
        <w:jc w:val="center"/>
        <w:rPr>
          <w:rFonts w:eastAsiaTheme="minorEastAsia"/>
          <w:b/>
          <w:bCs/>
        </w:rPr>
      </w:pPr>
      <w:r w:rsidRPr="09C78EE9">
        <w:rPr>
          <w:rFonts w:eastAsiaTheme="minorEastAsia"/>
          <w:b/>
          <w:bCs/>
        </w:rPr>
        <w:t xml:space="preserve"> </w:t>
      </w:r>
    </w:p>
    <w:p w14:paraId="32A6AEDC" w14:textId="0FFABB80" w:rsidR="00391F00" w:rsidRDefault="09C78EE9" w:rsidP="09C78EE9">
      <w:pPr>
        <w:spacing w:line="276" w:lineRule="auto"/>
        <w:jc w:val="center"/>
        <w:rPr>
          <w:rFonts w:eastAsiaTheme="minorEastAsia"/>
          <w:b/>
          <w:bCs/>
        </w:rPr>
      </w:pPr>
      <w:r w:rsidRPr="09C78EE9">
        <w:rPr>
          <w:rFonts w:eastAsiaTheme="minorEastAsia"/>
          <w:b/>
          <w:bCs/>
        </w:rPr>
        <w:t xml:space="preserve"> </w:t>
      </w:r>
    </w:p>
    <w:p w14:paraId="593992FB" w14:textId="1398CF47" w:rsidR="00391F00" w:rsidRDefault="09C78EE9" w:rsidP="09C78EE9">
      <w:pPr>
        <w:spacing w:line="276" w:lineRule="auto"/>
        <w:jc w:val="center"/>
        <w:rPr>
          <w:rFonts w:eastAsiaTheme="minorEastAsia"/>
          <w:b/>
          <w:bCs/>
        </w:rPr>
      </w:pPr>
      <w:r w:rsidRPr="09C78EE9">
        <w:rPr>
          <w:rFonts w:eastAsiaTheme="minorEastAsia"/>
          <w:b/>
          <w:bCs/>
        </w:rPr>
        <w:t xml:space="preserve"> </w:t>
      </w:r>
    </w:p>
    <w:p w14:paraId="6EC42EAC" w14:textId="26F8D873" w:rsidR="00391F00" w:rsidRDefault="00391F00" w:rsidP="09C78EE9">
      <w:pPr>
        <w:spacing w:line="276" w:lineRule="auto"/>
        <w:jc w:val="center"/>
        <w:rPr>
          <w:rFonts w:eastAsiaTheme="minorEastAsia"/>
          <w:b/>
          <w:bCs/>
          <w:u w:val="single"/>
        </w:rPr>
      </w:pPr>
    </w:p>
    <w:p w14:paraId="6AAF3DC8" w14:textId="77777777" w:rsidR="00E42B85" w:rsidRDefault="00E42B85" w:rsidP="09C78EE9">
      <w:pPr>
        <w:spacing w:line="276" w:lineRule="auto"/>
        <w:jc w:val="center"/>
        <w:rPr>
          <w:rFonts w:eastAsiaTheme="minorEastAsia"/>
          <w:b/>
          <w:bCs/>
          <w:u w:val="single"/>
        </w:rPr>
      </w:pPr>
    </w:p>
    <w:p w14:paraId="0009144E" w14:textId="77777777" w:rsidR="00E42B85" w:rsidRDefault="00E42B85" w:rsidP="09C78EE9">
      <w:pPr>
        <w:spacing w:line="276" w:lineRule="auto"/>
        <w:jc w:val="center"/>
        <w:rPr>
          <w:rFonts w:eastAsiaTheme="minorEastAsia"/>
          <w:b/>
          <w:bCs/>
          <w:u w:val="single"/>
        </w:rPr>
      </w:pPr>
    </w:p>
    <w:p w14:paraId="3AC68F68" w14:textId="77777777" w:rsidR="00E42B85" w:rsidRDefault="00E42B85" w:rsidP="09C78EE9">
      <w:pPr>
        <w:spacing w:line="276" w:lineRule="auto"/>
        <w:jc w:val="center"/>
        <w:rPr>
          <w:rFonts w:eastAsiaTheme="minorEastAsia"/>
          <w:b/>
          <w:bCs/>
          <w:u w:val="single"/>
        </w:rPr>
      </w:pPr>
    </w:p>
    <w:p w14:paraId="19D411CD" w14:textId="77777777" w:rsidR="00E42B85" w:rsidRDefault="00E42B85" w:rsidP="09C78EE9">
      <w:pPr>
        <w:spacing w:line="276" w:lineRule="auto"/>
        <w:jc w:val="center"/>
        <w:rPr>
          <w:rFonts w:eastAsiaTheme="minorEastAsia"/>
          <w:b/>
          <w:bCs/>
          <w:u w:val="single"/>
        </w:rPr>
      </w:pPr>
    </w:p>
    <w:p w14:paraId="744BE3E9" w14:textId="77777777" w:rsidR="00E42B85" w:rsidRDefault="00E42B85" w:rsidP="09C78EE9">
      <w:pPr>
        <w:spacing w:line="276" w:lineRule="auto"/>
        <w:jc w:val="center"/>
        <w:rPr>
          <w:rFonts w:eastAsiaTheme="minorEastAsia"/>
          <w:b/>
          <w:bCs/>
          <w:u w:val="single"/>
        </w:rPr>
      </w:pPr>
    </w:p>
    <w:p w14:paraId="499AA94E" w14:textId="77777777" w:rsidR="00E42B85" w:rsidRDefault="00E42B85" w:rsidP="09C78EE9">
      <w:pPr>
        <w:spacing w:line="276" w:lineRule="auto"/>
        <w:jc w:val="center"/>
        <w:rPr>
          <w:rFonts w:eastAsiaTheme="minorEastAsia"/>
          <w:b/>
          <w:bCs/>
          <w:u w:val="single"/>
        </w:rPr>
      </w:pPr>
    </w:p>
    <w:p w14:paraId="1946470B" w14:textId="348C6B29" w:rsidR="00391F00" w:rsidRDefault="09C78EE9" w:rsidP="09C78EE9">
      <w:pPr>
        <w:spacing w:line="276" w:lineRule="auto"/>
        <w:jc w:val="center"/>
        <w:rPr>
          <w:rFonts w:eastAsiaTheme="minorEastAsia"/>
          <w:b/>
          <w:bCs/>
        </w:rPr>
      </w:pPr>
      <w:r w:rsidRPr="09C78EE9">
        <w:rPr>
          <w:rFonts w:eastAsiaTheme="minorEastAsia"/>
          <w:b/>
          <w:bCs/>
        </w:rPr>
        <w:t xml:space="preserve"> </w:t>
      </w:r>
    </w:p>
    <w:p w14:paraId="66E50D8F" w14:textId="7A95A7C2" w:rsidR="00391F00" w:rsidRDefault="09C78EE9" w:rsidP="09C78EE9">
      <w:pPr>
        <w:spacing w:line="276" w:lineRule="auto"/>
        <w:jc w:val="center"/>
        <w:rPr>
          <w:rFonts w:eastAsiaTheme="minorEastAsia"/>
          <w:b/>
          <w:bCs/>
        </w:rPr>
      </w:pPr>
      <w:r w:rsidRPr="09C78EE9">
        <w:rPr>
          <w:rFonts w:eastAsiaTheme="minorEastAsia"/>
          <w:b/>
          <w:bCs/>
        </w:rPr>
        <w:t xml:space="preserve"> </w:t>
      </w:r>
    </w:p>
    <w:p w14:paraId="0E6C1F6E" w14:textId="1846456A" w:rsidR="00391F00" w:rsidRDefault="09C78EE9" w:rsidP="09C78EE9">
      <w:pPr>
        <w:spacing w:line="276" w:lineRule="auto"/>
        <w:jc w:val="center"/>
        <w:rPr>
          <w:rFonts w:eastAsiaTheme="minorEastAsia"/>
          <w:b/>
          <w:bCs/>
        </w:rPr>
      </w:pPr>
      <w:r w:rsidRPr="09C78EE9">
        <w:rPr>
          <w:rFonts w:eastAsiaTheme="minorEastAsia"/>
          <w:b/>
          <w:bCs/>
        </w:rPr>
        <w:t xml:space="preserve"> </w:t>
      </w:r>
    </w:p>
    <w:p w14:paraId="68BC27B2" w14:textId="22F28FD1" w:rsidR="00391F00" w:rsidRDefault="09C78EE9" w:rsidP="09C78EE9">
      <w:pPr>
        <w:spacing w:line="276" w:lineRule="auto"/>
        <w:rPr>
          <w:rFonts w:eastAsiaTheme="minorEastAsia"/>
          <w:b/>
          <w:bCs/>
        </w:rPr>
      </w:pPr>
      <w:r w:rsidRPr="09C78EE9">
        <w:rPr>
          <w:rFonts w:eastAsiaTheme="minorEastAsia"/>
          <w:b/>
          <w:bCs/>
        </w:rPr>
        <w:t xml:space="preserve"> </w:t>
      </w:r>
    </w:p>
    <w:p w14:paraId="622BA216" w14:textId="46639961" w:rsidR="00391F00" w:rsidRDefault="09C78EE9" w:rsidP="09C78EE9">
      <w:pPr>
        <w:spacing w:line="276" w:lineRule="auto"/>
        <w:jc w:val="center"/>
        <w:rPr>
          <w:rFonts w:eastAsiaTheme="minorEastAsia"/>
          <w:b/>
          <w:bCs/>
        </w:rPr>
      </w:pPr>
      <w:r w:rsidRPr="09C78EE9">
        <w:rPr>
          <w:rFonts w:eastAsiaTheme="minorEastAsia"/>
          <w:b/>
          <w:bCs/>
        </w:rPr>
        <w:t xml:space="preserve"> </w:t>
      </w:r>
    </w:p>
    <w:p w14:paraId="3071B614" w14:textId="1B2918CD" w:rsidR="00391F00" w:rsidRDefault="09C78EE9" w:rsidP="00663E83">
      <w:pPr>
        <w:spacing w:line="276" w:lineRule="auto"/>
        <w:jc w:val="right"/>
        <w:rPr>
          <w:rFonts w:eastAsiaTheme="minorEastAsia"/>
          <w:b/>
          <w:bCs/>
        </w:rPr>
      </w:pPr>
      <w:r w:rsidRPr="09C78EE9">
        <w:rPr>
          <w:rFonts w:eastAsiaTheme="minorEastAsia"/>
          <w:b/>
          <w:bCs/>
        </w:rPr>
        <w:t xml:space="preserve"> </w:t>
      </w:r>
    </w:p>
    <w:p w14:paraId="1AD3456A" w14:textId="049A9FE9" w:rsidR="00391F00" w:rsidRDefault="09C78EE9" w:rsidP="00266072">
      <w:pPr>
        <w:spacing w:line="276" w:lineRule="auto"/>
        <w:rPr>
          <w:rFonts w:eastAsiaTheme="minorEastAsia"/>
          <w:b/>
          <w:bCs/>
        </w:rPr>
      </w:pPr>
      <w:r w:rsidRPr="09C78EE9">
        <w:rPr>
          <w:rFonts w:eastAsiaTheme="minorEastAsia"/>
          <w:b/>
          <w:bCs/>
        </w:rPr>
        <w:t xml:space="preserve"> </w:t>
      </w:r>
    </w:p>
    <w:p w14:paraId="0B35724E" w14:textId="77777777" w:rsidR="000D4E49" w:rsidRDefault="000D4E49" w:rsidP="00266072">
      <w:pPr>
        <w:spacing w:line="276" w:lineRule="auto"/>
        <w:rPr>
          <w:rFonts w:eastAsiaTheme="minorEastAsia"/>
          <w:b/>
          <w:bCs/>
        </w:rPr>
      </w:pPr>
    </w:p>
    <w:p w14:paraId="2A3DCCD2" w14:textId="78EE9A0F" w:rsidR="000D4E49" w:rsidRDefault="09C78EE9" w:rsidP="000D4E49">
      <w:pPr>
        <w:spacing w:line="276" w:lineRule="auto"/>
        <w:jc w:val="right"/>
        <w:rPr>
          <w:rFonts w:eastAsiaTheme="minorEastAsia"/>
          <w:b/>
          <w:bCs/>
          <w:u w:val="single"/>
        </w:rPr>
      </w:pPr>
      <w:r w:rsidRPr="09C78EE9">
        <w:rPr>
          <w:rFonts w:eastAsiaTheme="minorEastAsia"/>
          <w:b/>
          <w:bCs/>
          <w:u w:val="single"/>
        </w:rPr>
        <w:t xml:space="preserve">Word Count: </w:t>
      </w:r>
      <w:r w:rsidR="004A6BB3">
        <w:rPr>
          <w:rFonts w:eastAsiaTheme="minorEastAsia"/>
          <w:b/>
          <w:bCs/>
          <w:u w:val="single"/>
        </w:rPr>
        <w:t>2</w:t>
      </w:r>
      <w:r w:rsidR="001367BF">
        <w:rPr>
          <w:rFonts w:eastAsiaTheme="minorEastAsia"/>
          <w:b/>
          <w:bCs/>
          <w:u w:val="single"/>
        </w:rPr>
        <w:t>,707</w:t>
      </w:r>
    </w:p>
    <w:p w14:paraId="3F168FC7" w14:textId="24E22C7E" w:rsidR="00391F00" w:rsidRPr="00A65CF5" w:rsidRDefault="09C78EE9" w:rsidP="09C78EE9">
      <w:pPr>
        <w:rPr>
          <w:rFonts w:eastAsiaTheme="minorEastAsia"/>
          <w:b/>
          <w:bCs/>
        </w:rPr>
      </w:pPr>
      <w:r w:rsidRPr="09C78EE9">
        <w:rPr>
          <w:rFonts w:eastAsiaTheme="minorEastAsia"/>
          <w:b/>
          <w:bCs/>
        </w:rPr>
        <w:lastRenderedPageBreak/>
        <w:t>Targets from previous assignment:</w:t>
      </w:r>
    </w:p>
    <w:p w14:paraId="19E2DA98" w14:textId="71B69499" w:rsidR="00E42B85" w:rsidRPr="00E42B85" w:rsidRDefault="00E42B85" w:rsidP="00E42B85">
      <w:pPr>
        <w:pStyle w:val="NormalWeb"/>
        <w:numPr>
          <w:ilvl w:val="0"/>
          <w:numId w:val="4"/>
        </w:numPr>
        <w:shd w:val="clear" w:color="auto" w:fill="FFFFFF"/>
        <w:spacing w:before="0" w:beforeAutospacing="0" w:after="0" w:afterAutospacing="0"/>
        <w:rPr>
          <w:rFonts w:ascii="Calibri" w:hAnsi="Calibri" w:cs="Calibri"/>
          <w:color w:val="283041"/>
          <w:sz w:val="22"/>
          <w:szCs w:val="22"/>
        </w:rPr>
      </w:pPr>
      <w:r w:rsidRPr="00E42B85">
        <w:rPr>
          <w:rFonts w:ascii="Calibri" w:hAnsi="Calibri" w:cs="Calibri"/>
          <w:color w:val="283041"/>
          <w:sz w:val="22"/>
          <w:szCs w:val="22"/>
        </w:rPr>
        <w:t>Continue to use </w:t>
      </w:r>
      <w:hyperlink r:id="rId6" w:history="1">
        <w:r w:rsidRPr="00E42B85">
          <w:rPr>
            <w:rStyle w:val="Hyperlink"/>
            <w:rFonts w:ascii="Calibri" w:hAnsi="Calibri" w:cs="Calibri"/>
            <w:color w:val="1E7BBB"/>
            <w:sz w:val="22"/>
            <w:szCs w:val="22"/>
          </w:rPr>
          <w:t>Harvard-eng_v.1.2.pdf</w:t>
        </w:r>
      </w:hyperlink>
      <w:r w:rsidRPr="00E42B85">
        <w:rPr>
          <w:rFonts w:ascii="Calibri" w:hAnsi="Calibri" w:cs="Calibri"/>
          <w:color w:val="283041"/>
          <w:sz w:val="22"/>
          <w:szCs w:val="22"/>
        </w:rPr>
        <w:t> to ensure you always reference accurately.</w:t>
      </w:r>
    </w:p>
    <w:p w14:paraId="2EE8B3AA" w14:textId="6187DBA7" w:rsidR="00E42B85" w:rsidRPr="00E42B85" w:rsidRDefault="00E42B85" w:rsidP="00E42B85">
      <w:pPr>
        <w:pStyle w:val="NormalWeb"/>
        <w:numPr>
          <w:ilvl w:val="0"/>
          <w:numId w:val="4"/>
        </w:numPr>
        <w:shd w:val="clear" w:color="auto" w:fill="FFFFFF"/>
        <w:spacing w:before="0" w:beforeAutospacing="0" w:after="0" w:afterAutospacing="0"/>
        <w:rPr>
          <w:rFonts w:ascii="Calibri" w:hAnsi="Calibri" w:cs="Calibri"/>
          <w:color w:val="283041"/>
          <w:sz w:val="22"/>
          <w:szCs w:val="22"/>
        </w:rPr>
      </w:pPr>
      <w:r w:rsidRPr="00E42B85">
        <w:rPr>
          <w:rFonts w:ascii="Calibri" w:hAnsi="Calibri" w:cs="Calibri"/>
          <w:color w:val="283041"/>
          <w:sz w:val="22"/>
          <w:szCs w:val="22"/>
        </w:rPr>
        <w:t>Develop a critical voice by using literature to build and support an argument, continuing to give consideration to alternative viewpoints.</w:t>
      </w:r>
    </w:p>
    <w:p w14:paraId="30414E4F" w14:textId="7A404147" w:rsidR="00E42B85" w:rsidRPr="00E42B85" w:rsidRDefault="00E42B85" w:rsidP="00E42B85">
      <w:pPr>
        <w:pStyle w:val="NormalWeb"/>
        <w:numPr>
          <w:ilvl w:val="0"/>
          <w:numId w:val="4"/>
        </w:numPr>
        <w:shd w:val="clear" w:color="auto" w:fill="FFFFFF"/>
        <w:spacing w:before="0" w:beforeAutospacing="0" w:after="0" w:afterAutospacing="0"/>
        <w:rPr>
          <w:rFonts w:ascii="Calibri" w:hAnsi="Calibri" w:cs="Calibri"/>
          <w:color w:val="283041"/>
          <w:sz w:val="22"/>
          <w:szCs w:val="22"/>
        </w:rPr>
      </w:pPr>
      <w:r w:rsidRPr="00E42B85">
        <w:rPr>
          <w:rFonts w:ascii="Calibri" w:hAnsi="Calibri" w:cs="Calibri"/>
          <w:color w:val="283041"/>
          <w:sz w:val="22"/>
          <w:szCs w:val="22"/>
        </w:rPr>
        <w:t>Continue to focus on 'next steps' a little more. How does your literature review inform future practice? </w:t>
      </w:r>
    </w:p>
    <w:p w14:paraId="10AD19AE" w14:textId="01D8CB4A" w:rsidR="00391F00" w:rsidRDefault="00391F00" w:rsidP="09C78EE9">
      <w:pPr>
        <w:spacing w:line="276" w:lineRule="auto"/>
        <w:rPr>
          <w:rFonts w:eastAsiaTheme="minorEastAsia"/>
        </w:rPr>
      </w:pPr>
    </w:p>
    <w:p w14:paraId="4625EEAA" w14:textId="56BD7033" w:rsidR="00391F00" w:rsidRDefault="09C78EE9" w:rsidP="09C78EE9">
      <w:pPr>
        <w:spacing w:line="276" w:lineRule="auto"/>
        <w:rPr>
          <w:rFonts w:eastAsiaTheme="minorEastAsia"/>
        </w:rPr>
      </w:pPr>
      <w:r w:rsidRPr="09C78EE9">
        <w:rPr>
          <w:rFonts w:eastAsiaTheme="minorEastAsia"/>
        </w:rPr>
        <w:t xml:space="preserve"> </w:t>
      </w:r>
    </w:p>
    <w:p w14:paraId="348647F5" w14:textId="45B40D7C" w:rsidR="00391F00" w:rsidRDefault="09C78EE9" w:rsidP="09C78EE9">
      <w:pPr>
        <w:spacing w:line="276" w:lineRule="auto"/>
        <w:rPr>
          <w:rFonts w:eastAsiaTheme="minorEastAsia"/>
        </w:rPr>
      </w:pPr>
      <w:r w:rsidRPr="09C78EE9">
        <w:rPr>
          <w:rFonts w:eastAsiaTheme="minorEastAsia"/>
        </w:rPr>
        <w:t xml:space="preserve"> </w:t>
      </w:r>
    </w:p>
    <w:p w14:paraId="05C53251" w14:textId="639F0A21" w:rsidR="00391F00" w:rsidRDefault="09C78EE9" w:rsidP="09C78EE9">
      <w:pPr>
        <w:spacing w:line="276" w:lineRule="auto"/>
        <w:rPr>
          <w:rFonts w:eastAsiaTheme="minorEastAsia"/>
        </w:rPr>
      </w:pPr>
      <w:r w:rsidRPr="09C78EE9">
        <w:rPr>
          <w:rFonts w:eastAsiaTheme="minorEastAsia"/>
        </w:rPr>
        <w:t xml:space="preserve"> </w:t>
      </w:r>
    </w:p>
    <w:p w14:paraId="4BE36F14" w14:textId="372B2464" w:rsidR="00391F00" w:rsidRDefault="09C78EE9" w:rsidP="09C78EE9">
      <w:pPr>
        <w:spacing w:line="276" w:lineRule="auto"/>
        <w:rPr>
          <w:rFonts w:eastAsiaTheme="minorEastAsia"/>
        </w:rPr>
      </w:pPr>
      <w:r w:rsidRPr="09C78EE9">
        <w:rPr>
          <w:rFonts w:eastAsiaTheme="minorEastAsia"/>
        </w:rPr>
        <w:t xml:space="preserve"> </w:t>
      </w:r>
    </w:p>
    <w:p w14:paraId="07FF57E9" w14:textId="4FD2D3CF" w:rsidR="00391F00" w:rsidRDefault="09C78EE9" w:rsidP="09C78EE9">
      <w:pPr>
        <w:spacing w:line="276" w:lineRule="auto"/>
        <w:rPr>
          <w:rFonts w:eastAsiaTheme="minorEastAsia"/>
        </w:rPr>
      </w:pPr>
      <w:r w:rsidRPr="09C78EE9">
        <w:rPr>
          <w:rFonts w:eastAsiaTheme="minorEastAsia"/>
        </w:rPr>
        <w:t xml:space="preserve"> </w:t>
      </w:r>
    </w:p>
    <w:p w14:paraId="6B5AD5DD" w14:textId="435A776F" w:rsidR="00391F00" w:rsidRDefault="09C78EE9" w:rsidP="09C78EE9">
      <w:pPr>
        <w:spacing w:line="276" w:lineRule="auto"/>
        <w:rPr>
          <w:rFonts w:eastAsiaTheme="minorEastAsia"/>
        </w:rPr>
      </w:pPr>
      <w:r w:rsidRPr="09C78EE9">
        <w:rPr>
          <w:rFonts w:eastAsiaTheme="minorEastAsia"/>
        </w:rPr>
        <w:t xml:space="preserve"> </w:t>
      </w:r>
    </w:p>
    <w:p w14:paraId="2BAC5A0D" w14:textId="388C548F" w:rsidR="00391F00" w:rsidRDefault="09C78EE9" w:rsidP="09C78EE9">
      <w:pPr>
        <w:spacing w:line="276" w:lineRule="auto"/>
        <w:rPr>
          <w:rFonts w:eastAsiaTheme="minorEastAsia"/>
        </w:rPr>
      </w:pPr>
      <w:r w:rsidRPr="09C78EE9">
        <w:rPr>
          <w:rFonts w:eastAsiaTheme="minorEastAsia"/>
        </w:rPr>
        <w:t xml:space="preserve"> </w:t>
      </w:r>
    </w:p>
    <w:p w14:paraId="0D3CF370" w14:textId="71679ED8" w:rsidR="00391F00" w:rsidRDefault="09C78EE9" w:rsidP="09C78EE9">
      <w:pPr>
        <w:spacing w:line="276" w:lineRule="auto"/>
        <w:rPr>
          <w:rFonts w:eastAsiaTheme="minorEastAsia"/>
        </w:rPr>
      </w:pPr>
      <w:r w:rsidRPr="09C78EE9">
        <w:rPr>
          <w:rFonts w:eastAsiaTheme="minorEastAsia"/>
        </w:rPr>
        <w:t xml:space="preserve"> </w:t>
      </w:r>
    </w:p>
    <w:p w14:paraId="11B4A691" w14:textId="6B536B98" w:rsidR="00391F00" w:rsidRDefault="09C78EE9" w:rsidP="09C78EE9">
      <w:pPr>
        <w:spacing w:line="276" w:lineRule="auto"/>
        <w:rPr>
          <w:rFonts w:eastAsiaTheme="minorEastAsia"/>
        </w:rPr>
      </w:pPr>
      <w:r w:rsidRPr="09C78EE9">
        <w:rPr>
          <w:rFonts w:eastAsiaTheme="minorEastAsia"/>
        </w:rPr>
        <w:t xml:space="preserve"> </w:t>
      </w:r>
    </w:p>
    <w:p w14:paraId="0341B43E" w14:textId="19FF198E" w:rsidR="00391F00" w:rsidRDefault="09C78EE9" w:rsidP="09C78EE9">
      <w:pPr>
        <w:spacing w:line="276" w:lineRule="auto"/>
        <w:rPr>
          <w:rFonts w:eastAsiaTheme="minorEastAsia"/>
        </w:rPr>
      </w:pPr>
      <w:r w:rsidRPr="09C78EE9">
        <w:rPr>
          <w:rFonts w:eastAsiaTheme="minorEastAsia"/>
        </w:rPr>
        <w:t xml:space="preserve"> </w:t>
      </w:r>
    </w:p>
    <w:p w14:paraId="3E62F833" w14:textId="173E29DC" w:rsidR="00391F00" w:rsidRDefault="09C78EE9" w:rsidP="09C78EE9">
      <w:pPr>
        <w:spacing w:line="276" w:lineRule="auto"/>
        <w:rPr>
          <w:rFonts w:eastAsiaTheme="minorEastAsia"/>
        </w:rPr>
      </w:pPr>
      <w:r w:rsidRPr="09C78EE9">
        <w:rPr>
          <w:rFonts w:eastAsiaTheme="minorEastAsia"/>
        </w:rPr>
        <w:t xml:space="preserve"> </w:t>
      </w:r>
    </w:p>
    <w:p w14:paraId="61701298" w14:textId="49908C82" w:rsidR="00391F00" w:rsidRDefault="09C78EE9" w:rsidP="09C78EE9">
      <w:pPr>
        <w:spacing w:line="276" w:lineRule="auto"/>
        <w:rPr>
          <w:rFonts w:eastAsiaTheme="minorEastAsia"/>
        </w:rPr>
      </w:pPr>
      <w:r w:rsidRPr="09C78EE9">
        <w:rPr>
          <w:rFonts w:eastAsiaTheme="minorEastAsia"/>
        </w:rPr>
        <w:t xml:space="preserve"> </w:t>
      </w:r>
    </w:p>
    <w:p w14:paraId="5DB86D58" w14:textId="23254CE5" w:rsidR="00391F00" w:rsidRDefault="09C78EE9" w:rsidP="09C78EE9">
      <w:pPr>
        <w:spacing w:line="276" w:lineRule="auto"/>
        <w:rPr>
          <w:rFonts w:eastAsiaTheme="minorEastAsia"/>
        </w:rPr>
      </w:pPr>
      <w:r w:rsidRPr="09C78EE9">
        <w:rPr>
          <w:rFonts w:eastAsiaTheme="minorEastAsia"/>
        </w:rPr>
        <w:t xml:space="preserve"> </w:t>
      </w:r>
    </w:p>
    <w:p w14:paraId="5F467D1B" w14:textId="302C573A" w:rsidR="00391F00" w:rsidRDefault="09C78EE9" w:rsidP="09C78EE9">
      <w:pPr>
        <w:spacing w:line="276" w:lineRule="auto"/>
        <w:rPr>
          <w:rFonts w:eastAsiaTheme="minorEastAsia"/>
        </w:rPr>
      </w:pPr>
      <w:r w:rsidRPr="09C78EE9">
        <w:rPr>
          <w:rFonts w:eastAsiaTheme="minorEastAsia"/>
        </w:rPr>
        <w:t xml:space="preserve"> </w:t>
      </w:r>
    </w:p>
    <w:p w14:paraId="240BF732" w14:textId="47C4D6D3" w:rsidR="00391F00" w:rsidRDefault="09C78EE9" w:rsidP="09C78EE9">
      <w:pPr>
        <w:spacing w:line="276" w:lineRule="auto"/>
        <w:rPr>
          <w:rFonts w:eastAsiaTheme="minorEastAsia"/>
        </w:rPr>
      </w:pPr>
      <w:r w:rsidRPr="09C78EE9">
        <w:rPr>
          <w:rFonts w:eastAsiaTheme="minorEastAsia"/>
        </w:rPr>
        <w:t xml:space="preserve"> </w:t>
      </w:r>
    </w:p>
    <w:p w14:paraId="57482082" w14:textId="6FD9EB38" w:rsidR="00391F00" w:rsidRDefault="09C78EE9" w:rsidP="09C78EE9">
      <w:pPr>
        <w:spacing w:line="276" w:lineRule="auto"/>
        <w:rPr>
          <w:rFonts w:eastAsiaTheme="minorEastAsia"/>
        </w:rPr>
      </w:pPr>
      <w:r w:rsidRPr="09C78EE9">
        <w:rPr>
          <w:rFonts w:eastAsiaTheme="minorEastAsia"/>
        </w:rPr>
        <w:t xml:space="preserve"> </w:t>
      </w:r>
    </w:p>
    <w:p w14:paraId="0C1011EE" w14:textId="6BA4F771" w:rsidR="00391F00" w:rsidRDefault="09C78EE9" w:rsidP="09C78EE9">
      <w:pPr>
        <w:spacing w:line="276" w:lineRule="auto"/>
        <w:rPr>
          <w:rFonts w:eastAsiaTheme="minorEastAsia"/>
        </w:rPr>
      </w:pPr>
      <w:r w:rsidRPr="09C78EE9">
        <w:rPr>
          <w:rFonts w:eastAsiaTheme="minorEastAsia"/>
        </w:rPr>
        <w:t xml:space="preserve"> </w:t>
      </w:r>
    </w:p>
    <w:p w14:paraId="0114B1B9" w14:textId="7D6C70EA" w:rsidR="00391F00" w:rsidRDefault="09C78EE9" w:rsidP="09C78EE9">
      <w:pPr>
        <w:spacing w:line="276" w:lineRule="auto"/>
        <w:rPr>
          <w:rFonts w:eastAsiaTheme="minorEastAsia"/>
        </w:rPr>
      </w:pPr>
      <w:r w:rsidRPr="09C78EE9">
        <w:rPr>
          <w:rFonts w:eastAsiaTheme="minorEastAsia"/>
        </w:rPr>
        <w:t xml:space="preserve"> </w:t>
      </w:r>
    </w:p>
    <w:p w14:paraId="12508BC5" w14:textId="30204EC4" w:rsidR="00391F00" w:rsidRDefault="09C78EE9" w:rsidP="09C78EE9">
      <w:pPr>
        <w:spacing w:line="276" w:lineRule="auto"/>
        <w:rPr>
          <w:rFonts w:eastAsiaTheme="minorEastAsia"/>
        </w:rPr>
      </w:pPr>
      <w:r w:rsidRPr="09C78EE9">
        <w:rPr>
          <w:rFonts w:eastAsiaTheme="minorEastAsia"/>
        </w:rPr>
        <w:t xml:space="preserve"> </w:t>
      </w:r>
    </w:p>
    <w:p w14:paraId="188B305B" w14:textId="0A920CBB" w:rsidR="00391F00" w:rsidRDefault="09C78EE9" w:rsidP="09C78EE9">
      <w:pPr>
        <w:spacing w:line="276" w:lineRule="auto"/>
        <w:rPr>
          <w:rFonts w:eastAsiaTheme="minorEastAsia"/>
        </w:rPr>
      </w:pPr>
      <w:r w:rsidRPr="09C78EE9">
        <w:rPr>
          <w:rFonts w:eastAsiaTheme="minorEastAsia"/>
        </w:rPr>
        <w:t xml:space="preserve"> </w:t>
      </w:r>
    </w:p>
    <w:p w14:paraId="3041B7DC" w14:textId="460D8BFF" w:rsidR="00391F00" w:rsidRDefault="09C78EE9" w:rsidP="09C78EE9">
      <w:pPr>
        <w:spacing w:line="276" w:lineRule="auto"/>
        <w:rPr>
          <w:rFonts w:eastAsiaTheme="minorEastAsia"/>
        </w:rPr>
      </w:pPr>
      <w:r w:rsidRPr="09C78EE9">
        <w:rPr>
          <w:rFonts w:eastAsiaTheme="minorEastAsia"/>
        </w:rPr>
        <w:t xml:space="preserve"> </w:t>
      </w:r>
    </w:p>
    <w:p w14:paraId="2335DBB8" w14:textId="07662AEA" w:rsidR="00391F00" w:rsidRDefault="09C78EE9" w:rsidP="09C78EE9">
      <w:pPr>
        <w:spacing w:line="276" w:lineRule="auto"/>
        <w:rPr>
          <w:rFonts w:eastAsiaTheme="minorEastAsia"/>
        </w:rPr>
      </w:pPr>
      <w:r w:rsidRPr="09C78EE9">
        <w:rPr>
          <w:rFonts w:eastAsiaTheme="minorEastAsia"/>
        </w:rPr>
        <w:t xml:space="preserve"> </w:t>
      </w:r>
    </w:p>
    <w:p w14:paraId="289861A9" w14:textId="694920A0" w:rsidR="00391F00" w:rsidRDefault="09C78EE9" w:rsidP="09C78EE9">
      <w:pPr>
        <w:spacing w:line="276" w:lineRule="auto"/>
        <w:rPr>
          <w:rFonts w:eastAsiaTheme="minorEastAsia"/>
        </w:rPr>
      </w:pPr>
      <w:r w:rsidRPr="09C78EE9">
        <w:rPr>
          <w:rFonts w:eastAsiaTheme="minorEastAsia"/>
        </w:rPr>
        <w:t xml:space="preserve"> </w:t>
      </w:r>
    </w:p>
    <w:p w14:paraId="5D08105F" w14:textId="31709300" w:rsidR="00391F00" w:rsidRDefault="09C78EE9" w:rsidP="09C78EE9">
      <w:pPr>
        <w:spacing w:line="276" w:lineRule="auto"/>
        <w:rPr>
          <w:rFonts w:eastAsiaTheme="minorEastAsia"/>
        </w:rPr>
      </w:pPr>
      <w:r w:rsidRPr="09C78EE9">
        <w:rPr>
          <w:rFonts w:eastAsiaTheme="minorEastAsia"/>
        </w:rPr>
        <w:t xml:space="preserve"> </w:t>
      </w:r>
    </w:p>
    <w:p w14:paraId="46C42B56" w14:textId="6EBF4EE4" w:rsidR="00A65CF5" w:rsidRDefault="00A65CF5" w:rsidP="09C78EE9">
      <w:pPr>
        <w:spacing w:line="276" w:lineRule="auto"/>
        <w:rPr>
          <w:rFonts w:eastAsiaTheme="minorEastAsia"/>
        </w:rPr>
      </w:pPr>
    </w:p>
    <w:p w14:paraId="3C427A10" w14:textId="77777777" w:rsidR="00A65CF5" w:rsidRPr="00A65CF5" w:rsidRDefault="00A65CF5" w:rsidP="09C78EE9">
      <w:pPr>
        <w:spacing w:line="276" w:lineRule="auto"/>
        <w:rPr>
          <w:rFonts w:eastAsiaTheme="minorEastAsia"/>
        </w:rPr>
      </w:pPr>
    </w:p>
    <w:p w14:paraId="5E5787A5" w14:textId="02A8444A" w:rsidR="00391F00" w:rsidRDefault="00391F00" w:rsidP="09C78EE9"/>
    <w:p w14:paraId="526BD0A8" w14:textId="77777777" w:rsidR="002D3376" w:rsidRDefault="002D3376" w:rsidP="09C78EE9"/>
    <w:p w14:paraId="1B04C71A" w14:textId="77777777" w:rsidR="002D3376" w:rsidRDefault="002D3376" w:rsidP="09C78EE9"/>
    <w:p w14:paraId="0A566F5E" w14:textId="2E9E329A" w:rsidR="00663E83" w:rsidRPr="00286AE7" w:rsidRDefault="002D3376" w:rsidP="09C78EE9">
      <w:pPr>
        <w:rPr>
          <w:rFonts w:ascii="Arial" w:hAnsi="Arial" w:cs="Arial"/>
          <w:b/>
          <w:bCs/>
        </w:rPr>
      </w:pPr>
      <w:r w:rsidRPr="00286AE7">
        <w:rPr>
          <w:rFonts w:ascii="Arial" w:hAnsi="Arial" w:cs="Arial"/>
          <w:b/>
          <w:bCs/>
        </w:rPr>
        <w:lastRenderedPageBreak/>
        <w:t>INTRODUCTION</w:t>
      </w:r>
    </w:p>
    <w:p w14:paraId="65C952BD" w14:textId="50879651" w:rsidR="006F47A5" w:rsidRPr="00286AE7" w:rsidRDefault="002B3CAE" w:rsidP="09C78EE9">
      <w:pPr>
        <w:rPr>
          <w:rFonts w:ascii="Arial" w:hAnsi="Arial" w:cs="Arial"/>
        </w:rPr>
      </w:pPr>
      <w:r w:rsidRPr="00286AE7">
        <w:rPr>
          <w:rFonts w:ascii="Arial" w:hAnsi="Arial" w:cs="Arial"/>
        </w:rPr>
        <w:t xml:space="preserve">The focus of this assignment will be to analyse how a learning organisation designs and implements a school development plan (SDP) from a particular action point or recommendation in order to set goals that seek to raise standards or learner outcomes. The SDP analysed in this assignment is a live document from a secondary school which will be anonymised and referred to as </w:t>
      </w:r>
      <w:r w:rsidR="006F47A5" w:rsidRPr="00286AE7">
        <w:rPr>
          <w:rFonts w:ascii="Arial" w:hAnsi="Arial" w:cs="Arial"/>
        </w:rPr>
        <w:t xml:space="preserve">‘School X’, in order to adhere to the ethical guidelines for educational research as outlined by the British Education Research Association (BERA, 2018). </w:t>
      </w:r>
    </w:p>
    <w:p w14:paraId="7C2CE84D" w14:textId="0BA1556B" w:rsidR="006F47A5" w:rsidRPr="00286AE7" w:rsidRDefault="00DB2225" w:rsidP="09C78EE9">
      <w:pPr>
        <w:rPr>
          <w:rFonts w:ascii="Arial" w:hAnsi="Arial" w:cs="Arial"/>
        </w:rPr>
      </w:pPr>
      <w:r w:rsidRPr="00286AE7">
        <w:rPr>
          <w:rFonts w:ascii="Arial" w:hAnsi="Arial" w:cs="Arial"/>
        </w:rPr>
        <w:t>School X is a</w:t>
      </w:r>
      <w:r w:rsidR="00FB12BF" w:rsidRPr="00286AE7">
        <w:rPr>
          <w:rFonts w:ascii="Arial" w:hAnsi="Arial" w:cs="Arial"/>
        </w:rPr>
        <w:t>n English medium</w:t>
      </w:r>
      <w:r w:rsidRPr="00286AE7">
        <w:rPr>
          <w:rFonts w:ascii="Arial" w:hAnsi="Arial" w:cs="Arial"/>
        </w:rPr>
        <w:t xml:space="preserve"> comprehensive school </w:t>
      </w:r>
      <w:r w:rsidR="00FB12BF" w:rsidRPr="00286AE7">
        <w:rPr>
          <w:rFonts w:ascii="Arial" w:hAnsi="Arial" w:cs="Arial"/>
        </w:rPr>
        <w:t>with 1,134 pupils aged between 11-16 at the time of their last Estyn inspection in 2017.  School X is situated in South Wales with just over 14% of its pupils living in the one of the most economically deprived areas of Wales with 17% of pupils receiv</w:t>
      </w:r>
      <w:r w:rsidR="00843EA0" w:rsidRPr="00286AE7">
        <w:rPr>
          <w:rFonts w:ascii="Arial" w:hAnsi="Arial" w:cs="Arial"/>
        </w:rPr>
        <w:t>ing</w:t>
      </w:r>
      <w:r w:rsidR="00FB12BF" w:rsidRPr="00286AE7">
        <w:rPr>
          <w:rFonts w:ascii="Arial" w:hAnsi="Arial" w:cs="Arial"/>
        </w:rPr>
        <w:t xml:space="preserve"> free school meals (eFSM) which is in line with the national average of 17.1% (</w:t>
      </w:r>
      <w:r w:rsidR="00C97E47" w:rsidRPr="00286AE7">
        <w:rPr>
          <w:rFonts w:ascii="Arial" w:hAnsi="Arial" w:cs="Arial"/>
        </w:rPr>
        <w:t>Egan,</w:t>
      </w:r>
      <w:r w:rsidR="00197AA7" w:rsidRPr="00286AE7">
        <w:rPr>
          <w:rFonts w:ascii="Arial" w:hAnsi="Arial" w:cs="Arial"/>
        </w:rPr>
        <w:t xml:space="preserve"> </w:t>
      </w:r>
      <w:r w:rsidR="00C97E47" w:rsidRPr="00286AE7">
        <w:rPr>
          <w:rFonts w:ascii="Arial" w:hAnsi="Arial" w:cs="Arial"/>
        </w:rPr>
        <w:t xml:space="preserve">2016;  </w:t>
      </w:r>
      <w:r w:rsidR="00FB12BF" w:rsidRPr="00286AE7">
        <w:rPr>
          <w:rFonts w:ascii="Arial" w:hAnsi="Arial" w:cs="Arial"/>
        </w:rPr>
        <w:t>Estyn, 2017).</w:t>
      </w:r>
    </w:p>
    <w:p w14:paraId="6BE083B4" w14:textId="39111C32" w:rsidR="00772C4E" w:rsidRPr="00286AE7" w:rsidRDefault="006F47A5" w:rsidP="09C78EE9">
      <w:pPr>
        <w:rPr>
          <w:rStyle w:val="normaltextrun"/>
          <w:rFonts w:ascii="Arial" w:hAnsi="Arial" w:cs="Arial"/>
          <w:bdr w:val="none" w:sz="0" w:space="0" w:color="auto" w:frame="1"/>
        </w:rPr>
      </w:pPr>
      <w:r w:rsidRPr="00286AE7">
        <w:rPr>
          <w:rFonts w:ascii="Arial" w:hAnsi="Arial" w:cs="Arial"/>
        </w:rPr>
        <w:t>The action point identified b as the focus of this assignment is t</w:t>
      </w:r>
      <w:r w:rsidRPr="00286AE7">
        <w:rPr>
          <w:rFonts w:ascii="Arial" w:eastAsiaTheme="minorEastAsia" w:hAnsi="Arial" w:cs="Arial"/>
          <w:lang w:eastAsia="ja-JP"/>
        </w:rPr>
        <w:t>o ‘</w:t>
      </w:r>
      <w:r w:rsidRPr="00286AE7">
        <w:rPr>
          <w:rFonts w:ascii="Arial" w:eastAsiaTheme="minorEastAsia" w:hAnsi="Arial" w:cs="Arial"/>
        </w:rPr>
        <w:t xml:space="preserve">maximise the performance of the individuals within the cohort and </w:t>
      </w:r>
      <w:r w:rsidRPr="00286AE7">
        <w:rPr>
          <w:rFonts w:ascii="Arial" w:eastAsiaTheme="minorEastAsia" w:hAnsi="Arial" w:cs="Arial"/>
          <w:lang w:eastAsia="ja-JP"/>
        </w:rPr>
        <w:t>con</w:t>
      </w:r>
      <w:r w:rsidRPr="00286AE7">
        <w:rPr>
          <w:rFonts w:ascii="Arial" w:hAnsi="Arial" w:cs="Arial"/>
          <w:lang w:eastAsia="ja-JP"/>
        </w:rPr>
        <w:t xml:space="preserve">tinue high expectations and outcomes at KS4 to ensure that every child achieves their best with particular emphasis improving the quality of teaching, especially the level of challenge for the more able students. To support </w:t>
      </w:r>
      <w:r w:rsidRPr="00286AE7">
        <w:rPr>
          <w:rFonts w:ascii="Arial" w:hAnsi="Arial" w:cs="Arial"/>
        </w:rPr>
        <w:t xml:space="preserve">and </w:t>
      </w:r>
      <w:r w:rsidRPr="00286AE7">
        <w:rPr>
          <w:rStyle w:val="normaltextrun"/>
          <w:rFonts w:ascii="Arial" w:hAnsi="Arial" w:cs="Arial"/>
          <w:bdr w:val="none" w:sz="0" w:space="0" w:color="auto" w:frame="1"/>
          <w:lang w:eastAsia="ja-JP"/>
        </w:rPr>
        <w:t>develop the wellbeing and attitudes to learning of all pupil</w:t>
      </w:r>
      <w:r w:rsidRPr="00286AE7">
        <w:rPr>
          <w:rStyle w:val="normaltextrun"/>
          <w:rFonts w:ascii="Arial" w:hAnsi="Arial" w:cs="Arial"/>
          <w:bdr w:val="none" w:sz="0" w:space="0" w:color="auto" w:frame="1"/>
        </w:rPr>
        <w:t>s in key stage 4’ (Appendix 1).</w:t>
      </w:r>
    </w:p>
    <w:p w14:paraId="7C0FF385" w14:textId="77777777" w:rsidR="00FB12BF" w:rsidRPr="00286AE7" w:rsidRDefault="00FB12BF" w:rsidP="09C78EE9">
      <w:pPr>
        <w:rPr>
          <w:rStyle w:val="normaltextrun"/>
          <w:rFonts w:ascii="Arial" w:hAnsi="Arial" w:cs="Arial"/>
          <w:bdr w:val="none" w:sz="0" w:space="0" w:color="auto" w:frame="1"/>
        </w:rPr>
      </w:pPr>
    </w:p>
    <w:p w14:paraId="721798BF" w14:textId="1ED5EEDF" w:rsidR="00663E83" w:rsidRPr="00286AE7" w:rsidRDefault="00FB12BF" w:rsidP="09C78EE9">
      <w:pPr>
        <w:rPr>
          <w:rFonts w:ascii="Arial" w:hAnsi="Arial" w:cs="Arial"/>
          <w:b/>
          <w:bCs/>
        </w:rPr>
      </w:pPr>
      <w:r w:rsidRPr="00286AE7">
        <w:rPr>
          <w:rStyle w:val="normaltextrun"/>
          <w:rFonts w:ascii="Arial" w:hAnsi="Arial" w:cs="Arial"/>
          <w:b/>
          <w:bCs/>
          <w:bdr w:val="none" w:sz="0" w:space="0" w:color="auto" w:frame="1"/>
        </w:rPr>
        <w:t>LITERATURE REVIEW</w:t>
      </w:r>
    </w:p>
    <w:p w14:paraId="6A7C8C5A" w14:textId="1CD9F2C9" w:rsidR="009626BD" w:rsidRPr="00286AE7" w:rsidRDefault="00F277F7" w:rsidP="09C78EE9">
      <w:pPr>
        <w:rPr>
          <w:rFonts w:ascii="Arial" w:hAnsi="Arial" w:cs="Arial"/>
        </w:rPr>
      </w:pPr>
      <w:r w:rsidRPr="00286AE7">
        <w:rPr>
          <w:rFonts w:ascii="Arial" w:hAnsi="Arial" w:cs="Arial"/>
        </w:rPr>
        <w:t xml:space="preserve">The Welsh Government (2014) describe a SDP as a document which outlines the strategy for improvement for an individual school, detailing actions required by the school to enhance literacy, numeracy and learner outcomes over a three-year period. The plan is a ‘living’ strategy which must be regularly reviewed to ensure targets remain relevant and measure achievement or shortfalls in attaining set targets (Welsh Government, 2014). </w:t>
      </w:r>
      <w:r w:rsidR="0048055F">
        <w:rPr>
          <w:rFonts w:ascii="Arial" w:hAnsi="Arial" w:cs="Arial"/>
        </w:rPr>
        <w:t>T</w:t>
      </w:r>
      <w:r w:rsidR="00C97E47" w:rsidRPr="00286AE7">
        <w:rPr>
          <w:rFonts w:ascii="Arial" w:hAnsi="Arial" w:cs="Arial"/>
        </w:rPr>
        <w:t xml:space="preserve">he Welsh Government </w:t>
      </w:r>
      <w:r w:rsidR="00286AE7" w:rsidRPr="00286AE7">
        <w:rPr>
          <w:rFonts w:ascii="Arial" w:hAnsi="Arial" w:cs="Arial"/>
        </w:rPr>
        <w:t>requires</w:t>
      </w:r>
      <w:r w:rsidR="00C97E47" w:rsidRPr="00286AE7">
        <w:rPr>
          <w:rFonts w:ascii="Arial" w:hAnsi="Arial" w:cs="Arial"/>
        </w:rPr>
        <w:t xml:space="preserve"> schools to publish School Improvement Guidance (Welsh Government, 2020) which alongside the strategic improvement plan places additional emphasis on pupil well-being</w:t>
      </w:r>
      <w:r w:rsidR="00197AA7" w:rsidRPr="00286AE7">
        <w:rPr>
          <w:rFonts w:ascii="Arial" w:hAnsi="Arial" w:cs="Arial"/>
        </w:rPr>
        <w:t xml:space="preserve">. Both policy documents require schools to work with relevant stake-holders, including statutory agencies, whilst also requiring schools to become introspective and reflective in their self-assessments. </w:t>
      </w:r>
      <w:r w:rsidR="0048055F">
        <w:rPr>
          <w:rFonts w:ascii="Arial" w:hAnsi="Arial" w:cs="Arial"/>
        </w:rPr>
        <w:t>SDP</w:t>
      </w:r>
      <w:r w:rsidR="00BF4282" w:rsidRPr="00286AE7">
        <w:rPr>
          <w:rFonts w:ascii="Arial" w:hAnsi="Arial" w:cs="Arial"/>
        </w:rPr>
        <w:t xml:space="preserve">s are integral to the betterment of any learning organisation (Hopkins, 1998), as the education sector is one that is consistently changing at a fast pace it requires adaptability and good insight to the current and future needs of its stakeholders. It is important that any learning organisation has a well-designed and thoughtfully constructed SDP </w:t>
      </w:r>
      <w:proofErr w:type="gramStart"/>
      <w:r w:rsidR="00BF4282" w:rsidRPr="00286AE7">
        <w:rPr>
          <w:rFonts w:ascii="Arial" w:hAnsi="Arial" w:cs="Arial"/>
        </w:rPr>
        <w:t>in order to</w:t>
      </w:r>
      <w:proofErr w:type="gramEnd"/>
      <w:r w:rsidR="00BF4282" w:rsidRPr="00286AE7">
        <w:rPr>
          <w:rFonts w:ascii="Arial" w:hAnsi="Arial" w:cs="Arial"/>
        </w:rPr>
        <w:t xml:space="preserve"> support both long-term and short-term planning</w:t>
      </w:r>
      <w:r w:rsidR="0048055F">
        <w:rPr>
          <w:rFonts w:ascii="Arial" w:hAnsi="Arial" w:cs="Arial"/>
        </w:rPr>
        <w:t>.</w:t>
      </w:r>
      <w:r w:rsidR="00BF4282" w:rsidRPr="00286AE7">
        <w:rPr>
          <w:rFonts w:ascii="Arial" w:hAnsi="Arial" w:cs="Arial"/>
        </w:rPr>
        <w:t xml:space="preserve"> </w:t>
      </w:r>
    </w:p>
    <w:p w14:paraId="76FE1F70" w14:textId="3153CC0A" w:rsidR="00197AA7" w:rsidRPr="00286AE7" w:rsidRDefault="00197AA7" w:rsidP="09C78EE9">
      <w:pPr>
        <w:rPr>
          <w:rFonts w:ascii="Arial" w:hAnsi="Arial" w:cs="Arial"/>
        </w:rPr>
      </w:pPr>
      <w:r w:rsidRPr="00286AE7">
        <w:rPr>
          <w:rFonts w:ascii="Arial" w:hAnsi="Arial" w:cs="Arial"/>
        </w:rPr>
        <w:t>Ball (1997) reminds us that all such strategic reviews must be ongoing exercises and that schools should not be identified as under or over performing on the evidence of a single review</w:t>
      </w:r>
      <w:r w:rsidR="00B04C55" w:rsidRPr="00286AE7">
        <w:rPr>
          <w:rFonts w:ascii="Arial" w:hAnsi="Arial" w:cs="Arial"/>
        </w:rPr>
        <w:t>,</w:t>
      </w:r>
      <w:r w:rsidRPr="00286AE7">
        <w:rPr>
          <w:rFonts w:ascii="Arial" w:hAnsi="Arial" w:cs="Arial"/>
        </w:rPr>
        <w:t xml:space="preserve"> but rather that the narrative should reflect the journey the school, its staff and its pupils have undertaken.</w:t>
      </w:r>
      <w:r w:rsidR="00B04C55" w:rsidRPr="00286AE7">
        <w:rPr>
          <w:rFonts w:ascii="Arial" w:hAnsi="Arial" w:cs="Arial"/>
        </w:rPr>
        <w:t xml:space="preserve"> Although on the one hand Ball’s (1997) comments could be perceived as criticising development plans it can also be taken as a support for the use of a ‘living’ strategy as proposed by the Welsh Government (2014, 2020).</w:t>
      </w:r>
    </w:p>
    <w:p w14:paraId="393EE7BE" w14:textId="2AAC8EC4" w:rsidR="00BF4282" w:rsidRPr="00286AE7" w:rsidRDefault="00BF4282" w:rsidP="09C78EE9">
      <w:pPr>
        <w:rPr>
          <w:rFonts w:ascii="Arial" w:hAnsi="Arial" w:cs="Arial"/>
        </w:rPr>
      </w:pPr>
      <w:r w:rsidRPr="00286AE7">
        <w:rPr>
          <w:rFonts w:ascii="Arial" w:hAnsi="Arial" w:cs="Arial"/>
        </w:rPr>
        <w:t xml:space="preserve">Davies and Ellison (1998) are more robust critics of development plans. </w:t>
      </w:r>
      <w:r w:rsidR="0048055F">
        <w:rPr>
          <w:rFonts w:ascii="Arial" w:hAnsi="Arial" w:cs="Arial"/>
        </w:rPr>
        <w:t>T</w:t>
      </w:r>
      <w:r w:rsidRPr="00286AE7">
        <w:rPr>
          <w:rFonts w:ascii="Arial" w:hAnsi="Arial" w:cs="Arial"/>
        </w:rPr>
        <w:t>hey hypothesise that many plans do not promote development but are often strategies to produce budgetary savings dressed up as ‘efficiencies’. However as their study predates the Welsh Government policies by a couple of decades it is not really possible to assume that the current approaches are anything other than the intent to improve opportunities and outcomes they purport to be.</w:t>
      </w:r>
    </w:p>
    <w:p w14:paraId="5DC18E08" w14:textId="39542933" w:rsidR="006E1DAA" w:rsidRPr="00286AE7" w:rsidRDefault="0048055F" w:rsidP="09C78EE9">
      <w:pPr>
        <w:rPr>
          <w:rFonts w:ascii="Arial" w:hAnsi="Arial" w:cs="Arial"/>
        </w:rPr>
      </w:pPr>
      <w:r>
        <w:rPr>
          <w:rFonts w:ascii="Arial" w:hAnsi="Arial" w:cs="Arial"/>
        </w:rPr>
        <w:t>The Welsh Government (2014) produced guidance defining an SDP</w:t>
      </w:r>
      <w:r w:rsidRPr="00286AE7">
        <w:rPr>
          <w:rFonts w:ascii="Arial" w:hAnsi="Arial" w:cs="Arial"/>
        </w:rPr>
        <w:t xml:space="preserve"> as the school’s strategic plan for improvement</w:t>
      </w:r>
      <w:r>
        <w:rPr>
          <w:rFonts w:ascii="Arial" w:hAnsi="Arial" w:cs="Arial"/>
        </w:rPr>
        <w:t xml:space="preserve">. This was superseded </w:t>
      </w:r>
      <w:r w:rsidR="00EA03CE" w:rsidRPr="00286AE7">
        <w:rPr>
          <w:rFonts w:ascii="Arial" w:hAnsi="Arial" w:cs="Arial"/>
        </w:rPr>
        <w:t>in 2022 and replaced with a School Improvement Guidance (SIG) document</w:t>
      </w:r>
      <w:r w:rsidR="008637ED">
        <w:rPr>
          <w:rFonts w:ascii="Arial" w:hAnsi="Arial" w:cs="Arial"/>
        </w:rPr>
        <w:t xml:space="preserve"> (Welsh Government, 2022)</w:t>
      </w:r>
      <w:r w:rsidR="00EA03CE" w:rsidRPr="00286AE7">
        <w:rPr>
          <w:rFonts w:ascii="Arial" w:hAnsi="Arial" w:cs="Arial"/>
        </w:rPr>
        <w:t xml:space="preserve">, </w:t>
      </w:r>
      <w:r w:rsidR="00857DDE" w:rsidRPr="00286AE7">
        <w:rPr>
          <w:rFonts w:ascii="Arial" w:hAnsi="Arial" w:cs="Arial"/>
        </w:rPr>
        <w:t>following Donaldson’s curriculum review (Donaldson, 2015) and the introduction of the new Curriculum for Wales</w:t>
      </w:r>
      <w:r w:rsidR="00EA03CE" w:rsidRPr="00286AE7">
        <w:rPr>
          <w:rFonts w:ascii="Arial" w:hAnsi="Arial" w:cs="Arial"/>
        </w:rPr>
        <w:t>. The SIG document included significant emphasis on Wales curriculum reform, with particular focus on individual learner progression and well-being regardless of their background or circumstances (Welsh Government, 2022).</w:t>
      </w:r>
      <w:r w:rsidR="00263937" w:rsidRPr="00286AE7">
        <w:rPr>
          <w:rFonts w:ascii="Arial" w:hAnsi="Arial" w:cs="Arial"/>
        </w:rPr>
        <w:t xml:space="preserve"> </w:t>
      </w:r>
      <w:r w:rsidR="006E1DAA" w:rsidRPr="00286AE7">
        <w:rPr>
          <w:rFonts w:ascii="Arial" w:hAnsi="Arial" w:cs="Arial"/>
        </w:rPr>
        <w:t xml:space="preserve">This requirement was identified in the Welsh Government’s national mission which outlined the need to promote equity </w:t>
      </w:r>
      <w:r w:rsidR="00493E14" w:rsidRPr="00286AE7">
        <w:rPr>
          <w:rFonts w:ascii="Arial" w:hAnsi="Arial" w:cs="Arial"/>
        </w:rPr>
        <w:t>to</w:t>
      </w:r>
      <w:r w:rsidR="006E1DAA" w:rsidRPr="00286AE7">
        <w:rPr>
          <w:rFonts w:ascii="Arial" w:hAnsi="Arial" w:cs="Arial"/>
        </w:rPr>
        <w:t xml:space="preserve"> help deprived learners aim high and set and achieve their goals (Williams, 2017).</w:t>
      </w:r>
    </w:p>
    <w:p w14:paraId="0D4A73AD" w14:textId="77777777" w:rsidR="00CA65E3" w:rsidRPr="00286AE7" w:rsidRDefault="00263937" w:rsidP="09C78EE9">
      <w:pPr>
        <w:rPr>
          <w:rFonts w:ascii="Arial" w:hAnsi="Arial" w:cs="Arial"/>
        </w:rPr>
      </w:pPr>
      <w:r w:rsidRPr="00286AE7">
        <w:rPr>
          <w:rFonts w:ascii="Arial" w:hAnsi="Arial" w:cs="Arial"/>
        </w:rPr>
        <w:t xml:space="preserve">Both documents are relevant to the discussion of School X’s SDP as the SIG document wasn’t published at the time of their last Estyn inspection whose recommendations have heavily informed the whole school </w:t>
      </w:r>
      <w:r w:rsidRPr="00286AE7">
        <w:rPr>
          <w:rFonts w:ascii="Arial" w:hAnsi="Arial" w:cs="Arial"/>
        </w:rPr>
        <w:lastRenderedPageBreak/>
        <w:t xml:space="preserve">targets as well as departmental targets established in its SDP. Though </w:t>
      </w:r>
      <w:r w:rsidR="00EB6A07" w:rsidRPr="00286AE7">
        <w:rPr>
          <w:rFonts w:ascii="Arial" w:hAnsi="Arial" w:cs="Arial"/>
        </w:rPr>
        <w:t>the two</w:t>
      </w:r>
      <w:r w:rsidRPr="00286AE7">
        <w:rPr>
          <w:rFonts w:ascii="Arial" w:hAnsi="Arial" w:cs="Arial"/>
        </w:rPr>
        <w:t xml:space="preserve"> documents have some dissimilarities, </w:t>
      </w:r>
      <w:r w:rsidR="00EB6A07" w:rsidRPr="00286AE7">
        <w:rPr>
          <w:rFonts w:ascii="Arial" w:hAnsi="Arial" w:cs="Arial"/>
        </w:rPr>
        <w:t xml:space="preserve">both documents share similar </w:t>
      </w:r>
      <w:r w:rsidRPr="00286AE7">
        <w:rPr>
          <w:rFonts w:ascii="Arial" w:hAnsi="Arial" w:cs="Arial"/>
        </w:rPr>
        <w:t>guidance</w:t>
      </w:r>
      <w:r w:rsidR="00EB6A07" w:rsidRPr="00286AE7">
        <w:rPr>
          <w:rFonts w:ascii="Arial" w:hAnsi="Arial" w:cs="Arial"/>
        </w:rPr>
        <w:t xml:space="preserve"> steps</w:t>
      </w:r>
      <w:r w:rsidRPr="00286AE7">
        <w:rPr>
          <w:rFonts w:ascii="Arial" w:hAnsi="Arial" w:cs="Arial"/>
        </w:rPr>
        <w:t xml:space="preserve"> for establishing an efficient SDP</w:t>
      </w:r>
      <w:r w:rsidR="00EB6A07" w:rsidRPr="00286AE7">
        <w:rPr>
          <w:rFonts w:ascii="Arial" w:hAnsi="Arial" w:cs="Arial"/>
        </w:rPr>
        <w:t>, which follow a planning cycle of self-evaluation, strategic planning,</w:t>
      </w:r>
      <w:r w:rsidR="000F568E" w:rsidRPr="00286AE7">
        <w:rPr>
          <w:rFonts w:ascii="Arial" w:hAnsi="Arial" w:cs="Arial"/>
        </w:rPr>
        <w:t xml:space="preserve"> action points and reviewing impact (Welsh Government, 2014 &amp; 2022). </w:t>
      </w:r>
    </w:p>
    <w:p w14:paraId="4B29A30B" w14:textId="610C9E5B" w:rsidR="003441FF" w:rsidRPr="00286AE7" w:rsidRDefault="003441FF" w:rsidP="003441FF">
      <w:pPr>
        <w:rPr>
          <w:rFonts w:ascii="Arial" w:hAnsi="Arial" w:cs="Arial"/>
          <w:lang w:eastAsia="ja-JP"/>
        </w:rPr>
      </w:pPr>
      <w:r w:rsidRPr="00286AE7">
        <w:rPr>
          <w:rFonts w:ascii="Arial" w:hAnsi="Arial" w:cs="Arial"/>
        </w:rPr>
        <w:t>School X’s target to “</w:t>
      </w:r>
      <w:r w:rsidRPr="00286AE7">
        <w:rPr>
          <w:rFonts w:ascii="Arial" w:eastAsiaTheme="minorEastAsia" w:hAnsi="Arial" w:cs="Arial"/>
        </w:rPr>
        <w:t xml:space="preserve">maximise the performance of the individuals within the cohort and </w:t>
      </w:r>
      <w:r w:rsidRPr="00286AE7">
        <w:rPr>
          <w:rFonts w:ascii="Arial" w:eastAsiaTheme="minorEastAsia" w:hAnsi="Arial" w:cs="Arial"/>
          <w:lang w:eastAsia="ja-JP"/>
        </w:rPr>
        <w:t>con</w:t>
      </w:r>
      <w:r w:rsidRPr="00286AE7">
        <w:rPr>
          <w:rFonts w:ascii="Arial" w:hAnsi="Arial" w:cs="Arial"/>
          <w:lang w:eastAsia="ja-JP"/>
        </w:rPr>
        <w:t>tinue high expectations and outcomes at KS4</w:t>
      </w:r>
      <w:r w:rsidR="009626BD" w:rsidRPr="00286AE7">
        <w:rPr>
          <w:rFonts w:ascii="Arial" w:hAnsi="Arial" w:cs="Arial"/>
          <w:lang w:eastAsia="ja-JP"/>
        </w:rPr>
        <w:t xml:space="preserve"> etc.</w:t>
      </w:r>
      <w:r w:rsidRPr="00286AE7">
        <w:rPr>
          <w:rFonts w:ascii="Arial" w:hAnsi="Arial" w:cs="Arial"/>
          <w:lang w:eastAsia="ja-JP"/>
        </w:rPr>
        <w:t xml:space="preserve">” </w:t>
      </w:r>
      <w:r w:rsidR="009626BD" w:rsidRPr="00286AE7">
        <w:rPr>
          <w:rFonts w:ascii="Arial" w:hAnsi="Arial" w:cs="Arial"/>
          <w:lang w:eastAsia="ja-JP"/>
        </w:rPr>
        <w:t xml:space="preserve">could be criticised as comprising more than one target. However it is not really possible to achieve improved outcomes without meeting the other elements of the strategy highlighted in this ambition. </w:t>
      </w:r>
      <w:r w:rsidR="0058177C" w:rsidRPr="00286AE7">
        <w:rPr>
          <w:rFonts w:ascii="Arial" w:hAnsi="Arial" w:cs="Arial"/>
          <w:lang w:eastAsia="ja-JP"/>
        </w:rPr>
        <w:t>For example t</w:t>
      </w:r>
      <w:r w:rsidR="009626BD" w:rsidRPr="00286AE7">
        <w:rPr>
          <w:rFonts w:ascii="Arial" w:hAnsi="Arial" w:cs="Arial"/>
          <w:lang w:eastAsia="ja-JP"/>
        </w:rPr>
        <w:t xml:space="preserve">he target to improve outcomes is clearly dependent on the recognition of the strong correlation between good quality </w:t>
      </w:r>
      <w:r w:rsidR="0058177C" w:rsidRPr="00286AE7">
        <w:rPr>
          <w:rFonts w:ascii="Arial" w:hAnsi="Arial" w:cs="Arial"/>
          <w:lang w:eastAsia="ja-JP"/>
        </w:rPr>
        <w:t xml:space="preserve">teaching and learner outcomes (Fauth, et al., 2014; Looney, 2011; York, Gibson &amp; Rankin, 2015)  </w:t>
      </w:r>
      <w:r w:rsidR="009626BD" w:rsidRPr="00286AE7">
        <w:rPr>
          <w:rFonts w:ascii="Arial" w:hAnsi="Arial" w:cs="Arial"/>
          <w:lang w:eastAsia="ja-JP"/>
        </w:rPr>
        <w:t xml:space="preserve"> </w:t>
      </w:r>
      <w:r w:rsidR="0058177C" w:rsidRPr="00286AE7">
        <w:rPr>
          <w:rFonts w:ascii="Arial" w:hAnsi="Arial" w:cs="Arial"/>
          <w:lang w:eastAsia="ja-JP"/>
        </w:rPr>
        <w:t>This target is also</w:t>
      </w:r>
      <w:r w:rsidRPr="00286AE7">
        <w:rPr>
          <w:rFonts w:ascii="Arial" w:hAnsi="Arial" w:cs="Arial"/>
          <w:lang w:eastAsia="ja-JP"/>
        </w:rPr>
        <w:t xml:space="preserve"> in line with the recommendations made by Estyn following their most recent inspection and likely played a key role in setting their objectives.</w:t>
      </w:r>
      <w:r w:rsidR="00901138" w:rsidRPr="00286AE7">
        <w:rPr>
          <w:rFonts w:ascii="Arial" w:hAnsi="Arial" w:cs="Arial"/>
          <w:lang w:eastAsia="ja-JP"/>
        </w:rPr>
        <w:t xml:space="preserve"> The school had reported an increase of 7.5% in their attainment of A*-A grades in their SDP and had outlined </w:t>
      </w:r>
      <w:r w:rsidR="000F7940" w:rsidRPr="00286AE7">
        <w:rPr>
          <w:rFonts w:ascii="Arial" w:hAnsi="Arial" w:cs="Arial"/>
          <w:lang w:eastAsia="ja-JP"/>
        </w:rPr>
        <w:t>action points to keep steadily improving their results. Grades can represent a mixture of multiple factors (Brookhart et al, 2016) such as effort, ability, participation and improvement and relevant objectives have been set in school X’s SDP to ensure the steady improvement of attaining A*-A grades.</w:t>
      </w:r>
    </w:p>
    <w:p w14:paraId="382C377A" w14:textId="31728D76" w:rsidR="00F52369" w:rsidRDefault="00F52369" w:rsidP="003441FF">
      <w:pPr>
        <w:rPr>
          <w:rFonts w:ascii="Arial" w:hAnsi="Arial" w:cs="Arial"/>
          <w:lang w:eastAsia="ja-JP"/>
        </w:rPr>
      </w:pPr>
      <w:r w:rsidRPr="00286AE7">
        <w:rPr>
          <w:rFonts w:ascii="Arial" w:hAnsi="Arial" w:cs="Arial"/>
          <w:lang w:eastAsia="ja-JP"/>
        </w:rPr>
        <w:t xml:space="preserve">One element of the target exceeds the achievement of good exit grades however as there is an increasing understanding amongst educators of their role in not merely helping pupils to pass exams but the need to provide pupils with learning skills and attitudes they can transfer into their ongoing adult development (National Research Council, 2012). Bridgeland, Bruce and Hariharan (2013) suggest that for students from impoverished backgrounds the life-long learning skills promoted in school may be of greater importance than exit grades, so school X’s goal of supporting well-being and improving attitudes may provide long-term benefits to such pupils. </w:t>
      </w:r>
      <w:r w:rsidR="008340E0" w:rsidRPr="00286AE7">
        <w:rPr>
          <w:rFonts w:ascii="Arial" w:hAnsi="Arial" w:cs="Arial"/>
          <w:lang w:eastAsia="ja-JP"/>
        </w:rPr>
        <w:t>Brookhart (2016) in a narrative review of a range of literature suggest that exit grades are not solely a measure of good teaching but that pupil outcomes are a multi-faceted phenomena dependent on a range of factors which include social and environmental factors of individual pupils and/or the school</w:t>
      </w:r>
      <w:r w:rsidR="004A2682" w:rsidRPr="00286AE7">
        <w:rPr>
          <w:rFonts w:ascii="Arial" w:hAnsi="Arial" w:cs="Arial"/>
          <w:lang w:eastAsia="ja-JP"/>
        </w:rPr>
        <w:t xml:space="preserve"> </w:t>
      </w:r>
      <w:r w:rsidR="008340E0" w:rsidRPr="00286AE7">
        <w:rPr>
          <w:rFonts w:ascii="Arial" w:hAnsi="Arial" w:cs="Arial"/>
          <w:lang w:eastAsia="ja-JP"/>
        </w:rPr>
        <w:t xml:space="preserve">alongside engagement and teaching resources and methodologies. </w:t>
      </w:r>
    </w:p>
    <w:p w14:paraId="3E14F67F" w14:textId="77777777" w:rsidR="00286AE7" w:rsidRDefault="00286AE7" w:rsidP="003441FF">
      <w:pPr>
        <w:rPr>
          <w:rFonts w:ascii="Arial" w:hAnsi="Arial" w:cs="Arial"/>
          <w:lang w:eastAsia="ja-JP"/>
        </w:rPr>
      </w:pPr>
    </w:p>
    <w:p w14:paraId="1CC45486" w14:textId="04C602B1" w:rsidR="00663E83" w:rsidRPr="00286AE7" w:rsidRDefault="00286AE7" w:rsidP="09C78EE9">
      <w:pPr>
        <w:rPr>
          <w:rFonts w:ascii="Arial" w:hAnsi="Arial" w:cs="Arial"/>
          <w:b/>
        </w:rPr>
      </w:pPr>
      <w:r w:rsidRPr="00286AE7">
        <w:rPr>
          <w:rFonts w:ascii="Arial" w:hAnsi="Arial" w:cs="Arial"/>
          <w:b/>
        </w:rPr>
        <w:t>Action Points</w:t>
      </w:r>
    </w:p>
    <w:p w14:paraId="6728E608" w14:textId="28028C52" w:rsidR="005428F7" w:rsidRDefault="005428F7" w:rsidP="005428F7">
      <w:pPr>
        <w:rPr>
          <w:rFonts w:ascii="Arial" w:hAnsi="Arial" w:cs="Arial"/>
        </w:rPr>
      </w:pPr>
      <w:r w:rsidRPr="00286AE7">
        <w:rPr>
          <w:rFonts w:ascii="Arial" w:hAnsi="Arial" w:cs="Arial"/>
          <w:lang w:eastAsia="ja-JP"/>
        </w:rPr>
        <w:t>Schools are most likely to strengthen their ability to provide enhanced outcomes for all pupils when they adopt ways of working that are consistent both with their own aspirations as a school community and the current reform agenda (Hopkins, 2015). For school X this would mean applying the four stages of the SDP (</w:t>
      </w:r>
      <w:r w:rsidRPr="00286AE7">
        <w:rPr>
          <w:rFonts w:ascii="Arial" w:hAnsi="Arial" w:cs="Arial"/>
        </w:rPr>
        <w:t>Self-evaluation; Strategic planning; Making improvement/action; Reviewing impact) to meet their expressed intent.</w:t>
      </w:r>
    </w:p>
    <w:p w14:paraId="6CBD5055" w14:textId="77777777" w:rsidR="008637ED" w:rsidRDefault="008637ED" w:rsidP="005428F7">
      <w:pPr>
        <w:rPr>
          <w:rFonts w:ascii="Arial" w:hAnsi="Arial" w:cs="Arial"/>
        </w:rPr>
      </w:pPr>
    </w:p>
    <w:p w14:paraId="454145F8" w14:textId="5BA3878E" w:rsidR="00286AE7" w:rsidRDefault="000D4E49" w:rsidP="005428F7">
      <w:pPr>
        <w:rPr>
          <w:rFonts w:ascii="Arial" w:hAnsi="Arial" w:cs="Arial"/>
          <w:b/>
        </w:rPr>
      </w:pPr>
      <w:r w:rsidRPr="00286AE7">
        <w:rPr>
          <w:rFonts w:ascii="Arial" w:hAnsi="Arial" w:cs="Arial"/>
          <w:b/>
        </w:rPr>
        <w:t>Self-Evaluation</w:t>
      </w:r>
    </w:p>
    <w:p w14:paraId="69E9F9B9" w14:textId="35BFBFAC" w:rsidR="00286AE7" w:rsidRPr="00286AE7" w:rsidRDefault="00286AE7" w:rsidP="005428F7">
      <w:pPr>
        <w:rPr>
          <w:rFonts w:ascii="Arial" w:hAnsi="Arial" w:cs="Arial"/>
          <w:b/>
          <w:lang w:eastAsia="ja-JP"/>
        </w:rPr>
      </w:pPr>
      <w:r w:rsidRPr="00286AE7">
        <w:rPr>
          <w:rFonts w:ascii="Arial" w:eastAsia="Times New Roman" w:hAnsi="Arial" w:cs="Arial"/>
          <w:lang w:eastAsia="en-GB"/>
        </w:rPr>
        <w:t>The school has set an aspirational target to increase the percentage of more able pupils achieving a minimum of 5 A */A grades at GCSE level. The example provided shows that the school has made progress towards this target, with the percentage increasing from 10% in 2016 to</w:t>
      </w:r>
      <w:r>
        <w:rPr>
          <w:rFonts w:ascii="Arial" w:eastAsia="Times New Roman" w:hAnsi="Arial" w:cs="Arial"/>
          <w:lang w:eastAsia="en-GB"/>
        </w:rPr>
        <w:t xml:space="preserve"> 17.5% in 2017.</w:t>
      </w:r>
    </w:p>
    <w:p w14:paraId="69F90877" w14:textId="076D62CF" w:rsidR="009455BB" w:rsidRPr="00286AE7" w:rsidRDefault="009455BB" w:rsidP="009455BB">
      <w:pPr>
        <w:rPr>
          <w:rFonts w:ascii="Arial" w:hAnsi="Arial" w:cs="Arial"/>
        </w:rPr>
      </w:pPr>
      <w:r w:rsidRPr="00286AE7">
        <w:rPr>
          <w:rFonts w:ascii="Arial" w:hAnsi="Arial" w:cs="Arial"/>
        </w:rPr>
        <w:t>Self-evaluation refers to how schools reflect upon their performance through both qualitative and quantitative data and use this information as a basis for realistic, relevant, achievable, and sustainable improvements (Welsh Government, 2014). The requirement for self-reflection is necessary within any practitioner’s development as the process of reflection-in-action and reflection-on-action inform their future experiences and improve practice (Schön, 1984)</w:t>
      </w:r>
      <w:r w:rsidR="008637ED">
        <w:rPr>
          <w:rFonts w:ascii="Arial" w:hAnsi="Arial" w:cs="Arial"/>
        </w:rPr>
        <w:t>. The Welsh Government introduced c</w:t>
      </w:r>
      <w:r w:rsidRPr="00286AE7">
        <w:rPr>
          <w:rFonts w:ascii="Arial" w:hAnsi="Arial" w:cs="Arial"/>
        </w:rPr>
        <w:t>hanges regarding how schools should approach their self-evaluation, expressing the need for Welsh schools to strengthen the importance of robust self-evaluation and to draw on a broader range of evidence, a key difference in the new guidelines for self-re</w:t>
      </w:r>
      <w:r w:rsidR="00286AE7" w:rsidRPr="00286AE7">
        <w:rPr>
          <w:rFonts w:ascii="Arial" w:hAnsi="Arial" w:cs="Arial"/>
        </w:rPr>
        <w:t>fle</w:t>
      </w:r>
      <w:r w:rsidRPr="00286AE7">
        <w:rPr>
          <w:rFonts w:ascii="Arial" w:hAnsi="Arial" w:cs="Arial"/>
        </w:rPr>
        <w:t>ction is to recognise it as a starting point for work with local authorities and regional consortia in order to agree upon an</w:t>
      </w:r>
      <w:r w:rsidR="008637ED">
        <w:rPr>
          <w:rFonts w:ascii="Arial" w:hAnsi="Arial" w:cs="Arial"/>
        </w:rPr>
        <w:t>y</w:t>
      </w:r>
      <w:r w:rsidRPr="00286AE7">
        <w:rPr>
          <w:rFonts w:ascii="Arial" w:hAnsi="Arial" w:cs="Arial"/>
        </w:rPr>
        <w:t xml:space="preserve"> additional support that may be required to attain their improvement targets (Welsh Government, 2022). </w:t>
      </w:r>
    </w:p>
    <w:p w14:paraId="37CE7307" w14:textId="061FB687" w:rsidR="000D4E49" w:rsidRDefault="009455BB" w:rsidP="009455BB">
      <w:pPr>
        <w:rPr>
          <w:rFonts w:ascii="Arial" w:hAnsi="Arial" w:cs="Arial"/>
        </w:rPr>
      </w:pPr>
      <w:r w:rsidRPr="00286AE7">
        <w:rPr>
          <w:rFonts w:ascii="Arial" w:hAnsi="Arial" w:cs="Arial"/>
        </w:rPr>
        <w:t xml:space="preserve">The main purpose of the self-evaluation process is to identify and prioritise areas of improvement and set objectives which consider systems and strategies that may be implemented to help reach its goals. Strategic planning will consider a range of relevant factors and potential limitations that may be </w:t>
      </w:r>
      <w:r w:rsidRPr="00286AE7">
        <w:rPr>
          <w:rFonts w:ascii="Arial" w:hAnsi="Arial" w:cs="Arial"/>
        </w:rPr>
        <w:lastRenderedPageBreak/>
        <w:t xml:space="preserve">encountered when implementing an SDP, such as financial management and funding, staff development, and any post-inspection action plans (PIAP) and how National literacy and numeracy frameworks (LNF) are embedded into the curriculum (Welsh Government, 2014). Effective strategic planning should include a clear success criterion </w:t>
      </w:r>
      <w:proofErr w:type="gramStart"/>
      <w:r w:rsidRPr="00286AE7">
        <w:rPr>
          <w:rFonts w:ascii="Arial" w:hAnsi="Arial" w:cs="Arial"/>
        </w:rPr>
        <w:t>in order to</w:t>
      </w:r>
      <w:proofErr w:type="gramEnd"/>
      <w:r w:rsidRPr="00286AE7">
        <w:rPr>
          <w:rFonts w:ascii="Arial" w:hAnsi="Arial" w:cs="Arial"/>
        </w:rPr>
        <w:t xml:space="preserve"> tackle their individual objectives, and to ensure targets are both suitably challenging and quantifiable they must be approved by the governing body. </w:t>
      </w:r>
    </w:p>
    <w:p w14:paraId="5B617F7B" w14:textId="77777777" w:rsidR="000D4E49" w:rsidRDefault="000D4E49" w:rsidP="009455BB">
      <w:pPr>
        <w:rPr>
          <w:rFonts w:ascii="Arial" w:hAnsi="Arial" w:cs="Arial"/>
        </w:rPr>
      </w:pPr>
    </w:p>
    <w:p w14:paraId="60B4E008" w14:textId="2B943FE8" w:rsidR="00286AE7" w:rsidRDefault="00286AE7" w:rsidP="009455BB">
      <w:pPr>
        <w:rPr>
          <w:rFonts w:ascii="Arial" w:hAnsi="Arial" w:cs="Arial"/>
          <w:b/>
        </w:rPr>
      </w:pPr>
      <w:r w:rsidRPr="00286AE7">
        <w:rPr>
          <w:rFonts w:ascii="Arial" w:hAnsi="Arial" w:cs="Arial"/>
          <w:b/>
        </w:rPr>
        <w:t>Strategic Planning</w:t>
      </w:r>
    </w:p>
    <w:p w14:paraId="20B9CEA0" w14:textId="5263C28C" w:rsidR="00286AE7" w:rsidRDefault="00286AE7" w:rsidP="009455BB">
      <w:pPr>
        <w:rPr>
          <w:rFonts w:ascii="Arial" w:eastAsia="Times New Roman" w:hAnsi="Arial" w:cs="Arial"/>
          <w:lang w:eastAsia="en-GB"/>
        </w:rPr>
      </w:pPr>
      <w:r w:rsidRPr="00286AE7">
        <w:rPr>
          <w:rFonts w:ascii="Arial" w:hAnsi="Arial" w:cs="Arial"/>
        </w:rPr>
        <w:t>Bryson (2004)</w:t>
      </w:r>
      <w:r>
        <w:rPr>
          <w:rFonts w:ascii="Arial" w:hAnsi="Arial" w:cs="Arial"/>
        </w:rPr>
        <w:t xml:space="preserve"> discusses strategic planning in the public sector as the process of clearly articulating the nature, purpose </w:t>
      </w:r>
      <w:r w:rsidRPr="00286AE7">
        <w:rPr>
          <w:rFonts w:ascii="Arial" w:eastAsia="Times New Roman" w:hAnsi="Arial" w:cs="Arial"/>
          <w:lang w:eastAsia="en-GB"/>
        </w:rPr>
        <w:t>and rational of the activities undertaken. For school X this would involve the school management sharing their vision with stakeholders including pupils, their families and teaching staff. School X has done this by expressing their desire to raise the number of students exiting with grades A or above. Although it is widely accepted that there is a correlation between good grades and good teaching (</w:t>
      </w:r>
      <w:proofErr w:type="spellStart"/>
      <w:r w:rsidRPr="00286AE7">
        <w:rPr>
          <w:rFonts w:ascii="Arial" w:eastAsia="Times New Roman" w:hAnsi="Arial" w:cs="Arial"/>
          <w:lang w:eastAsia="en-GB"/>
        </w:rPr>
        <w:t>Stronge</w:t>
      </w:r>
      <w:proofErr w:type="spellEnd"/>
      <w:r w:rsidRPr="00286AE7">
        <w:rPr>
          <w:rFonts w:ascii="Arial" w:eastAsia="Times New Roman" w:hAnsi="Arial" w:cs="Arial"/>
          <w:lang w:eastAsia="en-GB"/>
        </w:rPr>
        <w:t>, Ward &amp; Grant, 2011)  there is a conflicting argument proposing that it is difficult to define good education (McFarlane, 2019)  or even to define quality (</w:t>
      </w:r>
      <w:r w:rsidRPr="00286AE7">
        <w:rPr>
          <w:rFonts w:ascii="Arial" w:hAnsi="Arial" w:cs="Arial"/>
        </w:rPr>
        <w:t>Mukhopadhyay, 2020</w:t>
      </w:r>
      <w:r w:rsidRPr="00286AE7">
        <w:rPr>
          <w:rFonts w:ascii="Arial" w:eastAsia="Times New Roman" w:hAnsi="Arial" w:cs="Arial"/>
          <w:lang w:eastAsia="en-GB"/>
        </w:rPr>
        <w:t>). The Welsh Government (2019) moved away from target setting as a means of identifying quality teaching preferring approaches which improve individual pupil outcomes rather than publishing league tables.</w:t>
      </w:r>
    </w:p>
    <w:p w14:paraId="09854717" w14:textId="396BD99C" w:rsidR="00274E69" w:rsidRPr="00286AE7" w:rsidRDefault="008637ED" w:rsidP="009455BB">
      <w:pPr>
        <w:rPr>
          <w:rFonts w:ascii="Arial" w:hAnsi="Arial" w:cs="Arial"/>
        </w:rPr>
      </w:pPr>
      <w:r>
        <w:rPr>
          <w:rFonts w:ascii="Arial" w:eastAsia="Times New Roman" w:hAnsi="Arial" w:cs="Arial"/>
          <w:lang w:eastAsia="en-GB"/>
        </w:rPr>
        <w:t>The</w:t>
      </w:r>
      <w:r w:rsidR="00274E69" w:rsidRPr="00286AE7">
        <w:rPr>
          <w:rFonts w:ascii="Arial" w:eastAsia="Times New Roman" w:hAnsi="Arial" w:cs="Arial"/>
          <w:lang w:eastAsia="en-GB"/>
        </w:rPr>
        <w:t xml:space="preserve"> school has reviewed its academic class structure and created two accelerated classes in each year group, which aim to challenge the more able pupils and provide them with more appropriate work. This action aligns with the SDP goal of improving standards for more able pupils. However this action could be criticised as it targets these MAT pupils as a group without recognising that the individual pupils may have different learning styles which could be addressed through a more discrete approach such as differentiation (Tomlinson, 2014). This is supported by Locke and Latham (2002) who suggest that pupil motivation increases when individual approaches which identify individuals’ goals and</w:t>
      </w:r>
      <w:r w:rsidR="00274E69">
        <w:rPr>
          <w:rFonts w:ascii="Arial" w:eastAsia="Times New Roman" w:hAnsi="Arial" w:cs="Arial"/>
          <w:lang w:eastAsia="en-GB"/>
        </w:rPr>
        <w:t xml:space="preserve"> aspirations </w:t>
      </w:r>
      <w:r>
        <w:rPr>
          <w:rFonts w:ascii="Arial" w:eastAsia="Times New Roman" w:hAnsi="Arial" w:cs="Arial"/>
          <w:lang w:eastAsia="en-GB"/>
        </w:rPr>
        <w:t xml:space="preserve">are </w:t>
      </w:r>
      <w:r w:rsidR="00274E69">
        <w:rPr>
          <w:rFonts w:ascii="Arial" w:eastAsia="Times New Roman" w:hAnsi="Arial" w:cs="Arial"/>
          <w:lang w:eastAsia="en-GB"/>
        </w:rPr>
        <w:t xml:space="preserve">adopted. </w:t>
      </w:r>
    </w:p>
    <w:p w14:paraId="26BB0412" w14:textId="77777777" w:rsidR="00286AE7" w:rsidRDefault="00286AE7" w:rsidP="009455BB">
      <w:pPr>
        <w:rPr>
          <w:rFonts w:ascii="Arial" w:hAnsi="Arial" w:cs="Arial"/>
          <w:b/>
        </w:rPr>
      </w:pPr>
    </w:p>
    <w:p w14:paraId="4912A214" w14:textId="4C57810B" w:rsidR="00FF69C0" w:rsidRDefault="00FF69C0" w:rsidP="009455BB">
      <w:pPr>
        <w:rPr>
          <w:rFonts w:ascii="Arial" w:hAnsi="Arial" w:cs="Arial"/>
          <w:b/>
        </w:rPr>
      </w:pPr>
      <w:r>
        <w:rPr>
          <w:rFonts w:ascii="Arial" w:hAnsi="Arial" w:cs="Arial"/>
          <w:b/>
        </w:rPr>
        <w:t>Making Improvements</w:t>
      </w:r>
    </w:p>
    <w:p w14:paraId="6AE0C7A2" w14:textId="50C76E4B" w:rsidR="00FF69C0" w:rsidRDefault="00FF69C0" w:rsidP="009455BB">
      <w:pPr>
        <w:rPr>
          <w:rFonts w:ascii="Arial" w:hAnsi="Arial" w:cs="Arial"/>
        </w:rPr>
      </w:pPr>
      <w:r>
        <w:rPr>
          <w:rFonts w:ascii="Arial" w:hAnsi="Arial" w:cs="Arial"/>
        </w:rPr>
        <w:t>The school has also implemented higher-order teaching and learning strategies, which encourage independent learning and the development of higher-order questioning skill (Vygotsky &amp; Cole, 1978). This action aligns with the SDP goal of improving teaching and learning quality.  There is an argument however that teaching higher-ord</w:t>
      </w:r>
      <w:r w:rsidR="008637ED">
        <w:rPr>
          <w:rFonts w:ascii="Arial" w:hAnsi="Arial" w:cs="Arial"/>
        </w:rPr>
        <w:t>er</w:t>
      </w:r>
      <w:r>
        <w:rPr>
          <w:rFonts w:ascii="Arial" w:hAnsi="Arial" w:cs="Arial"/>
        </w:rPr>
        <w:t xml:space="preserve"> thinking often results in lower levels of achievement (Hattie, 2009; Zohar &amp; </w:t>
      </w:r>
      <w:proofErr w:type="spellStart"/>
      <w:r>
        <w:rPr>
          <w:rFonts w:ascii="Arial" w:hAnsi="Arial" w:cs="Arial"/>
        </w:rPr>
        <w:t>Alboher-Agmon</w:t>
      </w:r>
      <w:proofErr w:type="spellEnd"/>
      <w:r>
        <w:rPr>
          <w:rFonts w:ascii="Arial" w:hAnsi="Arial" w:cs="Arial"/>
        </w:rPr>
        <w:t>, 2018) although Griffin (2012) broadly supports the approach, proposing that ‘poorer achieving’ pupils benefit most from this approach.</w:t>
      </w:r>
    </w:p>
    <w:p w14:paraId="15A04A07" w14:textId="764B2948" w:rsidR="00FF69C0" w:rsidRDefault="00FF69C0" w:rsidP="009455BB">
      <w:pPr>
        <w:rPr>
          <w:rFonts w:ascii="Arial" w:hAnsi="Arial" w:cs="Arial"/>
        </w:rPr>
      </w:pPr>
      <w:r>
        <w:rPr>
          <w:rFonts w:ascii="Arial" w:hAnsi="Arial" w:cs="Arial"/>
        </w:rPr>
        <w:t xml:space="preserve">The school has a dedicated focus on </w:t>
      </w:r>
      <w:r w:rsidR="001367BF">
        <w:rPr>
          <w:rFonts w:ascii="Arial" w:hAnsi="Arial" w:cs="Arial"/>
        </w:rPr>
        <w:t>MAT</w:t>
      </w:r>
      <w:r>
        <w:rPr>
          <w:rFonts w:ascii="Arial" w:hAnsi="Arial" w:cs="Arial"/>
        </w:rPr>
        <w:t xml:space="preserve"> pupils in all department improvement plans, which shows a commitment to the SDP goal of improving standards for more-able pupils. Furthermore the school has developed four out of twelve pedagogical principles that aid in creating authentic, independent learners</w:t>
      </w:r>
      <w:r w:rsidR="004A6BB3">
        <w:rPr>
          <w:rFonts w:ascii="Arial" w:hAnsi="Arial" w:cs="Arial"/>
        </w:rPr>
        <w:t>. These principles align with the SDP goal of improving teaching and quality.</w:t>
      </w:r>
    </w:p>
    <w:p w14:paraId="6155AC08" w14:textId="3D35664E" w:rsidR="004A6BB3" w:rsidRDefault="004A6BB3" w:rsidP="009455BB">
      <w:pPr>
        <w:rPr>
          <w:rFonts w:ascii="Arial" w:hAnsi="Arial" w:cs="Arial"/>
        </w:rPr>
      </w:pPr>
      <w:r>
        <w:rPr>
          <w:rFonts w:ascii="Arial" w:hAnsi="Arial" w:cs="Arial"/>
        </w:rPr>
        <w:t>Finally the school has a more robust tracking system in place to monitor progress toward the aspirational target. This action aligns with the SDP goal of using evidence to inform decision-making and measuring impact.</w:t>
      </w:r>
    </w:p>
    <w:p w14:paraId="2B2539FF" w14:textId="77777777" w:rsidR="004A6BB3" w:rsidRPr="00FF69C0" w:rsidRDefault="004A6BB3" w:rsidP="009455BB">
      <w:pPr>
        <w:rPr>
          <w:rFonts w:ascii="Arial" w:hAnsi="Arial" w:cs="Arial"/>
        </w:rPr>
      </w:pPr>
    </w:p>
    <w:p w14:paraId="6CC113F1" w14:textId="44A28DC3" w:rsidR="00286AE7" w:rsidRDefault="004A6BB3" w:rsidP="009455BB">
      <w:pPr>
        <w:rPr>
          <w:rFonts w:ascii="Arial" w:hAnsi="Arial" w:cs="Arial"/>
          <w:b/>
        </w:rPr>
      </w:pPr>
      <w:r w:rsidRPr="004A6BB3">
        <w:rPr>
          <w:rFonts w:ascii="Arial" w:hAnsi="Arial" w:cs="Arial"/>
          <w:b/>
        </w:rPr>
        <w:t>Reviewing Impact.</w:t>
      </w:r>
    </w:p>
    <w:p w14:paraId="66EF118F" w14:textId="273FA009" w:rsidR="009455BB" w:rsidRDefault="004A6BB3" w:rsidP="009455BB">
      <w:pPr>
        <w:rPr>
          <w:rFonts w:ascii="Arial" w:hAnsi="Arial" w:cs="Arial"/>
        </w:rPr>
      </w:pPr>
      <w:r>
        <w:rPr>
          <w:rFonts w:ascii="Arial" w:hAnsi="Arial" w:cs="Arial"/>
        </w:rPr>
        <w:t xml:space="preserve">Overall, the example provided shows a clear link between the school’s SDP goal of improving standards for </w:t>
      </w:r>
      <w:r w:rsidR="001367BF">
        <w:rPr>
          <w:rFonts w:ascii="Arial" w:hAnsi="Arial" w:cs="Arial"/>
        </w:rPr>
        <w:t>MAT</w:t>
      </w:r>
      <w:r>
        <w:rPr>
          <w:rFonts w:ascii="Arial" w:hAnsi="Arial" w:cs="Arial"/>
        </w:rPr>
        <w:t xml:space="preserve"> pupils and the actions taken to achieve this goal. The example also highlights the importance of using evidence to inform decision-making and measure impact.</w:t>
      </w:r>
      <w:r w:rsidR="001367BF">
        <w:rPr>
          <w:rFonts w:ascii="Arial" w:hAnsi="Arial" w:cs="Arial"/>
        </w:rPr>
        <w:t xml:space="preserve"> </w:t>
      </w:r>
      <w:r w:rsidR="009455BB" w:rsidRPr="00286AE7">
        <w:rPr>
          <w:rFonts w:ascii="Arial" w:hAnsi="Arial" w:cs="Arial"/>
        </w:rPr>
        <w:t>Once established and approved by the governing body the next step in the SDP cycle is to put into practice the actions and strategies decided and share them with any stakeholders involved. This is particularly important when consulting staff as sustained commitment and high-quality leadership is crucial in the successful implementation of a SDP (Welsh Government, 2014). These actions and strategies are then scrutinised in the ongoing execution of the SDP, with regular reviews, updates and ongoing monitoring of data and findings which feed into the SDP as a live document.</w:t>
      </w:r>
    </w:p>
    <w:p w14:paraId="5A669303" w14:textId="77777777" w:rsidR="004A6BB3" w:rsidRDefault="004A6BB3" w:rsidP="009455BB">
      <w:pPr>
        <w:rPr>
          <w:rFonts w:ascii="Arial" w:hAnsi="Arial" w:cs="Arial"/>
        </w:rPr>
      </w:pPr>
    </w:p>
    <w:p w14:paraId="68DF1CF3" w14:textId="526695A8" w:rsidR="00AD57B4" w:rsidRPr="004A6BB3" w:rsidRDefault="00AD57B4" w:rsidP="09C78EE9">
      <w:pPr>
        <w:rPr>
          <w:rFonts w:ascii="Arial" w:hAnsi="Arial" w:cs="Arial"/>
          <w:b/>
        </w:rPr>
      </w:pPr>
      <w:r w:rsidRPr="004A6BB3">
        <w:rPr>
          <w:rFonts w:ascii="Arial" w:hAnsi="Arial" w:cs="Arial"/>
          <w:b/>
        </w:rPr>
        <w:t>Reflection &amp; Evaluation</w:t>
      </w:r>
    </w:p>
    <w:p w14:paraId="505DD182" w14:textId="3DDA71DC" w:rsidR="00E55044" w:rsidRPr="00286AE7" w:rsidRDefault="00E55044" w:rsidP="09C78EE9">
      <w:pPr>
        <w:rPr>
          <w:rFonts w:ascii="Arial" w:hAnsi="Arial" w:cs="Arial"/>
        </w:rPr>
      </w:pPr>
      <w:r w:rsidRPr="00286AE7">
        <w:rPr>
          <w:rFonts w:ascii="Arial" w:hAnsi="Arial" w:cs="Arial"/>
        </w:rPr>
        <w:t xml:space="preserve">Gibbs (1988) </w:t>
      </w:r>
      <w:r w:rsidR="00787108" w:rsidRPr="00286AE7">
        <w:rPr>
          <w:rFonts w:ascii="Arial" w:hAnsi="Arial" w:cs="Arial"/>
        </w:rPr>
        <w:t xml:space="preserve">proposed a model of reflection which is widely used in education and other professions. This cyclical model includes a section on ‘evaluation’ where learners are encouraged to review their experience considering both what went well and what went less well. </w:t>
      </w:r>
      <w:r w:rsidR="00200891" w:rsidRPr="00286AE7">
        <w:rPr>
          <w:rFonts w:ascii="Arial" w:hAnsi="Arial" w:cs="Arial"/>
        </w:rPr>
        <w:t>The Welsh Government (2022) also propose a model of reflection, similar to Borton’</w:t>
      </w:r>
      <w:r w:rsidR="004970AF" w:rsidRPr="00286AE7">
        <w:rPr>
          <w:rFonts w:ascii="Arial" w:hAnsi="Arial" w:cs="Arial"/>
        </w:rPr>
        <w:t>s (1970) model,</w:t>
      </w:r>
      <w:r w:rsidR="00200891" w:rsidRPr="00286AE7">
        <w:rPr>
          <w:rFonts w:ascii="Arial" w:hAnsi="Arial" w:cs="Arial"/>
        </w:rPr>
        <w:t xml:space="preserve"> asking just three questions – </w:t>
      </w:r>
      <w:r w:rsidR="00200891" w:rsidRPr="00286AE7">
        <w:rPr>
          <w:rFonts w:ascii="Arial" w:hAnsi="Arial" w:cs="Arial"/>
          <w:i/>
        </w:rPr>
        <w:t>‘How well are we doing? H</w:t>
      </w:r>
      <w:r w:rsidR="004970AF" w:rsidRPr="00286AE7">
        <w:rPr>
          <w:rFonts w:ascii="Arial" w:hAnsi="Arial" w:cs="Arial"/>
          <w:i/>
        </w:rPr>
        <w:t xml:space="preserve">ow do we know? </w:t>
      </w:r>
      <w:r w:rsidR="00286AE7" w:rsidRPr="00286AE7">
        <w:rPr>
          <w:rFonts w:ascii="Arial" w:hAnsi="Arial" w:cs="Arial"/>
          <w:i/>
        </w:rPr>
        <w:t>How can we improve?’</w:t>
      </w:r>
      <w:r w:rsidR="00286AE7" w:rsidRPr="00286AE7">
        <w:rPr>
          <w:rFonts w:ascii="Arial" w:hAnsi="Arial" w:cs="Arial"/>
        </w:rPr>
        <w:t xml:space="preserve">  </w:t>
      </w:r>
      <w:r w:rsidR="00787108" w:rsidRPr="00286AE7">
        <w:rPr>
          <w:rFonts w:ascii="Arial" w:hAnsi="Arial" w:cs="Arial"/>
        </w:rPr>
        <w:t xml:space="preserve">In reflecting on the SDP of school X I will attempt to do this. It is important to also consider the ‘analysis’ stage of reflection where the practitioner moves beyond describing events and attempts to </w:t>
      </w:r>
      <w:r w:rsidR="004F34BB" w:rsidRPr="00286AE7">
        <w:rPr>
          <w:rFonts w:ascii="Arial" w:hAnsi="Arial" w:cs="Arial"/>
        </w:rPr>
        <w:t>provide meaning to the experience.</w:t>
      </w:r>
    </w:p>
    <w:p w14:paraId="630CB8E7" w14:textId="2B71DCE3" w:rsidR="00AD57B4" w:rsidRPr="00286AE7" w:rsidRDefault="00AD57B4" w:rsidP="00AD57B4">
      <w:pPr>
        <w:rPr>
          <w:rStyle w:val="normaltextrun"/>
          <w:rFonts w:ascii="Arial" w:hAnsi="Arial" w:cs="Arial"/>
          <w:bdr w:val="none" w:sz="0" w:space="0" w:color="auto" w:frame="1"/>
        </w:rPr>
      </w:pPr>
      <w:r w:rsidRPr="00286AE7">
        <w:rPr>
          <w:rFonts w:ascii="Arial" w:hAnsi="Arial" w:cs="Arial"/>
        </w:rPr>
        <w:t>School X has produced a SDP in keeping with the requirements laid out by the Welsh Government. Having said that</w:t>
      </w:r>
      <w:r w:rsidR="001367BF">
        <w:rPr>
          <w:rFonts w:ascii="Arial" w:hAnsi="Arial" w:cs="Arial"/>
        </w:rPr>
        <w:t>,</w:t>
      </w:r>
      <w:r w:rsidRPr="00286AE7">
        <w:rPr>
          <w:rFonts w:ascii="Arial" w:hAnsi="Arial" w:cs="Arial"/>
        </w:rPr>
        <w:t xml:space="preserve"> the requirements sta</w:t>
      </w:r>
      <w:r w:rsidR="00787781" w:rsidRPr="00286AE7">
        <w:rPr>
          <w:rFonts w:ascii="Arial" w:hAnsi="Arial" w:cs="Arial"/>
        </w:rPr>
        <w:t>t</w:t>
      </w:r>
      <w:r w:rsidRPr="00286AE7">
        <w:rPr>
          <w:rFonts w:ascii="Arial" w:hAnsi="Arial" w:cs="Arial"/>
        </w:rPr>
        <w:t xml:space="preserve">e that the SDP must have a ‘clear vision’ (Welsh Government, 2014) and it could be argued that the target focussed on in this work </w:t>
      </w:r>
      <w:r w:rsidR="001367BF">
        <w:rPr>
          <w:rFonts w:ascii="Arial" w:hAnsi="Arial" w:cs="Arial"/>
        </w:rPr>
        <w:t xml:space="preserve">is </w:t>
      </w:r>
      <w:r w:rsidRPr="00286AE7">
        <w:rPr>
          <w:rStyle w:val="normaltextrun"/>
          <w:rFonts w:ascii="Arial" w:hAnsi="Arial" w:cs="Arial"/>
          <w:bdr w:val="none" w:sz="0" w:space="0" w:color="auto" w:frame="1"/>
        </w:rPr>
        <w:t xml:space="preserve">a little long-winded and would perhaps be clearer if split into smaller aims. </w:t>
      </w:r>
    </w:p>
    <w:p w14:paraId="3BC1914D" w14:textId="1DC25235" w:rsidR="00AD57B4" w:rsidRPr="00286AE7" w:rsidRDefault="00AD57B4" w:rsidP="00AD57B4">
      <w:pPr>
        <w:rPr>
          <w:rStyle w:val="normaltextrun"/>
          <w:rFonts w:ascii="Arial" w:hAnsi="Arial" w:cs="Arial"/>
          <w:bdr w:val="none" w:sz="0" w:space="0" w:color="auto" w:frame="1"/>
        </w:rPr>
      </w:pPr>
      <w:r w:rsidRPr="00286AE7">
        <w:rPr>
          <w:rStyle w:val="normaltextrun"/>
          <w:rFonts w:ascii="Arial" w:hAnsi="Arial" w:cs="Arial"/>
          <w:bdr w:val="none" w:sz="0" w:space="0" w:color="auto" w:frame="1"/>
        </w:rPr>
        <w:t>When setting goals and objectives the acronym SMART (specific, measurable</w:t>
      </w:r>
      <w:r w:rsidR="00787781" w:rsidRPr="00286AE7">
        <w:rPr>
          <w:rStyle w:val="normaltextrun"/>
          <w:rFonts w:ascii="Arial" w:hAnsi="Arial" w:cs="Arial"/>
          <w:bdr w:val="none" w:sz="0" w:space="0" w:color="auto" w:frame="1"/>
        </w:rPr>
        <w:t xml:space="preserve">, </w:t>
      </w:r>
      <w:r w:rsidRPr="00286AE7">
        <w:rPr>
          <w:rStyle w:val="normaltextrun"/>
          <w:rFonts w:ascii="Arial" w:hAnsi="Arial" w:cs="Arial"/>
          <w:bdr w:val="none" w:sz="0" w:space="0" w:color="auto" w:frame="1"/>
        </w:rPr>
        <w:t>achievable</w:t>
      </w:r>
      <w:r w:rsidR="00787781" w:rsidRPr="00286AE7">
        <w:rPr>
          <w:rStyle w:val="normaltextrun"/>
          <w:rFonts w:ascii="Arial" w:hAnsi="Arial" w:cs="Arial"/>
          <w:bdr w:val="none" w:sz="0" w:space="0" w:color="auto" w:frame="1"/>
        </w:rPr>
        <w:t xml:space="preserve">, </w:t>
      </w:r>
      <w:proofErr w:type="gramStart"/>
      <w:r w:rsidR="00787781" w:rsidRPr="00286AE7">
        <w:rPr>
          <w:rStyle w:val="normaltextrun"/>
          <w:rFonts w:ascii="Arial" w:hAnsi="Arial" w:cs="Arial"/>
          <w:bdr w:val="none" w:sz="0" w:space="0" w:color="auto" w:frame="1"/>
        </w:rPr>
        <w:t>realistic</w:t>
      </w:r>
      <w:proofErr w:type="gramEnd"/>
      <w:r w:rsidR="00787781" w:rsidRPr="00286AE7">
        <w:rPr>
          <w:rStyle w:val="normaltextrun"/>
          <w:rFonts w:ascii="Arial" w:hAnsi="Arial" w:cs="Arial"/>
          <w:bdr w:val="none" w:sz="0" w:space="0" w:color="auto" w:frame="1"/>
        </w:rPr>
        <w:t xml:space="preserve"> and time-based) is often used to ensure that the objective is clearly understood by all (Herridge, 2023). This rather wordy target does lack specificity</w:t>
      </w:r>
      <w:r w:rsidR="00E002EB" w:rsidRPr="00286AE7">
        <w:rPr>
          <w:rStyle w:val="normaltextrun"/>
          <w:rFonts w:ascii="Arial" w:hAnsi="Arial" w:cs="Arial"/>
          <w:bdr w:val="none" w:sz="0" w:space="0" w:color="auto" w:frame="1"/>
        </w:rPr>
        <w:t xml:space="preserve"> and could be clearer if it was three goals. The Welsh Government (2008) has set standards for supporting those pupils deemed to be ‘more able and talented</w:t>
      </w:r>
      <w:r w:rsidR="00E55044" w:rsidRPr="00286AE7">
        <w:rPr>
          <w:rStyle w:val="normaltextrun"/>
          <w:rFonts w:ascii="Arial" w:hAnsi="Arial" w:cs="Arial"/>
          <w:bdr w:val="none" w:sz="0" w:space="0" w:color="auto" w:frame="1"/>
        </w:rPr>
        <w:t xml:space="preserve"> (MAT)</w:t>
      </w:r>
      <w:r w:rsidR="00E002EB" w:rsidRPr="00286AE7">
        <w:rPr>
          <w:rStyle w:val="normaltextrun"/>
          <w:rFonts w:ascii="Arial" w:hAnsi="Arial" w:cs="Arial"/>
          <w:bdr w:val="none" w:sz="0" w:space="0" w:color="auto" w:frame="1"/>
        </w:rPr>
        <w:t>’ so focussing on this aim is a worthy goal whilst supporting and developing wellbeing and attitudes is a laudable objective in its own right</w:t>
      </w:r>
      <w:r w:rsidR="00812830" w:rsidRPr="00286AE7">
        <w:rPr>
          <w:rStyle w:val="normaltextrun"/>
          <w:rFonts w:ascii="Arial" w:hAnsi="Arial" w:cs="Arial"/>
          <w:bdr w:val="none" w:sz="0" w:space="0" w:color="auto" w:frame="1"/>
        </w:rPr>
        <w:t>. Wellbeing is defined by the Welsh Government (2010) as a holistic state including a range of emotions and feelings including confidence, happiness. Etc. The SDP of school X in targeting this area helps to provide pupils with life-long skills</w:t>
      </w:r>
      <w:r w:rsidR="004F34BB" w:rsidRPr="00286AE7">
        <w:rPr>
          <w:rStyle w:val="normaltextrun"/>
          <w:rFonts w:ascii="Arial" w:hAnsi="Arial" w:cs="Arial"/>
          <w:bdr w:val="none" w:sz="0" w:space="0" w:color="auto" w:frame="1"/>
        </w:rPr>
        <w:t xml:space="preserve"> (L</w:t>
      </w:r>
      <w:r w:rsidR="00E55044" w:rsidRPr="00286AE7">
        <w:rPr>
          <w:rStyle w:val="normaltextrun"/>
          <w:rFonts w:ascii="Arial" w:hAnsi="Arial" w:cs="Arial"/>
          <w:bdr w:val="none" w:sz="0" w:space="0" w:color="auto" w:frame="1"/>
        </w:rPr>
        <w:t>aal &amp; Salamati, 2012) which enable MAT students to continue to develop after leaving the school.</w:t>
      </w:r>
    </w:p>
    <w:p w14:paraId="058E7322" w14:textId="3C524D5E" w:rsidR="004F34BB" w:rsidRDefault="004F34BB" w:rsidP="00AD57B4">
      <w:pPr>
        <w:rPr>
          <w:rStyle w:val="normaltextrun"/>
          <w:rFonts w:ascii="Arial" w:hAnsi="Arial" w:cs="Arial"/>
          <w:bdr w:val="none" w:sz="0" w:space="0" w:color="auto" w:frame="1"/>
        </w:rPr>
      </w:pPr>
      <w:r w:rsidRPr="00286AE7">
        <w:rPr>
          <w:rStyle w:val="normaltextrun"/>
          <w:rFonts w:ascii="Arial" w:hAnsi="Arial" w:cs="Arial"/>
          <w:bdr w:val="none" w:sz="0" w:space="0" w:color="auto" w:frame="1"/>
        </w:rPr>
        <w:t>In evaluating the SDP it appears that it complies with the relevant legislation (Welsh Government, 2010,</w:t>
      </w:r>
      <w:r w:rsidR="00E835EA" w:rsidRPr="00286AE7">
        <w:rPr>
          <w:rStyle w:val="normaltextrun"/>
          <w:rFonts w:ascii="Arial" w:hAnsi="Arial" w:cs="Arial"/>
          <w:bdr w:val="none" w:sz="0" w:space="0" w:color="auto" w:frame="1"/>
        </w:rPr>
        <w:t xml:space="preserve"> </w:t>
      </w:r>
      <w:r w:rsidRPr="00286AE7">
        <w:rPr>
          <w:rStyle w:val="normaltextrun"/>
          <w:rFonts w:ascii="Arial" w:hAnsi="Arial" w:cs="Arial"/>
          <w:bdr w:val="none" w:sz="0" w:space="0" w:color="auto" w:frame="1"/>
        </w:rPr>
        <w:t xml:space="preserve">2014) in setting </w:t>
      </w:r>
      <w:r w:rsidR="00E835EA" w:rsidRPr="00286AE7">
        <w:rPr>
          <w:rStyle w:val="normaltextrun"/>
          <w:rFonts w:ascii="Arial" w:hAnsi="Arial" w:cs="Arial"/>
          <w:bdr w:val="none" w:sz="0" w:space="0" w:color="auto" w:frame="1"/>
        </w:rPr>
        <w:t xml:space="preserve">standards and enabling achievement of goals. The SDP provides a resource for pupils, staff and other relevant stakeholders to measure the performance of the school. </w:t>
      </w:r>
      <w:r w:rsidR="00387F5F" w:rsidRPr="00286AE7">
        <w:rPr>
          <w:rStyle w:val="normaltextrun"/>
          <w:rFonts w:ascii="Arial" w:hAnsi="Arial" w:cs="Arial"/>
          <w:bdr w:val="none" w:sz="0" w:space="0" w:color="auto" w:frame="1"/>
        </w:rPr>
        <w:t xml:space="preserve">Fullan (2006) emphasises the need for schools to collaborate and work in partnership with governing bodies and other stakeholders in order to produce transparent plans that reflect the needs of the school and the wider community. </w:t>
      </w:r>
      <w:r w:rsidR="00E835EA" w:rsidRPr="00286AE7">
        <w:rPr>
          <w:rStyle w:val="normaltextrun"/>
          <w:rFonts w:ascii="Arial" w:hAnsi="Arial" w:cs="Arial"/>
          <w:bdr w:val="none" w:sz="0" w:space="0" w:color="auto" w:frame="1"/>
        </w:rPr>
        <w:t xml:space="preserve">The school has </w:t>
      </w:r>
      <w:r w:rsidR="00387F5F" w:rsidRPr="00286AE7">
        <w:rPr>
          <w:rStyle w:val="normaltextrun"/>
          <w:rFonts w:ascii="Arial" w:hAnsi="Arial" w:cs="Arial"/>
          <w:bdr w:val="none" w:sz="0" w:space="0" w:color="auto" w:frame="1"/>
        </w:rPr>
        <w:t xml:space="preserve">collaborated in this way and has </w:t>
      </w:r>
      <w:r w:rsidR="00E835EA" w:rsidRPr="00286AE7">
        <w:rPr>
          <w:rStyle w:val="normaltextrun"/>
          <w:rFonts w:ascii="Arial" w:hAnsi="Arial" w:cs="Arial"/>
          <w:bdr w:val="none" w:sz="0" w:space="0" w:color="auto" w:frame="1"/>
        </w:rPr>
        <w:t>identified and undertaken actions to meet the set goals and is constantly reviewing these as required (</w:t>
      </w:r>
      <w:r w:rsidR="00387F5F" w:rsidRPr="00286AE7">
        <w:rPr>
          <w:rStyle w:val="normaltextrun"/>
          <w:rFonts w:ascii="Arial" w:hAnsi="Arial" w:cs="Arial"/>
          <w:bdr w:val="none" w:sz="0" w:space="0" w:color="auto" w:frame="1"/>
        </w:rPr>
        <w:t xml:space="preserve">Fullan, 2006; </w:t>
      </w:r>
      <w:r w:rsidR="00E835EA" w:rsidRPr="00286AE7">
        <w:rPr>
          <w:rStyle w:val="normaltextrun"/>
          <w:rFonts w:ascii="Arial" w:hAnsi="Arial" w:cs="Arial"/>
          <w:bdr w:val="none" w:sz="0" w:space="0" w:color="auto" w:frame="1"/>
        </w:rPr>
        <w:t>Welsh Government, 2010, 2014). Whilst the plan could be written in a style that is easier to understand by lay persons, as not all those who access it will be engaged in education, it does provide a good framework for the schools ambitions.</w:t>
      </w:r>
    </w:p>
    <w:p w14:paraId="49BF6A3F" w14:textId="77777777" w:rsidR="004A6BB3" w:rsidRPr="00286AE7" w:rsidRDefault="004A6BB3" w:rsidP="00AD57B4">
      <w:pPr>
        <w:rPr>
          <w:rStyle w:val="normaltextrun"/>
          <w:rFonts w:ascii="Arial" w:hAnsi="Arial" w:cs="Arial"/>
          <w:bdr w:val="none" w:sz="0" w:space="0" w:color="auto" w:frame="1"/>
        </w:rPr>
      </w:pPr>
    </w:p>
    <w:p w14:paraId="3AFCD3B6" w14:textId="31B8B39E" w:rsidR="006F47A5" w:rsidRPr="00286AE7" w:rsidRDefault="004970AF" w:rsidP="09C78EE9">
      <w:pPr>
        <w:rPr>
          <w:rFonts w:ascii="Arial" w:hAnsi="Arial" w:cs="Arial"/>
          <w:b/>
        </w:rPr>
      </w:pPr>
      <w:r w:rsidRPr="00286AE7">
        <w:rPr>
          <w:rFonts w:ascii="Arial" w:hAnsi="Arial" w:cs="Arial"/>
          <w:b/>
        </w:rPr>
        <w:t>Conclusion</w:t>
      </w:r>
    </w:p>
    <w:p w14:paraId="6566BEF5" w14:textId="152A9D75" w:rsidR="004970AF" w:rsidRPr="00286AE7" w:rsidRDefault="004970AF" w:rsidP="09C78EE9">
      <w:pPr>
        <w:rPr>
          <w:rFonts w:ascii="Arial" w:hAnsi="Arial" w:cs="Arial"/>
        </w:rPr>
      </w:pPr>
      <w:r w:rsidRPr="00286AE7">
        <w:rPr>
          <w:rFonts w:ascii="Arial" w:hAnsi="Arial" w:cs="Arial"/>
        </w:rPr>
        <w:t>School Development Plans provide a robust means for schools to liaise with stakeholders</w:t>
      </w:r>
      <w:r w:rsidR="00B00586" w:rsidRPr="00286AE7">
        <w:rPr>
          <w:rFonts w:ascii="Arial" w:hAnsi="Arial" w:cs="Arial"/>
        </w:rPr>
        <w:t xml:space="preserve"> (Fullan, </w:t>
      </w:r>
      <w:r w:rsidR="00387F5F" w:rsidRPr="00286AE7">
        <w:rPr>
          <w:rFonts w:ascii="Arial" w:hAnsi="Arial" w:cs="Arial"/>
        </w:rPr>
        <w:t>2006)</w:t>
      </w:r>
      <w:r w:rsidRPr="00286AE7">
        <w:rPr>
          <w:rFonts w:ascii="Arial" w:hAnsi="Arial" w:cs="Arial"/>
        </w:rPr>
        <w:t xml:space="preserve"> in taking cognisance of the schools current strengths and weaknesses, setting targets for improvement and developing the necessary plans to achieve those outcomes (Welsh Government, 2010, 2014).</w:t>
      </w:r>
      <w:r w:rsidR="00B00586" w:rsidRPr="00286AE7">
        <w:rPr>
          <w:rFonts w:ascii="Arial" w:hAnsi="Arial" w:cs="Arial"/>
        </w:rPr>
        <w:t xml:space="preserve"> School X has developed and published such a plan and accessing it has helped me understand the concept and its application.</w:t>
      </w:r>
    </w:p>
    <w:p w14:paraId="33A43EB2" w14:textId="47116BEF" w:rsidR="004B4366" w:rsidRPr="00286AE7" w:rsidRDefault="004B4366" w:rsidP="09C78EE9">
      <w:pPr>
        <w:rPr>
          <w:rFonts w:ascii="Arial" w:hAnsi="Arial" w:cs="Arial"/>
        </w:rPr>
      </w:pPr>
      <w:r w:rsidRPr="00286AE7">
        <w:rPr>
          <w:rFonts w:ascii="Arial" w:hAnsi="Arial" w:cs="Arial"/>
        </w:rPr>
        <w:t xml:space="preserve">Working with stakeholders to develop the SDP is crucial under the policy but also enables me to develop my ability to work in diverse groups or teams in producing a joint vision for schools and their pupils (Ball, 1997; Hopkins, 2015). The opportunity to examine a strategy to support MAT pupils and to develop higher order skills (Griffin, 2012; </w:t>
      </w:r>
      <w:r w:rsidRPr="00286AE7">
        <w:rPr>
          <w:rFonts w:ascii="Arial" w:eastAsia="Times New Roman" w:hAnsi="Arial" w:cs="Arial"/>
          <w:lang w:eastAsia="en-GB"/>
        </w:rPr>
        <w:t xml:space="preserve">Vygotsky &amp; Cole, 1978) </w:t>
      </w:r>
      <w:r w:rsidRPr="00286AE7">
        <w:rPr>
          <w:rFonts w:ascii="Arial" w:hAnsi="Arial" w:cs="Arial"/>
        </w:rPr>
        <w:t xml:space="preserve">has also been enlightening and will aid my future practice. </w:t>
      </w:r>
    </w:p>
    <w:p w14:paraId="0B4879AB" w14:textId="00CC2B42" w:rsidR="00B00586" w:rsidRPr="00286AE7" w:rsidRDefault="00B00586" w:rsidP="09C78EE9">
      <w:pPr>
        <w:rPr>
          <w:rFonts w:ascii="Arial" w:hAnsi="Arial" w:cs="Arial"/>
        </w:rPr>
      </w:pPr>
      <w:r w:rsidRPr="00286AE7">
        <w:rPr>
          <w:rFonts w:ascii="Arial" w:hAnsi="Arial" w:cs="Arial"/>
        </w:rPr>
        <w:t>Reflecting on the plan is an important component of its function (Welsh Government, 2010, 2014) and undertaking this reflection has helped me better understand the reflection process and to understand how reflection models used as an individual may also be employed in wider developmental discussions (Borton, 1970; Gibbs, 1988; Schön, 1984; Welsh Government, 2022). These reflective skills will help me to continuously develop and improve my</w:t>
      </w:r>
      <w:r w:rsidR="004B4366" w:rsidRPr="00286AE7">
        <w:rPr>
          <w:rFonts w:ascii="Arial" w:hAnsi="Arial" w:cs="Arial"/>
        </w:rPr>
        <w:t xml:space="preserve"> teaching throughout my career.</w:t>
      </w:r>
    </w:p>
    <w:p w14:paraId="5D2118D0" w14:textId="77777777" w:rsidR="00B00586" w:rsidRPr="00286AE7" w:rsidRDefault="00B00586" w:rsidP="09C78EE9">
      <w:pPr>
        <w:rPr>
          <w:rFonts w:ascii="Arial" w:hAnsi="Arial" w:cs="Arial"/>
        </w:rPr>
      </w:pPr>
    </w:p>
    <w:p w14:paraId="51938317" w14:textId="0F4D50C8" w:rsidR="006F47A5" w:rsidRDefault="006F47A5" w:rsidP="09C78EE9">
      <w:pPr>
        <w:rPr>
          <w:rFonts w:ascii="Arial" w:hAnsi="Arial" w:cs="Arial"/>
          <w:b/>
          <w:bCs/>
        </w:rPr>
      </w:pPr>
      <w:r w:rsidRPr="00286AE7">
        <w:rPr>
          <w:rFonts w:ascii="Arial" w:hAnsi="Arial" w:cs="Arial"/>
          <w:b/>
          <w:bCs/>
        </w:rPr>
        <w:lastRenderedPageBreak/>
        <w:t>REFERENCES</w:t>
      </w:r>
    </w:p>
    <w:p w14:paraId="11AFEF16" w14:textId="77777777" w:rsidR="004A6BB3" w:rsidRPr="00286AE7" w:rsidRDefault="004A6BB3" w:rsidP="09C78EE9">
      <w:pPr>
        <w:rPr>
          <w:rFonts w:ascii="Arial" w:hAnsi="Arial" w:cs="Arial"/>
          <w:b/>
          <w:bCs/>
        </w:rPr>
      </w:pPr>
    </w:p>
    <w:p w14:paraId="30B21982" w14:textId="77777777" w:rsidR="006D702D" w:rsidRDefault="006D702D" w:rsidP="006D702D">
      <w:pPr>
        <w:pStyle w:val="CommentText"/>
        <w:rPr>
          <w:rFonts w:ascii="Arial" w:hAnsi="Arial" w:cs="Arial"/>
          <w:sz w:val="22"/>
          <w:szCs w:val="22"/>
        </w:rPr>
      </w:pPr>
      <w:r w:rsidRPr="00286AE7">
        <w:rPr>
          <w:rFonts w:ascii="Arial" w:hAnsi="Arial" w:cs="Arial"/>
          <w:sz w:val="22"/>
          <w:szCs w:val="22"/>
        </w:rPr>
        <w:t xml:space="preserve">Ball, S.J., 1997. Good school/bad school: paradox and fabrication. </w:t>
      </w:r>
      <w:r w:rsidRPr="004A6BB3">
        <w:rPr>
          <w:rFonts w:ascii="Arial" w:hAnsi="Arial" w:cs="Arial"/>
          <w:i/>
          <w:sz w:val="22"/>
          <w:szCs w:val="22"/>
        </w:rPr>
        <w:t>British journal of sociology of education</w:t>
      </w:r>
      <w:r w:rsidRPr="00286AE7">
        <w:rPr>
          <w:rFonts w:ascii="Arial" w:hAnsi="Arial" w:cs="Arial"/>
          <w:sz w:val="22"/>
          <w:szCs w:val="22"/>
        </w:rPr>
        <w:t>, 18(3), pp.317-336.</w:t>
      </w:r>
    </w:p>
    <w:p w14:paraId="2573D95D" w14:textId="77777777" w:rsidR="004A6BB3" w:rsidRPr="00286AE7" w:rsidRDefault="004A6BB3" w:rsidP="006D702D">
      <w:pPr>
        <w:pStyle w:val="CommentText"/>
        <w:rPr>
          <w:rFonts w:ascii="Arial" w:hAnsi="Arial" w:cs="Arial"/>
          <w:sz w:val="22"/>
          <w:szCs w:val="22"/>
        </w:rPr>
      </w:pPr>
    </w:p>
    <w:p w14:paraId="4F13586E" w14:textId="7D03B4A0" w:rsidR="00857DDE" w:rsidRDefault="00DB2225" w:rsidP="00DB2225">
      <w:pPr>
        <w:rPr>
          <w:rFonts w:ascii="Arial" w:eastAsiaTheme="minorEastAsia" w:hAnsi="Arial" w:cs="Arial"/>
        </w:rPr>
      </w:pPr>
      <w:r w:rsidRPr="00286AE7">
        <w:rPr>
          <w:rFonts w:ascii="Arial" w:eastAsiaTheme="minorEastAsia" w:hAnsi="Arial" w:cs="Arial"/>
        </w:rPr>
        <w:t xml:space="preserve">BERA (2018) Ethical Guidelines for Educational Research fourth edition. Accessed at </w:t>
      </w:r>
      <w:hyperlink r:id="rId7" w:history="1">
        <w:r w:rsidR="00857DDE" w:rsidRPr="00286AE7">
          <w:rPr>
            <w:rStyle w:val="Hyperlink"/>
            <w:rFonts w:ascii="Arial" w:eastAsiaTheme="minorEastAsia" w:hAnsi="Arial" w:cs="Arial"/>
            <w:color w:val="auto"/>
          </w:rPr>
          <w:t>https://www.bera.ac.uk/publication/ethical-guidelines-for-educational-research-2018 on 16/04/2023</w:t>
        </w:r>
      </w:hyperlink>
      <w:r w:rsidRPr="00286AE7">
        <w:rPr>
          <w:rFonts w:ascii="Arial" w:eastAsiaTheme="minorEastAsia" w:hAnsi="Arial" w:cs="Arial"/>
        </w:rPr>
        <w:t xml:space="preserve">. </w:t>
      </w:r>
    </w:p>
    <w:p w14:paraId="68668B5E" w14:textId="77777777" w:rsidR="004A6BB3" w:rsidRPr="00286AE7" w:rsidRDefault="004A6BB3" w:rsidP="00DB2225">
      <w:pPr>
        <w:rPr>
          <w:rFonts w:ascii="Arial" w:eastAsiaTheme="minorEastAsia" w:hAnsi="Arial" w:cs="Arial"/>
        </w:rPr>
      </w:pPr>
    </w:p>
    <w:p w14:paraId="3CFE71B6" w14:textId="7C352D5C" w:rsidR="00200891" w:rsidRDefault="00200891" w:rsidP="00DB2225">
      <w:pPr>
        <w:rPr>
          <w:rFonts w:ascii="Arial" w:hAnsi="Arial" w:cs="Arial"/>
        </w:rPr>
      </w:pPr>
      <w:r w:rsidRPr="00286AE7">
        <w:rPr>
          <w:rFonts w:ascii="Arial" w:hAnsi="Arial" w:cs="Arial"/>
        </w:rPr>
        <w:t xml:space="preserve">Borton T. (1970) </w:t>
      </w:r>
      <w:r w:rsidRPr="00286AE7">
        <w:rPr>
          <w:rFonts w:ascii="Arial" w:hAnsi="Arial" w:cs="Arial"/>
          <w:i/>
        </w:rPr>
        <w:t>Reach, touch and teach; student concerns and process education</w:t>
      </w:r>
      <w:r w:rsidRPr="00286AE7">
        <w:rPr>
          <w:rFonts w:ascii="Arial" w:hAnsi="Arial" w:cs="Arial"/>
        </w:rPr>
        <w:t>. New York. McGraw Hill.</w:t>
      </w:r>
    </w:p>
    <w:p w14:paraId="40FD7309" w14:textId="77777777" w:rsidR="004A6BB3" w:rsidRPr="00286AE7" w:rsidRDefault="004A6BB3" w:rsidP="00DB2225">
      <w:pPr>
        <w:rPr>
          <w:rFonts w:ascii="Arial" w:eastAsiaTheme="minorEastAsia" w:hAnsi="Arial" w:cs="Arial"/>
        </w:rPr>
      </w:pPr>
    </w:p>
    <w:p w14:paraId="12632A65" w14:textId="6E82241A" w:rsidR="006D702D" w:rsidRDefault="006D702D" w:rsidP="00DB2225">
      <w:pPr>
        <w:rPr>
          <w:rFonts w:ascii="Arial" w:hAnsi="Arial" w:cs="Arial"/>
        </w:rPr>
      </w:pPr>
      <w:r w:rsidRPr="00286AE7">
        <w:rPr>
          <w:rFonts w:ascii="Arial" w:hAnsi="Arial" w:cs="Arial"/>
        </w:rPr>
        <w:t xml:space="preserve">Bridgeland, J., Bruce, M. and Hariharan, A., </w:t>
      </w:r>
      <w:r w:rsidR="004A6BB3">
        <w:rPr>
          <w:rFonts w:ascii="Arial" w:hAnsi="Arial" w:cs="Arial"/>
        </w:rPr>
        <w:t>(</w:t>
      </w:r>
      <w:r w:rsidRPr="00286AE7">
        <w:rPr>
          <w:rFonts w:ascii="Arial" w:hAnsi="Arial" w:cs="Arial"/>
        </w:rPr>
        <w:t>2013</w:t>
      </w:r>
      <w:r w:rsidR="004A6BB3">
        <w:rPr>
          <w:rFonts w:ascii="Arial" w:hAnsi="Arial" w:cs="Arial"/>
        </w:rPr>
        <w:t>)</w:t>
      </w:r>
      <w:r w:rsidRPr="00286AE7">
        <w:rPr>
          <w:rFonts w:ascii="Arial" w:hAnsi="Arial" w:cs="Arial"/>
        </w:rPr>
        <w:t xml:space="preserve">. </w:t>
      </w:r>
      <w:r w:rsidRPr="004A6BB3">
        <w:rPr>
          <w:rFonts w:ascii="Arial" w:hAnsi="Arial" w:cs="Arial"/>
          <w:i/>
        </w:rPr>
        <w:t>The Missing Piece: A National Teacher Survey on How Social and Emotional Learning Can Empower Children and Transform Schools.</w:t>
      </w:r>
      <w:r w:rsidRPr="00286AE7">
        <w:rPr>
          <w:rFonts w:ascii="Arial" w:hAnsi="Arial" w:cs="Arial"/>
        </w:rPr>
        <w:t xml:space="preserve"> A Report for CASEL. Civic Enterprises.</w:t>
      </w:r>
    </w:p>
    <w:p w14:paraId="5632EA99" w14:textId="77777777" w:rsidR="004A6BB3" w:rsidRPr="00286AE7" w:rsidRDefault="004A6BB3" w:rsidP="00DB2225">
      <w:pPr>
        <w:rPr>
          <w:rFonts w:ascii="Arial" w:eastAsiaTheme="minorEastAsia" w:hAnsi="Arial" w:cs="Arial"/>
        </w:rPr>
      </w:pPr>
    </w:p>
    <w:p w14:paraId="066F8D2E" w14:textId="7B704B5E" w:rsidR="00901138" w:rsidRDefault="00901138" w:rsidP="00DB2225">
      <w:pPr>
        <w:rPr>
          <w:rFonts w:ascii="Arial" w:hAnsi="Arial" w:cs="Arial"/>
          <w:shd w:val="clear" w:color="auto" w:fill="FFFFFF"/>
        </w:rPr>
      </w:pPr>
      <w:r w:rsidRPr="00286AE7">
        <w:rPr>
          <w:rFonts w:ascii="Arial" w:hAnsi="Arial" w:cs="Arial"/>
          <w:shd w:val="clear" w:color="auto" w:fill="FFFFFF"/>
        </w:rPr>
        <w:t xml:space="preserve">Brookhart, S.M., Guskey, T.R., Bowers, A.J., McMillan, J.H., Smith, J.K., Smith, L.F., Stevens, M.T. and Welsh, </w:t>
      </w:r>
      <w:proofErr w:type="gramStart"/>
      <w:r w:rsidRPr="00286AE7">
        <w:rPr>
          <w:rFonts w:ascii="Arial" w:hAnsi="Arial" w:cs="Arial"/>
          <w:shd w:val="clear" w:color="auto" w:fill="FFFFFF"/>
        </w:rPr>
        <w:t>M.E.,</w:t>
      </w:r>
      <w:r w:rsidR="004A6BB3">
        <w:rPr>
          <w:rFonts w:ascii="Arial" w:hAnsi="Arial" w:cs="Arial"/>
          <w:shd w:val="clear" w:color="auto" w:fill="FFFFFF"/>
        </w:rPr>
        <w:t>(</w:t>
      </w:r>
      <w:proofErr w:type="gramEnd"/>
      <w:r w:rsidRPr="00286AE7">
        <w:rPr>
          <w:rFonts w:ascii="Arial" w:hAnsi="Arial" w:cs="Arial"/>
          <w:shd w:val="clear" w:color="auto" w:fill="FFFFFF"/>
        </w:rPr>
        <w:t xml:space="preserve"> 2016</w:t>
      </w:r>
      <w:r w:rsidR="004A6BB3">
        <w:rPr>
          <w:rFonts w:ascii="Arial" w:hAnsi="Arial" w:cs="Arial"/>
          <w:shd w:val="clear" w:color="auto" w:fill="FFFFFF"/>
        </w:rPr>
        <w:t>)</w:t>
      </w:r>
      <w:r w:rsidRPr="00286AE7">
        <w:rPr>
          <w:rFonts w:ascii="Arial" w:hAnsi="Arial" w:cs="Arial"/>
          <w:shd w:val="clear" w:color="auto" w:fill="FFFFFF"/>
        </w:rPr>
        <w:t>. A century of grading research: Meaning and value in the most common educational measure. </w:t>
      </w:r>
      <w:r w:rsidRPr="00286AE7">
        <w:rPr>
          <w:rFonts w:ascii="Arial" w:hAnsi="Arial" w:cs="Arial"/>
          <w:i/>
          <w:iCs/>
          <w:shd w:val="clear" w:color="auto" w:fill="FFFFFF"/>
        </w:rPr>
        <w:t>Review of Educational Research</w:t>
      </w:r>
      <w:r w:rsidRPr="00286AE7">
        <w:rPr>
          <w:rFonts w:ascii="Arial" w:hAnsi="Arial" w:cs="Arial"/>
          <w:shd w:val="clear" w:color="auto" w:fill="FFFFFF"/>
        </w:rPr>
        <w:t>, </w:t>
      </w:r>
      <w:r w:rsidRPr="004A6BB3">
        <w:rPr>
          <w:rFonts w:ascii="Arial" w:hAnsi="Arial" w:cs="Arial"/>
          <w:i/>
          <w:iCs/>
          <w:shd w:val="clear" w:color="auto" w:fill="FFFFFF"/>
        </w:rPr>
        <w:t>86</w:t>
      </w:r>
      <w:r w:rsidRPr="004A6BB3">
        <w:rPr>
          <w:rFonts w:ascii="Arial" w:hAnsi="Arial" w:cs="Arial"/>
          <w:i/>
          <w:shd w:val="clear" w:color="auto" w:fill="FFFFFF"/>
        </w:rPr>
        <w:t>(4), pp.803-848.</w:t>
      </w:r>
    </w:p>
    <w:p w14:paraId="7A5ED09C" w14:textId="77777777" w:rsidR="004A6BB3" w:rsidRPr="00286AE7" w:rsidRDefault="004A6BB3" w:rsidP="00DB2225">
      <w:pPr>
        <w:rPr>
          <w:rFonts w:ascii="Arial" w:hAnsi="Arial" w:cs="Arial"/>
          <w:shd w:val="clear" w:color="auto" w:fill="FFFFFF"/>
        </w:rPr>
      </w:pPr>
    </w:p>
    <w:p w14:paraId="54CC73DA" w14:textId="032ED5E6" w:rsidR="006D702D" w:rsidRPr="00286AE7" w:rsidRDefault="006D702D" w:rsidP="006D702D">
      <w:pPr>
        <w:pStyle w:val="CommentText"/>
        <w:rPr>
          <w:rFonts w:ascii="Arial" w:hAnsi="Arial" w:cs="Arial"/>
          <w:sz w:val="22"/>
          <w:szCs w:val="22"/>
        </w:rPr>
      </w:pPr>
      <w:r w:rsidRPr="00286AE7">
        <w:rPr>
          <w:rFonts w:ascii="Arial" w:hAnsi="Arial" w:cs="Arial"/>
          <w:sz w:val="22"/>
          <w:szCs w:val="22"/>
        </w:rPr>
        <w:t xml:space="preserve">Bryson, John M. </w:t>
      </w:r>
      <w:r w:rsidR="004A6BB3">
        <w:rPr>
          <w:rFonts w:ascii="Arial" w:hAnsi="Arial" w:cs="Arial"/>
          <w:sz w:val="22"/>
          <w:szCs w:val="22"/>
        </w:rPr>
        <w:t>(</w:t>
      </w:r>
      <w:r w:rsidRPr="00286AE7">
        <w:rPr>
          <w:rFonts w:ascii="Arial" w:hAnsi="Arial" w:cs="Arial"/>
          <w:sz w:val="22"/>
          <w:szCs w:val="22"/>
        </w:rPr>
        <w:t>2004</w:t>
      </w:r>
      <w:r w:rsidR="004A6BB3">
        <w:rPr>
          <w:rFonts w:ascii="Arial" w:hAnsi="Arial" w:cs="Arial"/>
          <w:sz w:val="22"/>
          <w:szCs w:val="22"/>
        </w:rPr>
        <w:t>)</w:t>
      </w:r>
      <w:r w:rsidRPr="00286AE7">
        <w:rPr>
          <w:rFonts w:ascii="Arial" w:hAnsi="Arial" w:cs="Arial"/>
          <w:sz w:val="22"/>
          <w:szCs w:val="22"/>
        </w:rPr>
        <w:t xml:space="preserve">. </w:t>
      </w:r>
      <w:r w:rsidRPr="004A6BB3">
        <w:rPr>
          <w:rFonts w:ascii="Arial" w:hAnsi="Arial" w:cs="Arial"/>
          <w:i/>
          <w:sz w:val="22"/>
          <w:szCs w:val="22"/>
        </w:rPr>
        <w:t>Strategic Planning for Public and Nonprofi t Organizations. 3</w:t>
      </w:r>
      <w:r w:rsidRPr="004A6BB3">
        <w:rPr>
          <w:rFonts w:ascii="Arial" w:hAnsi="Arial" w:cs="Arial"/>
          <w:i/>
          <w:sz w:val="22"/>
          <w:szCs w:val="22"/>
          <w:vertAlign w:val="superscript"/>
        </w:rPr>
        <w:t>rd</w:t>
      </w:r>
      <w:r w:rsidRPr="004A6BB3">
        <w:rPr>
          <w:rFonts w:ascii="Arial" w:hAnsi="Arial" w:cs="Arial"/>
          <w:i/>
          <w:sz w:val="22"/>
          <w:szCs w:val="22"/>
        </w:rPr>
        <w:t xml:space="preserve"> ed</w:t>
      </w:r>
      <w:r w:rsidRPr="00286AE7">
        <w:rPr>
          <w:rFonts w:ascii="Arial" w:hAnsi="Arial" w:cs="Arial"/>
          <w:sz w:val="22"/>
          <w:szCs w:val="22"/>
        </w:rPr>
        <w:t>. San Francisco: Jossey-Bass.</w:t>
      </w:r>
    </w:p>
    <w:p w14:paraId="6D53E5EE" w14:textId="77777777" w:rsidR="006D702D" w:rsidRPr="00286AE7" w:rsidRDefault="006D702D" w:rsidP="00DB2225">
      <w:pPr>
        <w:rPr>
          <w:rFonts w:ascii="Arial" w:hAnsi="Arial" w:cs="Arial"/>
          <w:shd w:val="clear" w:color="auto" w:fill="FFFFFF"/>
        </w:rPr>
      </w:pPr>
    </w:p>
    <w:p w14:paraId="79E297EB" w14:textId="4361756A" w:rsidR="006D702D" w:rsidRPr="004A6BB3" w:rsidRDefault="006D702D" w:rsidP="006D702D">
      <w:pPr>
        <w:pStyle w:val="CommentText"/>
        <w:rPr>
          <w:rFonts w:ascii="Arial" w:hAnsi="Arial" w:cs="Arial"/>
          <w:i/>
          <w:sz w:val="22"/>
          <w:szCs w:val="22"/>
        </w:rPr>
      </w:pPr>
      <w:r w:rsidRPr="00286AE7">
        <w:rPr>
          <w:rFonts w:ascii="Arial" w:hAnsi="Arial" w:cs="Arial"/>
          <w:sz w:val="22"/>
          <w:szCs w:val="22"/>
        </w:rPr>
        <w:t xml:space="preserve">Davies, B. and Ellison, L., </w:t>
      </w:r>
      <w:r w:rsidR="004A6BB3">
        <w:rPr>
          <w:rFonts w:ascii="Arial" w:hAnsi="Arial" w:cs="Arial"/>
          <w:sz w:val="22"/>
          <w:szCs w:val="22"/>
        </w:rPr>
        <w:t>(</w:t>
      </w:r>
      <w:r w:rsidRPr="00286AE7">
        <w:rPr>
          <w:rFonts w:ascii="Arial" w:hAnsi="Arial" w:cs="Arial"/>
          <w:sz w:val="22"/>
          <w:szCs w:val="22"/>
        </w:rPr>
        <w:t>1998</w:t>
      </w:r>
      <w:r w:rsidR="004A6BB3">
        <w:rPr>
          <w:rFonts w:ascii="Arial" w:hAnsi="Arial" w:cs="Arial"/>
          <w:sz w:val="22"/>
          <w:szCs w:val="22"/>
        </w:rPr>
        <w:t>)</w:t>
      </w:r>
      <w:r w:rsidRPr="00286AE7">
        <w:rPr>
          <w:rFonts w:ascii="Arial" w:hAnsi="Arial" w:cs="Arial"/>
          <w:sz w:val="22"/>
          <w:szCs w:val="22"/>
        </w:rPr>
        <w:t>. Strategic Planning in Schools: An Oxymoron</w:t>
      </w:r>
      <w:r w:rsidR="004B4366" w:rsidRPr="00286AE7">
        <w:rPr>
          <w:rFonts w:ascii="Arial" w:hAnsi="Arial" w:cs="Arial"/>
          <w:sz w:val="22"/>
          <w:szCs w:val="22"/>
        </w:rPr>
        <w:t>?</w:t>
      </w:r>
      <w:r w:rsidRPr="00286AE7">
        <w:rPr>
          <w:rFonts w:ascii="Arial" w:hAnsi="Arial" w:cs="Arial"/>
          <w:sz w:val="22"/>
          <w:szCs w:val="22"/>
        </w:rPr>
        <w:t xml:space="preserve"> </w:t>
      </w:r>
      <w:r w:rsidRPr="004A6BB3">
        <w:rPr>
          <w:rFonts w:ascii="Arial" w:hAnsi="Arial" w:cs="Arial"/>
          <w:i/>
          <w:sz w:val="22"/>
          <w:szCs w:val="22"/>
        </w:rPr>
        <w:t>School Leadership &amp; Management, 18(4), pp.461-73.</w:t>
      </w:r>
    </w:p>
    <w:p w14:paraId="213B4569" w14:textId="77777777" w:rsidR="006D702D" w:rsidRPr="00286AE7" w:rsidRDefault="006D702D" w:rsidP="00DB2225">
      <w:pPr>
        <w:rPr>
          <w:rFonts w:ascii="Arial" w:eastAsiaTheme="minorEastAsia" w:hAnsi="Arial" w:cs="Arial"/>
        </w:rPr>
      </w:pPr>
    </w:p>
    <w:p w14:paraId="747A9222" w14:textId="62793978" w:rsidR="00857DDE" w:rsidRPr="00286AE7" w:rsidRDefault="00857DDE" w:rsidP="00EA03CE">
      <w:pPr>
        <w:pStyle w:val="NormalWeb"/>
        <w:spacing w:before="0" w:beforeAutospacing="0" w:after="240" w:afterAutospacing="0" w:line="360" w:lineRule="auto"/>
        <w:rPr>
          <w:rFonts w:ascii="Arial" w:hAnsi="Arial" w:cs="Arial"/>
          <w:sz w:val="22"/>
          <w:szCs w:val="22"/>
        </w:rPr>
      </w:pPr>
      <w:r w:rsidRPr="00286AE7">
        <w:rPr>
          <w:rFonts w:ascii="Arial" w:hAnsi="Arial" w:cs="Arial"/>
          <w:sz w:val="22"/>
          <w:szCs w:val="22"/>
        </w:rPr>
        <w:t xml:space="preserve">Donaldson, G. (2015). </w:t>
      </w:r>
      <w:r w:rsidRPr="00286AE7">
        <w:rPr>
          <w:rFonts w:ascii="Arial" w:hAnsi="Arial" w:cs="Arial"/>
          <w:i/>
          <w:iCs/>
          <w:sz w:val="22"/>
          <w:szCs w:val="22"/>
        </w:rPr>
        <w:t>Successful Futures Independent Review of Curriculum and Assessment Arrangements in Wales</w:t>
      </w:r>
      <w:r w:rsidRPr="00286AE7">
        <w:rPr>
          <w:rFonts w:ascii="Arial" w:hAnsi="Arial" w:cs="Arial"/>
          <w:sz w:val="22"/>
          <w:szCs w:val="22"/>
        </w:rPr>
        <w:t xml:space="preserve">. [online] Available at: </w:t>
      </w:r>
      <w:hyperlink r:id="rId8" w:history="1">
        <w:r w:rsidR="006D702D" w:rsidRPr="00286AE7">
          <w:rPr>
            <w:rStyle w:val="Hyperlink"/>
            <w:rFonts w:ascii="Arial" w:hAnsi="Arial" w:cs="Arial"/>
            <w:color w:val="auto"/>
            <w:sz w:val="22"/>
            <w:szCs w:val="22"/>
          </w:rPr>
          <w:t>https://www.gov.wales/sites/default/files/publications/2018-03/successful-futures.pdf. Accessed on 18/04/23</w:t>
        </w:r>
      </w:hyperlink>
      <w:r w:rsidR="004235E5" w:rsidRPr="00286AE7">
        <w:rPr>
          <w:rFonts w:ascii="Arial" w:hAnsi="Arial" w:cs="Arial"/>
          <w:sz w:val="22"/>
          <w:szCs w:val="22"/>
        </w:rPr>
        <w:t>.</w:t>
      </w:r>
    </w:p>
    <w:p w14:paraId="5F9E9E10" w14:textId="180B5DEB" w:rsidR="006D702D" w:rsidRPr="00286AE7" w:rsidRDefault="006D702D" w:rsidP="006D702D">
      <w:pPr>
        <w:pStyle w:val="CommentText"/>
        <w:rPr>
          <w:rFonts w:ascii="Arial" w:hAnsi="Arial" w:cs="Arial"/>
          <w:sz w:val="22"/>
          <w:szCs w:val="22"/>
        </w:rPr>
      </w:pPr>
      <w:r w:rsidRPr="00286AE7">
        <w:rPr>
          <w:rFonts w:ascii="Arial" w:hAnsi="Arial" w:cs="Arial"/>
          <w:sz w:val="22"/>
          <w:szCs w:val="22"/>
        </w:rPr>
        <w:t xml:space="preserve">Egan, D., </w:t>
      </w:r>
      <w:r w:rsidR="004A6BB3">
        <w:rPr>
          <w:rFonts w:ascii="Arial" w:hAnsi="Arial" w:cs="Arial"/>
          <w:sz w:val="22"/>
          <w:szCs w:val="22"/>
        </w:rPr>
        <w:t>(</w:t>
      </w:r>
      <w:r w:rsidRPr="00286AE7">
        <w:rPr>
          <w:rFonts w:ascii="Arial" w:hAnsi="Arial" w:cs="Arial"/>
          <w:sz w:val="22"/>
          <w:szCs w:val="22"/>
        </w:rPr>
        <w:t>2016</w:t>
      </w:r>
      <w:r w:rsidR="004A6BB3">
        <w:rPr>
          <w:rFonts w:ascii="Arial" w:hAnsi="Arial" w:cs="Arial"/>
          <w:sz w:val="22"/>
          <w:szCs w:val="22"/>
        </w:rPr>
        <w:t>)</w:t>
      </w:r>
      <w:r w:rsidRPr="00286AE7">
        <w:rPr>
          <w:rFonts w:ascii="Arial" w:hAnsi="Arial" w:cs="Arial"/>
          <w:sz w:val="22"/>
          <w:szCs w:val="22"/>
        </w:rPr>
        <w:t xml:space="preserve">. Educational equity in Wales. </w:t>
      </w:r>
      <w:r w:rsidRPr="004A6BB3">
        <w:rPr>
          <w:rFonts w:ascii="Arial" w:hAnsi="Arial" w:cs="Arial"/>
          <w:i/>
          <w:sz w:val="22"/>
          <w:szCs w:val="22"/>
        </w:rPr>
        <w:t>Wales Journal of Education, 18(1).</w:t>
      </w:r>
    </w:p>
    <w:p w14:paraId="653C418A" w14:textId="77777777" w:rsidR="006D702D" w:rsidRPr="00286AE7" w:rsidRDefault="006D702D" w:rsidP="00EA03CE">
      <w:pPr>
        <w:pStyle w:val="NormalWeb"/>
        <w:spacing w:before="0" w:beforeAutospacing="0" w:after="240" w:afterAutospacing="0" w:line="360" w:lineRule="auto"/>
        <w:rPr>
          <w:rFonts w:ascii="Arial" w:hAnsi="Arial" w:cs="Arial"/>
          <w:sz w:val="22"/>
          <w:szCs w:val="22"/>
        </w:rPr>
      </w:pPr>
    </w:p>
    <w:p w14:paraId="32127F28" w14:textId="30DF2E65" w:rsidR="00857DDE" w:rsidRDefault="00DB2225" w:rsidP="00DB2225">
      <w:pPr>
        <w:spacing w:line="257" w:lineRule="auto"/>
        <w:rPr>
          <w:rFonts w:ascii="Arial" w:eastAsiaTheme="minorEastAsia" w:hAnsi="Arial" w:cs="Arial"/>
        </w:rPr>
      </w:pPr>
      <w:r w:rsidRPr="00286AE7">
        <w:rPr>
          <w:rFonts w:ascii="Arial" w:eastAsiaTheme="minorEastAsia" w:hAnsi="Arial" w:cs="Arial"/>
        </w:rPr>
        <w:t xml:space="preserve">ESTYN (2022) Accessed at </w:t>
      </w:r>
      <w:hyperlink r:id="rId9">
        <w:r w:rsidRPr="00286AE7">
          <w:rPr>
            <w:rStyle w:val="Hyperlink"/>
            <w:rFonts w:ascii="Arial" w:eastAsiaTheme="minorEastAsia" w:hAnsi="Arial" w:cs="Arial"/>
            <w:color w:val="auto"/>
          </w:rPr>
          <w:t>https://www.estyn.gov.wales/system/files/2022-11/Inspection%20report%20</w:t>
        </w:r>
        <w:r w:rsidRPr="00286AE7">
          <w:rPr>
            <w:rStyle w:val="Hyperlink"/>
            <w:rFonts w:ascii="Arial" w:eastAsiaTheme="minorEastAsia" w:hAnsi="Arial" w:cs="Arial"/>
            <w:color w:val="auto"/>
            <w:highlight w:val="black"/>
          </w:rPr>
          <w:t>anonymised</w:t>
        </w:r>
      </w:hyperlink>
      <w:r w:rsidRPr="00286AE7">
        <w:rPr>
          <w:rFonts w:ascii="Arial" w:eastAsiaTheme="minorEastAsia" w:hAnsi="Arial" w:cs="Arial"/>
        </w:rPr>
        <w:t xml:space="preserve"> on 06/04/2023.</w:t>
      </w:r>
    </w:p>
    <w:p w14:paraId="20BF8137" w14:textId="77777777" w:rsidR="00D33DCB" w:rsidRPr="00286AE7" w:rsidRDefault="00D33DCB" w:rsidP="00DB2225">
      <w:pPr>
        <w:spacing w:line="257" w:lineRule="auto"/>
        <w:rPr>
          <w:rFonts w:ascii="Arial" w:eastAsiaTheme="minorEastAsia" w:hAnsi="Arial" w:cs="Arial"/>
        </w:rPr>
      </w:pPr>
    </w:p>
    <w:p w14:paraId="24DB45A3" w14:textId="4094114F" w:rsidR="006D702D" w:rsidRDefault="006D702D" w:rsidP="006D702D">
      <w:pPr>
        <w:pStyle w:val="CommentText"/>
        <w:rPr>
          <w:rFonts w:ascii="Arial" w:hAnsi="Arial" w:cs="Arial"/>
          <w:i/>
          <w:sz w:val="22"/>
          <w:szCs w:val="22"/>
        </w:rPr>
      </w:pPr>
      <w:r w:rsidRPr="00286AE7">
        <w:rPr>
          <w:rFonts w:ascii="Arial" w:hAnsi="Arial" w:cs="Arial"/>
          <w:sz w:val="22"/>
          <w:szCs w:val="22"/>
        </w:rPr>
        <w:t xml:space="preserve">Fauth, B., Decristan, J., Rieser, S., Klieme, E. and Büttner, G., </w:t>
      </w:r>
      <w:r w:rsidR="004A6BB3">
        <w:rPr>
          <w:rFonts w:ascii="Arial" w:hAnsi="Arial" w:cs="Arial"/>
          <w:sz w:val="22"/>
          <w:szCs w:val="22"/>
        </w:rPr>
        <w:t>(</w:t>
      </w:r>
      <w:r w:rsidRPr="00286AE7">
        <w:rPr>
          <w:rFonts w:ascii="Arial" w:hAnsi="Arial" w:cs="Arial"/>
          <w:sz w:val="22"/>
          <w:szCs w:val="22"/>
        </w:rPr>
        <w:t>2014</w:t>
      </w:r>
      <w:r w:rsidR="004A6BB3">
        <w:rPr>
          <w:rFonts w:ascii="Arial" w:hAnsi="Arial" w:cs="Arial"/>
          <w:sz w:val="22"/>
          <w:szCs w:val="22"/>
        </w:rPr>
        <w:t>)</w:t>
      </w:r>
      <w:r w:rsidRPr="00286AE7">
        <w:rPr>
          <w:rFonts w:ascii="Arial" w:hAnsi="Arial" w:cs="Arial"/>
          <w:sz w:val="22"/>
          <w:szCs w:val="22"/>
        </w:rPr>
        <w:t xml:space="preserve">. Student ratings of teaching quality in primary school: Dimensions and prediction of student outcomes. </w:t>
      </w:r>
      <w:r w:rsidRPr="004A6BB3">
        <w:rPr>
          <w:rFonts w:ascii="Arial" w:hAnsi="Arial" w:cs="Arial"/>
          <w:i/>
          <w:sz w:val="22"/>
          <w:szCs w:val="22"/>
        </w:rPr>
        <w:t>Learning and Instruction, 29, pp.1-9.</w:t>
      </w:r>
    </w:p>
    <w:p w14:paraId="2275F97E" w14:textId="77777777" w:rsidR="004A6BB3" w:rsidRPr="00286AE7" w:rsidRDefault="004A6BB3" w:rsidP="006D702D">
      <w:pPr>
        <w:pStyle w:val="CommentText"/>
        <w:rPr>
          <w:rFonts w:ascii="Arial" w:hAnsi="Arial" w:cs="Arial"/>
          <w:sz w:val="22"/>
          <w:szCs w:val="22"/>
        </w:rPr>
      </w:pPr>
    </w:p>
    <w:p w14:paraId="37CFB5EB" w14:textId="6190810D" w:rsidR="00387F5F" w:rsidRDefault="00387F5F" w:rsidP="006D702D">
      <w:pPr>
        <w:pStyle w:val="CommentText"/>
        <w:rPr>
          <w:rFonts w:ascii="Arial" w:hAnsi="Arial" w:cs="Arial"/>
          <w:sz w:val="22"/>
          <w:szCs w:val="22"/>
          <w:shd w:val="clear" w:color="auto" w:fill="FFFFFF"/>
        </w:rPr>
      </w:pPr>
      <w:r w:rsidRPr="00286AE7">
        <w:rPr>
          <w:rFonts w:ascii="Arial" w:hAnsi="Arial" w:cs="Arial"/>
          <w:sz w:val="22"/>
          <w:szCs w:val="22"/>
          <w:shd w:val="clear" w:color="auto" w:fill="FFFFFF"/>
        </w:rPr>
        <w:t>Fullan, M., (2006). The future of educational change: System thinkers in action. </w:t>
      </w:r>
      <w:r w:rsidRPr="00286AE7">
        <w:rPr>
          <w:rFonts w:ascii="Arial" w:hAnsi="Arial" w:cs="Arial"/>
          <w:i/>
          <w:iCs/>
          <w:sz w:val="22"/>
          <w:szCs w:val="22"/>
          <w:shd w:val="clear" w:color="auto" w:fill="FFFFFF"/>
        </w:rPr>
        <w:t>Journal of educational change</w:t>
      </w:r>
      <w:r w:rsidRPr="00286AE7">
        <w:rPr>
          <w:rFonts w:ascii="Arial" w:hAnsi="Arial" w:cs="Arial"/>
          <w:sz w:val="22"/>
          <w:szCs w:val="22"/>
          <w:shd w:val="clear" w:color="auto" w:fill="FFFFFF"/>
        </w:rPr>
        <w:t>, </w:t>
      </w:r>
      <w:r w:rsidRPr="00286AE7">
        <w:rPr>
          <w:rFonts w:ascii="Arial" w:hAnsi="Arial" w:cs="Arial"/>
          <w:i/>
          <w:iCs/>
          <w:sz w:val="22"/>
          <w:szCs w:val="22"/>
          <w:shd w:val="clear" w:color="auto" w:fill="FFFFFF"/>
        </w:rPr>
        <w:t>7</w:t>
      </w:r>
      <w:r w:rsidRPr="00286AE7">
        <w:rPr>
          <w:rFonts w:ascii="Arial" w:hAnsi="Arial" w:cs="Arial"/>
          <w:sz w:val="22"/>
          <w:szCs w:val="22"/>
          <w:shd w:val="clear" w:color="auto" w:fill="FFFFFF"/>
        </w:rPr>
        <w:t>(3), pp.113-122.</w:t>
      </w:r>
    </w:p>
    <w:p w14:paraId="39873BB8" w14:textId="77777777" w:rsidR="004B68EE" w:rsidRPr="00286AE7" w:rsidRDefault="004B68EE" w:rsidP="006D702D">
      <w:pPr>
        <w:pStyle w:val="CommentText"/>
        <w:rPr>
          <w:rFonts w:ascii="Arial" w:hAnsi="Arial" w:cs="Arial"/>
          <w:sz w:val="22"/>
          <w:szCs w:val="22"/>
        </w:rPr>
      </w:pPr>
    </w:p>
    <w:p w14:paraId="0D9C00C6" w14:textId="02ECB912" w:rsidR="00E55044" w:rsidRDefault="00E55044" w:rsidP="006D702D">
      <w:pPr>
        <w:pStyle w:val="CommentText"/>
        <w:rPr>
          <w:rFonts w:ascii="Arial" w:hAnsi="Arial" w:cs="Arial"/>
          <w:sz w:val="22"/>
          <w:szCs w:val="22"/>
          <w:shd w:val="clear" w:color="auto" w:fill="F5F5F5"/>
        </w:rPr>
      </w:pPr>
      <w:r w:rsidRPr="00286AE7">
        <w:rPr>
          <w:rFonts w:ascii="Arial" w:hAnsi="Arial" w:cs="Arial"/>
          <w:sz w:val="22"/>
          <w:szCs w:val="22"/>
          <w:shd w:val="clear" w:color="auto" w:fill="F5F5F5"/>
        </w:rPr>
        <w:lastRenderedPageBreak/>
        <w:t xml:space="preserve">Gibbs G (1988). </w:t>
      </w:r>
      <w:r w:rsidRPr="00286AE7">
        <w:rPr>
          <w:rFonts w:ascii="Arial" w:hAnsi="Arial" w:cs="Arial"/>
          <w:i/>
          <w:sz w:val="22"/>
          <w:szCs w:val="22"/>
          <w:shd w:val="clear" w:color="auto" w:fill="F5F5F5"/>
        </w:rPr>
        <w:t>Learning by Doing: A guide to teaching and learning methods.</w:t>
      </w:r>
      <w:r w:rsidRPr="00286AE7">
        <w:rPr>
          <w:rFonts w:ascii="Arial" w:hAnsi="Arial" w:cs="Arial"/>
          <w:sz w:val="22"/>
          <w:szCs w:val="22"/>
          <w:shd w:val="clear" w:color="auto" w:fill="F5F5F5"/>
        </w:rPr>
        <w:t xml:space="preserve"> Further Education Unit. Oxford Polytechnic: Oxford.</w:t>
      </w:r>
    </w:p>
    <w:p w14:paraId="140AD1F2" w14:textId="77777777" w:rsidR="004B68EE" w:rsidRPr="00286AE7" w:rsidRDefault="004B68EE" w:rsidP="006D702D">
      <w:pPr>
        <w:pStyle w:val="CommentText"/>
        <w:rPr>
          <w:rFonts w:ascii="Arial" w:hAnsi="Arial" w:cs="Arial"/>
          <w:sz w:val="22"/>
          <w:szCs w:val="22"/>
        </w:rPr>
      </w:pPr>
    </w:p>
    <w:p w14:paraId="3F92F9D2" w14:textId="695A767D" w:rsidR="006D702D" w:rsidRPr="004B68EE" w:rsidRDefault="006D702D" w:rsidP="006D702D">
      <w:pPr>
        <w:pStyle w:val="CommentText"/>
        <w:rPr>
          <w:rFonts w:ascii="Arial" w:hAnsi="Arial" w:cs="Arial"/>
          <w:i/>
          <w:sz w:val="22"/>
          <w:szCs w:val="22"/>
        </w:rPr>
      </w:pPr>
      <w:r w:rsidRPr="00286AE7">
        <w:rPr>
          <w:rFonts w:ascii="Arial" w:hAnsi="Arial" w:cs="Arial"/>
          <w:sz w:val="22"/>
          <w:szCs w:val="22"/>
        </w:rPr>
        <w:t xml:space="preserve">Griffin, P., </w:t>
      </w:r>
      <w:r w:rsidR="004B68EE">
        <w:rPr>
          <w:rFonts w:ascii="Arial" w:hAnsi="Arial" w:cs="Arial"/>
          <w:sz w:val="22"/>
          <w:szCs w:val="22"/>
        </w:rPr>
        <w:t>(</w:t>
      </w:r>
      <w:r w:rsidRPr="00286AE7">
        <w:rPr>
          <w:rFonts w:ascii="Arial" w:hAnsi="Arial" w:cs="Arial"/>
          <w:sz w:val="22"/>
          <w:szCs w:val="22"/>
        </w:rPr>
        <w:t>2012</w:t>
      </w:r>
      <w:r w:rsidR="004B68EE">
        <w:rPr>
          <w:rFonts w:ascii="Arial" w:hAnsi="Arial" w:cs="Arial"/>
          <w:sz w:val="22"/>
          <w:szCs w:val="22"/>
        </w:rPr>
        <w:t>)</w:t>
      </w:r>
      <w:r w:rsidRPr="00286AE7">
        <w:rPr>
          <w:rFonts w:ascii="Arial" w:hAnsi="Arial" w:cs="Arial"/>
          <w:sz w:val="22"/>
          <w:szCs w:val="22"/>
        </w:rPr>
        <w:t xml:space="preserve">. </w:t>
      </w:r>
      <w:r w:rsidRPr="004B68EE">
        <w:rPr>
          <w:rFonts w:ascii="Arial" w:hAnsi="Arial" w:cs="Arial"/>
          <w:i/>
          <w:sz w:val="22"/>
          <w:szCs w:val="22"/>
        </w:rPr>
        <w:t>The influence of teaching strategies on student achievement in higher order skills.</w:t>
      </w:r>
    </w:p>
    <w:p w14:paraId="4ACC90C9" w14:textId="77777777" w:rsidR="006D702D" w:rsidRPr="00286AE7" w:rsidRDefault="006D702D" w:rsidP="00DB2225">
      <w:pPr>
        <w:spacing w:line="257" w:lineRule="auto"/>
        <w:rPr>
          <w:rFonts w:ascii="Arial" w:eastAsiaTheme="minorEastAsia" w:hAnsi="Arial" w:cs="Arial"/>
        </w:rPr>
      </w:pPr>
    </w:p>
    <w:p w14:paraId="40771F8F" w14:textId="5ED5A5CD" w:rsidR="006E1DAA" w:rsidRPr="00286AE7" w:rsidRDefault="006E1DAA" w:rsidP="006E1DAA">
      <w:pPr>
        <w:pStyle w:val="NormalWeb"/>
        <w:spacing w:before="0" w:beforeAutospacing="0" w:after="240" w:afterAutospacing="0" w:line="360" w:lineRule="auto"/>
        <w:rPr>
          <w:rFonts w:ascii="Arial" w:hAnsi="Arial" w:cs="Arial"/>
          <w:sz w:val="22"/>
          <w:szCs w:val="22"/>
        </w:rPr>
      </w:pPr>
      <w:r w:rsidRPr="00286AE7">
        <w:rPr>
          <w:rFonts w:ascii="Arial" w:hAnsi="Arial" w:cs="Arial"/>
          <w:sz w:val="22"/>
          <w:szCs w:val="22"/>
        </w:rPr>
        <w:t xml:space="preserve">GOV.WALES. (2017). </w:t>
      </w:r>
      <w:r w:rsidRPr="00286AE7">
        <w:rPr>
          <w:rFonts w:ascii="Arial" w:hAnsi="Arial" w:cs="Arial"/>
          <w:i/>
          <w:iCs/>
          <w:sz w:val="22"/>
          <w:szCs w:val="22"/>
        </w:rPr>
        <w:t>Our national mission</w:t>
      </w:r>
      <w:r w:rsidRPr="00286AE7">
        <w:rPr>
          <w:rFonts w:ascii="Arial" w:hAnsi="Arial" w:cs="Arial"/>
          <w:sz w:val="22"/>
          <w:szCs w:val="22"/>
        </w:rPr>
        <w:t xml:space="preserve">. [online] Available at: </w:t>
      </w:r>
      <w:hyperlink r:id="rId10" w:history="1">
        <w:r w:rsidR="00B14E2C" w:rsidRPr="00286AE7">
          <w:rPr>
            <w:rStyle w:val="Hyperlink"/>
            <w:rFonts w:ascii="Arial" w:hAnsi="Arial" w:cs="Arial"/>
            <w:color w:val="auto"/>
            <w:sz w:val="22"/>
            <w:szCs w:val="22"/>
          </w:rPr>
          <w:t>https://www.gov.wales/our-national-mission Accessed on 18/04/2023</w:t>
        </w:r>
      </w:hyperlink>
      <w:r w:rsidRPr="00286AE7">
        <w:rPr>
          <w:rFonts w:ascii="Arial" w:hAnsi="Arial" w:cs="Arial"/>
          <w:sz w:val="22"/>
          <w:szCs w:val="22"/>
        </w:rPr>
        <w:t>.</w:t>
      </w:r>
    </w:p>
    <w:p w14:paraId="5B6EDC7A" w14:textId="690C7BFC" w:rsidR="00787781" w:rsidRPr="00286AE7" w:rsidRDefault="00787781" w:rsidP="006E1DAA">
      <w:pPr>
        <w:pStyle w:val="NormalWeb"/>
        <w:spacing w:before="0" w:beforeAutospacing="0" w:after="240" w:afterAutospacing="0" w:line="360" w:lineRule="auto"/>
        <w:rPr>
          <w:rFonts w:ascii="Arial" w:hAnsi="Arial" w:cs="Arial"/>
          <w:sz w:val="22"/>
          <w:szCs w:val="22"/>
        </w:rPr>
      </w:pPr>
      <w:r w:rsidRPr="00286AE7">
        <w:rPr>
          <w:rFonts w:ascii="Arial" w:hAnsi="Arial" w:cs="Arial"/>
          <w:sz w:val="22"/>
          <w:szCs w:val="22"/>
        </w:rPr>
        <w:t xml:space="preserve">Herridge, D. (2023) SMART objectives. Accessed at </w:t>
      </w:r>
      <w:hyperlink r:id="rId11" w:history="1">
        <w:r w:rsidRPr="00286AE7">
          <w:rPr>
            <w:rStyle w:val="Hyperlink"/>
            <w:rFonts w:ascii="Arial" w:hAnsi="Arial" w:cs="Arial"/>
            <w:color w:val="auto"/>
            <w:sz w:val="22"/>
            <w:szCs w:val="22"/>
          </w:rPr>
          <w:t>https://www.professionalacademy.com/blogs/what-are-smart-objectives-and-how-do-i-apply-them/</w:t>
        </w:r>
      </w:hyperlink>
      <w:r w:rsidRPr="00286AE7">
        <w:rPr>
          <w:rFonts w:ascii="Arial" w:hAnsi="Arial" w:cs="Arial"/>
          <w:sz w:val="22"/>
          <w:szCs w:val="22"/>
        </w:rPr>
        <w:t xml:space="preserve"> 1.5.23</w:t>
      </w:r>
    </w:p>
    <w:p w14:paraId="08ECD549" w14:textId="4F084A12" w:rsidR="00B14E2C" w:rsidRPr="00286AE7" w:rsidRDefault="00B14E2C" w:rsidP="006E1DAA">
      <w:pPr>
        <w:pStyle w:val="NormalWeb"/>
        <w:spacing w:before="0" w:beforeAutospacing="0" w:after="240" w:afterAutospacing="0" w:line="360" w:lineRule="auto"/>
        <w:rPr>
          <w:rFonts w:ascii="Arial" w:hAnsi="Arial" w:cs="Arial"/>
          <w:sz w:val="22"/>
          <w:szCs w:val="22"/>
          <w:shd w:val="clear" w:color="auto" w:fill="FFFFFF"/>
        </w:rPr>
      </w:pPr>
      <w:r w:rsidRPr="00286AE7">
        <w:rPr>
          <w:rFonts w:ascii="Arial" w:hAnsi="Arial" w:cs="Arial"/>
          <w:sz w:val="22"/>
          <w:szCs w:val="22"/>
          <w:shd w:val="clear" w:color="auto" w:fill="FFFFFF"/>
        </w:rPr>
        <w:t xml:space="preserve">Hopkins, D., </w:t>
      </w:r>
      <w:r w:rsidR="004B68EE">
        <w:rPr>
          <w:rFonts w:ascii="Arial" w:hAnsi="Arial" w:cs="Arial"/>
          <w:sz w:val="22"/>
          <w:szCs w:val="22"/>
          <w:shd w:val="clear" w:color="auto" w:fill="FFFFFF"/>
        </w:rPr>
        <w:t>(</w:t>
      </w:r>
      <w:r w:rsidRPr="00286AE7">
        <w:rPr>
          <w:rFonts w:ascii="Arial" w:hAnsi="Arial" w:cs="Arial"/>
          <w:sz w:val="22"/>
          <w:szCs w:val="22"/>
          <w:shd w:val="clear" w:color="auto" w:fill="FFFFFF"/>
        </w:rPr>
        <w:t>1998</w:t>
      </w:r>
      <w:r w:rsidR="004B68EE">
        <w:rPr>
          <w:rFonts w:ascii="Arial" w:hAnsi="Arial" w:cs="Arial"/>
          <w:sz w:val="22"/>
          <w:szCs w:val="22"/>
          <w:shd w:val="clear" w:color="auto" w:fill="FFFFFF"/>
        </w:rPr>
        <w:t>)</w:t>
      </w:r>
      <w:r w:rsidRPr="00286AE7">
        <w:rPr>
          <w:rFonts w:ascii="Arial" w:hAnsi="Arial" w:cs="Arial"/>
          <w:sz w:val="22"/>
          <w:szCs w:val="22"/>
          <w:shd w:val="clear" w:color="auto" w:fill="FFFFFF"/>
        </w:rPr>
        <w:t>. Development planning for pupil achievement. </w:t>
      </w:r>
      <w:r w:rsidRPr="00286AE7">
        <w:rPr>
          <w:rFonts w:ascii="Arial" w:hAnsi="Arial" w:cs="Arial"/>
          <w:i/>
          <w:iCs/>
          <w:sz w:val="22"/>
          <w:szCs w:val="22"/>
          <w:shd w:val="clear" w:color="auto" w:fill="FFFFFF"/>
        </w:rPr>
        <w:t>School Leadership &amp; Management</w:t>
      </w:r>
      <w:r w:rsidRPr="00286AE7">
        <w:rPr>
          <w:rFonts w:ascii="Arial" w:hAnsi="Arial" w:cs="Arial"/>
          <w:sz w:val="22"/>
          <w:szCs w:val="22"/>
          <w:shd w:val="clear" w:color="auto" w:fill="FFFFFF"/>
        </w:rPr>
        <w:t>, </w:t>
      </w:r>
      <w:r w:rsidRPr="00286AE7">
        <w:rPr>
          <w:rFonts w:ascii="Arial" w:hAnsi="Arial" w:cs="Arial"/>
          <w:i/>
          <w:iCs/>
          <w:sz w:val="22"/>
          <w:szCs w:val="22"/>
          <w:shd w:val="clear" w:color="auto" w:fill="FFFFFF"/>
        </w:rPr>
        <w:t>18</w:t>
      </w:r>
      <w:r w:rsidRPr="00286AE7">
        <w:rPr>
          <w:rFonts w:ascii="Arial" w:hAnsi="Arial" w:cs="Arial"/>
          <w:sz w:val="22"/>
          <w:szCs w:val="22"/>
          <w:shd w:val="clear" w:color="auto" w:fill="FFFFFF"/>
        </w:rPr>
        <w:t>(3), pp.409-424.</w:t>
      </w:r>
    </w:p>
    <w:p w14:paraId="77E832B4" w14:textId="2C4B26AC" w:rsidR="00B14E2C" w:rsidRPr="00286AE7" w:rsidRDefault="00B14E2C" w:rsidP="006E1DAA">
      <w:pPr>
        <w:pStyle w:val="NormalWeb"/>
        <w:spacing w:before="0" w:beforeAutospacing="0" w:after="240" w:afterAutospacing="0" w:line="360" w:lineRule="auto"/>
        <w:rPr>
          <w:rFonts w:ascii="Arial" w:hAnsi="Arial" w:cs="Arial"/>
          <w:sz w:val="22"/>
          <w:szCs w:val="22"/>
          <w:shd w:val="clear" w:color="auto" w:fill="FFFFFF"/>
        </w:rPr>
      </w:pPr>
      <w:r w:rsidRPr="00286AE7">
        <w:rPr>
          <w:rFonts w:ascii="Arial" w:hAnsi="Arial" w:cs="Arial"/>
          <w:sz w:val="22"/>
          <w:szCs w:val="22"/>
          <w:shd w:val="clear" w:color="auto" w:fill="FFFFFF"/>
        </w:rPr>
        <w:t xml:space="preserve">Hopkins, D., </w:t>
      </w:r>
      <w:r w:rsidR="004B68EE">
        <w:rPr>
          <w:rFonts w:ascii="Arial" w:hAnsi="Arial" w:cs="Arial"/>
          <w:sz w:val="22"/>
          <w:szCs w:val="22"/>
          <w:shd w:val="clear" w:color="auto" w:fill="FFFFFF"/>
        </w:rPr>
        <w:t>(</w:t>
      </w:r>
      <w:r w:rsidRPr="00286AE7">
        <w:rPr>
          <w:rFonts w:ascii="Arial" w:hAnsi="Arial" w:cs="Arial"/>
          <w:sz w:val="22"/>
          <w:szCs w:val="22"/>
          <w:shd w:val="clear" w:color="auto" w:fill="FFFFFF"/>
        </w:rPr>
        <w:t>2015</w:t>
      </w:r>
      <w:r w:rsidR="004B68EE">
        <w:rPr>
          <w:rFonts w:ascii="Arial" w:hAnsi="Arial" w:cs="Arial"/>
          <w:sz w:val="22"/>
          <w:szCs w:val="22"/>
          <w:shd w:val="clear" w:color="auto" w:fill="FFFFFF"/>
        </w:rPr>
        <w:t>)</w:t>
      </w:r>
      <w:r w:rsidRPr="00286AE7">
        <w:rPr>
          <w:rFonts w:ascii="Arial" w:hAnsi="Arial" w:cs="Arial"/>
          <w:sz w:val="22"/>
          <w:szCs w:val="22"/>
          <w:shd w:val="clear" w:color="auto" w:fill="FFFFFF"/>
        </w:rPr>
        <w:t>. </w:t>
      </w:r>
      <w:r w:rsidRPr="00286AE7">
        <w:rPr>
          <w:rFonts w:ascii="Arial" w:hAnsi="Arial" w:cs="Arial"/>
          <w:i/>
          <w:iCs/>
          <w:sz w:val="22"/>
          <w:szCs w:val="22"/>
          <w:shd w:val="clear" w:color="auto" w:fill="FFFFFF"/>
        </w:rPr>
        <w:t>Improving the quality of education for all: A handbook of staff development activities</w:t>
      </w:r>
      <w:r w:rsidRPr="00286AE7">
        <w:rPr>
          <w:rFonts w:ascii="Arial" w:hAnsi="Arial" w:cs="Arial"/>
          <w:sz w:val="22"/>
          <w:szCs w:val="22"/>
          <w:shd w:val="clear" w:color="auto" w:fill="FFFFFF"/>
        </w:rPr>
        <w:t xml:space="preserve">. </w:t>
      </w:r>
      <w:r w:rsidR="004B68EE">
        <w:rPr>
          <w:rFonts w:ascii="Arial" w:hAnsi="Arial" w:cs="Arial"/>
          <w:sz w:val="22"/>
          <w:szCs w:val="22"/>
          <w:shd w:val="clear" w:color="auto" w:fill="FFFFFF"/>
        </w:rPr>
        <w:t xml:space="preserve">Oxford. </w:t>
      </w:r>
      <w:r w:rsidRPr="00286AE7">
        <w:rPr>
          <w:rFonts w:ascii="Arial" w:hAnsi="Arial" w:cs="Arial"/>
          <w:sz w:val="22"/>
          <w:szCs w:val="22"/>
          <w:shd w:val="clear" w:color="auto" w:fill="FFFFFF"/>
        </w:rPr>
        <w:t>Routledge.</w:t>
      </w:r>
    </w:p>
    <w:p w14:paraId="04C2C63C" w14:textId="4F82FCBD" w:rsidR="00E55044" w:rsidRPr="00286AE7" w:rsidRDefault="00E55044" w:rsidP="006E1DAA">
      <w:pPr>
        <w:pStyle w:val="NormalWeb"/>
        <w:spacing w:before="0" w:beforeAutospacing="0" w:after="240" w:afterAutospacing="0" w:line="360" w:lineRule="auto"/>
        <w:rPr>
          <w:rFonts w:ascii="Arial" w:hAnsi="Arial" w:cs="Arial"/>
          <w:sz w:val="22"/>
          <w:szCs w:val="22"/>
        </w:rPr>
      </w:pPr>
      <w:r w:rsidRPr="00286AE7">
        <w:rPr>
          <w:rFonts w:ascii="Arial" w:hAnsi="Arial" w:cs="Arial"/>
          <w:sz w:val="22"/>
          <w:szCs w:val="22"/>
          <w:shd w:val="clear" w:color="auto" w:fill="FFFFFF"/>
        </w:rPr>
        <w:t xml:space="preserve">Laal, M. and </w:t>
      </w:r>
      <w:proofErr w:type="spellStart"/>
      <w:r w:rsidRPr="00286AE7">
        <w:rPr>
          <w:rFonts w:ascii="Arial" w:hAnsi="Arial" w:cs="Arial"/>
          <w:sz w:val="22"/>
          <w:szCs w:val="22"/>
          <w:shd w:val="clear" w:color="auto" w:fill="FFFFFF"/>
        </w:rPr>
        <w:t>Salamati</w:t>
      </w:r>
      <w:proofErr w:type="spellEnd"/>
      <w:r w:rsidRPr="00286AE7">
        <w:rPr>
          <w:rFonts w:ascii="Arial" w:hAnsi="Arial" w:cs="Arial"/>
          <w:sz w:val="22"/>
          <w:szCs w:val="22"/>
          <w:shd w:val="clear" w:color="auto" w:fill="FFFFFF"/>
        </w:rPr>
        <w:t xml:space="preserve">, P., </w:t>
      </w:r>
      <w:r w:rsidR="004B68EE">
        <w:rPr>
          <w:rFonts w:ascii="Arial" w:hAnsi="Arial" w:cs="Arial"/>
          <w:sz w:val="22"/>
          <w:szCs w:val="22"/>
          <w:shd w:val="clear" w:color="auto" w:fill="FFFFFF"/>
        </w:rPr>
        <w:t>(</w:t>
      </w:r>
      <w:r w:rsidRPr="00286AE7">
        <w:rPr>
          <w:rFonts w:ascii="Arial" w:hAnsi="Arial" w:cs="Arial"/>
          <w:sz w:val="22"/>
          <w:szCs w:val="22"/>
          <w:shd w:val="clear" w:color="auto" w:fill="FFFFFF"/>
        </w:rPr>
        <w:t>2012</w:t>
      </w:r>
      <w:r w:rsidR="004B68EE">
        <w:rPr>
          <w:rFonts w:ascii="Arial" w:hAnsi="Arial" w:cs="Arial"/>
          <w:sz w:val="22"/>
          <w:szCs w:val="22"/>
          <w:shd w:val="clear" w:color="auto" w:fill="FFFFFF"/>
        </w:rPr>
        <w:t>)</w:t>
      </w:r>
      <w:r w:rsidRPr="00286AE7">
        <w:rPr>
          <w:rFonts w:ascii="Arial" w:hAnsi="Arial" w:cs="Arial"/>
          <w:sz w:val="22"/>
          <w:szCs w:val="22"/>
          <w:shd w:val="clear" w:color="auto" w:fill="FFFFFF"/>
        </w:rPr>
        <w:t xml:space="preserve">. Lifelong learning; why do we need </w:t>
      </w:r>
      <w:proofErr w:type="gramStart"/>
      <w:r w:rsidRPr="00286AE7">
        <w:rPr>
          <w:rFonts w:ascii="Arial" w:hAnsi="Arial" w:cs="Arial"/>
          <w:sz w:val="22"/>
          <w:szCs w:val="22"/>
          <w:shd w:val="clear" w:color="auto" w:fill="FFFFFF"/>
        </w:rPr>
        <w:t>it?.</w:t>
      </w:r>
      <w:proofErr w:type="gramEnd"/>
      <w:r w:rsidRPr="00286AE7">
        <w:rPr>
          <w:rFonts w:ascii="Arial" w:hAnsi="Arial" w:cs="Arial"/>
          <w:sz w:val="22"/>
          <w:szCs w:val="22"/>
          <w:shd w:val="clear" w:color="auto" w:fill="FFFFFF"/>
        </w:rPr>
        <w:t> </w:t>
      </w:r>
      <w:r w:rsidRPr="00286AE7">
        <w:rPr>
          <w:rFonts w:ascii="Arial" w:hAnsi="Arial" w:cs="Arial"/>
          <w:i/>
          <w:iCs/>
          <w:sz w:val="22"/>
          <w:szCs w:val="22"/>
          <w:shd w:val="clear" w:color="auto" w:fill="FFFFFF"/>
        </w:rPr>
        <w:t xml:space="preserve">Procedia-Social and </w:t>
      </w:r>
      <w:proofErr w:type="spellStart"/>
      <w:r w:rsidRPr="00286AE7">
        <w:rPr>
          <w:rFonts w:ascii="Arial" w:hAnsi="Arial" w:cs="Arial"/>
          <w:i/>
          <w:iCs/>
          <w:sz w:val="22"/>
          <w:szCs w:val="22"/>
          <w:shd w:val="clear" w:color="auto" w:fill="FFFFFF"/>
        </w:rPr>
        <w:t>Behavioral</w:t>
      </w:r>
      <w:proofErr w:type="spellEnd"/>
      <w:r w:rsidRPr="00286AE7">
        <w:rPr>
          <w:rFonts w:ascii="Arial" w:hAnsi="Arial" w:cs="Arial"/>
          <w:i/>
          <w:iCs/>
          <w:sz w:val="22"/>
          <w:szCs w:val="22"/>
          <w:shd w:val="clear" w:color="auto" w:fill="FFFFFF"/>
        </w:rPr>
        <w:t xml:space="preserve"> Sciences</w:t>
      </w:r>
      <w:r w:rsidRPr="00286AE7">
        <w:rPr>
          <w:rFonts w:ascii="Arial" w:hAnsi="Arial" w:cs="Arial"/>
          <w:sz w:val="22"/>
          <w:szCs w:val="22"/>
          <w:shd w:val="clear" w:color="auto" w:fill="FFFFFF"/>
        </w:rPr>
        <w:t>, </w:t>
      </w:r>
      <w:r w:rsidRPr="00286AE7">
        <w:rPr>
          <w:rFonts w:ascii="Arial" w:hAnsi="Arial" w:cs="Arial"/>
          <w:i/>
          <w:iCs/>
          <w:sz w:val="22"/>
          <w:szCs w:val="22"/>
          <w:shd w:val="clear" w:color="auto" w:fill="FFFFFF"/>
        </w:rPr>
        <w:t>31</w:t>
      </w:r>
      <w:r w:rsidRPr="00286AE7">
        <w:rPr>
          <w:rFonts w:ascii="Arial" w:hAnsi="Arial" w:cs="Arial"/>
          <w:sz w:val="22"/>
          <w:szCs w:val="22"/>
          <w:shd w:val="clear" w:color="auto" w:fill="FFFFFF"/>
        </w:rPr>
        <w:t>, pp.399-403.</w:t>
      </w:r>
    </w:p>
    <w:p w14:paraId="06DD85E3" w14:textId="3BE85384" w:rsidR="006E1DAA" w:rsidRDefault="006D702D" w:rsidP="00DB2225">
      <w:pPr>
        <w:spacing w:line="257" w:lineRule="auto"/>
        <w:rPr>
          <w:rFonts w:ascii="Arial" w:hAnsi="Arial" w:cs="Arial"/>
          <w:i/>
        </w:rPr>
      </w:pPr>
      <w:r w:rsidRPr="00286AE7">
        <w:rPr>
          <w:rFonts w:ascii="Arial" w:hAnsi="Arial" w:cs="Arial"/>
        </w:rPr>
        <w:t xml:space="preserve">Looney, J., </w:t>
      </w:r>
      <w:r w:rsidR="004B68EE">
        <w:rPr>
          <w:rFonts w:ascii="Arial" w:hAnsi="Arial" w:cs="Arial"/>
        </w:rPr>
        <w:t>(</w:t>
      </w:r>
      <w:r w:rsidRPr="00286AE7">
        <w:rPr>
          <w:rFonts w:ascii="Arial" w:hAnsi="Arial" w:cs="Arial"/>
        </w:rPr>
        <w:t>2011</w:t>
      </w:r>
      <w:r w:rsidR="004B68EE">
        <w:rPr>
          <w:rFonts w:ascii="Arial" w:hAnsi="Arial" w:cs="Arial"/>
        </w:rPr>
        <w:t>)</w:t>
      </w:r>
      <w:r w:rsidRPr="00286AE7">
        <w:rPr>
          <w:rFonts w:ascii="Arial" w:hAnsi="Arial" w:cs="Arial"/>
        </w:rPr>
        <w:t>. Developing High</w:t>
      </w:r>
      <w:r w:rsidRPr="00286AE7">
        <w:rPr>
          <w:rFonts w:ascii="Cambria Math" w:hAnsi="Cambria Math" w:cs="Cambria Math"/>
        </w:rPr>
        <w:t>‐</w:t>
      </w:r>
      <w:r w:rsidRPr="00286AE7">
        <w:rPr>
          <w:rFonts w:ascii="Arial" w:hAnsi="Arial" w:cs="Arial"/>
        </w:rPr>
        <w:t xml:space="preserve">Quality Teachers: teacher evaluation for improvement. </w:t>
      </w:r>
      <w:r w:rsidRPr="004B68EE">
        <w:rPr>
          <w:rFonts w:ascii="Arial" w:hAnsi="Arial" w:cs="Arial"/>
          <w:i/>
        </w:rPr>
        <w:t>European Journal of Education, 46(4), pp.440-455.</w:t>
      </w:r>
    </w:p>
    <w:p w14:paraId="5AD8CD96" w14:textId="77777777" w:rsidR="004B68EE" w:rsidRPr="004B68EE" w:rsidRDefault="004B68EE" w:rsidP="00DB2225">
      <w:pPr>
        <w:spacing w:line="257" w:lineRule="auto"/>
        <w:rPr>
          <w:rFonts w:ascii="Arial" w:hAnsi="Arial" w:cs="Arial"/>
          <w:i/>
        </w:rPr>
      </w:pPr>
    </w:p>
    <w:p w14:paraId="3A844034" w14:textId="0E578C44" w:rsidR="006D702D" w:rsidRDefault="006D702D" w:rsidP="006D702D">
      <w:pPr>
        <w:pStyle w:val="CommentText"/>
        <w:rPr>
          <w:rFonts w:ascii="Arial" w:hAnsi="Arial" w:cs="Arial"/>
          <w:i/>
          <w:sz w:val="22"/>
          <w:szCs w:val="22"/>
        </w:rPr>
      </w:pPr>
      <w:r w:rsidRPr="00286AE7">
        <w:rPr>
          <w:rFonts w:ascii="Arial" w:hAnsi="Arial" w:cs="Arial"/>
          <w:sz w:val="22"/>
          <w:szCs w:val="22"/>
        </w:rPr>
        <w:t xml:space="preserve">McFarlane, A.E., </w:t>
      </w:r>
      <w:r w:rsidR="004B68EE">
        <w:rPr>
          <w:rFonts w:ascii="Arial" w:hAnsi="Arial" w:cs="Arial"/>
          <w:sz w:val="22"/>
          <w:szCs w:val="22"/>
        </w:rPr>
        <w:t>(</w:t>
      </w:r>
      <w:r w:rsidRPr="00286AE7">
        <w:rPr>
          <w:rFonts w:ascii="Arial" w:hAnsi="Arial" w:cs="Arial"/>
          <w:sz w:val="22"/>
          <w:szCs w:val="22"/>
        </w:rPr>
        <w:t>2019</w:t>
      </w:r>
      <w:r w:rsidR="004B68EE">
        <w:rPr>
          <w:rFonts w:ascii="Arial" w:hAnsi="Arial" w:cs="Arial"/>
          <w:sz w:val="22"/>
          <w:szCs w:val="22"/>
        </w:rPr>
        <w:t>)</w:t>
      </w:r>
      <w:r w:rsidRPr="00286AE7">
        <w:rPr>
          <w:rFonts w:ascii="Arial" w:hAnsi="Arial" w:cs="Arial"/>
          <w:sz w:val="22"/>
          <w:szCs w:val="22"/>
        </w:rPr>
        <w:t xml:space="preserve">. Devices and desires: Competing visions of a good education in the digital age. </w:t>
      </w:r>
      <w:r w:rsidRPr="004B68EE">
        <w:rPr>
          <w:rFonts w:ascii="Arial" w:hAnsi="Arial" w:cs="Arial"/>
          <w:i/>
          <w:sz w:val="22"/>
          <w:szCs w:val="22"/>
        </w:rPr>
        <w:t>British Journal of Educational Technology, 50(3), pp.1125-1136.,</w:t>
      </w:r>
    </w:p>
    <w:p w14:paraId="4FACCC8B" w14:textId="77777777" w:rsidR="004B68EE" w:rsidRPr="00286AE7" w:rsidRDefault="004B68EE" w:rsidP="006D702D">
      <w:pPr>
        <w:pStyle w:val="CommentText"/>
        <w:rPr>
          <w:rFonts w:ascii="Arial" w:hAnsi="Arial" w:cs="Arial"/>
          <w:sz w:val="22"/>
          <w:szCs w:val="22"/>
        </w:rPr>
      </w:pPr>
    </w:p>
    <w:p w14:paraId="222D2F82" w14:textId="4A0DA6F3" w:rsidR="006D702D" w:rsidRDefault="006D702D" w:rsidP="00DB2225">
      <w:pPr>
        <w:spacing w:line="257" w:lineRule="auto"/>
        <w:rPr>
          <w:rFonts w:ascii="Arial" w:hAnsi="Arial" w:cs="Arial"/>
        </w:rPr>
      </w:pPr>
      <w:r w:rsidRPr="00286AE7">
        <w:rPr>
          <w:rFonts w:ascii="Arial" w:hAnsi="Arial" w:cs="Arial"/>
        </w:rPr>
        <w:t xml:space="preserve">Mukhopadhyay, </w:t>
      </w:r>
      <w:proofErr w:type="gramStart"/>
      <w:r w:rsidRPr="00286AE7">
        <w:rPr>
          <w:rFonts w:ascii="Arial" w:hAnsi="Arial" w:cs="Arial"/>
        </w:rPr>
        <w:t>M.,</w:t>
      </w:r>
      <w:r w:rsidR="004B68EE">
        <w:rPr>
          <w:rFonts w:ascii="Arial" w:hAnsi="Arial" w:cs="Arial"/>
        </w:rPr>
        <w:t>(</w:t>
      </w:r>
      <w:proofErr w:type="gramEnd"/>
      <w:r w:rsidRPr="00286AE7">
        <w:rPr>
          <w:rFonts w:ascii="Arial" w:hAnsi="Arial" w:cs="Arial"/>
        </w:rPr>
        <w:t xml:space="preserve"> 2020</w:t>
      </w:r>
      <w:r w:rsidR="004B68EE">
        <w:rPr>
          <w:rFonts w:ascii="Arial" w:hAnsi="Arial" w:cs="Arial"/>
        </w:rPr>
        <w:t>)</w:t>
      </w:r>
      <w:r w:rsidRPr="00286AE7">
        <w:rPr>
          <w:rFonts w:ascii="Arial" w:hAnsi="Arial" w:cs="Arial"/>
        </w:rPr>
        <w:t xml:space="preserve">. </w:t>
      </w:r>
      <w:r w:rsidRPr="004B68EE">
        <w:rPr>
          <w:rFonts w:ascii="Arial" w:hAnsi="Arial" w:cs="Arial"/>
          <w:i/>
        </w:rPr>
        <w:t>Total quality management in education</w:t>
      </w:r>
      <w:r w:rsidRPr="00286AE7">
        <w:rPr>
          <w:rFonts w:ascii="Arial" w:hAnsi="Arial" w:cs="Arial"/>
        </w:rPr>
        <w:t xml:space="preserve">. SAGE Publications </w:t>
      </w:r>
      <w:proofErr w:type="spellStart"/>
      <w:r w:rsidRPr="00286AE7">
        <w:rPr>
          <w:rFonts w:ascii="Arial" w:hAnsi="Arial" w:cs="Arial"/>
        </w:rPr>
        <w:t>Pvt.</w:t>
      </w:r>
      <w:proofErr w:type="spellEnd"/>
      <w:r w:rsidRPr="00286AE7">
        <w:rPr>
          <w:rFonts w:ascii="Arial" w:hAnsi="Arial" w:cs="Arial"/>
        </w:rPr>
        <w:t xml:space="preserve"> Limited</w:t>
      </w:r>
    </w:p>
    <w:p w14:paraId="08CA9DF5" w14:textId="77777777" w:rsidR="004B68EE" w:rsidRPr="00286AE7" w:rsidRDefault="004B68EE" w:rsidP="00DB2225">
      <w:pPr>
        <w:spacing w:line="257" w:lineRule="auto"/>
        <w:rPr>
          <w:rFonts w:ascii="Arial" w:hAnsi="Arial" w:cs="Arial"/>
        </w:rPr>
      </w:pPr>
    </w:p>
    <w:p w14:paraId="74EAB91B" w14:textId="7498C727" w:rsidR="006D702D" w:rsidRPr="00286AE7" w:rsidRDefault="006D702D" w:rsidP="006D702D">
      <w:pPr>
        <w:pStyle w:val="CommentText"/>
        <w:rPr>
          <w:rFonts w:ascii="Arial" w:hAnsi="Arial" w:cs="Arial"/>
          <w:sz w:val="22"/>
          <w:szCs w:val="22"/>
        </w:rPr>
      </w:pPr>
      <w:r w:rsidRPr="00286AE7">
        <w:rPr>
          <w:rFonts w:ascii="Arial" w:hAnsi="Arial" w:cs="Arial"/>
          <w:sz w:val="22"/>
          <w:szCs w:val="22"/>
        </w:rPr>
        <w:t xml:space="preserve">National Research Council, </w:t>
      </w:r>
      <w:r w:rsidR="004B68EE">
        <w:rPr>
          <w:rFonts w:ascii="Arial" w:hAnsi="Arial" w:cs="Arial"/>
          <w:sz w:val="22"/>
          <w:szCs w:val="22"/>
        </w:rPr>
        <w:t>(</w:t>
      </w:r>
      <w:r w:rsidRPr="00286AE7">
        <w:rPr>
          <w:rFonts w:ascii="Arial" w:hAnsi="Arial" w:cs="Arial"/>
          <w:sz w:val="22"/>
          <w:szCs w:val="22"/>
        </w:rPr>
        <w:t>2012</w:t>
      </w:r>
      <w:r w:rsidR="004B68EE">
        <w:rPr>
          <w:rFonts w:ascii="Arial" w:hAnsi="Arial" w:cs="Arial"/>
          <w:sz w:val="22"/>
          <w:szCs w:val="22"/>
        </w:rPr>
        <w:t>)</w:t>
      </w:r>
      <w:r w:rsidRPr="00286AE7">
        <w:rPr>
          <w:rFonts w:ascii="Arial" w:hAnsi="Arial" w:cs="Arial"/>
          <w:sz w:val="22"/>
          <w:szCs w:val="22"/>
        </w:rPr>
        <w:t xml:space="preserve">. </w:t>
      </w:r>
      <w:r w:rsidRPr="004B68EE">
        <w:rPr>
          <w:rFonts w:ascii="Arial" w:hAnsi="Arial" w:cs="Arial"/>
          <w:i/>
          <w:sz w:val="22"/>
          <w:szCs w:val="22"/>
        </w:rPr>
        <w:t xml:space="preserve">Education for life and work: Developing transferable knowledge and skills in the 21st century. </w:t>
      </w:r>
      <w:r w:rsidRPr="00286AE7">
        <w:rPr>
          <w:rFonts w:ascii="Arial" w:hAnsi="Arial" w:cs="Arial"/>
          <w:sz w:val="22"/>
          <w:szCs w:val="22"/>
        </w:rPr>
        <w:t>National Academies Press.</w:t>
      </w:r>
    </w:p>
    <w:p w14:paraId="204E3F9A" w14:textId="77777777" w:rsidR="006D702D" w:rsidRPr="00286AE7" w:rsidRDefault="006D702D" w:rsidP="00DB2225">
      <w:pPr>
        <w:spacing w:line="257" w:lineRule="auto"/>
        <w:rPr>
          <w:rFonts w:ascii="Arial" w:eastAsiaTheme="minorEastAsia" w:hAnsi="Arial" w:cs="Arial"/>
        </w:rPr>
      </w:pPr>
    </w:p>
    <w:p w14:paraId="3B744656" w14:textId="088497A5" w:rsidR="00793AF3" w:rsidRDefault="00793AF3" w:rsidP="00DB2225">
      <w:pPr>
        <w:spacing w:line="257" w:lineRule="auto"/>
        <w:rPr>
          <w:rFonts w:ascii="Arial" w:hAnsi="Arial" w:cs="Arial"/>
          <w:shd w:val="clear" w:color="auto" w:fill="FFFFFF"/>
        </w:rPr>
      </w:pPr>
      <w:r w:rsidRPr="00286AE7">
        <w:rPr>
          <w:rFonts w:ascii="Arial" w:hAnsi="Arial" w:cs="Arial"/>
          <w:shd w:val="clear" w:color="auto" w:fill="FFFFFF"/>
        </w:rPr>
        <w:t xml:space="preserve">Schon, D.A., </w:t>
      </w:r>
      <w:r w:rsidR="004B68EE">
        <w:rPr>
          <w:rFonts w:ascii="Arial" w:hAnsi="Arial" w:cs="Arial"/>
          <w:shd w:val="clear" w:color="auto" w:fill="FFFFFF"/>
        </w:rPr>
        <w:t>(</w:t>
      </w:r>
      <w:r w:rsidRPr="00286AE7">
        <w:rPr>
          <w:rFonts w:ascii="Arial" w:hAnsi="Arial" w:cs="Arial"/>
          <w:shd w:val="clear" w:color="auto" w:fill="FFFFFF"/>
        </w:rPr>
        <w:t>1984</w:t>
      </w:r>
      <w:r w:rsidR="004B68EE">
        <w:rPr>
          <w:rFonts w:ascii="Arial" w:hAnsi="Arial" w:cs="Arial"/>
          <w:shd w:val="clear" w:color="auto" w:fill="FFFFFF"/>
        </w:rPr>
        <w:t>)</w:t>
      </w:r>
      <w:r w:rsidRPr="00286AE7">
        <w:rPr>
          <w:rFonts w:ascii="Arial" w:hAnsi="Arial" w:cs="Arial"/>
          <w:shd w:val="clear" w:color="auto" w:fill="FFFFFF"/>
        </w:rPr>
        <w:t>. </w:t>
      </w:r>
      <w:r w:rsidRPr="00286AE7">
        <w:rPr>
          <w:rFonts w:ascii="Arial" w:hAnsi="Arial" w:cs="Arial"/>
          <w:i/>
          <w:iCs/>
          <w:shd w:val="clear" w:color="auto" w:fill="FFFFFF"/>
        </w:rPr>
        <w:t>The reflective practitioner: How professionals think in action</w:t>
      </w:r>
      <w:r w:rsidRPr="00286AE7">
        <w:rPr>
          <w:rFonts w:ascii="Arial" w:hAnsi="Arial" w:cs="Arial"/>
          <w:shd w:val="clear" w:color="auto" w:fill="FFFFFF"/>
        </w:rPr>
        <w:t> (Vol. 5126). Basic books.</w:t>
      </w:r>
    </w:p>
    <w:p w14:paraId="61BA4DBC" w14:textId="77777777" w:rsidR="004B68EE" w:rsidRPr="00286AE7" w:rsidRDefault="004B68EE" w:rsidP="00DB2225">
      <w:pPr>
        <w:spacing w:line="257" w:lineRule="auto"/>
        <w:rPr>
          <w:rFonts w:ascii="Arial" w:hAnsi="Arial" w:cs="Arial"/>
          <w:shd w:val="clear" w:color="auto" w:fill="FFFFFF"/>
        </w:rPr>
      </w:pPr>
    </w:p>
    <w:p w14:paraId="58E1C718" w14:textId="4CEAC61F" w:rsidR="006D702D" w:rsidRPr="004B68EE" w:rsidRDefault="006D702D" w:rsidP="00DB2225">
      <w:pPr>
        <w:spacing w:line="257" w:lineRule="auto"/>
        <w:rPr>
          <w:rFonts w:ascii="Arial" w:hAnsi="Arial" w:cs="Arial"/>
          <w:i/>
        </w:rPr>
      </w:pPr>
      <w:proofErr w:type="spellStart"/>
      <w:r w:rsidRPr="00286AE7">
        <w:rPr>
          <w:rFonts w:ascii="Arial" w:hAnsi="Arial" w:cs="Arial"/>
        </w:rPr>
        <w:t>Stronge</w:t>
      </w:r>
      <w:proofErr w:type="spellEnd"/>
      <w:r w:rsidRPr="00286AE7">
        <w:rPr>
          <w:rFonts w:ascii="Arial" w:hAnsi="Arial" w:cs="Arial"/>
        </w:rPr>
        <w:t xml:space="preserve">, J.H., Ward, T.J. and Grant, L.W., </w:t>
      </w:r>
      <w:r w:rsidR="004B68EE">
        <w:rPr>
          <w:rFonts w:ascii="Arial" w:hAnsi="Arial" w:cs="Arial"/>
        </w:rPr>
        <w:t>(</w:t>
      </w:r>
      <w:r w:rsidRPr="00286AE7">
        <w:rPr>
          <w:rFonts w:ascii="Arial" w:hAnsi="Arial" w:cs="Arial"/>
        </w:rPr>
        <w:t>2011</w:t>
      </w:r>
      <w:r w:rsidR="004B68EE">
        <w:rPr>
          <w:rFonts w:ascii="Arial" w:hAnsi="Arial" w:cs="Arial"/>
        </w:rPr>
        <w:t>)</w:t>
      </w:r>
      <w:r w:rsidRPr="00286AE7">
        <w:rPr>
          <w:rFonts w:ascii="Arial" w:hAnsi="Arial" w:cs="Arial"/>
        </w:rPr>
        <w:t xml:space="preserve">. What makes good teachers good? A cross-case analysis of the connection between teacher effectiveness and student achievement. </w:t>
      </w:r>
      <w:r w:rsidRPr="004B68EE">
        <w:rPr>
          <w:rFonts w:ascii="Arial" w:hAnsi="Arial" w:cs="Arial"/>
          <w:i/>
        </w:rPr>
        <w:t>Journal of teacher Education, 62(4), pp.339-355.</w:t>
      </w:r>
    </w:p>
    <w:p w14:paraId="7CFB370C" w14:textId="612A9183" w:rsidR="00387F5F" w:rsidRDefault="00387F5F" w:rsidP="00DB2225">
      <w:pPr>
        <w:spacing w:line="257" w:lineRule="auto"/>
        <w:rPr>
          <w:rFonts w:ascii="Arial" w:hAnsi="Arial" w:cs="Arial"/>
          <w:shd w:val="clear" w:color="auto" w:fill="FFFFFF"/>
        </w:rPr>
      </w:pPr>
      <w:r w:rsidRPr="00286AE7">
        <w:rPr>
          <w:rFonts w:ascii="Arial" w:hAnsi="Arial" w:cs="Arial"/>
          <w:shd w:val="clear" w:color="auto" w:fill="FFFFFF"/>
        </w:rPr>
        <w:t xml:space="preserve">Tomlinson, C.A., </w:t>
      </w:r>
      <w:r w:rsidR="00071943" w:rsidRPr="00286AE7">
        <w:rPr>
          <w:rFonts w:ascii="Arial" w:hAnsi="Arial" w:cs="Arial"/>
          <w:shd w:val="clear" w:color="auto" w:fill="FFFFFF"/>
        </w:rPr>
        <w:t>(</w:t>
      </w:r>
      <w:r w:rsidRPr="00286AE7">
        <w:rPr>
          <w:rFonts w:ascii="Arial" w:hAnsi="Arial" w:cs="Arial"/>
          <w:shd w:val="clear" w:color="auto" w:fill="FFFFFF"/>
        </w:rPr>
        <w:t>2014</w:t>
      </w:r>
      <w:r w:rsidR="00071943" w:rsidRPr="00286AE7">
        <w:rPr>
          <w:rFonts w:ascii="Arial" w:hAnsi="Arial" w:cs="Arial"/>
          <w:shd w:val="clear" w:color="auto" w:fill="FFFFFF"/>
        </w:rPr>
        <w:t>)</w:t>
      </w:r>
      <w:r w:rsidRPr="00286AE7">
        <w:rPr>
          <w:rFonts w:ascii="Arial" w:hAnsi="Arial" w:cs="Arial"/>
          <w:shd w:val="clear" w:color="auto" w:fill="FFFFFF"/>
        </w:rPr>
        <w:t>. </w:t>
      </w:r>
      <w:r w:rsidRPr="00286AE7">
        <w:rPr>
          <w:rFonts w:ascii="Arial" w:hAnsi="Arial" w:cs="Arial"/>
          <w:i/>
          <w:iCs/>
          <w:shd w:val="clear" w:color="auto" w:fill="FFFFFF"/>
        </w:rPr>
        <w:t>The differentiated classroom: Responding to the needs of all learners</w:t>
      </w:r>
      <w:r w:rsidRPr="00286AE7">
        <w:rPr>
          <w:rFonts w:ascii="Arial" w:hAnsi="Arial" w:cs="Arial"/>
          <w:shd w:val="clear" w:color="auto" w:fill="FFFFFF"/>
        </w:rPr>
        <w:t xml:space="preserve">. </w:t>
      </w:r>
      <w:r w:rsidR="00071943" w:rsidRPr="00286AE7">
        <w:rPr>
          <w:rFonts w:ascii="Arial" w:hAnsi="Arial" w:cs="Arial"/>
          <w:shd w:val="clear" w:color="auto" w:fill="FFFFFF"/>
        </w:rPr>
        <w:t>Virginia. The Association for Supervision and Curriculum Development</w:t>
      </w:r>
      <w:r w:rsidRPr="00286AE7">
        <w:rPr>
          <w:rFonts w:ascii="Arial" w:hAnsi="Arial" w:cs="Arial"/>
          <w:shd w:val="clear" w:color="auto" w:fill="FFFFFF"/>
        </w:rPr>
        <w:t>.</w:t>
      </w:r>
    </w:p>
    <w:p w14:paraId="65BF7C16" w14:textId="77777777" w:rsidR="004B68EE" w:rsidRPr="00286AE7" w:rsidRDefault="004B68EE" w:rsidP="00DB2225">
      <w:pPr>
        <w:spacing w:line="257" w:lineRule="auto"/>
        <w:rPr>
          <w:rFonts w:ascii="Arial" w:hAnsi="Arial" w:cs="Arial"/>
          <w:shd w:val="clear" w:color="auto" w:fill="FFFFFF"/>
        </w:rPr>
      </w:pPr>
    </w:p>
    <w:p w14:paraId="7DD83916" w14:textId="1C16226C" w:rsidR="00B00586" w:rsidRDefault="00B00586" w:rsidP="00DB2225">
      <w:pPr>
        <w:spacing w:line="257" w:lineRule="auto"/>
        <w:rPr>
          <w:rFonts w:ascii="Arial" w:hAnsi="Arial" w:cs="Arial"/>
          <w:shd w:val="clear" w:color="auto" w:fill="FFFFFF"/>
        </w:rPr>
      </w:pPr>
      <w:r w:rsidRPr="00286AE7">
        <w:rPr>
          <w:rFonts w:ascii="Arial" w:hAnsi="Arial" w:cs="Arial"/>
          <w:shd w:val="clear" w:color="auto" w:fill="FFFFFF"/>
        </w:rPr>
        <w:t xml:space="preserve">Vygotsky, L.S. and Cole, M., </w:t>
      </w:r>
      <w:r w:rsidR="004B68EE">
        <w:rPr>
          <w:rFonts w:ascii="Arial" w:hAnsi="Arial" w:cs="Arial"/>
          <w:shd w:val="clear" w:color="auto" w:fill="FFFFFF"/>
        </w:rPr>
        <w:t>(</w:t>
      </w:r>
      <w:r w:rsidRPr="00286AE7">
        <w:rPr>
          <w:rFonts w:ascii="Arial" w:hAnsi="Arial" w:cs="Arial"/>
          <w:shd w:val="clear" w:color="auto" w:fill="FFFFFF"/>
        </w:rPr>
        <w:t>1978</w:t>
      </w:r>
      <w:r w:rsidR="004B68EE">
        <w:rPr>
          <w:rFonts w:ascii="Arial" w:hAnsi="Arial" w:cs="Arial"/>
          <w:shd w:val="clear" w:color="auto" w:fill="FFFFFF"/>
        </w:rPr>
        <w:t>)</w:t>
      </w:r>
      <w:r w:rsidRPr="00286AE7">
        <w:rPr>
          <w:rFonts w:ascii="Arial" w:hAnsi="Arial" w:cs="Arial"/>
          <w:shd w:val="clear" w:color="auto" w:fill="FFFFFF"/>
        </w:rPr>
        <w:t>. </w:t>
      </w:r>
      <w:r w:rsidRPr="00286AE7">
        <w:rPr>
          <w:rFonts w:ascii="Arial" w:hAnsi="Arial" w:cs="Arial"/>
          <w:i/>
          <w:iCs/>
          <w:shd w:val="clear" w:color="auto" w:fill="FFFFFF"/>
        </w:rPr>
        <w:t>Mind in society: Development of higher psychological processes</w:t>
      </w:r>
      <w:r w:rsidRPr="00286AE7">
        <w:rPr>
          <w:rFonts w:ascii="Arial" w:hAnsi="Arial" w:cs="Arial"/>
          <w:shd w:val="clear" w:color="auto" w:fill="FFFFFF"/>
        </w:rPr>
        <w:t>. Harvard university press.</w:t>
      </w:r>
    </w:p>
    <w:p w14:paraId="183355BD" w14:textId="77777777" w:rsidR="004B68EE" w:rsidRPr="00286AE7" w:rsidRDefault="004B68EE" w:rsidP="00DB2225">
      <w:pPr>
        <w:spacing w:line="257" w:lineRule="auto"/>
        <w:rPr>
          <w:rFonts w:ascii="Arial" w:hAnsi="Arial" w:cs="Arial"/>
        </w:rPr>
      </w:pPr>
    </w:p>
    <w:p w14:paraId="61F93E45" w14:textId="40F7CCA0" w:rsidR="00E002EB" w:rsidRDefault="00E002EB" w:rsidP="00DB2225">
      <w:pPr>
        <w:spacing w:line="257" w:lineRule="auto"/>
        <w:rPr>
          <w:rFonts w:ascii="Arial" w:hAnsi="Arial" w:cs="Arial"/>
        </w:rPr>
      </w:pPr>
      <w:r w:rsidRPr="00286AE7">
        <w:rPr>
          <w:rFonts w:ascii="Arial" w:hAnsi="Arial" w:cs="Arial"/>
        </w:rPr>
        <w:lastRenderedPageBreak/>
        <w:t xml:space="preserve">Welsh Government (2008) </w:t>
      </w:r>
      <w:r w:rsidRPr="00286AE7">
        <w:rPr>
          <w:rFonts w:ascii="Arial" w:hAnsi="Arial" w:cs="Arial"/>
          <w:i/>
        </w:rPr>
        <w:t>Meeting the Challenge Quality Standards in Education for More Able and Talented Pupils</w:t>
      </w:r>
      <w:r w:rsidRPr="00286AE7">
        <w:rPr>
          <w:rFonts w:ascii="Arial" w:hAnsi="Arial" w:cs="Arial"/>
        </w:rPr>
        <w:t>. Cardiff. Welsh Government.</w:t>
      </w:r>
    </w:p>
    <w:p w14:paraId="046CF899" w14:textId="77777777" w:rsidR="004B68EE" w:rsidRPr="00286AE7" w:rsidRDefault="004B68EE" w:rsidP="00DB2225">
      <w:pPr>
        <w:spacing w:line="257" w:lineRule="auto"/>
        <w:rPr>
          <w:rFonts w:ascii="Arial" w:hAnsi="Arial" w:cs="Arial"/>
        </w:rPr>
      </w:pPr>
    </w:p>
    <w:p w14:paraId="709EF8CE" w14:textId="328E7E52" w:rsidR="00812830" w:rsidRDefault="00812830" w:rsidP="00DB2225">
      <w:pPr>
        <w:spacing w:line="257" w:lineRule="auto"/>
        <w:rPr>
          <w:rFonts w:ascii="Arial" w:hAnsi="Arial" w:cs="Arial"/>
        </w:rPr>
      </w:pPr>
      <w:r w:rsidRPr="00286AE7">
        <w:rPr>
          <w:rFonts w:ascii="Arial" w:hAnsi="Arial" w:cs="Arial"/>
        </w:rPr>
        <w:t xml:space="preserve">Welsh Government (2010) </w:t>
      </w:r>
      <w:r w:rsidRPr="00286AE7">
        <w:rPr>
          <w:rFonts w:ascii="Arial" w:hAnsi="Arial" w:cs="Arial"/>
          <w:i/>
        </w:rPr>
        <w:t>Thinking positively Emotional health and well-being in schools and Early Years settings.</w:t>
      </w:r>
      <w:r w:rsidRPr="00286AE7">
        <w:rPr>
          <w:rFonts w:ascii="Arial" w:hAnsi="Arial" w:cs="Arial"/>
        </w:rPr>
        <w:t xml:space="preserve"> Cardiff. Welsh Government.</w:t>
      </w:r>
    </w:p>
    <w:p w14:paraId="6389BD40" w14:textId="77777777" w:rsidR="004B68EE" w:rsidRPr="00286AE7" w:rsidRDefault="004B68EE" w:rsidP="00DB2225">
      <w:pPr>
        <w:spacing w:line="257" w:lineRule="auto"/>
        <w:rPr>
          <w:rFonts w:ascii="Arial" w:eastAsiaTheme="minorEastAsia" w:hAnsi="Arial" w:cs="Arial"/>
        </w:rPr>
      </w:pPr>
    </w:p>
    <w:p w14:paraId="362E3EE1" w14:textId="6DCCDAE4" w:rsidR="004B68EE" w:rsidRDefault="00857DDE" w:rsidP="00857DDE">
      <w:pPr>
        <w:spacing w:line="360" w:lineRule="auto"/>
        <w:rPr>
          <w:rFonts w:ascii="Arial" w:hAnsi="Arial" w:cs="Arial"/>
        </w:rPr>
      </w:pPr>
      <w:r w:rsidRPr="00286AE7">
        <w:rPr>
          <w:rFonts w:ascii="Arial" w:hAnsi="Arial" w:cs="Arial"/>
        </w:rPr>
        <w:t xml:space="preserve">Welsh Government (2014). </w:t>
      </w:r>
      <w:r w:rsidRPr="00286AE7">
        <w:rPr>
          <w:rFonts w:ascii="Arial" w:hAnsi="Arial" w:cs="Arial"/>
          <w:i/>
        </w:rPr>
        <w:t>School Development Plans.</w:t>
      </w:r>
      <w:r w:rsidRPr="00286AE7">
        <w:rPr>
          <w:rFonts w:ascii="Arial" w:hAnsi="Arial" w:cs="Arial"/>
        </w:rPr>
        <w:t xml:space="preserve"> Accessed at </w:t>
      </w:r>
      <w:hyperlink r:id="rId12" w:history="1">
        <w:r w:rsidRPr="00286AE7">
          <w:rPr>
            <w:rStyle w:val="Hyperlink"/>
            <w:rFonts w:ascii="Arial" w:hAnsi="Arial" w:cs="Arial"/>
            <w:color w:val="auto"/>
          </w:rPr>
          <w:t>https://www.gov.wales/sites/default/files/publications/2018-03/school-development-plans.pdf</w:t>
        </w:r>
      </w:hyperlink>
      <w:r w:rsidRPr="00286AE7">
        <w:rPr>
          <w:rFonts w:ascii="Arial" w:hAnsi="Arial" w:cs="Arial"/>
        </w:rPr>
        <w:t xml:space="preserve">  on 18/04/2023.</w:t>
      </w:r>
    </w:p>
    <w:p w14:paraId="1402B197" w14:textId="77777777" w:rsidR="00D33DCB" w:rsidRPr="00286AE7" w:rsidRDefault="00D33DCB" w:rsidP="00857DDE">
      <w:pPr>
        <w:spacing w:line="360" w:lineRule="auto"/>
        <w:rPr>
          <w:rFonts w:ascii="Arial" w:hAnsi="Arial" w:cs="Arial"/>
        </w:rPr>
      </w:pPr>
    </w:p>
    <w:p w14:paraId="3E03BCE5" w14:textId="29B0658E" w:rsidR="006D702D" w:rsidRDefault="006D702D" w:rsidP="006D702D">
      <w:pPr>
        <w:pStyle w:val="CommentText"/>
        <w:rPr>
          <w:rFonts w:ascii="Arial" w:hAnsi="Arial" w:cs="Arial"/>
          <w:sz w:val="22"/>
          <w:szCs w:val="22"/>
        </w:rPr>
      </w:pPr>
      <w:r w:rsidRPr="00286AE7">
        <w:rPr>
          <w:rFonts w:ascii="Arial" w:hAnsi="Arial" w:cs="Arial"/>
          <w:sz w:val="22"/>
          <w:szCs w:val="22"/>
        </w:rPr>
        <w:t xml:space="preserve">Welsh Government (2014) </w:t>
      </w:r>
      <w:r w:rsidRPr="00286AE7">
        <w:rPr>
          <w:rFonts w:ascii="Arial" w:hAnsi="Arial" w:cs="Arial"/>
          <w:i/>
          <w:sz w:val="22"/>
          <w:szCs w:val="22"/>
        </w:rPr>
        <w:t>School development plans.</w:t>
      </w:r>
      <w:r w:rsidRPr="00286AE7">
        <w:rPr>
          <w:rFonts w:ascii="Arial" w:hAnsi="Arial" w:cs="Arial"/>
          <w:sz w:val="22"/>
          <w:szCs w:val="22"/>
        </w:rPr>
        <w:t xml:space="preserve"> Cardiff. Welsh Government.</w:t>
      </w:r>
    </w:p>
    <w:p w14:paraId="272F1688" w14:textId="77777777" w:rsidR="004B68EE" w:rsidRPr="00286AE7" w:rsidRDefault="004B68EE" w:rsidP="006D702D">
      <w:pPr>
        <w:pStyle w:val="CommentText"/>
        <w:rPr>
          <w:rFonts w:ascii="Arial" w:hAnsi="Arial" w:cs="Arial"/>
          <w:sz w:val="22"/>
          <w:szCs w:val="22"/>
        </w:rPr>
      </w:pPr>
    </w:p>
    <w:p w14:paraId="235A1037" w14:textId="77777777" w:rsidR="006D702D" w:rsidRDefault="006D702D" w:rsidP="006D702D">
      <w:pPr>
        <w:pStyle w:val="CommentText"/>
        <w:rPr>
          <w:rFonts w:ascii="Arial" w:hAnsi="Arial" w:cs="Arial"/>
          <w:sz w:val="22"/>
          <w:szCs w:val="22"/>
        </w:rPr>
      </w:pPr>
      <w:r w:rsidRPr="00286AE7">
        <w:rPr>
          <w:rFonts w:ascii="Arial" w:hAnsi="Arial" w:cs="Arial"/>
          <w:sz w:val="22"/>
          <w:szCs w:val="22"/>
        </w:rPr>
        <w:t xml:space="preserve">Welsh Government (2019) </w:t>
      </w:r>
      <w:r w:rsidRPr="004B68EE">
        <w:rPr>
          <w:rFonts w:ascii="Arial" w:hAnsi="Arial" w:cs="Arial"/>
          <w:i/>
          <w:sz w:val="22"/>
          <w:szCs w:val="22"/>
        </w:rPr>
        <w:t>School target-setting regulations: statutory requirements and changes</w:t>
      </w:r>
      <w:r w:rsidRPr="00286AE7">
        <w:rPr>
          <w:rFonts w:ascii="Arial" w:hAnsi="Arial" w:cs="Arial"/>
          <w:sz w:val="22"/>
          <w:szCs w:val="22"/>
        </w:rPr>
        <w:t>. Cardiff. Welsh Government.</w:t>
      </w:r>
    </w:p>
    <w:p w14:paraId="54801C3F" w14:textId="77777777" w:rsidR="004B68EE" w:rsidRPr="00D33DCB" w:rsidRDefault="004B68EE" w:rsidP="006D702D">
      <w:pPr>
        <w:pStyle w:val="CommentText"/>
        <w:rPr>
          <w:rFonts w:ascii="Arial" w:hAnsi="Arial" w:cs="Arial"/>
          <w:bCs/>
          <w:sz w:val="22"/>
          <w:szCs w:val="22"/>
        </w:rPr>
      </w:pPr>
    </w:p>
    <w:p w14:paraId="57604594" w14:textId="2860EBEC" w:rsidR="006D702D" w:rsidRPr="00D33DCB" w:rsidRDefault="00200891" w:rsidP="00200891">
      <w:pPr>
        <w:pStyle w:val="Heading1"/>
        <w:shd w:val="clear" w:color="auto" w:fill="FFFFFF"/>
        <w:spacing w:before="0"/>
        <w:textAlignment w:val="baseline"/>
        <w:rPr>
          <w:rFonts w:ascii="Arial" w:hAnsi="Arial" w:cs="Arial"/>
          <w:b w:val="0"/>
          <w:color w:val="auto"/>
          <w:sz w:val="22"/>
          <w:szCs w:val="22"/>
        </w:rPr>
      </w:pPr>
      <w:r w:rsidRPr="00D33DCB">
        <w:rPr>
          <w:rFonts w:ascii="Arial" w:hAnsi="Arial" w:cs="Arial"/>
          <w:b w:val="0"/>
          <w:color w:val="auto"/>
          <w:sz w:val="22"/>
          <w:szCs w:val="22"/>
        </w:rPr>
        <w:t xml:space="preserve">Welsh Government (2022) </w:t>
      </w:r>
      <w:r w:rsidRPr="00D33DCB">
        <w:rPr>
          <w:rFonts w:ascii="Arial" w:hAnsi="Arial" w:cs="Arial"/>
          <w:b w:val="0"/>
          <w:i/>
          <w:color w:val="auto"/>
          <w:spacing w:val="-5"/>
          <w:sz w:val="22"/>
          <w:szCs w:val="22"/>
        </w:rPr>
        <w:t xml:space="preserve">Evaluation and improvement principles  </w:t>
      </w:r>
      <w:r w:rsidRPr="00D33DCB">
        <w:rPr>
          <w:rFonts w:ascii="Arial" w:hAnsi="Arial" w:cs="Arial"/>
          <w:b w:val="0"/>
          <w:color w:val="auto"/>
          <w:sz w:val="22"/>
          <w:szCs w:val="22"/>
        </w:rPr>
        <w:t xml:space="preserve">accessed at </w:t>
      </w:r>
      <w:hyperlink r:id="rId13" w:history="1">
        <w:r w:rsidRPr="00D33DCB">
          <w:rPr>
            <w:rStyle w:val="Hyperlink"/>
            <w:rFonts w:ascii="Arial" w:hAnsi="Arial" w:cs="Arial"/>
            <w:b w:val="0"/>
            <w:color w:val="auto"/>
            <w:sz w:val="22"/>
            <w:szCs w:val="22"/>
          </w:rPr>
          <w:t>https://hwb.gov.wales/evaluation-improvement-and-accountability/the-national-resource-evaluation-and-improvement/evaluation-and-improvement-principles/</w:t>
        </w:r>
      </w:hyperlink>
      <w:r w:rsidRPr="00D33DCB">
        <w:rPr>
          <w:rFonts w:ascii="Arial" w:hAnsi="Arial" w:cs="Arial"/>
          <w:b w:val="0"/>
          <w:color w:val="auto"/>
          <w:sz w:val="22"/>
          <w:szCs w:val="22"/>
        </w:rPr>
        <w:t xml:space="preserve"> on 2.5.23</w:t>
      </w:r>
    </w:p>
    <w:p w14:paraId="51C8899B" w14:textId="77777777" w:rsidR="004B68EE" w:rsidRPr="004B68EE" w:rsidRDefault="004B68EE" w:rsidP="004B68EE"/>
    <w:p w14:paraId="19C9DFA2" w14:textId="4FF7535C" w:rsidR="006D702D" w:rsidRDefault="006D702D" w:rsidP="006D702D">
      <w:pPr>
        <w:pStyle w:val="CommentText"/>
        <w:rPr>
          <w:rFonts w:ascii="Arial" w:hAnsi="Arial" w:cs="Arial"/>
          <w:i/>
          <w:sz w:val="22"/>
          <w:szCs w:val="22"/>
        </w:rPr>
      </w:pPr>
      <w:r w:rsidRPr="00286AE7">
        <w:rPr>
          <w:rFonts w:ascii="Arial" w:hAnsi="Arial" w:cs="Arial"/>
          <w:sz w:val="22"/>
          <w:szCs w:val="22"/>
        </w:rPr>
        <w:t xml:space="preserve">York, T.T., Gibson, C. and Rankin, S., </w:t>
      </w:r>
      <w:r w:rsidR="004B68EE">
        <w:rPr>
          <w:rFonts w:ascii="Arial" w:hAnsi="Arial" w:cs="Arial"/>
          <w:sz w:val="22"/>
          <w:szCs w:val="22"/>
        </w:rPr>
        <w:t>(</w:t>
      </w:r>
      <w:r w:rsidRPr="00286AE7">
        <w:rPr>
          <w:rFonts w:ascii="Arial" w:hAnsi="Arial" w:cs="Arial"/>
          <w:sz w:val="22"/>
          <w:szCs w:val="22"/>
        </w:rPr>
        <w:t>2015</w:t>
      </w:r>
      <w:r w:rsidR="004B68EE">
        <w:rPr>
          <w:rFonts w:ascii="Arial" w:hAnsi="Arial" w:cs="Arial"/>
          <w:sz w:val="22"/>
          <w:szCs w:val="22"/>
        </w:rPr>
        <w:t>)</w:t>
      </w:r>
      <w:r w:rsidRPr="00286AE7">
        <w:rPr>
          <w:rFonts w:ascii="Arial" w:hAnsi="Arial" w:cs="Arial"/>
          <w:sz w:val="22"/>
          <w:szCs w:val="22"/>
        </w:rPr>
        <w:t xml:space="preserve">. Defining and measuring academic success. </w:t>
      </w:r>
      <w:r w:rsidRPr="004B68EE">
        <w:rPr>
          <w:rFonts w:ascii="Arial" w:hAnsi="Arial" w:cs="Arial"/>
          <w:i/>
          <w:sz w:val="22"/>
          <w:szCs w:val="22"/>
        </w:rPr>
        <w:t>Practical assessment, research, and evaluation, 20(1), p.5.</w:t>
      </w:r>
    </w:p>
    <w:p w14:paraId="5E45D054" w14:textId="77777777" w:rsidR="004B68EE" w:rsidRPr="004B68EE" w:rsidRDefault="004B68EE" w:rsidP="006D702D">
      <w:pPr>
        <w:pStyle w:val="CommentText"/>
        <w:rPr>
          <w:rFonts w:ascii="Arial" w:hAnsi="Arial" w:cs="Arial"/>
          <w:i/>
          <w:sz w:val="22"/>
          <w:szCs w:val="22"/>
        </w:rPr>
      </w:pPr>
    </w:p>
    <w:p w14:paraId="3F4A88EA" w14:textId="7C38539F" w:rsidR="006D702D" w:rsidRPr="004B68EE" w:rsidRDefault="006D702D" w:rsidP="006D702D">
      <w:pPr>
        <w:pStyle w:val="CommentText"/>
        <w:rPr>
          <w:rFonts w:ascii="Arial" w:hAnsi="Arial" w:cs="Arial"/>
          <w:i/>
          <w:sz w:val="22"/>
          <w:szCs w:val="22"/>
        </w:rPr>
      </w:pPr>
      <w:r w:rsidRPr="00286AE7">
        <w:rPr>
          <w:rFonts w:ascii="Arial" w:hAnsi="Arial" w:cs="Arial"/>
          <w:sz w:val="22"/>
          <w:szCs w:val="22"/>
        </w:rPr>
        <w:t xml:space="preserve">Zohar, A. and </w:t>
      </w:r>
      <w:proofErr w:type="spellStart"/>
      <w:r w:rsidRPr="00286AE7">
        <w:rPr>
          <w:rFonts w:ascii="Arial" w:hAnsi="Arial" w:cs="Arial"/>
          <w:sz w:val="22"/>
          <w:szCs w:val="22"/>
        </w:rPr>
        <w:t>Alboher</w:t>
      </w:r>
      <w:proofErr w:type="spellEnd"/>
      <w:r w:rsidRPr="00286AE7">
        <w:rPr>
          <w:rFonts w:ascii="Arial" w:hAnsi="Arial" w:cs="Arial"/>
          <w:sz w:val="22"/>
          <w:szCs w:val="22"/>
        </w:rPr>
        <w:t xml:space="preserve"> </w:t>
      </w:r>
      <w:proofErr w:type="spellStart"/>
      <w:r w:rsidRPr="00286AE7">
        <w:rPr>
          <w:rFonts w:ascii="Arial" w:hAnsi="Arial" w:cs="Arial"/>
          <w:sz w:val="22"/>
          <w:szCs w:val="22"/>
        </w:rPr>
        <w:t>Agmon</w:t>
      </w:r>
      <w:proofErr w:type="spellEnd"/>
      <w:r w:rsidRPr="00286AE7">
        <w:rPr>
          <w:rFonts w:ascii="Arial" w:hAnsi="Arial" w:cs="Arial"/>
          <w:sz w:val="22"/>
          <w:szCs w:val="22"/>
        </w:rPr>
        <w:t xml:space="preserve">, V., </w:t>
      </w:r>
      <w:r w:rsidR="004B68EE">
        <w:rPr>
          <w:rFonts w:ascii="Arial" w:hAnsi="Arial" w:cs="Arial"/>
          <w:sz w:val="22"/>
          <w:szCs w:val="22"/>
        </w:rPr>
        <w:t>(</w:t>
      </w:r>
      <w:r w:rsidRPr="00286AE7">
        <w:rPr>
          <w:rFonts w:ascii="Arial" w:hAnsi="Arial" w:cs="Arial"/>
          <w:sz w:val="22"/>
          <w:szCs w:val="22"/>
        </w:rPr>
        <w:t>2018</w:t>
      </w:r>
      <w:r w:rsidR="004B68EE">
        <w:rPr>
          <w:rFonts w:ascii="Arial" w:hAnsi="Arial" w:cs="Arial"/>
          <w:sz w:val="22"/>
          <w:szCs w:val="22"/>
        </w:rPr>
        <w:t>)</w:t>
      </w:r>
      <w:r w:rsidRPr="00286AE7">
        <w:rPr>
          <w:rFonts w:ascii="Arial" w:hAnsi="Arial" w:cs="Arial"/>
          <w:sz w:val="22"/>
          <w:szCs w:val="22"/>
        </w:rPr>
        <w:t xml:space="preserve">. Raising test scores vs. teaching higher order thinking (HOT): senior science teachers’ views on how several concurrent policies affect classroom practices. </w:t>
      </w:r>
      <w:r w:rsidRPr="004B68EE">
        <w:rPr>
          <w:rFonts w:ascii="Arial" w:hAnsi="Arial" w:cs="Arial"/>
          <w:i/>
          <w:sz w:val="22"/>
          <w:szCs w:val="22"/>
        </w:rPr>
        <w:t>Research in Science &amp; Technological Education, 36(2), pp.243-260.</w:t>
      </w:r>
    </w:p>
    <w:p w14:paraId="6E3F9F29" w14:textId="77777777" w:rsidR="006D702D" w:rsidRPr="00286AE7" w:rsidRDefault="006D702D" w:rsidP="006D702D">
      <w:pPr>
        <w:pStyle w:val="CommentText"/>
        <w:rPr>
          <w:rFonts w:ascii="Arial" w:hAnsi="Arial" w:cs="Arial"/>
          <w:sz w:val="22"/>
          <w:szCs w:val="22"/>
        </w:rPr>
      </w:pPr>
    </w:p>
    <w:p w14:paraId="4A7237F2" w14:textId="77777777" w:rsidR="006E1DAA" w:rsidRPr="00286AE7" w:rsidRDefault="006E1DAA" w:rsidP="00857DDE">
      <w:pPr>
        <w:spacing w:line="360" w:lineRule="auto"/>
        <w:rPr>
          <w:rFonts w:ascii="Arial" w:hAnsi="Arial" w:cs="Arial"/>
        </w:rPr>
      </w:pPr>
    </w:p>
    <w:p w14:paraId="31BF5E2B" w14:textId="77777777" w:rsidR="00857DDE" w:rsidRPr="00286AE7" w:rsidRDefault="00857DDE" w:rsidP="00DB2225">
      <w:pPr>
        <w:spacing w:line="257" w:lineRule="auto"/>
        <w:rPr>
          <w:rFonts w:ascii="Arial" w:eastAsiaTheme="minorEastAsia" w:hAnsi="Arial" w:cs="Arial"/>
        </w:rPr>
      </w:pPr>
    </w:p>
    <w:p w14:paraId="787A7CDC" w14:textId="77777777" w:rsidR="00DB2225" w:rsidRDefault="00DB2225" w:rsidP="00DB2225">
      <w:pPr>
        <w:rPr>
          <w:rFonts w:ascii="Arial" w:eastAsiaTheme="minorEastAsia" w:hAnsi="Arial" w:cs="Arial"/>
        </w:rPr>
      </w:pPr>
    </w:p>
    <w:p w14:paraId="17ECE756" w14:textId="77777777" w:rsidR="004B68EE" w:rsidRDefault="004B68EE" w:rsidP="00DB2225">
      <w:pPr>
        <w:rPr>
          <w:rFonts w:ascii="Arial" w:eastAsiaTheme="minorEastAsia" w:hAnsi="Arial" w:cs="Arial"/>
        </w:rPr>
      </w:pPr>
    </w:p>
    <w:p w14:paraId="7673895C" w14:textId="77777777" w:rsidR="004B68EE" w:rsidRDefault="004B68EE" w:rsidP="00DB2225">
      <w:pPr>
        <w:rPr>
          <w:rFonts w:ascii="Arial" w:eastAsiaTheme="minorEastAsia" w:hAnsi="Arial" w:cs="Arial"/>
        </w:rPr>
      </w:pPr>
    </w:p>
    <w:p w14:paraId="49697453" w14:textId="77777777" w:rsidR="004B68EE" w:rsidRPr="00286AE7" w:rsidRDefault="004B68EE" w:rsidP="00DB2225">
      <w:pPr>
        <w:rPr>
          <w:rFonts w:ascii="Arial" w:eastAsiaTheme="minorEastAsia" w:hAnsi="Arial" w:cs="Arial"/>
        </w:rPr>
      </w:pPr>
    </w:p>
    <w:p w14:paraId="55E1C2BC" w14:textId="77777777" w:rsidR="00DB2225" w:rsidRDefault="00DB2225" w:rsidP="006F47A5">
      <w:pPr>
        <w:spacing w:line="360" w:lineRule="auto"/>
        <w:rPr>
          <w:rFonts w:ascii="Arial" w:hAnsi="Arial" w:cs="Arial"/>
        </w:rPr>
      </w:pPr>
    </w:p>
    <w:p w14:paraId="7C2C4C71" w14:textId="77777777" w:rsidR="00D33DCB" w:rsidRDefault="00D33DCB" w:rsidP="006F47A5">
      <w:pPr>
        <w:spacing w:line="360" w:lineRule="auto"/>
        <w:rPr>
          <w:rFonts w:ascii="Arial" w:hAnsi="Arial" w:cs="Arial"/>
        </w:rPr>
      </w:pPr>
    </w:p>
    <w:p w14:paraId="4EB2BE95" w14:textId="77777777" w:rsidR="00D33DCB" w:rsidRDefault="00D33DCB" w:rsidP="006F47A5">
      <w:pPr>
        <w:spacing w:line="360" w:lineRule="auto"/>
        <w:rPr>
          <w:rFonts w:ascii="Arial" w:hAnsi="Arial" w:cs="Arial"/>
        </w:rPr>
      </w:pPr>
    </w:p>
    <w:p w14:paraId="32A35E80" w14:textId="77777777" w:rsidR="00D33DCB" w:rsidRDefault="00D33DCB" w:rsidP="006F47A5">
      <w:pPr>
        <w:spacing w:line="360" w:lineRule="auto"/>
        <w:rPr>
          <w:rFonts w:ascii="Arial" w:hAnsi="Arial" w:cs="Arial"/>
        </w:rPr>
      </w:pPr>
    </w:p>
    <w:p w14:paraId="34645623" w14:textId="77777777" w:rsidR="00D33DCB" w:rsidRDefault="00D33DCB" w:rsidP="006F47A5">
      <w:pPr>
        <w:spacing w:line="360" w:lineRule="auto"/>
        <w:rPr>
          <w:rFonts w:ascii="Arial" w:hAnsi="Arial" w:cs="Arial"/>
        </w:rPr>
      </w:pPr>
    </w:p>
    <w:p w14:paraId="7E42D182" w14:textId="77777777" w:rsidR="00D33DCB" w:rsidRPr="00286AE7" w:rsidRDefault="00D33DCB" w:rsidP="006F47A5">
      <w:pPr>
        <w:spacing w:line="360" w:lineRule="auto"/>
        <w:rPr>
          <w:rFonts w:ascii="Arial" w:hAnsi="Arial" w:cs="Arial"/>
        </w:rPr>
      </w:pPr>
    </w:p>
    <w:p w14:paraId="42AAF438" w14:textId="28B7D1C9" w:rsidR="00DB2225" w:rsidRPr="00286AE7" w:rsidRDefault="00DB2225" w:rsidP="006F47A5">
      <w:pPr>
        <w:spacing w:line="360" w:lineRule="auto"/>
        <w:rPr>
          <w:rFonts w:ascii="Arial" w:hAnsi="Arial" w:cs="Arial"/>
          <w:b/>
          <w:bCs/>
        </w:rPr>
      </w:pPr>
      <w:r w:rsidRPr="00286AE7">
        <w:rPr>
          <w:rFonts w:ascii="Arial" w:hAnsi="Arial" w:cs="Arial"/>
          <w:b/>
          <w:bCs/>
        </w:rPr>
        <w:lastRenderedPageBreak/>
        <w:t>APPENDICES</w:t>
      </w:r>
    </w:p>
    <w:p w14:paraId="18ADD1BE" w14:textId="6B4C58B0" w:rsidR="00DB2225" w:rsidRPr="00286AE7" w:rsidRDefault="00DB2225" w:rsidP="006F47A5">
      <w:pPr>
        <w:spacing w:line="360" w:lineRule="auto"/>
        <w:rPr>
          <w:rFonts w:ascii="Arial" w:hAnsi="Arial" w:cs="Arial"/>
          <w:b/>
          <w:bCs/>
        </w:rPr>
      </w:pPr>
      <w:r w:rsidRPr="00286AE7">
        <w:rPr>
          <w:rFonts w:ascii="Arial" w:hAnsi="Arial" w:cs="Arial"/>
          <w:b/>
          <w:bCs/>
        </w:rPr>
        <w:t>Appendix 1: An extract from School X’s Art Departmental Development Plan.</w:t>
      </w:r>
    </w:p>
    <w:p w14:paraId="252FD3E4" w14:textId="612FB2EF" w:rsidR="00DB2225" w:rsidRPr="00286AE7" w:rsidRDefault="00DB2225" w:rsidP="006F47A5">
      <w:pPr>
        <w:spacing w:line="360" w:lineRule="auto"/>
        <w:rPr>
          <w:rFonts w:ascii="Arial" w:hAnsi="Arial" w:cs="Arial"/>
          <w:b/>
          <w:bCs/>
        </w:rPr>
      </w:pPr>
      <w:r w:rsidRPr="00286AE7">
        <w:rPr>
          <w:rFonts w:ascii="Arial" w:hAnsi="Arial" w:cs="Arial"/>
          <w:b/>
          <w:bCs/>
          <w:noProof/>
          <w:lang w:eastAsia="en-GB"/>
        </w:rPr>
        <w:drawing>
          <wp:inline distT="0" distB="0" distL="0" distR="0" wp14:anchorId="7DF061FF" wp14:editId="7FADB3BB">
            <wp:extent cx="6645910" cy="1452880"/>
            <wp:effectExtent l="0" t="0" r="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645910" cy="1452880"/>
                    </a:xfrm>
                    <a:prstGeom prst="rect">
                      <a:avLst/>
                    </a:prstGeom>
                  </pic:spPr>
                </pic:pic>
              </a:graphicData>
            </a:graphic>
          </wp:inline>
        </w:drawing>
      </w:r>
    </w:p>
    <w:p w14:paraId="18372682" w14:textId="77777777" w:rsidR="006F47A5" w:rsidRPr="00286AE7" w:rsidRDefault="006F47A5" w:rsidP="09C78EE9">
      <w:pPr>
        <w:rPr>
          <w:rFonts w:ascii="Arial" w:hAnsi="Arial" w:cs="Arial"/>
          <w:b/>
          <w:bCs/>
        </w:rPr>
      </w:pPr>
    </w:p>
    <w:sectPr w:rsidR="006F47A5" w:rsidRPr="00286AE7">
      <w:pgSz w:w="11906" w:h="1683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52E32"/>
    <w:multiLevelType w:val="hybridMultilevel"/>
    <w:tmpl w:val="0302DD5C"/>
    <w:lvl w:ilvl="0" w:tplc="C9CE7612">
      <w:start w:val="1"/>
      <w:numFmt w:val="bullet"/>
      <w:lvlText w:val="·"/>
      <w:lvlJc w:val="left"/>
      <w:pPr>
        <w:ind w:left="720" w:hanging="360"/>
      </w:pPr>
      <w:rPr>
        <w:rFonts w:ascii="Symbol" w:hAnsi="Symbol" w:hint="default"/>
      </w:rPr>
    </w:lvl>
    <w:lvl w:ilvl="1" w:tplc="351859E0">
      <w:start w:val="1"/>
      <w:numFmt w:val="bullet"/>
      <w:lvlText w:val="o"/>
      <w:lvlJc w:val="left"/>
      <w:pPr>
        <w:ind w:left="1440" w:hanging="360"/>
      </w:pPr>
      <w:rPr>
        <w:rFonts w:ascii="Courier New" w:hAnsi="Courier New" w:hint="default"/>
      </w:rPr>
    </w:lvl>
    <w:lvl w:ilvl="2" w:tplc="655E24A4">
      <w:start w:val="1"/>
      <w:numFmt w:val="bullet"/>
      <w:lvlText w:val=""/>
      <w:lvlJc w:val="left"/>
      <w:pPr>
        <w:ind w:left="2160" w:hanging="360"/>
      </w:pPr>
      <w:rPr>
        <w:rFonts w:ascii="Wingdings" w:hAnsi="Wingdings" w:hint="default"/>
      </w:rPr>
    </w:lvl>
    <w:lvl w:ilvl="3" w:tplc="2F6A4312">
      <w:start w:val="1"/>
      <w:numFmt w:val="bullet"/>
      <w:lvlText w:val=""/>
      <w:lvlJc w:val="left"/>
      <w:pPr>
        <w:ind w:left="2880" w:hanging="360"/>
      </w:pPr>
      <w:rPr>
        <w:rFonts w:ascii="Symbol" w:hAnsi="Symbol" w:hint="default"/>
      </w:rPr>
    </w:lvl>
    <w:lvl w:ilvl="4" w:tplc="5A4446D4">
      <w:start w:val="1"/>
      <w:numFmt w:val="bullet"/>
      <w:lvlText w:val="o"/>
      <w:lvlJc w:val="left"/>
      <w:pPr>
        <w:ind w:left="3600" w:hanging="360"/>
      </w:pPr>
      <w:rPr>
        <w:rFonts w:ascii="Courier New" w:hAnsi="Courier New" w:hint="default"/>
      </w:rPr>
    </w:lvl>
    <w:lvl w:ilvl="5" w:tplc="A374190C">
      <w:start w:val="1"/>
      <w:numFmt w:val="bullet"/>
      <w:lvlText w:val=""/>
      <w:lvlJc w:val="left"/>
      <w:pPr>
        <w:ind w:left="4320" w:hanging="360"/>
      </w:pPr>
      <w:rPr>
        <w:rFonts w:ascii="Wingdings" w:hAnsi="Wingdings" w:hint="default"/>
      </w:rPr>
    </w:lvl>
    <w:lvl w:ilvl="6" w:tplc="6996FED4">
      <w:start w:val="1"/>
      <w:numFmt w:val="bullet"/>
      <w:lvlText w:val=""/>
      <w:lvlJc w:val="left"/>
      <w:pPr>
        <w:ind w:left="5040" w:hanging="360"/>
      </w:pPr>
      <w:rPr>
        <w:rFonts w:ascii="Symbol" w:hAnsi="Symbol" w:hint="default"/>
      </w:rPr>
    </w:lvl>
    <w:lvl w:ilvl="7" w:tplc="D2ACBC5A">
      <w:start w:val="1"/>
      <w:numFmt w:val="bullet"/>
      <w:lvlText w:val="o"/>
      <w:lvlJc w:val="left"/>
      <w:pPr>
        <w:ind w:left="5760" w:hanging="360"/>
      </w:pPr>
      <w:rPr>
        <w:rFonts w:ascii="Courier New" w:hAnsi="Courier New" w:hint="default"/>
      </w:rPr>
    </w:lvl>
    <w:lvl w:ilvl="8" w:tplc="77462802">
      <w:start w:val="1"/>
      <w:numFmt w:val="bullet"/>
      <w:lvlText w:val=""/>
      <w:lvlJc w:val="left"/>
      <w:pPr>
        <w:ind w:left="6480" w:hanging="360"/>
      </w:pPr>
      <w:rPr>
        <w:rFonts w:ascii="Wingdings" w:hAnsi="Wingdings" w:hint="default"/>
      </w:rPr>
    </w:lvl>
  </w:abstractNum>
  <w:abstractNum w:abstractNumId="1" w15:restartNumberingAfterBreak="0">
    <w:nsid w:val="0E2D769D"/>
    <w:multiLevelType w:val="multilevel"/>
    <w:tmpl w:val="5C302A30"/>
    <w:lvl w:ilvl="0">
      <w:start w:val="1"/>
      <w:numFmt w:val="decimal"/>
      <w:lvlText w:val="%1."/>
      <w:lvlJc w:val="left"/>
      <w:pPr>
        <w:tabs>
          <w:tab w:val="num" w:pos="4471"/>
        </w:tabs>
        <w:ind w:left="4471" w:hanging="360"/>
      </w:pPr>
    </w:lvl>
    <w:lvl w:ilvl="1" w:tentative="1">
      <w:start w:val="1"/>
      <w:numFmt w:val="decimal"/>
      <w:lvlText w:val="%2."/>
      <w:lvlJc w:val="left"/>
      <w:pPr>
        <w:tabs>
          <w:tab w:val="num" w:pos="5191"/>
        </w:tabs>
        <w:ind w:left="5191" w:hanging="360"/>
      </w:pPr>
    </w:lvl>
    <w:lvl w:ilvl="2" w:tentative="1">
      <w:start w:val="1"/>
      <w:numFmt w:val="decimal"/>
      <w:lvlText w:val="%3."/>
      <w:lvlJc w:val="left"/>
      <w:pPr>
        <w:tabs>
          <w:tab w:val="num" w:pos="5911"/>
        </w:tabs>
        <w:ind w:left="5911" w:hanging="360"/>
      </w:pPr>
    </w:lvl>
    <w:lvl w:ilvl="3" w:tentative="1">
      <w:start w:val="1"/>
      <w:numFmt w:val="decimal"/>
      <w:lvlText w:val="%4."/>
      <w:lvlJc w:val="left"/>
      <w:pPr>
        <w:tabs>
          <w:tab w:val="num" w:pos="6631"/>
        </w:tabs>
        <w:ind w:left="6631" w:hanging="360"/>
      </w:pPr>
    </w:lvl>
    <w:lvl w:ilvl="4" w:tentative="1">
      <w:start w:val="1"/>
      <w:numFmt w:val="decimal"/>
      <w:lvlText w:val="%5."/>
      <w:lvlJc w:val="left"/>
      <w:pPr>
        <w:tabs>
          <w:tab w:val="num" w:pos="7351"/>
        </w:tabs>
        <w:ind w:left="7351" w:hanging="360"/>
      </w:pPr>
    </w:lvl>
    <w:lvl w:ilvl="5" w:tentative="1">
      <w:start w:val="1"/>
      <w:numFmt w:val="decimal"/>
      <w:lvlText w:val="%6."/>
      <w:lvlJc w:val="left"/>
      <w:pPr>
        <w:tabs>
          <w:tab w:val="num" w:pos="8071"/>
        </w:tabs>
        <w:ind w:left="8071" w:hanging="360"/>
      </w:pPr>
    </w:lvl>
    <w:lvl w:ilvl="6" w:tentative="1">
      <w:start w:val="1"/>
      <w:numFmt w:val="decimal"/>
      <w:lvlText w:val="%7."/>
      <w:lvlJc w:val="left"/>
      <w:pPr>
        <w:tabs>
          <w:tab w:val="num" w:pos="8791"/>
        </w:tabs>
        <w:ind w:left="8791" w:hanging="360"/>
      </w:pPr>
    </w:lvl>
    <w:lvl w:ilvl="7" w:tentative="1">
      <w:start w:val="1"/>
      <w:numFmt w:val="decimal"/>
      <w:lvlText w:val="%8."/>
      <w:lvlJc w:val="left"/>
      <w:pPr>
        <w:tabs>
          <w:tab w:val="num" w:pos="9511"/>
        </w:tabs>
        <w:ind w:left="9511" w:hanging="360"/>
      </w:pPr>
    </w:lvl>
    <w:lvl w:ilvl="8" w:tentative="1">
      <w:start w:val="1"/>
      <w:numFmt w:val="decimal"/>
      <w:lvlText w:val="%9."/>
      <w:lvlJc w:val="left"/>
      <w:pPr>
        <w:tabs>
          <w:tab w:val="num" w:pos="10231"/>
        </w:tabs>
        <w:ind w:left="10231" w:hanging="360"/>
      </w:pPr>
    </w:lvl>
  </w:abstractNum>
  <w:abstractNum w:abstractNumId="2" w15:restartNumberingAfterBreak="0">
    <w:nsid w:val="34874DC2"/>
    <w:multiLevelType w:val="multilevel"/>
    <w:tmpl w:val="B05C6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8DC6E83"/>
    <w:multiLevelType w:val="multilevel"/>
    <w:tmpl w:val="22F44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E223A4"/>
    <w:multiLevelType w:val="multilevel"/>
    <w:tmpl w:val="F9EC9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B947E89"/>
    <w:multiLevelType w:val="multilevel"/>
    <w:tmpl w:val="22F44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233012E"/>
    <w:multiLevelType w:val="multilevel"/>
    <w:tmpl w:val="E3D4E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BCBA58F"/>
    <w:multiLevelType w:val="hybridMultilevel"/>
    <w:tmpl w:val="B7EEB4CA"/>
    <w:lvl w:ilvl="0" w:tplc="3150477A">
      <w:start w:val="1"/>
      <w:numFmt w:val="bullet"/>
      <w:lvlText w:val="·"/>
      <w:lvlJc w:val="left"/>
      <w:pPr>
        <w:ind w:left="720" w:hanging="360"/>
      </w:pPr>
      <w:rPr>
        <w:rFonts w:ascii="Symbol" w:hAnsi="Symbol" w:hint="default"/>
      </w:rPr>
    </w:lvl>
    <w:lvl w:ilvl="1" w:tplc="611A8DDA">
      <w:start w:val="1"/>
      <w:numFmt w:val="bullet"/>
      <w:lvlText w:val="o"/>
      <w:lvlJc w:val="left"/>
      <w:pPr>
        <w:ind w:left="1440" w:hanging="360"/>
      </w:pPr>
      <w:rPr>
        <w:rFonts w:ascii="Courier New" w:hAnsi="Courier New" w:hint="default"/>
      </w:rPr>
    </w:lvl>
    <w:lvl w:ilvl="2" w:tplc="6A9C460A">
      <w:start w:val="1"/>
      <w:numFmt w:val="bullet"/>
      <w:lvlText w:val=""/>
      <w:lvlJc w:val="left"/>
      <w:pPr>
        <w:ind w:left="2160" w:hanging="360"/>
      </w:pPr>
      <w:rPr>
        <w:rFonts w:ascii="Wingdings" w:hAnsi="Wingdings" w:hint="default"/>
      </w:rPr>
    </w:lvl>
    <w:lvl w:ilvl="3" w:tplc="82AED4A2">
      <w:start w:val="1"/>
      <w:numFmt w:val="bullet"/>
      <w:lvlText w:val=""/>
      <w:lvlJc w:val="left"/>
      <w:pPr>
        <w:ind w:left="2880" w:hanging="360"/>
      </w:pPr>
      <w:rPr>
        <w:rFonts w:ascii="Symbol" w:hAnsi="Symbol" w:hint="default"/>
      </w:rPr>
    </w:lvl>
    <w:lvl w:ilvl="4" w:tplc="EB6297D0">
      <w:start w:val="1"/>
      <w:numFmt w:val="bullet"/>
      <w:lvlText w:val="o"/>
      <w:lvlJc w:val="left"/>
      <w:pPr>
        <w:ind w:left="3600" w:hanging="360"/>
      </w:pPr>
      <w:rPr>
        <w:rFonts w:ascii="Courier New" w:hAnsi="Courier New" w:hint="default"/>
      </w:rPr>
    </w:lvl>
    <w:lvl w:ilvl="5" w:tplc="807A6D9E">
      <w:start w:val="1"/>
      <w:numFmt w:val="bullet"/>
      <w:lvlText w:val=""/>
      <w:lvlJc w:val="left"/>
      <w:pPr>
        <w:ind w:left="4320" w:hanging="360"/>
      </w:pPr>
      <w:rPr>
        <w:rFonts w:ascii="Wingdings" w:hAnsi="Wingdings" w:hint="default"/>
      </w:rPr>
    </w:lvl>
    <w:lvl w:ilvl="6" w:tplc="A0B60266">
      <w:start w:val="1"/>
      <w:numFmt w:val="bullet"/>
      <w:lvlText w:val=""/>
      <w:lvlJc w:val="left"/>
      <w:pPr>
        <w:ind w:left="5040" w:hanging="360"/>
      </w:pPr>
      <w:rPr>
        <w:rFonts w:ascii="Symbol" w:hAnsi="Symbol" w:hint="default"/>
      </w:rPr>
    </w:lvl>
    <w:lvl w:ilvl="7" w:tplc="3EFCAAE8">
      <w:start w:val="1"/>
      <w:numFmt w:val="bullet"/>
      <w:lvlText w:val="o"/>
      <w:lvlJc w:val="left"/>
      <w:pPr>
        <w:ind w:left="5760" w:hanging="360"/>
      </w:pPr>
      <w:rPr>
        <w:rFonts w:ascii="Courier New" w:hAnsi="Courier New" w:hint="default"/>
      </w:rPr>
    </w:lvl>
    <w:lvl w:ilvl="8" w:tplc="3314D194">
      <w:start w:val="1"/>
      <w:numFmt w:val="bullet"/>
      <w:lvlText w:val=""/>
      <w:lvlJc w:val="left"/>
      <w:pPr>
        <w:ind w:left="6480" w:hanging="360"/>
      </w:pPr>
      <w:rPr>
        <w:rFonts w:ascii="Wingdings" w:hAnsi="Wingdings" w:hint="default"/>
      </w:rPr>
    </w:lvl>
  </w:abstractNum>
  <w:abstractNum w:abstractNumId="8" w15:restartNumberingAfterBreak="0">
    <w:nsid w:val="738E6B55"/>
    <w:multiLevelType w:val="hybridMultilevel"/>
    <w:tmpl w:val="E826A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B8A543"/>
    <w:multiLevelType w:val="hybridMultilevel"/>
    <w:tmpl w:val="32CC1D38"/>
    <w:lvl w:ilvl="0" w:tplc="36302C6E">
      <w:start w:val="1"/>
      <w:numFmt w:val="bullet"/>
      <w:lvlText w:val="·"/>
      <w:lvlJc w:val="left"/>
      <w:pPr>
        <w:ind w:left="720" w:hanging="360"/>
      </w:pPr>
      <w:rPr>
        <w:rFonts w:ascii="Symbol" w:hAnsi="Symbol" w:hint="default"/>
      </w:rPr>
    </w:lvl>
    <w:lvl w:ilvl="1" w:tplc="CBCC0402">
      <w:start w:val="1"/>
      <w:numFmt w:val="bullet"/>
      <w:lvlText w:val="o"/>
      <w:lvlJc w:val="left"/>
      <w:pPr>
        <w:ind w:left="1440" w:hanging="360"/>
      </w:pPr>
      <w:rPr>
        <w:rFonts w:ascii="Courier New" w:hAnsi="Courier New" w:hint="default"/>
      </w:rPr>
    </w:lvl>
    <w:lvl w:ilvl="2" w:tplc="0876D4F8">
      <w:start w:val="1"/>
      <w:numFmt w:val="bullet"/>
      <w:lvlText w:val=""/>
      <w:lvlJc w:val="left"/>
      <w:pPr>
        <w:ind w:left="2160" w:hanging="360"/>
      </w:pPr>
      <w:rPr>
        <w:rFonts w:ascii="Wingdings" w:hAnsi="Wingdings" w:hint="default"/>
      </w:rPr>
    </w:lvl>
    <w:lvl w:ilvl="3" w:tplc="C30A0B4E">
      <w:start w:val="1"/>
      <w:numFmt w:val="bullet"/>
      <w:lvlText w:val=""/>
      <w:lvlJc w:val="left"/>
      <w:pPr>
        <w:ind w:left="2880" w:hanging="360"/>
      </w:pPr>
      <w:rPr>
        <w:rFonts w:ascii="Symbol" w:hAnsi="Symbol" w:hint="default"/>
      </w:rPr>
    </w:lvl>
    <w:lvl w:ilvl="4" w:tplc="11649136">
      <w:start w:val="1"/>
      <w:numFmt w:val="bullet"/>
      <w:lvlText w:val="o"/>
      <w:lvlJc w:val="left"/>
      <w:pPr>
        <w:ind w:left="3600" w:hanging="360"/>
      </w:pPr>
      <w:rPr>
        <w:rFonts w:ascii="Courier New" w:hAnsi="Courier New" w:hint="default"/>
      </w:rPr>
    </w:lvl>
    <w:lvl w:ilvl="5" w:tplc="4AC248E4">
      <w:start w:val="1"/>
      <w:numFmt w:val="bullet"/>
      <w:lvlText w:val=""/>
      <w:lvlJc w:val="left"/>
      <w:pPr>
        <w:ind w:left="4320" w:hanging="360"/>
      </w:pPr>
      <w:rPr>
        <w:rFonts w:ascii="Wingdings" w:hAnsi="Wingdings" w:hint="default"/>
      </w:rPr>
    </w:lvl>
    <w:lvl w:ilvl="6" w:tplc="CAD041C6">
      <w:start w:val="1"/>
      <w:numFmt w:val="bullet"/>
      <w:lvlText w:val=""/>
      <w:lvlJc w:val="left"/>
      <w:pPr>
        <w:ind w:left="5040" w:hanging="360"/>
      </w:pPr>
      <w:rPr>
        <w:rFonts w:ascii="Symbol" w:hAnsi="Symbol" w:hint="default"/>
      </w:rPr>
    </w:lvl>
    <w:lvl w:ilvl="7" w:tplc="C87A7872">
      <w:start w:val="1"/>
      <w:numFmt w:val="bullet"/>
      <w:lvlText w:val="o"/>
      <w:lvlJc w:val="left"/>
      <w:pPr>
        <w:ind w:left="5760" w:hanging="360"/>
      </w:pPr>
      <w:rPr>
        <w:rFonts w:ascii="Courier New" w:hAnsi="Courier New" w:hint="default"/>
      </w:rPr>
    </w:lvl>
    <w:lvl w:ilvl="8" w:tplc="2B4C6A70">
      <w:start w:val="1"/>
      <w:numFmt w:val="bullet"/>
      <w:lvlText w:val=""/>
      <w:lvlJc w:val="left"/>
      <w:pPr>
        <w:ind w:left="6480" w:hanging="360"/>
      </w:pPr>
      <w:rPr>
        <w:rFonts w:ascii="Wingdings" w:hAnsi="Wingdings" w:hint="default"/>
      </w:rPr>
    </w:lvl>
  </w:abstractNum>
  <w:num w:numId="1" w16cid:durableId="364402696">
    <w:abstractNumId w:val="0"/>
  </w:num>
  <w:num w:numId="2" w16cid:durableId="1935285063">
    <w:abstractNumId w:val="7"/>
  </w:num>
  <w:num w:numId="3" w16cid:durableId="641278394">
    <w:abstractNumId w:val="9"/>
  </w:num>
  <w:num w:numId="4" w16cid:durableId="134181395">
    <w:abstractNumId w:val="8"/>
  </w:num>
  <w:num w:numId="5" w16cid:durableId="1739554545">
    <w:abstractNumId w:val="1"/>
  </w:num>
  <w:num w:numId="6" w16cid:durableId="1364282471">
    <w:abstractNumId w:val="5"/>
  </w:num>
  <w:num w:numId="7" w16cid:durableId="345406010">
    <w:abstractNumId w:val="3"/>
  </w:num>
  <w:num w:numId="8" w16cid:durableId="239944537">
    <w:abstractNumId w:val="4"/>
  </w:num>
  <w:num w:numId="9" w16cid:durableId="115410974">
    <w:abstractNumId w:val="2"/>
  </w:num>
  <w:num w:numId="10" w16cid:durableId="45652637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2F5A9DCF"/>
    <w:rsid w:val="00053E96"/>
    <w:rsid w:val="00071943"/>
    <w:rsid w:val="00080CF2"/>
    <w:rsid w:val="000C3A16"/>
    <w:rsid w:val="000D4E49"/>
    <w:rsid w:val="000F568E"/>
    <w:rsid w:val="000F7940"/>
    <w:rsid w:val="001367BF"/>
    <w:rsid w:val="00173822"/>
    <w:rsid w:val="00197AA7"/>
    <w:rsid w:val="001A5315"/>
    <w:rsid w:val="001A70AD"/>
    <w:rsid w:val="001C6659"/>
    <w:rsid w:val="001E654C"/>
    <w:rsid w:val="00200891"/>
    <w:rsid w:val="0023689A"/>
    <w:rsid w:val="00263937"/>
    <w:rsid w:val="00266072"/>
    <w:rsid w:val="00274E69"/>
    <w:rsid w:val="00276E16"/>
    <w:rsid w:val="00286AE7"/>
    <w:rsid w:val="002B3CAE"/>
    <w:rsid w:val="002D3376"/>
    <w:rsid w:val="003441FF"/>
    <w:rsid w:val="00387F5F"/>
    <w:rsid w:val="00391F00"/>
    <w:rsid w:val="004235E5"/>
    <w:rsid w:val="0048055F"/>
    <w:rsid w:val="00493E14"/>
    <w:rsid w:val="004970AF"/>
    <w:rsid w:val="004A2682"/>
    <w:rsid w:val="004A6BB3"/>
    <w:rsid w:val="004B4366"/>
    <w:rsid w:val="004B68EE"/>
    <w:rsid w:val="004F34BB"/>
    <w:rsid w:val="00514B44"/>
    <w:rsid w:val="005428F7"/>
    <w:rsid w:val="0058177C"/>
    <w:rsid w:val="00595C64"/>
    <w:rsid w:val="00601E0A"/>
    <w:rsid w:val="00663E83"/>
    <w:rsid w:val="006D6C3B"/>
    <w:rsid w:val="006D702D"/>
    <w:rsid w:val="006E1DAA"/>
    <w:rsid w:val="006F47A5"/>
    <w:rsid w:val="00772C4E"/>
    <w:rsid w:val="00787108"/>
    <w:rsid w:val="00787781"/>
    <w:rsid w:val="00793AF3"/>
    <w:rsid w:val="007A3951"/>
    <w:rsid w:val="007B682F"/>
    <w:rsid w:val="00805A54"/>
    <w:rsid w:val="00812830"/>
    <w:rsid w:val="00825755"/>
    <w:rsid w:val="008340E0"/>
    <w:rsid w:val="00843EA0"/>
    <w:rsid w:val="00857DDE"/>
    <w:rsid w:val="008637ED"/>
    <w:rsid w:val="00867F63"/>
    <w:rsid w:val="00901138"/>
    <w:rsid w:val="00902A10"/>
    <w:rsid w:val="009455BB"/>
    <w:rsid w:val="009626BD"/>
    <w:rsid w:val="00A65CF5"/>
    <w:rsid w:val="00A8763A"/>
    <w:rsid w:val="00A97A3B"/>
    <w:rsid w:val="00AB3948"/>
    <w:rsid w:val="00AD57B4"/>
    <w:rsid w:val="00AF56CE"/>
    <w:rsid w:val="00B00586"/>
    <w:rsid w:val="00B04C55"/>
    <w:rsid w:val="00B14E2C"/>
    <w:rsid w:val="00B82701"/>
    <w:rsid w:val="00B843AE"/>
    <w:rsid w:val="00BA37AA"/>
    <w:rsid w:val="00BF4282"/>
    <w:rsid w:val="00C97E47"/>
    <w:rsid w:val="00CA65E3"/>
    <w:rsid w:val="00CE5E4C"/>
    <w:rsid w:val="00D33DCB"/>
    <w:rsid w:val="00DB2225"/>
    <w:rsid w:val="00E002EB"/>
    <w:rsid w:val="00E42B85"/>
    <w:rsid w:val="00E55044"/>
    <w:rsid w:val="00E644C3"/>
    <w:rsid w:val="00E835EA"/>
    <w:rsid w:val="00EA03CE"/>
    <w:rsid w:val="00EB6A07"/>
    <w:rsid w:val="00EE07A0"/>
    <w:rsid w:val="00F277F7"/>
    <w:rsid w:val="00F52369"/>
    <w:rsid w:val="00FB12BF"/>
    <w:rsid w:val="00FF69C0"/>
    <w:rsid w:val="09C78EE9"/>
    <w:rsid w:val="2F5A9D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91B5C"/>
  <w15:docId w15:val="{DAADB779-6220-0340-B004-06019E03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089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3">
    <w:name w:val="heading 3"/>
    <w:basedOn w:val="Normal"/>
    <w:link w:val="Heading3Char"/>
    <w:uiPriority w:val="9"/>
    <w:qFormat/>
    <w:rsid w:val="00793AF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793AF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rsid w:val="00E42B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F47A5"/>
  </w:style>
  <w:style w:type="character" w:customStyle="1" w:styleId="UnresolvedMention1">
    <w:name w:val="Unresolved Mention1"/>
    <w:basedOn w:val="DefaultParagraphFont"/>
    <w:uiPriority w:val="99"/>
    <w:semiHidden/>
    <w:unhideWhenUsed/>
    <w:rsid w:val="00DB2225"/>
    <w:rPr>
      <w:color w:val="605E5C"/>
      <w:shd w:val="clear" w:color="auto" w:fill="E1DFDD"/>
    </w:rPr>
  </w:style>
  <w:style w:type="character" w:styleId="FollowedHyperlink">
    <w:name w:val="FollowedHyperlink"/>
    <w:basedOn w:val="DefaultParagraphFont"/>
    <w:uiPriority w:val="99"/>
    <w:semiHidden/>
    <w:unhideWhenUsed/>
    <w:rsid w:val="00DB2225"/>
    <w:rPr>
      <w:color w:val="954F72" w:themeColor="followedHyperlink"/>
      <w:u w:val="single"/>
    </w:rPr>
  </w:style>
  <w:style w:type="character" w:customStyle="1" w:styleId="markedcontent">
    <w:name w:val="markedcontent"/>
    <w:basedOn w:val="DefaultParagraphFont"/>
    <w:rsid w:val="00AB3948"/>
  </w:style>
  <w:style w:type="character" w:customStyle="1" w:styleId="Heading3Char">
    <w:name w:val="Heading 3 Char"/>
    <w:basedOn w:val="DefaultParagraphFont"/>
    <w:link w:val="Heading3"/>
    <w:uiPriority w:val="9"/>
    <w:rsid w:val="00793AF3"/>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793AF3"/>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793AF3"/>
    <w:rPr>
      <w:b/>
      <w:bCs/>
    </w:rPr>
  </w:style>
  <w:style w:type="character" w:styleId="CommentReference">
    <w:name w:val="annotation reference"/>
    <w:basedOn w:val="DefaultParagraphFont"/>
    <w:uiPriority w:val="99"/>
    <w:semiHidden/>
    <w:unhideWhenUsed/>
    <w:rsid w:val="00F277F7"/>
    <w:rPr>
      <w:sz w:val="16"/>
      <w:szCs w:val="16"/>
    </w:rPr>
  </w:style>
  <w:style w:type="paragraph" w:styleId="CommentText">
    <w:name w:val="annotation text"/>
    <w:basedOn w:val="Normal"/>
    <w:link w:val="CommentTextChar"/>
    <w:uiPriority w:val="99"/>
    <w:semiHidden/>
    <w:unhideWhenUsed/>
    <w:rsid w:val="00F277F7"/>
    <w:pPr>
      <w:spacing w:line="240" w:lineRule="auto"/>
    </w:pPr>
    <w:rPr>
      <w:sz w:val="20"/>
      <w:szCs w:val="20"/>
    </w:rPr>
  </w:style>
  <w:style w:type="character" w:customStyle="1" w:styleId="CommentTextChar">
    <w:name w:val="Comment Text Char"/>
    <w:basedOn w:val="DefaultParagraphFont"/>
    <w:link w:val="CommentText"/>
    <w:uiPriority w:val="99"/>
    <w:semiHidden/>
    <w:rsid w:val="00F277F7"/>
    <w:rPr>
      <w:sz w:val="20"/>
      <w:szCs w:val="20"/>
    </w:rPr>
  </w:style>
  <w:style w:type="paragraph" w:styleId="CommentSubject">
    <w:name w:val="annotation subject"/>
    <w:basedOn w:val="CommentText"/>
    <w:next w:val="CommentText"/>
    <w:link w:val="CommentSubjectChar"/>
    <w:uiPriority w:val="99"/>
    <w:semiHidden/>
    <w:unhideWhenUsed/>
    <w:rsid w:val="00F277F7"/>
    <w:rPr>
      <w:b/>
      <w:bCs/>
    </w:rPr>
  </w:style>
  <w:style w:type="character" w:customStyle="1" w:styleId="CommentSubjectChar">
    <w:name w:val="Comment Subject Char"/>
    <w:basedOn w:val="CommentTextChar"/>
    <w:link w:val="CommentSubject"/>
    <w:uiPriority w:val="99"/>
    <w:semiHidden/>
    <w:rsid w:val="00F277F7"/>
    <w:rPr>
      <w:b/>
      <w:bCs/>
      <w:sz w:val="20"/>
      <w:szCs w:val="20"/>
    </w:rPr>
  </w:style>
  <w:style w:type="paragraph" w:styleId="BalloonText">
    <w:name w:val="Balloon Text"/>
    <w:basedOn w:val="Normal"/>
    <w:link w:val="BalloonTextChar"/>
    <w:uiPriority w:val="99"/>
    <w:semiHidden/>
    <w:unhideWhenUsed/>
    <w:rsid w:val="00F277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77F7"/>
    <w:rPr>
      <w:rFonts w:ascii="Tahoma" w:hAnsi="Tahoma" w:cs="Tahoma"/>
      <w:sz w:val="16"/>
      <w:szCs w:val="16"/>
    </w:rPr>
  </w:style>
  <w:style w:type="character" w:customStyle="1" w:styleId="Heading1Char">
    <w:name w:val="Heading 1 Char"/>
    <w:basedOn w:val="DefaultParagraphFont"/>
    <w:link w:val="Heading1"/>
    <w:uiPriority w:val="9"/>
    <w:rsid w:val="00200891"/>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581036">
      <w:bodyDiv w:val="1"/>
      <w:marLeft w:val="0"/>
      <w:marRight w:val="0"/>
      <w:marTop w:val="0"/>
      <w:marBottom w:val="0"/>
      <w:divBdr>
        <w:top w:val="none" w:sz="0" w:space="0" w:color="auto"/>
        <w:left w:val="none" w:sz="0" w:space="0" w:color="auto"/>
        <w:bottom w:val="none" w:sz="0" w:space="0" w:color="auto"/>
        <w:right w:val="none" w:sz="0" w:space="0" w:color="auto"/>
      </w:divBdr>
    </w:div>
    <w:div w:id="434249589">
      <w:bodyDiv w:val="1"/>
      <w:marLeft w:val="0"/>
      <w:marRight w:val="0"/>
      <w:marTop w:val="0"/>
      <w:marBottom w:val="0"/>
      <w:divBdr>
        <w:top w:val="none" w:sz="0" w:space="0" w:color="auto"/>
        <w:left w:val="none" w:sz="0" w:space="0" w:color="auto"/>
        <w:bottom w:val="none" w:sz="0" w:space="0" w:color="auto"/>
        <w:right w:val="none" w:sz="0" w:space="0" w:color="auto"/>
      </w:divBdr>
    </w:div>
    <w:div w:id="463621672">
      <w:bodyDiv w:val="1"/>
      <w:marLeft w:val="0"/>
      <w:marRight w:val="0"/>
      <w:marTop w:val="0"/>
      <w:marBottom w:val="0"/>
      <w:divBdr>
        <w:top w:val="none" w:sz="0" w:space="0" w:color="auto"/>
        <w:left w:val="none" w:sz="0" w:space="0" w:color="auto"/>
        <w:bottom w:val="none" w:sz="0" w:space="0" w:color="auto"/>
        <w:right w:val="none" w:sz="0" w:space="0" w:color="auto"/>
      </w:divBdr>
    </w:div>
    <w:div w:id="596326145">
      <w:bodyDiv w:val="1"/>
      <w:marLeft w:val="0"/>
      <w:marRight w:val="0"/>
      <w:marTop w:val="0"/>
      <w:marBottom w:val="0"/>
      <w:divBdr>
        <w:top w:val="none" w:sz="0" w:space="0" w:color="auto"/>
        <w:left w:val="none" w:sz="0" w:space="0" w:color="auto"/>
        <w:bottom w:val="none" w:sz="0" w:space="0" w:color="auto"/>
        <w:right w:val="none" w:sz="0" w:space="0" w:color="auto"/>
      </w:divBdr>
      <w:divsChild>
        <w:div w:id="761685357">
          <w:marLeft w:val="0"/>
          <w:marRight w:val="0"/>
          <w:marTop w:val="0"/>
          <w:marBottom w:val="0"/>
          <w:divBdr>
            <w:top w:val="none" w:sz="0" w:space="0" w:color="auto"/>
            <w:left w:val="none" w:sz="0" w:space="0" w:color="auto"/>
            <w:bottom w:val="none" w:sz="0" w:space="0" w:color="auto"/>
            <w:right w:val="none" w:sz="0" w:space="0" w:color="auto"/>
          </w:divBdr>
        </w:div>
      </w:divsChild>
    </w:div>
    <w:div w:id="695038856">
      <w:bodyDiv w:val="1"/>
      <w:marLeft w:val="0"/>
      <w:marRight w:val="0"/>
      <w:marTop w:val="0"/>
      <w:marBottom w:val="0"/>
      <w:divBdr>
        <w:top w:val="none" w:sz="0" w:space="0" w:color="auto"/>
        <w:left w:val="none" w:sz="0" w:space="0" w:color="auto"/>
        <w:bottom w:val="none" w:sz="0" w:space="0" w:color="auto"/>
        <w:right w:val="none" w:sz="0" w:space="0" w:color="auto"/>
      </w:divBdr>
    </w:div>
    <w:div w:id="749549363">
      <w:bodyDiv w:val="1"/>
      <w:marLeft w:val="0"/>
      <w:marRight w:val="0"/>
      <w:marTop w:val="0"/>
      <w:marBottom w:val="0"/>
      <w:divBdr>
        <w:top w:val="none" w:sz="0" w:space="0" w:color="auto"/>
        <w:left w:val="none" w:sz="0" w:space="0" w:color="auto"/>
        <w:bottom w:val="none" w:sz="0" w:space="0" w:color="auto"/>
        <w:right w:val="none" w:sz="0" w:space="0" w:color="auto"/>
      </w:divBdr>
      <w:divsChild>
        <w:div w:id="1315599304">
          <w:marLeft w:val="0"/>
          <w:marRight w:val="0"/>
          <w:marTop w:val="0"/>
          <w:marBottom w:val="0"/>
          <w:divBdr>
            <w:top w:val="single" w:sz="2" w:space="0" w:color="D9D9E3"/>
            <w:left w:val="single" w:sz="2" w:space="0" w:color="D9D9E3"/>
            <w:bottom w:val="single" w:sz="2" w:space="0" w:color="D9D9E3"/>
            <w:right w:val="single" w:sz="2" w:space="0" w:color="D9D9E3"/>
          </w:divBdr>
          <w:divsChild>
            <w:div w:id="1107118040">
              <w:marLeft w:val="0"/>
              <w:marRight w:val="0"/>
              <w:marTop w:val="0"/>
              <w:marBottom w:val="0"/>
              <w:divBdr>
                <w:top w:val="single" w:sz="2" w:space="0" w:color="D9D9E3"/>
                <w:left w:val="single" w:sz="2" w:space="0" w:color="D9D9E3"/>
                <w:bottom w:val="single" w:sz="2" w:space="0" w:color="D9D9E3"/>
                <w:right w:val="single" w:sz="2" w:space="0" w:color="D9D9E3"/>
              </w:divBdr>
              <w:divsChild>
                <w:div w:id="563833388">
                  <w:marLeft w:val="0"/>
                  <w:marRight w:val="0"/>
                  <w:marTop w:val="0"/>
                  <w:marBottom w:val="0"/>
                  <w:divBdr>
                    <w:top w:val="single" w:sz="2" w:space="0" w:color="D9D9E3"/>
                    <w:left w:val="single" w:sz="2" w:space="0" w:color="D9D9E3"/>
                    <w:bottom w:val="single" w:sz="2" w:space="0" w:color="D9D9E3"/>
                    <w:right w:val="single" w:sz="2" w:space="0" w:color="D9D9E3"/>
                  </w:divBdr>
                  <w:divsChild>
                    <w:div w:id="1512909724">
                      <w:marLeft w:val="0"/>
                      <w:marRight w:val="0"/>
                      <w:marTop w:val="0"/>
                      <w:marBottom w:val="0"/>
                      <w:divBdr>
                        <w:top w:val="single" w:sz="2" w:space="0" w:color="D9D9E3"/>
                        <w:left w:val="single" w:sz="2" w:space="0" w:color="D9D9E3"/>
                        <w:bottom w:val="single" w:sz="2" w:space="0" w:color="D9D9E3"/>
                        <w:right w:val="single" w:sz="2" w:space="0" w:color="D9D9E3"/>
                      </w:divBdr>
                      <w:divsChild>
                        <w:div w:id="1598170175">
                          <w:marLeft w:val="0"/>
                          <w:marRight w:val="0"/>
                          <w:marTop w:val="0"/>
                          <w:marBottom w:val="0"/>
                          <w:divBdr>
                            <w:top w:val="single" w:sz="2" w:space="0" w:color="auto"/>
                            <w:left w:val="single" w:sz="2" w:space="0" w:color="auto"/>
                            <w:bottom w:val="single" w:sz="6" w:space="0" w:color="auto"/>
                            <w:right w:val="single" w:sz="2" w:space="0" w:color="auto"/>
                          </w:divBdr>
                          <w:divsChild>
                            <w:div w:id="1025521063">
                              <w:marLeft w:val="0"/>
                              <w:marRight w:val="0"/>
                              <w:marTop w:val="100"/>
                              <w:marBottom w:val="100"/>
                              <w:divBdr>
                                <w:top w:val="single" w:sz="2" w:space="0" w:color="D9D9E3"/>
                                <w:left w:val="single" w:sz="2" w:space="0" w:color="D9D9E3"/>
                                <w:bottom w:val="single" w:sz="2" w:space="0" w:color="D9D9E3"/>
                                <w:right w:val="single" w:sz="2" w:space="0" w:color="D9D9E3"/>
                              </w:divBdr>
                              <w:divsChild>
                                <w:div w:id="837766097">
                                  <w:marLeft w:val="0"/>
                                  <w:marRight w:val="0"/>
                                  <w:marTop w:val="0"/>
                                  <w:marBottom w:val="0"/>
                                  <w:divBdr>
                                    <w:top w:val="single" w:sz="2" w:space="0" w:color="D9D9E3"/>
                                    <w:left w:val="single" w:sz="2" w:space="0" w:color="D9D9E3"/>
                                    <w:bottom w:val="single" w:sz="2" w:space="0" w:color="D9D9E3"/>
                                    <w:right w:val="single" w:sz="2" w:space="0" w:color="D9D9E3"/>
                                  </w:divBdr>
                                  <w:divsChild>
                                    <w:div w:id="1061173070">
                                      <w:marLeft w:val="0"/>
                                      <w:marRight w:val="0"/>
                                      <w:marTop w:val="0"/>
                                      <w:marBottom w:val="0"/>
                                      <w:divBdr>
                                        <w:top w:val="single" w:sz="2" w:space="0" w:color="D9D9E3"/>
                                        <w:left w:val="single" w:sz="2" w:space="0" w:color="D9D9E3"/>
                                        <w:bottom w:val="single" w:sz="2" w:space="0" w:color="D9D9E3"/>
                                        <w:right w:val="single" w:sz="2" w:space="0" w:color="D9D9E3"/>
                                      </w:divBdr>
                                      <w:divsChild>
                                        <w:div w:id="889223945">
                                          <w:marLeft w:val="0"/>
                                          <w:marRight w:val="0"/>
                                          <w:marTop w:val="0"/>
                                          <w:marBottom w:val="0"/>
                                          <w:divBdr>
                                            <w:top w:val="single" w:sz="2" w:space="0" w:color="D9D9E3"/>
                                            <w:left w:val="single" w:sz="2" w:space="0" w:color="D9D9E3"/>
                                            <w:bottom w:val="single" w:sz="2" w:space="0" w:color="D9D9E3"/>
                                            <w:right w:val="single" w:sz="2" w:space="0" w:color="D9D9E3"/>
                                          </w:divBdr>
                                          <w:divsChild>
                                            <w:div w:id="15343392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70040432">
                          <w:marLeft w:val="0"/>
                          <w:marRight w:val="0"/>
                          <w:marTop w:val="0"/>
                          <w:marBottom w:val="0"/>
                          <w:divBdr>
                            <w:top w:val="single" w:sz="2" w:space="0" w:color="auto"/>
                            <w:left w:val="single" w:sz="2" w:space="0" w:color="auto"/>
                            <w:bottom w:val="single" w:sz="6" w:space="0" w:color="auto"/>
                            <w:right w:val="single" w:sz="2" w:space="0" w:color="auto"/>
                          </w:divBdr>
                          <w:divsChild>
                            <w:div w:id="134222937">
                              <w:marLeft w:val="0"/>
                              <w:marRight w:val="0"/>
                              <w:marTop w:val="100"/>
                              <w:marBottom w:val="100"/>
                              <w:divBdr>
                                <w:top w:val="single" w:sz="2" w:space="0" w:color="D9D9E3"/>
                                <w:left w:val="single" w:sz="2" w:space="0" w:color="D9D9E3"/>
                                <w:bottom w:val="single" w:sz="2" w:space="0" w:color="D9D9E3"/>
                                <w:right w:val="single" w:sz="2" w:space="0" w:color="D9D9E3"/>
                              </w:divBdr>
                              <w:divsChild>
                                <w:div w:id="2111655371">
                                  <w:marLeft w:val="0"/>
                                  <w:marRight w:val="0"/>
                                  <w:marTop w:val="0"/>
                                  <w:marBottom w:val="0"/>
                                  <w:divBdr>
                                    <w:top w:val="single" w:sz="2" w:space="0" w:color="D9D9E3"/>
                                    <w:left w:val="single" w:sz="2" w:space="0" w:color="D9D9E3"/>
                                    <w:bottom w:val="single" w:sz="2" w:space="0" w:color="D9D9E3"/>
                                    <w:right w:val="single" w:sz="2" w:space="0" w:color="D9D9E3"/>
                                  </w:divBdr>
                                  <w:divsChild>
                                    <w:div w:id="651756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571816011">
                                  <w:marLeft w:val="0"/>
                                  <w:marRight w:val="0"/>
                                  <w:marTop w:val="0"/>
                                  <w:marBottom w:val="0"/>
                                  <w:divBdr>
                                    <w:top w:val="single" w:sz="2" w:space="0" w:color="D9D9E3"/>
                                    <w:left w:val="single" w:sz="2" w:space="0" w:color="D9D9E3"/>
                                    <w:bottom w:val="single" w:sz="2" w:space="0" w:color="D9D9E3"/>
                                    <w:right w:val="single" w:sz="2" w:space="0" w:color="D9D9E3"/>
                                  </w:divBdr>
                                  <w:divsChild>
                                    <w:div w:id="133528320">
                                      <w:marLeft w:val="0"/>
                                      <w:marRight w:val="0"/>
                                      <w:marTop w:val="0"/>
                                      <w:marBottom w:val="0"/>
                                      <w:divBdr>
                                        <w:top w:val="single" w:sz="2" w:space="0" w:color="D9D9E3"/>
                                        <w:left w:val="single" w:sz="2" w:space="0" w:color="D9D9E3"/>
                                        <w:bottom w:val="single" w:sz="2" w:space="0" w:color="D9D9E3"/>
                                        <w:right w:val="single" w:sz="2" w:space="0" w:color="D9D9E3"/>
                                      </w:divBdr>
                                      <w:divsChild>
                                        <w:div w:id="3416641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55385932">
                          <w:marLeft w:val="0"/>
                          <w:marRight w:val="0"/>
                          <w:marTop w:val="0"/>
                          <w:marBottom w:val="0"/>
                          <w:divBdr>
                            <w:top w:val="single" w:sz="2" w:space="0" w:color="auto"/>
                            <w:left w:val="single" w:sz="2" w:space="0" w:color="auto"/>
                            <w:bottom w:val="single" w:sz="6" w:space="0" w:color="auto"/>
                            <w:right w:val="single" w:sz="2" w:space="0" w:color="auto"/>
                          </w:divBdr>
                          <w:divsChild>
                            <w:div w:id="667907789">
                              <w:marLeft w:val="0"/>
                              <w:marRight w:val="0"/>
                              <w:marTop w:val="100"/>
                              <w:marBottom w:val="100"/>
                              <w:divBdr>
                                <w:top w:val="single" w:sz="2" w:space="0" w:color="D9D9E3"/>
                                <w:left w:val="single" w:sz="2" w:space="0" w:color="D9D9E3"/>
                                <w:bottom w:val="single" w:sz="2" w:space="0" w:color="D9D9E3"/>
                                <w:right w:val="single" w:sz="2" w:space="0" w:color="D9D9E3"/>
                              </w:divBdr>
                              <w:divsChild>
                                <w:div w:id="65811054">
                                  <w:marLeft w:val="0"/>
                                  <w:marRight w:val="0"/>
                                  <w:marTop w:val="0"/>
                                  <w:marBottom w:val="0"/>
                                  <w:divBdr>
                                    <w:top w:val="single" w:sz="2" w:space="0" w:color="D9D9E3"/>
                                    <w:left w:val="single" w:sz="2" w:space="0" w:color="D9D9E3"/>
                                    <w:bottom w:val="single" w:sz="2" w:space="0" w:color="D9D9E3"/>
                                    <w:right w:val="single" w:sz="2" w:space="0" w:color="D9D9E3"/>
                                  </w:divBdr>
                                  <w:divsChild>
                                    <w:div w:id="21453423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76153118">
                                  <w:marLeft w:val="0"/>
                                  <w:marRight w:val="0"/>
                                  <w:marTop w:val="0"/>
                                  <w:marBottom w:val="0"/>
                                  <w:divBdr>
                                    <w:top w:val="single" w:sz="2" w:space="0" w:color="D9D9E3"/>
                                    <w:left w:val="single" w:sz="2" w:space="0" w:color="D9D9E3"/>
                                    <w:bottom w:val="single" w:sz="2" w:space="0" w:color="D9D9E3"/>
                                    <w:right w:val="single" w:sz="2" w:space="0" w:color="D9D9E3"/>
                                  </w:divBdr>
                                  <w:divsChild>
                                    <w:div w:id="938560370">
                                      <w:marLeft w:val="0"/>
                                      <w:marRight w:val="0"/>
                                      <w:marTop w:val="0"/>
                                      <w:marBottom w:val="0"/>
                                      <w:divBdr>
                                        <w:top w:val="single" w:sz="2" w:space="0" w:color="D9D9E3"/>
                                        <w:left w:val="single" w:sz="2" w:space="0" w:color="D9D9E3"/>
                                        <w:bottom w:val="single" w:sz="2" w:space="0" w:color="D9D9E3"/>
                                        <w:right w:val="single" w:sz="2" w:space="0" w:color="D9D9E3"/>
                                      </w:divBdr>
                                      <w:divsChild>
                                        <w:div w:id="890657870">
                                          <w:marLeft w:val="0"/>
                                          <w:marRight w:val="0"/>
                                          <w:marTop w:val="0"/>
                                          <w:marBottom w:val="0"/>
                                          <w:divBdr>
                                            <w:top w:val="single" w:sz="2" w:space="0" w:color="D9D9E3"/>
                                            <w:left w:val="single" w:sz="2" w:space="0" w:color="D9D9E3"/>
                                            <w:bottom w:val="single" w:sz="2" w:space="0" w:color="D9D9E3"/>
                                            <w:right w:val="single" w:sz="2" w:space="0" w:color="D9D9E3"/>
                                          </w:divBdr>
                                          <w:divsChild>
                                            <w:div w:id="20676048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15185331">
                          <w:marLeft w:val="0"/>
                          <w:marRight w:val="0"/>
                          <w:marTop w:val="0"/>
                          <w:marBottom w:val="0"/>
                          <w:divBdr>
                            <w:top w:val="single" w:sz="2" w:space="0" w:color="auto"/>
                            <w:left w:val="single" w:sz="2" w:space="0" w:color="auto"/>
                            <w:bottom w:val="single" w:sz="6" w:space="0" w:color="auto"/>
                            <w:right w:val="single" w:sz="2" w:space="0" w:color="auto"/>
                          </w:divBdr>
                          <w:divsChild>
                            <w:div w:id="1686126977">
                              <w:marLeft w:val="0"/>
                              <w:marRight w:val="0"/>
                              <w:marTop w:val="100"/>
                              <w:marBottom w:val="100"/>
                              <w:divBdr>
                                <w:top w:val="single" w:sz="2" w:space="0" w:color="D9D9E3"/>
                                <w:left w:val="single" w:sz="2" w:space="0" w:color="D9D9E3"/>
                                <w:bottom w:val="single" w:sz="2" w:space="0" w:color="D9D9E3"/>
                                <w:right w:val="single" w:sz="2" w:space="0" w:color="D9D9E3"/>
                              </w:divBdr>
                              <w:divsChild>
                                <w:div w:id="1716420354">
                                  <w:marLeft w:val="0"/>
                                  <w:marRight w:val="0"/>
                                  <w:marTop w:val="0"/>
                                  <w:marBottom w:val="0"/>
                                  <w:divBdr>
                                    <w:top w:val="single" w:sz="2" w:space="0" w:color="D9D9E3"/>
                                    <w:left w:val="single" w:sz="2" w:space="0" w:color="D9D9E3"/>
                                    <w:bottom w:val="single" w:sz="2" w:space="0" w:color="D9D9E3"/>
                                    <w:right w:val="single" w:sz="2" w:space="0" w:color="D9D9E3"/>
                                  </w:divBdr>
                                  <w:divsChild>
                                    <w:div w:id="8339114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25180944">
                                  <w:marLeft w:val="0"/>
                                  <w:marRight w:val="0"/>
                                  <w:marTop w:val="0"/>
                                  <w:marBottom w:val="0"/>
                                  <w:divBdr>
                                    <w:top w:val="single" w:sz="2" w:space="0" w:color="D9D9E3"/>
                                    <w:left w:val="single" w:sz="2" w:space="0" w:color="D9D9E3"/>
                                    <w:bottom w:val="single" w:sz="2" w:space="0" w:color="D9D9E3"/>
                                    <w:right w:val="single" w:sz="2" w:space="0" w:color="D9D9E3"/>
                                  </w:divBdr>
                                  <w:divsChild>
                                    <w:div w:id="416756765">
                                      <w:marLeft w:val="0"/>
                                      <w:marRight w:val="0"/>
                                      <w:marTop w:val="0"/>
                                      <w:marBottom w:val="0"/>
                                      <w:divBdr>
                                        <w:top w:val="single" w:sz="2" w:space="0" w:color="D9D9E3"/>
                                        <w:left w:val="single" w:sz="2" w:space="0" w:color="D9D9E3"/>
                                        <w:bottom w:val="single" w:sz="2" w:space="0" w:color="D9D9E3"/>
                                        <w:right w:val="single" w:sz="2" w:space="0" w:color="D9D9E3"/>
                                      </w:divBdr>
                                      <w:divsChild>
                                        <w:div w:id="5079151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859460783">
                          <w:marLeft w:val="0"/>
                          <w:marRight w:val="0"/>
                          <w:marTop w:val="0"/>
                          <w:marBottom w:val="0"/>
                          <w:divBdr>
                            <w:top w:val="single" w:sz="2" w:space="0" w:color="auto"/>
                            <w:left w:val="single" w:sz="2" w:space="0" w:color="auto"/>
                            <w:bottom w:val="single" w:sz="6" w:space="0" w:color="auto"/>
                            <w:right w:val="single" w:sz="2" w:space="0" w:color="auto"/>
                          </w:divBdr>
                          <w:divsChild>
                            <w:div w:id="156531810">
                              <w:marLeft w:val="0"/>
                              <w:marRight w:val="0"/>
                              <w:marTop w:val="100"/>
                              <w:marBottom w:val="100"/>
                              <w:divBdr>
                                <w:top w:val="single" w:sz="2" w:space="0" w:color="D9D9E3"/>
                                <w:left w:val="single" w:sz="2" w:space="0" w:color="D9D9E3"/>
                                <w:bottom w:val="single" w:sz="2" w:space="0" w:color="D9D9E3"/>
                                <w:right w:val="single" w:sz="2" w:space="0" w:color="D9D9E3"/>
                              </w:divBdr>
                              <w:divsChild>
                                <w:div w:id="1360475485">
                                  <w:marLeft w:val="0"/>
                                  <w:marRight w:val="0"/>
                                  <w:marTop w:val="0"/>
                                  <w:marBottom w:val="0"/>
                                  <w:divBdr>
                                    <w:top w:val="single" w:sz="2" w:space="0" w:color="D9D9E3"/>
                                    <w:left w:val="single" w:sz="2" w:space="0" w:color="D9D9E3"/>
                                    <w:bottom w:val="single" w:sz="2" w:space="0" w:color="D9D9E3"/>
                                    <w:right w:val="single" w:sz="2" w:space="0" w:color="D9D9E3"/>
                                  </w:divBdr>
                                  <w:divsChild>
                                    <w:div w:id="19627575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24296901">
                                  <w:marLeft w:val="0"/>
                                  <w:marRight w:val="0"/>
                                  <w:marTop w:val="0"/>
                                  <w:marBottom w:val="0"/>
                                  <w:divBdr>
                                    <w:top w:val="single" w:sz="2" w:space="0" w:color="D9D9E3"/>
                                    <w:left w:val="single" w:sz="2" w:space="0" w:color="D9D9E3"/>
                                    <w:bottom w:val="single" w:sz="2" w:space="0" w:color="D9D9E3"/>
                                    <w:right w:val="single" w:sz="2" w:space="0" w:color="D9D9E3"/>
                                  </w:divBdr>
                                  <w:divsChild>
                                    <w:div w:id="1948853229">
                                      <w:marLeft w:val="0"/>
                                      <w:marRight w:val="0"/>
                                      <w:marTop w:val="0"/>
                                      <w:marBottom w:val="0"/>
                                      <w:divBdr>
                                        <w:top w:val="single" w:sz="2" w:space="0" w:color="D9D9E3"/>
                                        <w:left w:val="single" w:sz="2" w:space="0" w:color="D9D9E3"/>
                                        <w:bottom w:val="single" w:sz="2" w:space="0" w:color="D9D9E3"/>
                                        <w:right w:val="single" w:sz="2" w:space="0" w:color="D9D9E3"/>
                                      </w:divBdr>
                                      <w:divsChild>
                                        <w:div w:id="1855150823">
                                          <w:marLeft w:val="0"/>
                                          <w:marRight w:val="0"/>
                                          <w:marTop w:val="0"/>
                                          <w:marBottom w:val="0"/>
                                          <w:divBdr>
                                            <w:top w:val="single" w:sz="2" w:space="0" w:color="D9D9E3"/>
                                            <w:left w:val="single" w:sz="2" w:space="0" w:color="D9D9E3"/>
                                            <w:bottom w:val="single" w:sz="2" w:space="0" w:color="D9D9E3"/>
                                            <w:right w:val="single" w:sz="2" w:space="0" w:color="D9D9E3"/>
                                          </w:divBdr>
                                          <w:divsChild>
                                            <w:div w:id="13413481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93291776">
                          <w:marLeft w:val="0"/>
                          <w:marRight w:val="0"/>
                          <w:marTop w:val="0"/>
                          <w:marBottom w:val="0"/>
                          <w:divBdr>
                            <w:top w:val="single" w:sz="2" w:space="0" w:color="auto"/>
                            <w:left w:val="single" w:sz="2" w:space="0" w:color="auto"/>
                            <w:bottom w:val="single" w:sz="6" w:space="0" w:color="auto"/>
                            <w:right w:val="single" w:sz="2" w:space="0" w:color="auto"/>
                          </w:divBdr>
                          <w:divsChild>
                            <w:div w:id="576132267">
                              <w:marLeft w:val="0"/>
                              <w:marRight w:val="0"/>
                              <w:marTop w:val="100"/>
                              <w:marBottom w:val="100"/>
                              <w:divBdr>
                                <w:top w:val="single" w:sz="2" w:space="0" w:color="D9D9E3"/>
                                <w:left w:val="single" w:sz="2" w:space="0" w:color="D9D9E3"/>
                                <w:bottom w:val="single" w:sz="2" w:space="0" w:color="D9D9E3"/>
                                <w:right w:val="single" w:sz="2" w:space="0" w:color="D9D9E3"/>
                              </w:divBdr>
                              <w:divsChild>
                                <w:div w:id="366833000">
                                  <w:marLeft w:val="0"/>
                                  <w:marRight w:val="0"/>
                                  <w:marTop w:val="0"/>
                                  <w:marBottom w:val="0"/>
                                  <w:divBdr>
                                    <w:top w:val="single" w:sz="2" w:space="0" w:color="D9D9E3"/>
                                    <w:left w:val="single" w:sz="2" w:space="0" w:color="D9D9E3"/>
                                    <w:bottom w:val="single" w:sz="2" w:space="0" w:color="D9D9E3"/>
                                    <w:right w:val="single" w:sz="2" w:space="0" w:color="D9D9E3"/>
                                  </w:divBdr>
                                  <w:divsChild>
                                    <w:div w:id="7654226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654338187">
                                  <w:marLeft w:val="0"/>
                                  <w:marRight w:val="0"/>
                                  <w:marTop w:val="0"/>
                                  <w:marBottom w:val="0"/>
                                  <w:divBdr>
                                    <w:top w:val="single" w:sz="2" w:space="0" w:color="D9D9E3"/>
                                    <w:left w:val="single" w:sz="2" w:space="0" w:color="D9D9E3"/>
                                    <w:bottom w:val="single" w:sz="2" w:space="0" w:color="D9D9E3"/>
                                    <w:right w:val="single" w:sz="2" w:space="0" w:color="D9D9E3"/>
                                  </w:divBdr>
                                  <w:divsChild>
                                    <w:div w:id="1774665478">
                                      <w:marLeft w:val="0"/>
                                      <w:marRight w:val="0"/>
                                      <w:marTop w:val="0"/>
                                      <w:marBottom w:val="0"/>
                                      <w:divBdr>
                                        <w:top w:val="single" w:sz="2" w:space="0" w:color="D9D9E3"/>
                                        <w:left w:val="single" w:sz="2" w:space="0" w:color="D9D9E3"/>
                                        <w:bottom w:val="single" w:sz="2" w:space="0" w:color="D9D9E3"/>
                                        <w:right w:val="single" w:sz="2" w:space="0" w:color="D9D9E3"/>
                                      </w:divBdr>
                                      <w:divsChild>
                                        <w:div w:id="1192261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91028579">
                          <w:marLeft w:val="0"/>
                          <w:marRight w:val="0"/>
                          <w:marTop w:val="0"/>
                          <w:marBottom w:val="0"/>
                          <w:divBdr>
                            <w:top w:val="single" w:sz="2" w:space="0" w:color="auto"/>
                            <w:left w:val="single" w:sz="2" w:space="0" w:color="auto"/>
                            <w:bottom w:val="single" w:sz="6" w:space="0" w:color="auto"/>
                            <w:right w:val="single" w:sz="2" w:space="0" w:color="auto"/>
                          </w:divBdr>
                          <w:divsChild>
                            <w:div w:id="436558095">
                              <w:marLeft w:val="0"/>
                              <w:marRight w:val="0"/>
                              <w:marTop w:val="100"/>
                              <w:marBottom w:val="100"/>
                              <w:divBdr>
                                <w:top w:val="single" w:sz="2" w:space="0" w:color="D9D9E3"/>
                                <w:left w:val="single" w:sz="2" w:space="0" w:color="D9D9E3"/>
                                <w:bottom w:val="single" w:sz="2" w:space="0" w:color="D9D9E3"/>
                                <w:right w:val="single" w:sz="2" w:space="0" w:color="D9D9E3"/>
                              </w:divBdr>
                              <w:divsChild>
                                <w:div w:id="411050596">
                                  <w:marLeft w:val="0"/>
                                  <w:marRight w:val="0"/>
                                  <w:marTop w:val="0"/>
                                  <w:marBottom w:val="0"/>
                                  <w:divBdr>
                                    <w:top w:val="single" w:sz="2" w:space="0" w:color="D9D9E3"/>
                                    <w:left w:val="single" w:sz="2" w:space="0" w:color="D9D9E3"/>
                                    <w:bottom w:val="single" w:sz="2" w:space="0" w:color="D9D9E3"/>
                                    <w:right w:val="single" w:sz="2" w:space="0" w:color="D9D9E3"/>
                                  </w:divBdr>
                                  <w:divsChild>
                                    <w:div w:id="16055785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71074585">
                                  <w:marLeft w:val="0"/>
                                  <w:marRight w:val="0"/>
                                  <w:marTop w:val="0"/>
                                  <w:marBottom w:val="0"/>
                                  <w:divBdr>
                                    <w:top w:val="single" w:sz="2" w:space="0" w:color="D9D9E3"/>
                                    <w:left w:val="single" w:sz="2" w:space="0" w:color="D9D9E3"/>
                                    <w:bottom w:val="single" w:sz="2" w:space="0" w:color="D9D9E3"/>
                                    <w:right w:val="single" w:sz="2" w:space="0" w:color="D9D9E3"/>
                                  </w:divBdr>
                                  <w:divsChild>
                                    <w:div w:id="1829784118">
                                      <w:marLeft w:val="0"/>
                                      <w:marRight w:val="0"/>
                                      <w:marTop w:val="0"/>
                                      <w:marBottom w:val="0"/>
                                      <w:divBdr>
                                        <w:top w:val="single" w:sz="2" w:space="0" w:color="D9D9E3"/>
                                        <w:left w:val="single" w:sz="2" w:space="0" w:color="D9D9E3"/>
                                        <w:bottom w:val="single" w:sz="2" w:space="0" w:color="D9D9E3"/>
                                        <w:right w:val="single" w:sz="2" w:space="0" w:color="D9D9E3"/>
                                      </w:divBdr>
                                      <w:divsChild>
                                        <w:div w:id="1525940934">
                                          <w:marLeft w:val="0"/>
                                          <w:marRight w:val="0"/>
                                          <w:marTop w:val="0"/>
                                          <w:marBottom w:val="0"/>
                                          <w:divBdr>
                                            <w:top w:val="single" w:sz="2" w:space="0" w:color="D9D9E3"/>
                                            <w:left w:val="single" w:sz="2" w:space="0" w:color="D9D9E3"/>
                                            <w:bottom w:val="single" w:sz="2" w:space="0" w:color="D9D9E3"/>
                                            <w:right w:val="single" w:sz="2" w:space="0" w:color="D9D9E3"/>
                                          </w:divBdr>
                                          <w:divsChild>
                                            <w:div w:id="19975628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29078709">
          <w:marLeft w:val="0"/>
          <w:marRight w:val="0"/>
          <w:marTop w:val="0"/>
          <w:marBottom w:val="0"/>
          <w:divBdr>
            <w:top w:val="none" w:sz="0" w:space="0" w:color="auto"/>
            <w:left w:val="none" w:sz="0" w:space="0" w:color="auto"/>
            <w:bottom w:val="none" w:sz="0" w:space="0" w:color="auto"/>
            <w:right w:val="none" w:sz="0" w:space="0" w:color="auto"/>
          </w:divBdr>
          <w:divsChild>
            <w:div w:id="902569823">
              <w:marLeft w:val="0"/>
              <w:marRight w:val="0"/>
              <w:marTop w:val="0"/>
              <w:marBottom w:val="0"/>
              <w:divBdr>
                <w:top w:val="single" w:sz="2" w:space="0" w:color="D9D9E3"/>
                <w:left w:val="single" w:sz="2" w:space="0" w:color="D9D9E3"/>
                <w:bottom w:val="single" w:sz="2" w:space="0" w:color="D9D9E3"/>
                <w:right w:val="single" w:sz="2" w:space="0" w:color="D9D9E3"/>
              </w:divBdr>
              <w:divsChild>
                <w:div w:id="1738476563">
                  <w:marLeft w:val="0"/>
                  <w:marRight w:val="0"/>
                  <w:marTop w:val="0"/>
                  <w:marBottom w:val="0"/>
                  <w:divBdr>
                    <w:top w:val="single" w:sz="2" w:space="0" w:color="D9D9E3"/>
                    <w:left w:val="single" w:sz="2" w:space="0" w:color="D9D9E3"/>
                    <w:bottom w:val="single" w:sz="2" w:space="0" w:color="D9D9E3"/>
                    <w:right w:val="single" w:sz="2" w:space="0" w:color="D9D9E3"/>
                  </w:divBdr>
                  <w:divsChild>
                    <w:div w:id="1983121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93910459">
      <w:bodyDiv w:val="1"/>
      <w:marLeft w:val="0"/>
      <w:marRight w:val="0"/>
      <w:marTop w:val="0"/>
      <w:marBottom w:val="0"/>
      <w:divBdr>
        <w:top w:val="none" w:sz="0" w:space="0" w:color="auto"/>
        <w:left w:val="none" w:sz="0" w:space="0" w:color="auto"/>
        <w:bottom w:val="none" w:sz="0" w:space="0" w:color="auto"/>
        <w:right w:val="none" w:sz="0" w:space="0" w:color="auto"/>
      </w:divBdr>
      <w:divsChild>
        <w:div w:id="832180535">
          <w:marLeft w:val="0"/>
          <w:marRight w:val="0"/>
          <w:marTop w:val="0"/>
          <w:marBottom w:val="0"/>
          <w:divBdr>
            <w:top w:val="none" w:sz="0" w:space="0" w:color="auto"/>
            <w:left w:val="none" w:sz="0" w:space="0" w:color="auto"/>
            <w:bottom w:val="none" w:sz="0" w:space="0" w:color="auto"/>
            <w:right w:val="none" w:sz="0" w:space="0" w:color="auto"/>
          </w:divBdr>
          <w:divsChild>
            <w:div w:id="88818160">
              <w:marLeft w:val="0"/>
              <w:marRight w:val="0"/>
              <w:marTop w:val="0"/>
              <w:marBottom w:val="0"/>
              <w:divBdr>
                <w:top w:val="none" w:sz="0" w:space="0" w:color="auto"/>
                <w:left w:val="none" w:sz="0" w:space="0" w:color="auto"/>
                <w:bottom w:val="none" w:sz="0" w:space="0" w:color="auto"/>
                <w:right w:val="none" w:sz="0" w:space="0" w:color="auto"/>
              </w:divBdr>
            </w:div>
          </w:divsChild>
        </w:div>
        <w:div w:id="1896161233">
          <w:marLeft w:val="0"/>
          <w:marRight w:val="0"/>
          <w:marTop w:val="0"/>
          <w:marBottom w:val="0"/>
          <w:divBdr>
            <w:top w:val="none" w:sz="0" w:space="0" w:color="auto"/>
            <w:left w:val="none" w:sz="0" w:space="0" w:color="auto"/>
            <w:bottom w:val="none" w:sz="0" w:space="0" w:color="auto"/>
            <w:right w:val="none" w:sz="0" w:space="0" w:color="auto"/>
          </w:divBdr>
          <w:divsChild>
            <w:div w:id="172159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640019">
      <w:bodyDiv w:val="1"/>
      <w:marLeft w:val="0"/>
      <w:marRight w:val="0"/>
      <w:marTop w:val="0"/>
      <w:marBottom w:val="0"/>
      <w:divBdr>
        <w:top w:val="none" w:sz="0" w:space="0" w:color="auto"/>
        <w:left w:val="none" w:sz="0" w:space="0" w:color="auto"/>
        <w:bottom w:val="none" w:sz="0" w:space="0" w:color="auto"/>
        <w:right w:val="none" w:sz="0" w:space="0" w:color="auto"/>
      </w:divBdr>
    </w:div>
    <w:div w:id="1147556061">
      <w:bodyDiv w:val="1"/>
      <w:marLeft w:val="0"/>
      <w:marRight w:val="0"/>
      <w:marTop w:val="0"/>
      <w:marBottom w:val="0"/>
      <w:divBdr>
        <w:top w:val="none" w:sz="0" w:space="0" w:color="auto"/>
        <w:left w:val="none" w:sz="0" w:space="0" w:color="auto"/>
        <w:bottom w:val="none" w:sz="0" w:space="0" w:color="auto"/>
        <w:right w:val="none" w:sz="0" w:space="0" w:color="auto"/>
      </w:divBdr>
      <w:divsChild>
        <w:div w:id="2050690147">
          <w:marLeft w:val="0"/>
          <w:marRight w:val="0"/>
          <w:marTop w:val="0"/>
          <w:marBottom w:val="0"/>
          <w:divBdr>
            <w:top w:val="none" w:sz="0" w:space="0" w:color="auto"/>
            <w:left w:val="none" w:sz="0" w:space="0" w:color="auto"/>
            <w:bottom w:val="none" w:sz="0" w:space="0" w:color="auto"/>
            <w:right w:val="none" w:sz="0" w:space="0" w:color="auto"/>
          </w:divBdr>
        </w:div>
      </w:divsChild>
    </w:div>
    <w:div w:id="1197619323">
      <w:bodyDiv w:val="1"/>
      <w:marLeft w:val="0"/>
      <w:marRight w:val="0"/>
      <w:marTop w:val="0"/>
      <w:marBottom w:val="0"/>
      <w:divBdr>
        <w:top w:val="none" w:sz="0" w:space="0" w:color="auto"/>
        <w:left w:val="none" w:sz="0" w:space="0" w:color="auto"/>
        <w:bottom w:val="none" w:sz="0" w:space="0" w:color="auto"/>
        <w:right w:val="none" w:sz="0" w:space="0" w:color="auto"/>
      </w:divBdr>
    </w:div>
    <w:div w:id="1243568849">
      <w:bodyDiv w:val="1"/>
      <w:marLeft w:val="0"/>
      <w:marRight w:val="0"/>
      <w:marTop w:val="0"/>
      <w:marBottom w:val="0"/>
      <w:divBdr>
        <w:top w:val="none" w:sz="0" w:space="0" w:color="auto"/>
        <w:left w:val="none" w:sz="0" w:space="0" w:color="auto"/>
        <w:bottom w:val="none" w:sz="0" w:space="0" w:color="auto"/>
        <w:right w:val="none" w:sz="0" w:space="0" w:color="auto"/>
      </w:divBdr>
    </w:div>
    <w:div w:id="1436363104">
      <w:bodyDiv w:val="1"/>
      <w:marLeft w:val="0"/>
      <w:marRight w:val="0"/>
      <w:marTop w:val="0"/>
      <w:marBottom w:val="0"/>
      <w:divBdr>
        <w:top w:val="none" w:sz="0" w:space="0" w:color="auto"/>
        <w:left w:val="none" w:sz="0" w:space="0" w:color="auto"/>
        <w:bottom w:val="none" w:sz="0" w:space="0" w:color="auto"/>
        <w:right w:val="none" w:sz="0" w:space="0" w:color="auto"/>
      </w:divBdr>
    </w:div>
    <w:div w:id="1643995629">
      <w:bodyDiv w:val="1"/>
      <w:marLeft w:val="0"/>
      <w:marRight w:val="0"/>
      <w:marTop w:val="0"/>
      <w:marBottom w:val="0"/>
      <w:divBdr>
        <w:top w:val="none" w:sz="0" w:space="0" w:color="auto"/>
        <w:left w:val="none" w:sz="0" w:space="0" w:color="auto"/>
        <w:bottom w:val="none" w:sz="0" w:space="0" w:color="auto"/>
        <w:right w:val="none" w:sz="0" w:space="0" w:color="auto"/>
      </w:divBdr>
    </w:div>
    <w:div w:id="1703166182">
      <w:bodyDiv w:val="1"/>
      <w:marLeft w:val="0"/>
      <w:marRight w:val="0"/>
      <w:marTop w:val="0"/>
      <w:marBottom w:val="0"/>
      <w:divBdr>
        <w:top w:val="none" w:sz="0" w:space="0" w:color="auto"/>
        <w:left w:val="none" w:sz="0" w:space="0" w:color="auto"/>
        <w:bottom w:val="none" w:sz="0" w:space="0" w:color="auto"/>
        <w:right w:val="none" w:sz="0" w:space="0" w:color="auto"/>
      </w:divBdr>
      <w:divsChild>
        <w:div w:id="860166435">
          <w:marLeft w:val="0"/>
          <w:marRight w:val="0"/>
          <w:marTop w:val="0"/>
          <w:marBottom w:val="0"/>
          <w:divBdr>
            <w:top w:val="none" w:sz="0" w:space="0" w:color="auto"/>
            <w:left w:val="none" w:sz="0" w:space="0" w:color="auto"/>
            <w:bottom w:val="none" w:sz="0" w:space="0" w:color="auto"/>
            <w:right w:val="none" w:sz="0" w:space="0" w:color="auto"/>
          </w:divBdr>
        </w:div>
      </w:divsChild>
    </w:div>
    <w:div w:id="1901280670">
      <w:bodyDiv w:val="1"/>
      <w:marLeft w:val="0"/>
      <w:marRight w:val="0"/>
      <w:marTop w:val="0"/>
      <w:marBottom w:val="0"/>
      <w:divBdr>
        <w:top w:val="none" w:sz="0" w:space="0" w:color="auto"/>
        <w:left w:val="none" w:sz="0" w:space="0" w:color="auto"/>
        <w:bottom w:val="none" w:sz="0" w:space="0" w:color="auto"/>
        <w:right w:val="none" w:sz="0" w:space="0" w:color="auto"/>
      </w:divBdr>
      <w:divsChild>
        <w:div w:id="7712389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18-03/successful-futures.pdf.%20Accessed%20on%2018/04/23" TargetMode="External"/><Relationship Id="rId13" Type="http://schemas.openxmlformats.org/officeDocument/2006/relationships/hyperlink" Target="https://hwb.gov.wales/evaluation-improvement-and-accountability/the-national-resource-evaluation-and-improvement/evaluation-and-improvement-principles/" TargetMode="External"/><Relationship Id="rId3" Type="http://schemas.openxmlformats.org/officeDocument/2006/relationships/styles" Target="styles.xml"/><Relationship Id="rId7" Type="http://schemas.openxmlformats.org/officeDocument/2006/relationships/hyperlink" Target="https://www.bera.ac.uk/publication/ethical-guidelines-for-educational-research-2018%20on%2016/04/2023" TargetMode="External"/><Relationship Id="rId12" Type="http://schemas.openxmlformats.org/officeDocument/2006/relationships/hyperlink" Target="https://www.gov.wales/sites/default/files/publications/2018-03/school-development-plans.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file:///C:/Users/edu-gp/OneDrive%20-%20University%20of%20Wales%20Trinity%20Saint%20David/Desktop/Harvard-eng_v.1.2.pdf" TargetMode="External"/><Relationship Id="rId11" Type="http://schemas.openxmlformats.org/officeDocument/2006/relationships/hyperlink" Target="https://www.professionalacademy.com/blogs/what-are-smart-objectives-and-how-do-i-apply-the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wales/our-national-mission%20Accessed%20on%2018/04/2023" TargetMode="External"/><Relationship Id="rId4" Type="http://schemas.openxmlformats.org/officeDocument/2006/relationships/settings" Target="settings.xml"/><Relationship Id="rId9" Type="http://schemas.openxmlformats.org/officeDocument/2006/relationships/hyperlink" Target="https://www.estyn.gov.wales/system/files/2022-11/Inspection%20report%20anonymised"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5488D-CFE3-42E8-AD9D-2CECB9CD2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732</TotalTime>
  <Pages>10</Pages>
  <Words>3700</Words>
  <Characters>21094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 Bradley-Adams</dc:creator>
  <cp:lastModifiedBy>Jack Bradley-Adams (1250239)</cp:lastModifiedBy>
  <cp:revision>5</cp:revision>
  <dcterms:created xsi:type="dcterms:W3CDTF">2023-05-02T09:04:00Z</dcterms:created>
  <dcterms:modified xsi:type="dcterms:W3CDTF">2023-05-02T21:25:00Z</dcterms:modified>
</cp:coreProperties>
</file>