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Arial" w:cs="Arial" w:eastAsia="Arial" w:hAnsi="Arial"/>
          <w:b w:val="1"/>
          <w:bCs w:val="1"/>
          <w:color w:val="2e74b5"/>
          <w:sz w:val="22"/>
          <w:szCs w:val="22"/>
        </w:rPr>
      </w:pPr>
      <w:bookmarkStart w:colFirst="0" w:colLast="0" w:name="_hgg0v3kpmh5t" w:id="0"/>
      <w:bookmarkEnd w:id="0"/>
      <w:r w:rsidDel="00000000" w:rsidR="00000000" w:rsidRPr="00000000">
        <w:rPr>
          <w:rFonts w:ascii="Arial" w:cs="Arial" w:eastAsia="Arial" w:hAnsi="Arial"/>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rFonts w:ascii="Arial" w:cs="Arial" w:eastAsia="Arial" w:hAnsi="Arial"/>
        </w:rPr>
      </w:pP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rPr>
          <w:rFonts w:ascii="Arial" w:cs="Arial" w:eastAsia="Arial" w:hAnsi="Arial"/>
        </w:rPr>
      </w:pPr>
      <w:r w:rsidDel="00000000" w:rsidR="00000000" w:rsidRPr="00000000">
        <w:rPr>
          <w:rtl w:val="0"/>
        </w:rPr>
      </w:r>
    </w:p>
    <w:p w:rsidR="00000000" w:rsidDel="00000000" w:rsidP="00000000" w:rsidRDefault="00000000" w:rsidRPr="00000000" w14:paraId="00000005">
      <w:pPr>
        <w:rPr>
          <w:rFonts w:ascii="Arial" w:cs="Arial" w:eastAsia="Arial" w:hAnsi="Arial"/>
        </w:rPr>
      </w:pPr>
      <w:r w:rsidDel="00000000" w:rsidR="00000000" w:rsidRPr="00000000">
        <w:rPr>
          <w:rtl w:val="0"/>
        </w:rPr>
      </w:r>
    </w:p>
    <w:p w:rsidR="00000000" w:rsidDel="00000000" w:rsidP="00000000" w:rsidRDefault="00000000" w:rsidRPr="00000000" w14:paraId="00000006">
      <w:pPr>
        <w:rPr>
          <w:rFonts w:ascii="Arial" w:cs="Arial" w:eastAsia="Arial" w:hAnsi="Arial"/>
        </w:rPr>
      </w:pPr>
      <w:r w:rsidDel="00000000" w:rsidR="00000000" w:rsidRPr="00000000">
        <w:rPr>
          <w:rtl w:val="0"/>
        </w:rPr>
      </w:r>
    </w:p>
    <w:p w:rsidR="00000000" w:rsidDel="00000000" w:rsidP="00000000" w:rsidRDefault="00000000" w:rsidRPr="00000000" w14:paraId="00000007">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Name: Mr Farrakh Bashir </w:t>
      </w:r>
    </w:p>
    <w:p w:rsidR="00000000" w:rsidDel="00000000" w:rsidP="00000000" w:rsidRDefault="00000000" w:rsidRPr="00000000" w14:paraId="00000008">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Student ID: 2542349</w:t>
      </w:r>
    </w:p>
    <w:p w:rsidR="00000000" w:rsidDel="00000000" w:rsidP="00000000" w:rsidRDefault="00000000" w:rsidRPr="00000000" w14:paraId="00000009">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Module Code: LCHS4001</w:t>
      </w:r>
    </w:p>
    <w:p w:rsidR="00000000" w:rsidDel="00000000" w:rsidP="00000000" w:rsidRDefault="00000000" w:rsidRPr="00000000" w14:paraId="0000000A">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Module: Digital Skills </w:t>
      </w:r>
    </w:p>
    <w:p w:rsidR="00000000" w:rsidDel="00000000" w:rsidP="00000000" w:rsidRDefault="00000000" w:rsidRPr="00000000" w14:paraId="0000000B">
      <w:pPr>
        <w:jc w:val="both"/>
        <w:rPr>
          <w:rFonts w:ascii="Arial" w:cs="Arial" w:eastAsia="Arial" w:hAnsi="Arial"/>
          <w:sz w:val="28"/>
          <w:szCs w:val="28"/>
        </w:rPr>
      </w:pPr>
      <w:r w:rsidDel="00000000" w:rsidR="00000000" w:rsidRPr="00000000">
        <w:rPr>
          <w:rFonts w:ascii="Arial" w:cs="Arial" w:eastAsia="Arial" w:hAnsi="Arial"/>
          <w:sz w:val="28"/>
          <w:szCs w:val="28"/>
          <w:rtl w:val="0"/>
        </w:rPr>
        <w:t xml:space="preserve">Lecturer: Dr. Syafiq Zolkeply</w:t>
      </w:r>
    </w:p>
    <w:p w:rsidR="00000000" w:rsidDel="00000000" w:rsidP="00000000" w:rsidRDefault="00000000" w:rsidRPr="00000000" w14:paraId="0000000C">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D">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E">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F">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0">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1">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2">
      <w:pPr>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3">
      <w:pPr>
        <w:jc w:val="both"/>
        <w:rPr>
          <w:rFonts w:ascii="Arial" w:cs="Arial" w:eastAsia="Arial" w:hAnsi="Arial"/>
          <w:sz w:val="28"/>
          <w:szCs w:val="28"/>
        </w:rPr>
      </w:pPr>
      <w:r w:rsidDel="00000000" w:rsidR="00000000" w:rsidRPr="00000000">
        <w:rPr>
          <w:rFonts w:ascii="Arial" w:cs="Arial" w:eastAsia="Arial" w:hAnsi="Arial"/>
          <w:sz w:val="28"/>
          <w:szCs w:val="28"/>
          <w:rtl w:val="0"/>
        </w:rPr>
        <w:tab/>
        <w:tab/>
        <w:tab/>
        <w:tab/>
        <w:t xml:space="preserve">Submitted on:    24/10/26</w:t>
      </w:r>
    </w:p>
    <w:p w:rsidR="00000000" w:rsidDel="00000000" w:rsidP="00000000" w:rsidRDefault="00000000" w:rsidRPr="00000000" w14:paraId="00000014">
      <w:pPr>
        <w:rPr>
          <w:rFonts w:ascii="Arial" w:cs="Arial" w:eastAsia="Arial" w:hAnsi="Arial"/>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280" w:before="480" w:line="360" w:lineRule="auto"/>
        <w:ind w:left="0" w:right="0" w:firstLine="0"/>
        <w:jc w:val="left"/>
        <w:rPr>
          <w:rFonts w:ascii="Calibri" w:cs="Calibri" w:eastAsia="Calibri" w:hAnsi="Calibri"/>
          <w:b w:val="1"/>
          <w:bCs w:val="1"/>
          <w:i w:val="0"/>
          <w:iCs w:val="0"/>
          <w:smallCaps w:val="0"/>
          <w:strike w:val="0"/>
          <w:color w:val="2f5496"/>
          <w:sz w:val="28"/>
          <w:szCs w:val="28"/>
          <w:u w:val="none"/>
          <w:shd w:fill="auto" w:val="clear"/>
          <w:vertAlign w:val="baseline"/>
        </w:rPr>
      </w:pPr>
      <w:r w:rsidDel="00000000" w:rsidR="00000000" w:rsidRPr="00000000">
        <w:rPr>
          <w:rFonts w:ascii="Calibri" w:cs="Calibri" w:eastAsia="Calibri" w:hAnsi="Calibri"/>
          <w:b w:val="1"/>
          <w:bCs w:val="1"/>
          <w:i w:val="0"/>
          <w:iCs w:val="0"/>
          <w:smallCaps w:val="0"/>
          <w:strike w:val="0"/>
          <w:color w:val="2f5496"/>
          <w:sz w:val="28"/>
          <w:szCs w:val="28"/>
          <w:u w:val="none"/>
          <w:shd w:fill="auto" w:val="clear"/>
          <w:vertAlign w:val="baseline"/>
          <w:rtl w:val="0"/>
        </w:rPr>
        <w:t xml:space="preserve">Table of Contents</w:t>
      </w:r>
    </w:p>
    <w:sdt>
      <w:sdtPr>
        <w:id w:val="-2121696928"/>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600"/>
              <w:tab w:val="right" w:leader="none"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wk7stdxunhbq">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 </w:t>
            </w:r>
          </w:hyperlink>
          <w:hyperlink w:anchor="_wk7stdxunhbq">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_wk7stdxunhbq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Written Report</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none"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k4qm7x2a7dwc">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1.1 </w:t>
            </w:r>
          </w:hyperlink>
          <w:hyperlink w:anchor="_k4qm7x2a7dwc">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_k4qm7x2a7dwc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Introduction</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none"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3wt9zau8kubw">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1.2 </w:t>
            </w:r>
          </w:hyperlink>
          <w:hyperlink w:anchor="_3wt9zau8kubw">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_3wt9zau8kubw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Description of, and background to, nursing in healthcare</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none"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mf1xo36wqgdc">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1.3 </w:t>
            </w:r>
          </w:hyperlink>
          <w:hyperlink w:anchor="_mf1xo36wqgdc">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_mf1xo36wqgdc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Evaluation of the skills needed for nursing in healthcare</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none"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5dy8is2gk6il">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1.4 </w:t>
            </w:r>
          </w:hyperlink>
          <w:hyperlink w:anchor="_5dy8is2gk6il">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_5dy8is2gk6il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Strategies to improve the skills for nursing</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none"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9lpoci2uw0kz">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1.5 </w:t>
            </w:r>
          </w:hyperlink>
          <w:hyperlink w:anchor="_9lpoci2uw0kz">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_9lpoci2uw0kz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Conclusion</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00"/>
              <w:tab w:val="right" w:leader="none" w:pos="9016"/>
            </w:tabs>
            <w:spacing w:after="0" w:before="120" w:line="360"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ubv0yogu89uz">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1.6 </w:t>
            </w:r>
          </w:hyperlink>
          <w:hyperlink w:anchor="_ubv0yogu89uz">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ab/>
            </w:r>
          </w:hyperlink>
          <w:r w:rsidDel="00000000" w:rsidR="00000000" w:rsidRPr="00000000">
            <w:fldChar w:fldCharType="begin"/>
            <w:instrText xml:space="preserve"> PAGEREF _ubv0yogu89uz \h </w:instrText>
            <w:fldChar w:fldCharType="separate"/>
          </w:r>
          <w:r w:rsidDel="00000000" w:rsidR="00000000" w:rsidRPr="00000000">
            <w:rPr>
              <w:rFonts w:ascii="Calibri" w:cs="Calibri" w:eastAsia="Calibri" w:hAnsi="Calibri"/>
              <w:b w:val="1"/>
              <w:bCs w:val="1"/>
              <w:i w:val="1"/>
              <w:iCs w:val="1"/>
              <w:smallCaps w:val="0"/>
              <w:strike w:val="0"/>
              <w:color w:val="000000"/>
              <w:sz w:val="24"/>
              <w:szCs w:val="24"/>
              <w:u w:val="none"/>
              <w:shd w:fill="auto" w:val="clear"/>
              <w:vertAlign w:val="baseline"/>
              <w:rtl w:val="0"/>
            </w:rPr>
            <w:t xml:space="preserve">Reference List</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D">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F">
      <w:pPr>
        <w:spacing w:line="360" w:lineRule="auto"/>
        <w:jc w:val="both"/>
        <w:rPr>
          <w:rFonts w:ascii="Arial" w:cs="Arial" w:eastAsia="Arial" w:hAnsi="Arial"/>
          <w:sz w:val="28"/>
          <w:szCs w:val="28"/>
        </w:rPr>
      </w:pPr>
      <w:r w:rsidDel="00000000" w:rsidR="00000000" w:rsidRPr="00000000">
        <w:rPr>
          <w:rtl w:val="0"/>
        </w:rPr>
      </w:r>
    </w:p>
    <w:p w:rsidR="00000000" w:rsidDel="00000000" w:rsidP="00000000" w:rsidRDefault="00000000" w:rsidRPr="00000000" w14:paraId="00000020">
      <w:pPr>
        <w:spacing w:line="360" w:lineRule="auto"/>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wk7stdxunhbq" w:id="1"/>
      <w:bookmarkEnd w:id="1"/>
      <w:r w:rsidDel="00000000" w:rsidR="00000000" w:rsidRPr="00000000">
        <w:rPr>
          <w:rtl w:val="0"/>
        </w:rPr>
        <w:t xml:space="preserve">1: </w:t>
        <w:tab/>
        <w:t xml:space="preserve">Written Report</w:t>
      </w:r>
    </w:p>
    <w:p w:rsidR="00000000" w:rsidDel="00000000" w:rsidP="00000000" w:rsidRDefault="00000000" w:rsidRPr="00000000" w14:paraId="00000022">
      <w:pPr>
        <w:pStyle w:val="Heading1"/>
        <w:rPr/>
      </w:pPr>
      <w:bookmarkStart w:colFirst="0" w:colLast="0" w:name="_k4qm7x2a7dwc" w:id="2"/>
      <w:bookmarkEnd w:id="2"/>
      <w:r w:rsidDel="00000000" w:rsidR="00000000" w:rsidRPr="00000000">
        <w:rPr>
          <w:rtl w:val="0"/>
        </w:rPr>
        <w:t xml:space="preserve">1.1 </w:t>
        <w:tab/>
        <w:t xml:space="preserve">Introduction</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Nursing is one of the biggest and most safety-critical areas of health and social work and is the area considered in this report. It has been selected because nurses' roles involve direct and continuous patient interactions throughout the patient's illness, treatment and recovery, and because nursing roles involve the largest proportion of the health workforce worldwide, and their efforts have an outsized impact on the quality and safety of health care the patients receive. This report begins by providing an overview of the role of the nurse and its responsibilities. It then reviews three skills which are fundamental to safe and effective practice and then looks at strategies in which these skills can be developed. The report concludes with a summary of the key arguments and how they relate to the quality of care.</w:t>
      </w:r>
    </w:p>
    <w:p w:rsidR="00000000" w:rsidDel="00000000" w:rsidP="00000000" w:rsidRDefault="00000000" w:rsidRPr="00000000" w14:paraId="00000024">
      <w:pPr>
        <w:pStyle w:val="Heading1"/>
        <w:rPr/>
      </w:pPr>
      <w:bookmarkStart w:colFirst="0" w:colLast="0" w:name="_3wt9zau8kubw" w:id="3"/>
      <w:bookmarkEnd w:id="3"/>
      <w:r w:rsidDel="00000000" w:rsidR="00000000" w:rsidRPr="00000000">
        <w:rPr>
          <w:rtl w:val="0"/>
        </w:rPr>
        <w:t xml:space="preserve">1.2 </w:t>
        <w:tab/>
        <w:t xml:space="preserve">Description of, and background to, nursing in healthcare</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duties of the registered nurse include direct patient assessment, medication administration, monitoring of vital signs, wound care and coordinating patient, family and broader multidisciplinary team care. In 2018, the global nursing workforce was estimated to be 27.9 million, with nurses making up over 50% of the world's health workers, but a global shortage of 5.9 million nurses was identified, with most of these in low- and lower-middle-income countries (World Health Organization, 2020). This scale is used to show the importance of this role in the overall health system's performance. The Nursing and Midwifery Council (2018) outlines four key areas for follower-middle-income-earning nursing and midwifery in the United Kingdom: prioritise people, practise effectively, preserve safety, and promote professionalism and trust. Of these, patient safety is arguably the most significant responsibility, as all other responsibilities, from medication administration to communication with families, are ultimately centred around patient safety. This is a complex role which demands a broad spectrum of technical, cognitive and interpersonal skills, all of which are discussed below, such as the ability to make clinical assessments and to think critically, coordinate and be organised.</w:t>
      </w:r>
    </w:p>
    <w:p w:rsidR="00000000" w:rsidDel="00000000" w:rsidP="00000000" w:rsidRDefault="00000000" w:rsidRPr="00000000" w14:paraId="00000026">
      <w:pPr>
        <w:pStyle w:val="Heading1"/>
        <w:rPr/>
      </w:pPr>
      <w:bookmarkStart w:colFirst="0" w:colLast="0" w:name="_mf1xo36wqgdc" w:id="4"/>
      <w:bookmarkEnd w:id="4"/>
      <w:r w:rsidDel="00000000" w:rsidR="00000000" w:rsidRPr="00000000">
        <w:rPr>
          <w:b w:val="1"/>
          <w:bCs w:val="1"/>
          <w:rtl w:val="0"/>
        </w:rPr>
        <w:t xml:space="preserve">1.3 </w:t>
        <w:tab/>
        <w:t xml:space="preserve">Evaluation of the skills needed for nursing in healthcare</w:t>
      </w:r>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There are three skills that are essential to safe landing practice: communication, critical thinking/clinical judgement and organisational/workload management skills. These were chosen because they are clearly and measurably related to patient outcomes and are not just a professional quality.</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skill which is most often stated as underpinning safe, individual responsibility is communication. Communication between the nurse and patient is important and should befamilyNameous, kind and centred and should include the family members of the patient and not just the patient (Kourkouta, Papathanasiou, 2014). Structured verbal handover between shifts, when it is most evident, involves a patient's condition, treatment plan and any outstanding issues being communicated verbally to ensure safe and effective care is ongoing. When a patient's condition has not changed recently (for instance, an increase in early warning score), this can directly delay recognition of deterioration during a handover.</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nurse uses critical thinking and clinical judgement to interpret the data, for example, trends in blood pressure, heart rate and/or oxygen saturation, and determine when a patient's condition needs to be escalated. This is the skill that makes routine observation meaningful clinical assessment and is strongly correlated with not noticing or not recognising patient deterioration, one of the most pre-eminent causes of avoidable harm in hospitals.</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organisation and workload management skills a nurse has will dictate how a nurse spends limited time on a number of patients with conflicting needs. There is good empirical evidence to support the importance of this skill. In the European study by Aiken et al. (2014) conducted in nine countries, greater patient-to-nurse ratios were independent of nurse education level, which was independently associated with increased hospital mortality after common surgical procedures, with lower proportions of degree-educated nurses associated with higher hospital mortality. This shows that working safely with a workload is not just an administrative convenience but a measurable factor in whether routine care is delivered that results in patient survival (Aiken et al., 2021).</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implications of these three skills are real and not theoretical: failure to provide nursing care, failure to escalate the level of care when a patient becomes more unwell, increased mortality and morbidity rates, failure to satisfy the patient with the nursing care and, in extreme circumstances, referral of patients to the Nursing and Midwifery Council's fitness-to-practise proceedings.</w:t>
      </w:r>
    </w:p>
    <w:p w:rsidR="00000000" w:rsidDel="00000000" w:rsidP="00000000" w:rsidRDefault="00000000" w:rsidRPr="00000000" w14:paraId="0000002C">
      <w:pPr>
        <w:pStyle w:val="Heading1"/>
        <w:rPr/>
      </w:pPr>
      <w:bookmarkStart w:colFirst="0" w:colLast="0" w:name="_5dy8is2gk6il" w:id="5"/>
      <w:bookmarkEnd w:id="5"/>
      <w:r w:rsidDel="00000000" w:rsidR="00000000" w:rsidRPr="00000000">
        <w:rPr>
          <w:b w:val="1"/>
          <w:bCs w:val="1"/>
          <w:rtl w:val="0"/>
        </w:rPr>
        <w:t xml:space="preserve">1.4 </w:t>
        <w:tab/>
        <w:t xml:space="preserve">Strategies to improve the skills for nursing</w:t>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There are at least three ways of building and sustaining the skills described above: structured reflective practice, simulation-based training and continuing professional development that is associated with simulation-based learning.</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Structured reflective practice is a method of reflection, such as Gibbs' cycle, which is a systematic approach to describing an event, analysing feelings and behaviours, and identifying future action points for the nurse. This approach is directly reflected in UK nursing regulation, as revalidation with the Nursing and Midwifery Council (NMC) requires nurses to provide five written reflective accounts that relate to the Code every three years, as well as 450 hours of practice and 35 hours of regulated professional development, including at least 20 hours of participatory learning with others (Nursing and Midwifery Council, 2018). The reflection of this type directly reinforces critical practice, and it makes the nurse think critically about the clinical reasoning of a past action, rather than automatically doing what he or she has always done.</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simulation-based training enables nurses to rehearse the recognition and escalation of deteriorating patients in a realistic setting but in a safe manner through mannequins or scenario-based training which simulates real physiological changes. Repeated exposures to deteriorated scenarios create the pattern recognition which leads to good clinical judgement without risking actual patients for a trainee's early error.</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Structured mentoring and continuing professional development are used to tackle communication and workload issues. Frequent exposure to the stress of such work pressures is one of the main causes of burnout of nurses, which has been associated with poor communication and higher error rates (Dall'Ora et al., 2020). Having a new nurse paired with an experienced nurse will not only provide direct, supervised practice in prioritisation and handover communication but also help prevent nurses from becoming burnt out with the associated poor communication and higher error rate. The strategies selected were those that were already in the professional regulation or in use within the education system and therefore are not theoretical but could be implemented.</w:t>
      </w:r>
    </w:p>
    <w:p w:rsidR="00000000" w:rsidDel="00000000" w:rsidP="00000000" w:rsidRDefault="00000000" w:rsidRPr="00000000" w14:paraId="00000031">
      <w:pPr>
        <w:pStyle w:val="Heading1"/>
        <w:rPr/>
      </w:pPr>
      <w:bookmarkStart w:colFirst="0" w:colLast="0" w:name="_9lpoci2uw0kz" w:id="6"/>
      <w:bookmarkEnd w:id="6"/>
      <w:r w:rsidDel="00000000" w:rsidR="00000000" w:rsidRPr="00000000">
        <w:rPr>
          <w:rtl w:val="0"/>
        </w:rPr>
        <w:t xml:space="preserve">1.5 </w:t>
        <w:tab/>
        <w:t xml:space="preserve">Conclusion</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report has explored the role of the nurse, discussed three of the most critical and underlying skills of the role (communication, critical thinking, and organisational/workload management), and looked at ways of developing these skills, such as through reflective practice, simulation training or structured CPD. The reviewed evidence suggests that these skills are not professional ideals that are abstract but instead are quantifiable factors that can influence patient outcomes and survival rates. The need for more nurses will continue to be greater than the supply, and therefore, the continuous growth of these skills will form a key element in providing safe, high-quality health and social care.</w:t>
      </w:r>
    </w:p>
    <w:p w:rsidR="00000000" w:rsidDel="00000000" w:rsidP="00000000" w:rsidRDefault="00000000" w:rsidRPr="00000000" w14:paraId="00000033">
      <w:pPr>
        <w:pStyle w:val="Heading1"/>
        <w:rPr/>
      </w:pPr>
      <w:bookmarkStart w:colFirst="0" w:colLast="0" w:name="_tn85nm381c7y" w:id="7"/>
      <w:bookmarkEnd w:id="7"/>
      <w:r w:rsidDel="00000000" w:rsidR="00000000" w:rsidRPr="00000000">
        <w:rPr>
          <w:rtl w:val="0"/>
        </w:rPr>
        <w:t xml:space="preserve">1.6 </w:t>
        <w:tab/>
        <w:t xml:space="preserve">Reference List</w:t>
      </w:r>
    </w:p>
    <w:p w:rsidR="00000000" w:rsidDel="00000000" w:rsidP="00000000" w:rsidRDefault="00000000" w:rsidRPr="00000000" w14:paraId="00000034">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Aiken, L.H., Sloane, D.M., Bruyneel, L., Van den Heede, K., Griffiths, P., Busse, R., Diomidous, M., Kinnunen, J., Kozka, M., Lesaffre, E., McHugh, M.T., Moreno-Casbas, M.T., Rafferty, A.M., Schwendimann, R., Scott, P.A., Tishelman, C., van Achterberg, T. and Sermeus, W. (2014) 'Nurse staffing and education and hospital mortality in nine European countries: a retrospective observational study', The Lancet, 383(9931), pp. 1824-1830.</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Aiken, L.H., Sloane, D.M., Ball, J., Bruyneel, L., Rafferty, A.M. and Griffiths, P. (2021). Patient satisfaction with hospital care and nurses in England: An observational study.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BMJ open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8(1). doi:10.1136/bmjopen-2017-019189.</w:t>
      </w:r>
    </w:p>
    <w:p w:rsidR="00000000" w:rsidDel="00000000" w:rsidP="00000000" w:rsidRDefault="00000000" w:rsidRPr="00000000" w14:paraId="00000036">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Dall'Ora, C., Ball, J., Reinius, M. and Griffiths, P. (2020) 'Burnout in nursing: a theoretical review', Human Resources for Health, 18(41).</w:t>
      </w:r>
    </w:p>
    <w:p w:rsidR="00000000" w:rsidDel="00000000" w:rsidP="00000000" w:rsidRDefault="00000000" w:rsidRPr="00000000" w14:paraId="00000037">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Kourkouta, L. and Papathanasiou, I.V. (2014) 'Communication in nursing practice', Materia Socio-Medica, 26(1), pp. 65-67.</w:t>
      </w:r>
    </w:p>
    <w:p w:rsidR="00000000" w:rsidDel="00000000" w:rsidP="00000000" w:rsidRDefault="00000000" w:rsidRPr="00000000" w14:paraId="00000038">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Nursing and Midwifery Council (2018) The Code: Professional Standards of Practice and Behaviour for Nurses, Midwives and Nursing Associates. London: NMC.</w:t>
      </w:r>
    </w:p>
    <w:p w:rsidR="00000000" w:rsidDel="00000000" w:rsidP="00000000" w:rsidRDefault="00000000" w:rsidRPr="00000000" w14:paraId="00000039">
      <w:pPr>
        <w:spacing w:after="16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World Health Organization (2020) State of the World's Nursing 2020: Investing in Education, Jobs and Leadership. Geneva: WHO.</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after="220" w:before="220" w:line="360" w:lineRule="auto"/>
      <w:jc w:val="both"/>
    </w:pPr>
    <w:rPr>
      <w:rFonts w:ascii="Arial" w:cs="Arial" w:eastAsia="Arial" w:hAnsi="Arial"/>
      <w:b w:val="1"/>
      <w:bCs w:val="1"/>
      <w:color w:val="000000"/>
      <w:sz w:val="22"/>
      <w:szCs w:val="22"/>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1"/>
      <w:iCs w:val="1"/>
      <w:smallCaps w:val="0"/>
      <w:strike w:val="0"/>
      <w:color w:val="2e74b5"/>
      <w:sz w:val="20"/>
      <w:szCs w:val="20"/>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2e74b5"/>
      <w:sz w:val="20"/>
      <w:szCs w:val="20"/>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1f4d78"/>
      <w:sz w:val="20"/>
      <w:szCs w:val="20"/>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Times New Roman" w:cs="Times New Roman" w:eastAsia="Times New Roman" w:hAnsi="Times New Roman"/>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