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C4EBA2" w:rsidP="35D65A3A" w:rsidRDefault="65C4EBA2" w14:paraId="64D00DEA" w14:textId="352ECFDC">
      <w:pPr>
        <w:pStyle w:val="Normal"/>
        <w:spacing w:before="240" w:beforeAutospacing="off" w:after="240" w:afterAutospacing="off"/>
      </w:pP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Module: Project</w:t>
      </w: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 xml:space="preserve"> Management</w:t>
      </w:r>
    </w:p>
    <w:p w:rsidR="65C4EBA2" w:rsidP="35D65A3A" w:rsidRDefault="65C4EBA2" w14:paraId="5B986A74" w14:textId="09719C47">
      <w:pPr>
        <w:pStyle w:val="Normal"/>
        <w:spacing w:before="240" w:beforeAutospacing="off" w:after="240" w:afterAutospacing="off"/>
      </w:pP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 xml:space="preserve">Module </w:t>
      </w: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Code:LCLM</w:t>
      </w: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 xml:space="preserve">5003 </w:t>
      </w:r>
    </w:p>
    <w:p w:rsidR="65C4EBA2" w:rsidP="35D65A3A" w:rsidRDefault="65C4EBA2" w14:paraId="3B317355" w14:textId="1CE2F3ED">
      <w:pPr>
        <w:pStyle w:val="Normal"/>
        <w:spacing w:before="240" w:beforeAutospacing="off" w:after="240" w:afterAutospacing="off"/>
      </w:pP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 xml:space="preserve">Student Name: Akeel Ali </w:t>
      </w:r>
    </w:p>
    <w:p w:rsidR="65C4EBA2" w:rsidP="35D65A3A" w:rsidRDefault="65C4EBA2" w14:paraId="4129423A" w14:textId="435DAAD4">
      <w:pPr>
        <w:pStyle w:val="Normal"/>
        <w:spacing w:before="240" w:beforeAutospacing="off" w:after="240" w:afterAutospacing="off"/>
      </w:pP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Student ID:2410749</w:t>
      </w:r>
    </w:p>
    <w:p w:rsidR="65C4EBA2" w:rsidP="35D65A3A" w:rsidRDefault="65C4EBA2" w14:paraId="2C250021" w14:textId="4808D778">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5002AB2" w14:textId="03198385">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0A885F6" w14:textId="660E284C">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2D925A1F" w14:textId="470D6AD7">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70E32762" w14:textId="48CD2961">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31670F13" w14:textId="0D42F9A2">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55D1633D" w14:textId="2AF302B1">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2525B81" w14:textId="0A524108">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652E9D9D" w14:textId="651B542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34AFD7D1" w14:textId="194FC0DE">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8E7026F" w14:textId="64ABF52F">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48A61085" w14:textId="2BD6B866">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BE563C7" w14:textId="799536E1">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4718F472" w14:textId="64B1ACB2">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0C58219C" w14:textId="692D483C">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5C7AE2CC" w14:textId="47AFEDF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751E915E" w14:textId="3506A9DC">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5CB4F210" w14:textId="75EDCFDB">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3DA89AD3" w14:textId="6BACED1B">
      <w:pPr>
        <w:pStyle w:val="Normal"/>
        <w:spacing w:before="240" w:beforeAutospacing="off" w:after="240" w:afterAutospacing="off"/>
      </w:pPr>
      <w:r w:rsidRPr="35D65A3A" w:rsidR="371FFB57">
        <w:rPr>
          <w:rFonts w:ascii="Aptos" w:hAnsi="Aptos" w:eastAsia="Aptos" w:cs="Aptos"/>
          <w:b w:val="0"/>
          <w:bCs w:val="0"/>
          <w:i w:val="0"/>
          <w:iCs w:val="0"/>
          <w:caps w:val="0"/>
          <w:smallCaps w:val="0"/>
          <w:noProof w:val="0"/>
          <w:color w:val="000000" w:themeColor="text1" w:themeTint="FF" w:themeShade="FF"/>
          <w:sz w:val="24"/>
          <w:szCs w:val="24"/>
          <w:lang w:val="en-US"/>
        </w:rPr>
        <w:t>Part 1 Poster</w:t>
      </w:r>
    </w:p>
    <w:p w:rsidR="65C4EBA2" w:rsidP="35D65A3A" w:rsidRDefault="65C4EBA2" w14:paraId="644E1C08" w14:textId="28E2553E">
      <w:pPr>
        <w:pStyle w:val="Normal"/>
        <w:spacing w:before="240" w:beforeAutospacing="off" w:after="240" w:afterAutospacing="off"/>
      </w:pPr>
      <w:r w:rsidR="371FFB57">
        <w:drawing>
          <wp:inline wp14:editId="53ECFF64" wp14:anchorId="436C4B74">
            <wp:extent cx="5943600" cy="3352800"/>
            <wp:effectExtent l="0" t="0" r="0" b="0"/>
            <wp:docPr id="9051577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5157707" name="Picture 905157707"/>
                    <pic:cNvPicPr/>
                  </pic:nvPicPr>
                  <pic:blipFill>
                    <a:blip xmlns:r="http://schemas.openxmlformats.org/officeDocument/2006/relationships" r:embed="rId1510669306">
                      <a:extLst>
                        <a:ext uri="{28A0092B-C50C-407E-A947-70E740481C1C}">
                          <a14:useLocalDpi xmlns:a14="http://schemas.microsoft.com/office/drawing/2010/main"/>
                        </a:ext>
                      </a:extLst>
                    </a:blip>
                    <a:stretch>
                      <a:fillRect/>
                    </a:stretch>
                  </pic:blipFill>
                  <pic:spPr>
                    <a:xfrm>
                      <a:off x="0" y="0"/>
                      <a:ext cx="5943600" cy="3352800"/>
                    </a:xfrm>
                    <a:prstGeom prst="rect">
                      <a:avLst/>
                    </a:prstGeom>
                  </pic:spPr>
                </pic:pic>
              </a:graphicData>
            </a:graphic>
          </wp:inline>
        </w:drawing>
      </w:r>
    </w:p>
    <w:p w:rsidR="65C4EBA2" w:rsidP="35D65A3A" w:rsidRDefault="65C4EBA2" w14:paraId="3A6BCC76" w14:textId="1CC3238A">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2C737DD2" w14:textId="21C07592">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2B419CC3" w14:textId="17AFB6FB">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41D86928" w14:textId="5220C8C1">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5BC8A2DA" w14:textId="56854975">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35390083" w14:textId="6CD58AA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35F56FB8" w14:textId="7EF4A2C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4094C75E" w14:textId="544FCA54">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29F527B0" w14:textId="71F458F3">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20392A8C" w14:textId="76A4B697">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7B8E3DD0" w14:textId="5A5449B4">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13DCB73B" w14:textId="7456E87D">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D65A3A" w:rsidR="35D65A3A">
        <w:rPr>
          <w:rFonts w:ascii="Aptos" w:hAnsi="Aptos" w:eastAsia="Aptos" w:cs="Aptos"/>
          <w:b w:val="0"/>
          <w:bCs w:val="0"/>
          <w:i w:val="0"/>
          <w:iCs w:val="0"/>
          <w:caps w:val="0"/>
          <w:smallCaps w:val="0"/>
          <w:noProof w:val="0"/>
          <w:color w:val="000000" w:themeColor="text1" w:themeTint="FF" w:themeShade="FF"/>
          <w:sz w:val="24"/>
          <w:szCs w:val="24"/>
          <w:lang w:val="en-US"/>
        </w:rPr>
        <w:t xml:space="preserve">Feedback Part B </w:t>
      </w:r>
    </w:p>
    <w:p w:rsidR="65C4EBA2" w:rsidP="35D65A3A" w:rsidRDefault="65C4EBA2" w14:paraId="6D108686" w14:textId="4DD24C9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The feedback received from the tutor and peers provided a valuable basis for critically evaluating the strengths and limitations of my initial poster submission and for informing the development of the final project management plan. A key strength identified was the clarity and coherence of the background and rationale. The explanation of the transport hub’s closure and its operational, economic and social consequences demonstrated an ability to situate the redevelopment within broader strategic priorities such as accessibility, sustainability, digital integration and economic recovery. This reflects effective alignment with established project management principles, particularly the need to ensure that project objectives correspond with organisational and policy goals (PMI, 2021).</w:t>
      </w:r>
    </w:p>
    <w:p w:rsidR="65C4EBA2" w:rsidP="35D65A3A" w:rsidRDefault="65C4EBA2" w14:paraId="15655B1D" w14:textId="39240C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Another strength highlighted was the structured and comprehensive nature of the poster. The clear organisation of objectives, scope, stakeholders, risks and strategic value indicated a sound understanding of core project planning components. Stakeholder identification was recognised as particularly effective, capturing the diverse interests of transport operators, local authorities, businesses, commuters and advocacy groups. This suggests an appreciation of stakeholder complexity and the importance of inclusive engagement in major infrastructure projects, consistent with stakeholder theory (Freeman, 2010). The feedback also acknowledged the balanced consideration of operational and strategic outcomes, demonstrating an ability to connect immediate functional needs with long</w:t>
      </w:r>
      <w:r>
        <w:noBreakHyphen/>
      </w: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term urban development goals, which aligns with infrastructure planning literature emphasising future</w:t>
      </w:r>
      <w:r>
        <w:noBreakHyphen/>
      </w: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proofing and resilience (UKGBC, 2024).</w:t>
      </w:r>
    </w:p>
    <w:p w:rsidR="65C4EBA2" w:rsidP="35D65A3A" w:rsidRDefault="65C4EBA2" w14:paraId="6E8AED57" w14:textId="6B5D3F34">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Despite these strengths, the feedback identified several areas requiring improvement. The most significant was the need for deeper critical analysis of risks and trade</w:t>
      </w:r>
      <w:r>
        <w:noBreakHyphen/>
      </w:r>
      <w:r w:rsidRPr="35D65A3A" w:rsidR="50A2CB68">
        <w:rPr>
          <w:rFonts w:ascii="Aptos" w:hAnsi="Aptos" w:eastAsia="Aptos" w:cs="Aptos"/>
          <w:b w:val="0"/>
          <w:bCs w:val="0"/>
          <w:i w:val="0"/>
          <w:iCs w:val="0"/>
          <w:caps w:val="0"/>
          <w:smallCaps w:val="0"/>
          <w:noProof w:val="0"/>
          <w:color w:val="000000" w:themeColor="text1" w:themeTint="FF" w:themeShade="FF"/>
          <w:sz w:val="24"/>
          <w:szCs w:val="24"/>
          <w:lang w:val="en-US"/>
        </w:rPr>
        <w:t>offs. Although risks were listed, their potential impacts and the strategies required to manage them were not sufficiently explored. This indicates a need to move beyond descriptive content towards more evaluative discussion informed by project management theory, such as probability–impact analysis and structured mitigation planning (Hillson, 2017). The feedback also emphasised the need for stronger academic support. While some references were included, the analysis would benefit from greater engagement with established frameworks such as stakeholder analysis models, risk management methodologies and infrastructure planning theory. Additionally, the feedback noted that the poster lacked measurable indicators of project success, suggesting that the justification for anticipated outcomes required greater specificity and quantification, consistent with the importance of performance metrics in project evaluation (Kerzner, 2019).</w:t>
      </w:r>
    </w:p>
    <w:p w:rsidR="65C4EBA2" w:rsidP="35D65A3A" w:rsidRDefault="65C4EBA2" w14:paraId="1BC4C85D" w14:textId="3FC2F02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0A2CB68">
        <w:rPr>
          <w:rFonts w:ascii="Aptos" w:hAnsi="Aptos" w:eastAsia="Aptos" w:cs="Aptos"/>
          <w:b w:val="0"/>
          <w:bCs w:val="0"/>
          <w:i w:val="0"/>
          <w:iCs w:val="0"/>
          <w:caps w:val="0"/>
          <w:smallCaps w:val="0"/>
          <w:noProof w:val="0"/>
          <w:color w:val="000000" w:themeColor="text1" w:themeTint="FF" w:themeShade="FF"/>
          <w:sz w:val="24"/>
          <w:szCs w:val="24"/>
          <w:lang w:val="en-US"/>
        </w:rPr>
        <w:t>This feedback has directly informed revisions to the final project management plan. First, the risk analysis section has been expanded to include probability–impact assessments and mitigation strategies grounded in recognised frameworks such as the PMI risk management process. Second, measurable performance indicators have been incorporated to strengthen evaluation of project success, including metrics relating to accessibility improvements, digital system performance, environmental outcomes and economic recovery. Third, the theoretical foundation of the plan has been strengthened through engagement with academic and industry literature, enhancing the credibility and rigour of the analysis. Finally, the strategic alignment section has been refined to more clearly demonstrate how the redevelopment supports long</w:t>
      </w:r>
      <w:r>
        <w:noBreakHyphen/>
      </w:r>
      <w:r w:rsidRPr="542CA659" w:rsidR="50A2CB68">
        <w:rPr>
          <w:rFonts w:ascii="Aptos" w:hAnsi="Aptos" w:eastAsia="Aptos" w:cs="Aptos"/>
          <w:b w:val="0"/>
          <w:bCs w:val="0"/>
          <w:i w:val="0"/>
          <w:iCs w:val="0"/>
          <w:caps w:val="0"/>
          <w:smallCaps w:val="0"/>
          <w:noProof w:val="0"/>
          <w:color w:val="000000" w:themeColor="text1" w:themeTint="FF" w:themeShade="FF"/>
          <w:sz w:val="24"/>
          <w:szCs w:val="24"/>
          <w:lang w:val="en-US"/>
        </w:rPr>
        <w:t>term transport objectives and national policy priorities.</w:t>
      </w:r>
    </w:p>
    <w:p w:rsidR="65C4EBA2" w:rsidP="35D65A3A" w:rsidRDefault="65C4EBA2" w14:paraId="3368456C" w14:textId="2D634BA7">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0F57E782" w14:textId="7975DD8F">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5C4EBA2" w:rsidP="35D65A3A" w:rsidRDefault="65C4EBA2" w14:paraId="4255FC14" w14:textId="593C1E87">
      <w:pPr>
        <w:pStyle w:val="Heading1"/>
        <w:spacing w:before="322" w:beforeAutospacing="off" w:after="322" w:afterAutospacing="off"/>
        <w:rPr>
          <w:rFonts w:ascii="Aptos" w:hAnsi="Aptos" w:eastAsia="Aptos" w:cs="Aptos"/>
          <w:b w:val="1"/>
          <w:bCs w:val="1"/>
          <w:noProof w:val="0"/>
          <w:sz w:val="48"/>
          <w:szCs w:val="48"/>
          <w:lang w:val="en-US"/>
        </w:rPr>
      </w:pPr>
    </w:p>
    <w:p w:rsidR="65C4EBA2" w:rsidP="35D65A3A" w:rsidRDefault="65C4EBA2" w14:paraId="1E7E1560" w14:textId="552FB450">
      <w:pPr>
        <w:pStyle w:val="Heading1"/>
        <w:spacing w:before="322" w:beforeAutospacing="off" w:after="322" w:afterAutospacing="off"/>
        <w:rPr>
          <w:rFonts w:ascii="Aptos" w:hAnsi="Aptos" w:eastAsia="Aptos" w:cs="Aptos"/>
          <w:b w:val="1"/>
          <w:bCs w:val="1"/>
          <w:noProof w:val="0"/>
          <w:sz w:val="48"/>
          <w:szCs w:val="48"/>
          <w:lang w:val="en-US"/>
        </w:rPr>
      </w:pPr>
    </w:p>
    <w:p w:rsidR="65C4EBA2" w:rsidP="542CA659" w:rsidRDefault="65C4EBA2" w14:paraId="1D9C4E75" w14:textId="61152C7A">
      <w:pPr>
        <w:pStyle w:val="Heading1"/>
        <w:spacing w:before="322" w:beforeAutospacing="off" w:after="322" w:afterAutospacing="off"/>
        <w:rPr>
          <w:rFonts w:ascii="Aptos" w:hAnsi="Aptos" w:eastAsia="Aptos" w:cs="Aptos"/>
          <w:b w:val="1"/>
          <w:bCs w:val="1"/>
          <w:noProof w:val="0"/>
          <w:sz w:val="48"/>
          <w:szCs w:val="48"/>
          <w:lang w:val="en-US"/>
        </w:rPr>
      </w:pPr>
    </w:p>
    <w:p w:rsidR="65C4EBA2" w:rsidP="542CA659" w:rsidRDefault="65C4EBA2" w14:paraId="24C3CBF5" w14:textId="142A4622">
      <w:pPr>
        <w:pStyle w:val="Heading1"/>
        <w:spacing w:before="322" w:beforeAutospacing="off" w:after="322" w:afterAutospacing="off"/>
        <w:rPr>
          <w:rFonts w:ascii="Aptos" w:hAnsi="Aptos" w:eastAsia="Aptos" w:cs="Aptos"/>
          <w:b w:val="1"/>
          <w:bCs w:val="1"/>
          <w:noProof w:val="0"/>
          <w:sz w:val="48"/>
          <w:szCs w:val="48"/>
          <w:lang w:val="en-US"/>
        </w:rPr>
      </w:pPr>
    </w:p>
    <w:p w:rsidR="65C4EBA2" w:rsidP="542CA659" w:rsidRDefault="65C4EBA2" w14:paraId="00315AE1" w14:textId="7FB6FC5B">
      <w:pPr>
        <w:pStyle w:val="Heading1"/>
        <w:spacing w:before="322" w:beforeAutospacing="off" w:after="322" w:afterAutospacing="off"/>
        <w:rPr>
          <w:rFonts w:ascii="Aptos" w:hAnsi="Aptos" w:eastAsia="Aptos" w:cs="Aptos"/>
          <w:b w:val="1"/>
          <w:bCs w:val="1"/>
          <w:noProof w:val="0"/>
          <w:sz w:val="48"/>
          <w:szCs w:val="48"/>
          <w:lang w:val="en-US"/>
        </w:rPr>
      </w:pPr>
    </w:p>
    <w:p w:rsidR="65C4EBA2" w:rsidP="542CA659" w:rsidRDefault="65C4EBA2" w14:paraId="11F3A0DC" w14:textId="4EC9CBC3">
      <w:pPr>
        <w:pStyle w:val="Heading1"/>
        <w:spacing w:before="322" w:beforeAutospacing="off" w:after="322" w:afterAutospacing="off"/>
        <w:rPr>
          <w:rFonts w:ascii="Aptos" w:hAnsi="Aptos" w:eastAsia="Aptos" w:cs="Aptos"/>
          <w:b w:val="1"/>
          <w:bCs w:val="1"/>
          <w:noProof w:val="0"/>
          <w:sz w:val="48"/>
          <w:szCs w:val="48"/>
          <w:lang w:val="en-US"/>
        </w:rPr>
      </w:pPr>
    </w:p>
    <w:p w:rsidR="65C4EBA2" w:rsidP="542CA659" w:rsidRDefault="65C4EBA2" w14:paraId="5532C720" w14:textId="1B901997">
      <w:pPr>
        <w:pStyle w:val="Heading1"/>
        <w:spacing w:before="322" w:beforeAutospacing="off" w:after="322" w:afterAutospacing="off"/>
        <w:rPr>
          <w:rFonts w:ascii="Aptos" w:hAnsi="Aptos" w:eastAsia="Aptos" w:cs="Aptos"/>
          <w:b w:val="1"/>
          <w:bCs w:val="1"/>
          <w:noProof w:val="0"/>
          <w:sz w:val="48"/>
          <w:szCs w:val="48"/>
          <w:lang w:val="en-US"/>
        </w:rPr>
      </w:pPr>
    </w:p>
    <w:p w:rsidR="65C4EBA2" w:rsidP="35D65A3A" w:rsidRDefault="65C4EBA2" w14:paraId="5E1C2CB7" w14:textId="35E01424">
      <w:pPr>
        <w:pStyle w:val="Heading1"/>
        <w:spacing w:before="322" w:beforeAutospacing="off" w:after="322" w:afterAutospacing="off"/>
      </w:pPr>
      <w:r w:rsidRPr="542CA659" w:rsidR="3251ADC9">
        <w:rPr>
          <w:rFonts w:ascii="Aptos" w:hAnsi="Aptos" w:eastAsia="Aptos" w:cs="Aptos"/>
          <w:b w:val="1"/>
          <w:bCs w:val="1"/>
          <w:noProof w:val="0"/>
          <w:sz w:val="48"/>
          <w:szCs w:val="48"/>
          <w:lang w:val="en-US"/>
        </w:rPr>
        <w:t xml:space="preserve">Project Management Plan </w:t>
      </w:r>
    </w:p>
    <w:p w:rsidR="65C4EBA2" w:rsidP="6770E20B" w:rsidRDefault="65C4EBA2" w14:paraId="31FC53F9" w14:textId="654AAA30">
      <w:pPr>
        <w:spacing w:before="240" w:beforeAutospacing="off" w:after="240" w:afterAutospacing="off"/>
      </w:pPr>
      <w:r w:rsidRPr="35D65A3A" w:rsidR="3251ADC9">
        <w:rPr>
          <w:rFonts w:ascii="Aptos" w:hAnsi="Aptos" w:eastAsia="Aptos" w:cs="Aptos"/>
          <w:b w:val="1"/>
          <w:bCs w:val="1"/>
          <w:noProof w:val="0"/>
          <w:sz w:val="24"/>
          <w:szCs w:val="24"/>
          <w:lang w:val="en-US"/>
        </w:rPr>
        <w:t>Redevelopment of the Central Transport Hub</w:t>
      </w:r>
    </w:p>
    <w:p w:rsidR="65C4EBA2" w:rsidP="35D65A3A" w:rsidRDefault="65C4EBA2" w14:paraId="184E2F9C" w14:textId="3FE2A267">
      <w:pPr>
        <w:pStyle w:val="Heading2"/>
        <w:spacing w:before="299" w:beforeAutospacing="off" w:after="299" w:afterAutospacing="off"/>
      </w:pPr>
      <w:r w:rsidRPr="35D65A3A" w:rsidR="3251ADC9">
        <w:rPr>
          <w:rFonts w:ascii="Aptos" w:hAnsi="Aptos" w:eastAsia="Aptos" w:cs="Aptos"/>
          <w:b w:val="1"/>
          <w:bCs w:val="1"/>
          <w:noProof w:val="0"/>
          <w:sz w:val="36"/>
          <w:szCs w:val="36"/>
          <w:lang w:val="en-US"/>
        </w:rPr>
        <w:t>1. Introduction</w:t>
      </w:r>
    </w:p>
    <w:p w:rsidR="65C4EBA2" w:rsidP="6770E20B" w:rsidRDefault="65C4EBA2" w14:paraId="624B34E8" w14:textId="64E8124F">
      <w:pPr>
        <w:spacing w:before="240" w:beforeAutospacing="off" w:after="240" w:afterAutospacing="off"/>
      </w:pPr>
      <w:r w:rsidRPr="35D65A3A" w:rsidR="3251ADC9">
        <w:rPr>
          <w:rFonts w:ascii="Aptos" w:hAnsi="Aptos" w:eastAsia="Aptos" w:cs="Aptos"/>
          <w:noProof w:val="0"/>
          <w:sz w:val="24"/>
          <w:szCs w:val="24"/>
          <w:lang w:val="en-US"/>
        </w:rPr>
        <w:t>This Project Management Plan (PMP) presents a comprehensive and academically grounded framework for the redevelopment of the central transport hub, which ceased operations in November 2025 due to failing safety, accessibility and digital infrastructure standards (DfT, 2024). The closure created significant operational disruption across rail, bus and freight services, resulting in commuter delays, supply chain inefficiencies and reduced business footfall. The redevelopment project therefore represents a critical intervention aimed at restoring transport capacity, improving operational efficiency and supporting wider economic regeneration. The PMP demonstrates the application of recognised project management methodologies, including PMBOK</w:t>
      </w:r>
      <w:r>
        <w:noBreakHyphen/>
      </w:r>
      <w:r w:rsidRPr="35D65A3A" w:rsidR="3251ADC9">
        <w:rPr>
          <w:rFonts w:ascii="Aptos" w:hAnsi="Aptos" w:eastAsia="Aptos" w:cs="Aptos"/>
          <w:noProof w:val="0"/>
          <w:sz w:val="24"/>
          <w:szCs w:val="24"/>
          <w:lang w:val="en-US"/>
        </w:rPr>
        <w:t>aligned processes for scope definition, scheduling, stakeholder engagement, resource allocation and risk management (PMI, 2021). It also integrates contemporary project management thinking, such as agile responsiveness to stakeholder needs, sustainability</w:t>
      </w:r>
      <w:r>
        <w:noBreakHyphen/>
      </w:r>
      <w:r w:rsidRPr="35D65A3A" w:rsidR="3251ADC9">
        <w:rPr>
          <w:rFonts w:ascii="Aptos" w:hAnsi="Aptos" w:eastAsia="Aptos" w:cs="Aptos"/>
          <w:noProof w:val="0"/>
          <w:sz w:val="24"/>
          <w:szCs w:val="24"/>
          <w:lang w:val="en-US"/>
        </w:rPr>
        <w:t>driven planning and digital transformation principles (Kerzner, 2019). By outlining the project’s objectives, scope, structure, risks and resource requirements, this PMP provides a structured roadmap that guides the project from initiation through to completion, ensuring that the redevelopment is delivered efficiently, transparently and in alignment with strategic city priorities.</w:t>
      </w:r>
    </w:p>
    <w:p w:rsidR="65C4EBA2" w:rsidP="6770E20B" w:rsidRDefault="65C4EBA2" w14:paraId="5BD4EBCE" w14:textId="14994A68">
      <w:pPr>
        <w:spacing w:before="240" w:beforeAutospacing="off" w:after="240" w:afterAutospacing="off"/>
      </w:pPr>
      <w:r w:rsidRPr="35D65A3A" w:rsidR="3251ADC9">
        <w:rPr>
          <w:rFonts w:ascii="Aptos" w:hAnsi="Aptos" w:eastAsia="Aptos" w:cs="Aptos"/>
          <w:noProof w:val="0"/>
          <w:sz w:val="24"/>
          <w:szCs w:val="24"/>
          <w:lang w:val="en-US"/>
        </w:rPr>
        <w:t>The redevelopment of the transport hub is not merely a construction project; it is a strategic urban transformation initiative. Modern transport hubs function as economic anchors, digital gateways and sustainability drivers within cities (Flyvbjerg, 2023). As such, the PMP emphasises the importance of integrating accessibility, digital innovation and environmental performance into the project’s core design. The plan also recognises the need for robust governance structures, clear communication channels and proactive risk mitigation strategies to ensure that the project remains on schedule and within budget (Muller, 2017). Through this structured approach, the PMP aims to deliver a future</w:t>
      </w:r>
      <w:r>
        <w:noBreakHyphen/>
      </w:r>
      <w:r w:rsidRPr="35D65A3A" w:rsidR="3251ADC9">
        <w:rPr>
          <w:rFonts w:ascii="Aptos" w:hAnsi="Aptos" w:eastAsia="Aptos" w:cs="Aptos"/>
          <w:noProof w:val="0"/>
          <w:sz w:val="24"/>
          <w:szCs w:val="24"/>
          <w:lang w:val="en-US"/>
        </w:rPr>
        <w:t>proofed transport hub that enhances regional connectivity, supports long</w:t>
      </w:r>
      <w:r>
        <w:noBreakHyphen/>
      </w:r>
      <w:r w:rsidRPr="35D65A3A" w:rsidR="3251ADC9">
        <w:rPr>
          <w:rFonts w:ascii="Aptos" w:hAnsi="Aptos" w:eastAsia="Aptos" w:cs="Aptos"/>
          <w:noProof w:val="0"/>
          <w:sz w:val="24"/>
          <w:szCs w:val="24"/>
          <w:lang w:val="en-US"/>
        </w:rPr>
        <w:t>term economic growth and contributes to the city’s sustainability commitments. The introduction also acknowledges the importance of aligning the project with national transport strategies, ensuring that the redevelopment contributes to wider policy objectives such as decarbonisation, digital mobility and inclusive transport (UKGBC, 2024).</w:t>
      </w:r>
    </w:p>
    <w:p w:rsidR="65C4EBA2" w:rsidP="35D65A3A" w:rsidRDefault="65C4EBA2" w14:paraId="5DD19728" w14:textId="1632872E">
      <w:pPr>
        <w:pStyle w:val="Heading2"/>
        <w:spacing w:before="299" w:beforeAutospacing="off" w:after="299" w:afterAutospacing="off"/>
      </w:pPr>
      <w:r w:rsidRPr="35D65A3A" w:rsidR="3251ADC9">
        <w:rPr>
          <w:rFonts w:ascii="Aptos" w:hAnsi="Aptos" w:eastAsia="Aptos" w:cs="Aptos"/>
          <w:b w:val="1"/>
          <w:bCs w:val="1"/>
          <w:noProof w:val="0"/>
          <w:sz w:val="36"/>
          <w:szCs w:val="36"/>
          <w:lang w:val="en-US"/>
        </w:rPr>
        <w:t>2. Project Description</w:t>
      </w:r>
    </w:p>
    <w:p w:rsidR="65C4EBA2" w:rsidP="6770E20B" w:rsidRDefault="65C4EBA2" w14:paraId="401738E3" w14:textId="43F3E195">
      <w:pPr>
        <w:spacing w:before="240" w:beforeAutospacing="off" w:after="240" w:afterAutospacing="off"/>
      </w:pPr>
      <w:r w:rsidRPr="35D65A3A" w:rsidR="3251ADC9">
        <w:rPr>
          <w:rFonts w:ascii="Aptos" w:hAnsi="Aptos" w:eastAsia="Aptos" w:cs="Aptos"/>
          <w:noProof w:val="0"/>
          <w:sz w:val="24"/>
          <w:szCs w:val="24"/>
          <w:lang w:val="en-US"/>
        </w:rPr>
        <w:t>The redevelopment project seeks to transform the outdated transport hub into a modern multimodal interchange capable of supporting increased passenger volumes, freight efficiency and integrated digital mobility services. The existing facility, built more than four decades ago, no longer meets regulatory standards or operational requirements (DfT, 2024). Its closure highlighted the urgent need for a comprehensive redevelopment that addresses structural deficiencies, accessibility limitations and digital obsolescence. The new hub will incorporate step</w:t>
      </w:r>
      <w:r>
        <w:noBreakHyphen/>
      </w:r>
      <w:r w:rsidRPr="35D65A3A" w:rsidR="3251ADC9">
        <w:rPr>
          <w:rFonts w:ascii="Aptos" w:hAnsi="Aptos" w:eastAsia="Aptos" w:cs="Aptos"/>
          <w:noProof w:val="0"/>
          <w:sz w:val="24"/>
          <w:szCs w:val="24"/>
          <w:lang w:val="en-US"/>
        </w:rPr>
        <w:t>free access, tactile paving, modern lifts, escalators and inclusive wayfinding systems to meet accessibility standards and ensure that all users, including those with disabilities, can navigate the facility safely and independently (LGA, 2025).</w:t>
      </w:r>
    </w:p>
    <w:p w:rsidR="65C4EBA2" w:rsidP="6770E20B" w:rsidRDefault="65C4EBA2" w14:paraId="4FE2B99A" w14:textId="37B2DC0E">
      <w:pPr>
        <w:spacing w:before="240" w:beforeAutospacing="off" w:after="240" w:afterAutospacing="off"/>
      </w:pPr>
      <w:r w:rsidRPr="35D65A3A" w:rsidR="3251ADC9">
        <w:rPr>
          <w:rFonts w:ascii="Aptos" w:hAnsi="Aptos" w:eastAsia="Aptos" w:cs="Aptos"/>
          <w:noProof w:val="0"/>
          <w:sz w:val="24"/>
          <w:szCs w:val="24"/>
          <w:lang w:val="en-US"/>
        </w:rPr>
        <w:t>Digital infrastructure forms a central component of the redevelopment. The project will include 5G connectivity, real</w:t>
      </w:r>
      <w:r>
        <w:noBreakHyphen/>
      </w:r>
      <w:r w:rsidRPr="35D65A3A" w:rsidR="3251ADC9">
        <w:rPr>
          <w:rFonts w:ascii="Aptos" w:hAnsi="Aptos" w:eastAsia="Aptos" w:cs="Aptos"/>
          <w:noProof w:val="0"/>
          <w:sz w:val="24"/>
          <w:szCs w:val="24"/>
          <w:lang w:val="en-US"/>
        </w:rPr>
        <w:t>time passenger information systems and integrated mobility platforms that support smart transport operations. These digital enhancements will enable seamless coordination between rail, bus and freight services, improve passenger experience and support data</w:t>
      </w:r>
      <w:r>
        <w:noBreakHyphen/>
      </w:r>
      <w:r w:rsidRPr="35D65A3A" w:rsidR="3251ADC9">
        <w:rPr>
          <w:rFonts w:ascii="Aptos" w:hAnsi="Aptos" w:eastAsia="Aptos" w:cs="Aptos"/>
          <w:noProof w:val="0"/>
          <w:sz w:val="24"/>
          <w:szCs w:val="24"/>
          <w:lang w:val="en-US"/>
        </w:rPr>
        <w:t>driven decision</w:t>
      </w:r>
      <w:r>
        <w:noBreakHyphen/>
      </w:r>
      <w:r w:rsidRPr="35D65A3A" w:rsidR="3251ADC9">
        <w:rPr>
          <w:rFonts w:ascii="Aptos" w:hAnsi="Aptos" w:eastAsia="Aptos" w:cs="Aptos"/>
          <w:noProof w:val="0"/>
          <w:sz w:val="24"/>
          <w:szCs w:val="24"/>
          <w:lang w:val="en-US"/>
        </w:rPr>
        <w:t>making (PMI, 2021). The integration of cybersecurity measures will ensure that digital systems remain secure, resilient and compliant with regulatory standards. The project also incorporates digital redundancy planning to ensure continuity of operations in the event of system failures (Kerzner, 2019).</w:t>
      </w:r>
    </w:p>
    <w:p w:rsidR="65C4EBA2" w:rsidP="6770E20B" w:rsidRDefault="65C4EBA2" w14:paraId="706205B4" w14:textId="7CFE9324">
      <w:pPr>
        <w:spacing w:before="240" w:beforeAutospacing="off" w:after="240" w:afterAutospacing="off"/>
      </w:pPr>
      <w:r w:rsidRPr="35D65A3A" w:rsidR="3251ADC9">
        <w:rPr>
          <w:rFonts w:ascii="Aptos" w:hAnsi="Aptos" w:eastAsia="Aptos" w:cs="Aptos"/>
          <w:noProof w:val="0"/>
          <w:sz w:val="24"/>
          <w:szCs w:val="24"/>
          <w:lang w:val="en-US"/>
        </w:rPr>
        <w:t>Environmental enhancements will include electric vehicle charging points, green roofing, energy</w:t>
      </w:r>
      <w:r>
        <w:noBreakHyphen/>
      </w:r>
      <w:r w:rsidRPr="35D65A3A" w:rsidR="3251ADC9">
        <w:rPr>
          <w:rFonts w:ascii="Aptos" w:hAnsi="Aptos" w:eastAsia="Aptos" w:cs="Aptos"/>
          <w:noProof w:val="0"/>
          <w:sz w:val="24"/>
          <w:szCs w:val="24"/>
          <w:lang w:val="en-US"/>
        </w:rPr>
        <w:t>efficient lighting and sustainable construction materials aligned with net</w:t>
      </w:r>
      <w:r>
        <w:noBreakHyphen/>
      </w:r>
      <w:r w:rsidRPr="35D65A3A" w:rsidR="3251ADC9">
        <w:rPr>
          <w:rFonts w:ascii="Aptos" w:hAnsi="Aptos" w:eastAsia="Aptos" w:cs="Aptos"/>
          <w:noProof w:val="0"/>
          <w:sz w:val="24"/>
          <w:szCs w:val="24"/>
          <w:lang w:val="en-US"/>
        </w:rPr>
        <w:t>zero commitments (UKGBC, 2024). These measures reflect the growing emphasis on environmental sustainability within infrastructure projects and align with national and local climate objectives. The redevelopment is expected to stimulate economic recovery by improving commuter flows, supporting local businesses and enhancing regional connectivity (Flyvbjerg, 2023). The project will be delivered through a phased approach beginning with demolition and site preparation, followed by construction, digital installation, environmental improvements and final commissioning. This phased approach ensures that activities are coordinated effectively, risks are managed proactively and resources are allocated efficiently (Meredith &amp; Mantel, 2017). The project description also recognises the importance of future scalability, ensuring that the hub can accommodate future transport technologies such as autonomous vehicles and expanded rail capacity.</w:t>
      </w:r>
    </w:p>
    <w:p w:rsidR="65C4EBA2" w:rsidP="35D65A3A" w:rsidRDefault="65C4EBA2" w14:paraId="1ED96E64" w14:textId="33B97A1E">
      <w:pPr>
        <w:pStyle w:val="Heading2"/>
        <w:spacing w:before="299" w:beforeAutospacing="off" w:after="299" w:afterAutospacing="off"/>
      </w:pPr>
      <w:r w:rsidRPr="35D65A3A" w:rsidR="3251ADC9">
        <w:rPr>
          <w:rFonts w:ascii="Aptos" w:hAnsi="Aptos" w:eastAsia="Aptos" w:cs="Aptos"/>
          <w:b w:val="1"/>
          <w:bCs w:val="1"/>
          <w:noProof w:val="0"/>
          <w:sz w:val="36"/>
          <w:szCs w:val="36"/>
          <w:lang w:val="en-US"/>
        </w:rPr>
        <w:t>3. Scope</w:t>
      </w:r>
    </w:p>
    <w:p w:rsidR="65C4EBA2" w:rsidP="6770E20B" w:rsidRDefault="65C4EBA2" w14:paraId="1F9BA738" w14:textId="10EFA5D8">
      <w:pPr>
        <w:spacing w:before="240" w:beforeAutospacing="off" w:after="240" w:afterAutospacing="off"/>
      </w:pPr>
      <w:r w:rsidRPr="35D65A3A" w:rsidR="3251ADC9">
        <w:rPr>
          <w:rFonts w:ascii="Aptos" w:hAnsi="Aptos" w:eastAsia="Aptos" w:cs="Aptos"/>
          <w:noProof w:val="0"/>
          <w:sz w:val="24"/>
          <w:szCs w:val="24"/>
          <w:lang w:val="en-US"/>
        </w:rPr>
        <w:t>The scope of the project encompasses all activities required to deliver a fully modernised transport hub. This includes the redevelopment of rail platforms, bus terminals and freight facilities, alongside the installation of accessibility upgrades and digital systems. Environmental improvements form a core part of the scope, ensuring the hub contributes to sustainability and net</w:t>
      </w:r>
      <w:r>
        <w:noBreakHyphen/>
      </w:r>
      <w:r w:rsidRPr="35D65A3A" w:rsidR="3251ADC9">
        <w:rPr>
          <w:rFonts w:ascii="Aptos" w:hAnsi="Aptos" w:eastAsia="Aptos" w:cs="Aptos"/>
          <w:noProof w:val="0"/>
          <w:sz w:val="24"/>
          <w:szCs w:val="24"/>
          <w:lang w:val="en-US"/>
        </w:rPr>
        <w:t>zero objectives (UKGBC, 2024). The scope also includes stakeholder engagement, regulatory compliance, procurement processes, testing and commissioning activities. By defining the scope clearly, the PMP ensures that all project activities are aligned with strategic objectives and that resources are allocated appropriately (PMI, 2021).</w:t>
      </w:r>
    </w:p>
    <w:p w:rsidR="65C4EBA2" w:rsidP="6770E20B" w:rsidRDefault="65C4EBA2" w14:paraId="552C9798" w14:textId="5FB48F57">
      <w:pPr>
        <w:spacing w:before="240" w:beforeAutospacing="off" w:after="240" w:afterAutospacing="off"/>
      </w:pPr>
      <w:r w:rsidRPr="35D65A3A" w:rsidR="3251ADC9">
        <w:rPr>
          <w:rFonts w:ascii="Aptos" w:hAnsi="Aptos" w:eastAsia="Aptos" w:cs="Aptos"/>
          <w:noProof w:val="0"/>
          <w:sz w:val="24"/>
          <w:szCs w:val="24"/>
          <w:lang w:val="en-US"/>
        </w:rPr>
        <w:t>The scope excludes wider city transport policy reform, private commercial developments not directly linked to the hub and long</w:t>
      </w:r>
      <w:r>
        <w:noBreakHyphen/>
      </w:r>
      <w:r w:rsidRPr="35D65A3A" w:rsidR="3251ADC9">
        <w:rPr>
          <w:rFonts w:ascii="Aptos" w:hAnsi="Aptos" w:eastAsia="Aptos" w:cs="Aptos"/>
          <w:noProof w:val="0"/>
          <w:sz w:val="24"/>
          <w:szCs w:val="24"/>
          <w:lang w:val="en-US"/>
        </w:rPr>
        <w:t>term regional rail expansion. These exclusions ensure that the project remains focused on delivering the core infrastructure required to restore transport capacity and improve operational efficiency. Scope management will be maintained through a formal change</w:t>
      </w:r>
      <w:r>
        <w:noBreakHyphen/>
      </w:r>
      <w:r w:rsidRPr="35D65A3A" w:rsidR="3251ADC9">
        <w:rPr>
          <w:rFonts w:ascii="Aptos" w:hAnsi="Aptos" w:eastAsia="Aptos" w:cs="Aptos"/>
          <w:noProof w:val="0"/>
          <w:sz w:val="24"/>
          <w:szCs w:val="24"/>
          <w:lang w:val="en-US"/>
        </w:rPr>
        <w:t>control process to prevent scope creep and ensure alignment with project objectives (Kerzner, 2019). Any proposed changes will be evaluated for feasibility, cost implications and alignment with strategic priorities before approval. This structured approach to scope management ensures that the project remains on schedule, within budget and aligned with stakeholder expectations. The scope section also emphasises the importance of defining deliverables clearly, ensuring that all project outputs are measurable, verifiable and aligned with user needs (Turner, 2014).</w:t>
      </w:r>
    </w:p>
    <w:p w:rsidR="65C4EBA2" w:rsidP="35D65A3A" w:rsidRDefault="65C4EBA2" w14:paraId="2D5780F9" w14:textId="485E1135">
      <w:pPr>
        <w:pStyle w:val="Heading2"/>
        <w:spacing w:before="299" w:beforeAutospacing="off" w:after="299" w:afterAutospacing="off"/>
      </w:pPr>
      <w:r w:rsidRPr="35D65A3A" w:rsidR="3251ADC9">
        <w:rPr>
          <w:rFonts w:ascii="Aptos" w:hAnsi="Aptos" w:eastAsia="Aptos" w:cs="Aptos"/>
          <w:b w:val="1"/>
          <w:bCs w:val="1"/>
          <w:noProof w:val="0"/>
          <w:sz w:val="36"/>
          <w:szCs w:val="36"/>
          <w:lang w:val="en-US"/>
        </w:rPr>
        <w:t>4. Work Breakdown Structure (WBS)</w:t>
      </w:r>
    </w:p>
    <w:p w:rsidR="65C4EBA2" w:rsidP="6770E20B" w:rsidRDefault="65C4EBA2" w14:paraId="5CDD978B" w14:textId="04DD753F">
      <w:pPr>
        <w:spacing w:before="240" w:beforeAutospacing="off" w:after="240" w:afterAutospacing="off"/>
      </w:pPr>
      <w:r w:rsidRPr="35D65A3A" w:rsidR="3251ADC9">
        <w:rPr>
          <w:rFonts w:ascii="Aptos" w:hAnsi="Aptos" w:eastAsia="Aptos" w:cs="Aptos"/>
          <w:noProof w:val="0"/>
          <w:sz w:val="24"/>
          <w:szCs w:val="24"/>
          <w:lang w:val="en-US"/>
        </w:rPr>
        <w:t>The Work Breakdown Structure divides the project into hierarchical components that support effective planning, scheduling and resource allocation (PMI, 2021). At the highest level, the project is divided into seven major phases: project management and governance, site preparation, construction of transport facilities, accessibility enhancements, digital infrastructure installation, environmental improvements and testing and commissioning. Project management and governance include initiation, stakeholder engagement and monitoring activities. These activities ensure that the project is guided by clear governance structures, effective communication channels and robust monitoring mechanisms (Muller, 2017).</w:t>
      </w:r>
    </w:p>
    <w:p w:rsidR="65C4EBA2" w:rsidP="6770E20B" w:rsidRDefault="65C4EBA2" w14:paraId="00BE7506" w14:textId="7A9BC544">
      <w:pPr>
        <w:spacing w:before="240" w:beforeAutospacing="off" w:after="240" w:afterAutospacing="off"/>
      </w:pPr>
      <w:r w:rsidRPr="35D65A3A" w:rsidR="3251ADC9">
        <w:rPr>
          <w:rFonts w:ascii="Aptos" w:hAnsi="Aptos" w:eastAsia="Aptos" w:cs="Aptos"/>
          <w:noProof w:val="0"/>
          <w:sz w:val="24"/>
          <w:szCs w:val="24"/>
          <w:lang w:val="en-US"/>
        </w:rPr>
        <w:t>Site preparation involves demolition of existing structures, environmental assessments and groundworks. These activities are essential for preparing the site for construction and ensuring compliance with environmental regulations (DfT, 2024). Construction activities include the development of rail platforms, bus terminals and freight facilities. This phase represents the most resource</w:t>
      </w:r>
      <w:r>
        <w:noBreakHyphen/>
      </w:r>
      <w:r w:rsidRPr="35D65A3A" w:rsidR="3251ADC9">
        <w:rPr>
          <w:rFonts w:ascii="Aptos" w:hAnsi="Aptos" w:eastAsia="Aptos" w:cs="Aptos"/>
          <w:noProof w:val="0"/>
          <w:sz w:val="24"/>
          <w:szCs w:val="24"/>
          <w:lang w:val="en-US"/>
        </w:rPr>
        <w:t>intensive component of the project and requires careful coordination between contractors, engineers and regulatory bodies (Meredith &amp; Mantel, 2017). The WBS also incorporates quality assurance processes to ensure that construction activities meet regulatory and safety standards.</w:t>
      </w:r>
    </w:p>
    <w:p w:rsidR="65C4EBA2" w:rsidP="6770E20B" w:rsidRDefault="65C4EBA2" w14:paraId="08835981" w14:textId="243CF8E7">
      <w:pPr>
        <w:spacing w:before="240" w:beforeAutospacing="off" w:after="240" w:afterAutospacing="off"/>
      </w:pPr>
      <w:r w:rsidRPr="35D65A3A" w:rsidR="3251ADC9">
        <w:rPr>
          <w:rFonts w:ascii="Aptos" w:hAnsi="Aptos" w:eastAsia="Aptos" w:cs="Aptos"/>
          <w:noProof w:val="0"/>
          <w:sz w:val="24"/>
          <w:szCs w:val="24"/>
          <w:lang w:val="en-US"/>
        </w:rPr>
        <w:t>Accessibility enhancements encompass step</w:t>
      </w:r>
      <w:r>
        <w:noBreakHyphen/>
      </w:r>
      <w:r w:rsidRPr="35D65A3A" w:rsidR="3251ADC9">
        <w:rPr>
          <w:rFonts w:ascii="Aptos" w:hAnsi="Aptos" w:eastAsia="Aptos" w:cs="Aptos"/>
          <w:noProof w:val="0"/>
          <w:sz w:val="24"/>
          <w:szCs w:val="24"/>
          <w:lang w:val="en-US"/>
        </w:rPr>
        <w:t>free access, lift systems and inclusive signage. These enhancements ensure that the hub meets modern accessibility standards and supports inclusive transport (LGA, 2025). Digital infrastructure includes 5G installation, real</w:t>
      </w:r>
      <w:r>
        <w:noBreakHyphen/>
      </w:r>
      <w:r w:rsidRPr="35D65A3A" w:rsidR="3251ADC9">
        <w:rPr>
          <w:rFonts w:ascii="Aptos" w:hAnsi="Aptos" w:eastAsia="Aptos" w:cs="Aptos"/>
          <w:noProof w:val="0"/>
          <w:sz w:val="24"/>
          <w:szCs w:val="24"/>
          <w:lang w:val="en-US"/>
        </w:rPr>
        <w:t>time information systems and cybersecurity measures. These digital enhancements support smart transport operations and improve passenger experience (Kerzner, 2019). Environmental improvements involve EV charging infrastructure, green roofing and energy</w:t>
      </w:r>
      <w:r>
        <w:noBreakHyphen/>
      </w:r>
      <w:r w:rsidRPr="35D65A3A" w:rsidR="3251ADC9">
        <w:rPr>
          <w:rFonts w:ascii="Aptos" w:hAnsi="Aptos" w:eastAsia="Aptos" w:cs="Aptos"/>
          <w:noProof w:val="0"/>
          <w:sz w:val="24"/>
          <w:szCs w:val="24"/>
          <w:lang w:val="en-US"/>
        </w:rPr>
        <w:t>efficient lighting. These measures support sustainability objectives and reduce the hub’s environmental footprint (UKGBC, 2024). The final phase includes safety testing, operational testing and handover. This phase ensures that the hub is safe, operationally efficient and ready for public use (Turner, 2014). The WBS also highlights the importance of documentation and training activities to ensure that operational staff are prepared for the transition to the new facility.</w:t>
      </w:r>
    </w:p>
    <w:p w:rsidR="65C4EBA2" w:rsidP="35D65A3A" w:rsidRDefault="65C4EBA2" w14:paraId="013C4681" w14:textId="3B049DF7">
      <w:pPr>
        <w:pStyle w:val="Heading2"/>
        <w:spacing w:before="299" w:beforeAutospacing="off" w:after="299" w:afterAutospacing="off"/>
      </w:pPr>
      <w:r w:rsidRPr="35D65A3A" w:rsidR="3251ADC9">
        <w:rPr>
          <w:rFonts w:ascii="Aptos" w:hAnsi="Aptos" w:eastAsia="Aptos" w:cs="Aptos"/>
          <w:b w:val="1"/>
          <w:bCs w:val="1"/>
          <w:noProof w:val="0"/>
          <w:sz w:val="36"/>
          <w:szCs w:val="36"/>
          <w:lang w:val="en-US"/>
        </w:rPr>
        <w:t>5. Quad Chart</w:t>
      </w:r>
    </w:p>
    <w:tbl>
      <w:tblPr>
        <w:tblStyle w:val="TableGrid"/>
        <w:tblW w:w="0" w:type="auto"/>
        <w:tblLook w:val="06A0" w:firstRow="1" w:lastRow="0" w:firstColumn="1" w:lastColumn="0" w:noHBand="1" w:noVBand="1"/>
      </w:tblPr>
      <w:tblGrid>
        <w:gridCol w:w="2010"/>
        <w:gridCol w:w="7350"/>
      </w:tblGrid>
      <w:tr w:rsidR="35D65A3A" w:rsidTr="35D65A3A" w14:paraId="309E5923">
        <w:trPr>
          <w:trHeight w:val="300"/>
        </w:trPr>
        <w:tc>
          <w:tcPr>
            <w:tcW w:w="2010" w:type="dxa"/>
            <w:tcMar/>
          </w:tcPr>
          <w:p w:rsidR="6D34E622" w:rsidP="35D65A3A" w:rsidRDefault="6D34E622" w14:paraId="1A79CCFC" w14:textId="25B1500C">
            <w:pPr>
              <w:pStyle w:val="Normal"/>
            </w:pPr>
            <w:r w:rsidRPr="35D65A3A" w:rsidR="6D34E622">
              <w:rPr>
                <w:rFonts w:ascii="Aptos" w:hAnsi="Aptos" w:eastAsia="Aptos" w:cs="Aptos"/>
                <w:noProof w:val="0"/>
                <w:sz w:val="24"/>
                <w:szCs w:val="24"/>
                <w:lang w:val="en-US"/>
              </w:rPr>
              <w:t>Quadrant</w:t>
            </w:r>
          </w:p>
        </w:tc>
        <w:tc>
          <w:tcPr>
            <w:tcW w:w="7350" w:type="dxa"/>
            <w:tcMar/>
          </w:tcPr>
          <w:p w:rsidR="6D34E622" w:rsidP="35D65A3A" w:rsidRDefault="6D34E622" w14:paraId="5CCE34D3" w14:textId="50FCB049">
            <w:pPr>
              <w:pStyle w:val="Normal"/>
            </w:pPr>
            <w:r w:rsidRPr="35D65A3A" w:rsidR="6D34E622">
              <w:rPr>
                <w:noProof w:val="0"/>
                <w:lang w:val="en-US"/>
              </w:rPr>
              <w:t>Content</w:t>
            </w:r>
          </w:p>
        </w:tc>
      </w:tr>
      <w:tr w:rsidR="35D65A3A" w:rsidTr="35D65A3A" w14:paraId="316BD938">
        <w:trPr>
          <w:trHeight w:val="300"/>
        </w:trPr>
        <w:tc>
          <w:tcPr>
            <w:tcW w:w="2010" w:type="dxa"/>
            <w:tcMar/>
          </w:tcPr>
          <w:p w:rsidR="6D34E622" w:rsidP="35D65A3A" w:rsidRDefault="6D34E622" w14:paraId="4DA9A8FB" w14:textId="727CDD34">
            <w:pPr>
              <w:pStyle w:val="Normal"/>
            </w:pPr>
            <w:r w:rsidRPr="35D65A3A" w:rsidR="6D34E622">
              <w:rPr>
                <w:noProof w:val="0"/>
                <w:lang w:val="en-US"/>
              </w:rPr>
              <w:t>Project Objective</w:t>
            </w:r>
          </w:p>
        </w:tc>
        <w:tc>
          <w:tcPr>
            <w:tcW w:w="7350" w:type="dxa"/>
            <w:tcMar/>
          </w:tcPr>
          <w:p w:rsidR="6D34E622" w:rsidP="35D65A3A" w:rsidRDefault="6D34E622" w14:paraId="209650FE" w14:textId="2B000563">
            <w:pPr>
              <w:pStyle w:val="Normal"/>
            </w:pPr>
            <w:r w:rsidRPr="35D65A3A" w:rsidR="6D34E622">
              <w:rPr>
                <w:noProof w:val="0"/>
                <w:lang w:val="en-US"/>
              </w:rPr>
              <w:t>The redevelopment aims to deliver a modern, safe, accessible and digitally integrated transport hub that restores full transport capacity, supports economic recovery, enhances sustainability performance and future</w:t>
            </w:r>
            <w:r>
              <w:noBreakHyphen/>
            </w:r>
            <w:r w:rsidRPr="35D65A3A" w:rsidR="6D34E622">
              <w:rPr>
                <w:noProof w:val="0"/>
                <w:lang w:val="en-US"/>
              </w:rPr>
              <w:t>proofs the city’s transport infrastructure.</w:t>
            </w:r>
          </w:p>
        </w:tc>
      </w:tr>
      <w:tr w:rsidR="35D65A3A" w:rsidTr="35D65A3A" w14:paraId="0AC83D17">
        <w:trPr>
          <w:trHeight w:val="300"/>
        </w:trPr>
        <w:tc>
          <w:tcPr>
            <w:tcW w:w="2010" w:type="dxa"/>
            <w:tcMar/>
          </w:tcPr>
          <w:p w:rsidR="6D34E622" w:rsidP="35D65A3A" w:rsidRDefault="6D34E622" w14:paraId="538F5C7D" w14:textId="577130B0">
            <w:pPr>
              <w:pStyle w:val="Normal"/>
            </w:pPr>
            <w:r w:rsidRPr="35D65A3A" w:rsidR="6D34E622">
              <w:rPr>
                <w:noProof w:val="0"/>
                <w:lang w:val="en-US"/>
              </w:rPr>
              <w:t>Key Capabilities Delivered</w:t>
            </w:r>
          </w:p>
        </w:tc>
        <w:tc>
          <w:tcPr>
            <w:tcW w:w="7350" w:type="dxa"/>
            <w:tcMar/>
          </w:tcPr>
          <w:p w:rsidR="6D34E622" w:rsidP="35D65A3A" w:rsidRDefault="6D34E622" w14:paraId="02B977E4" w14:textId="21A9E373">
            <w:pPr>
              <w:pStyle w:val="Normal"/>
            </w:pPr>
            <w:r w:rsidRPr="35D65A3A" w:rsidR="6D34E622">
              <w:rPr>
                <w:noProof w:val="0"/>
                <w:lang w:val="en-US"/>
              </w:rPr>
              <w:t>The project will deliver upgraded rail, bus and freight facilities, modern accessibility features, integrated digital mobility systems including 5G and real</w:t>
            </w:r>
            <w:r>
              <w:noBreakHyphen/>
            </w:r>
            <w:r w:rsidRPr="35D65A3A" w:rsidR="6D34E622">
              <w:rPr>
                <w:noProof w:val="0"/>
                <w:lang w:val="en-US"/>
              </w:rPr>
              <w:t>time data, and environmental enhancements such as EV charging, green roofing and energy</w:t>
            </w:r>
            <w:r>
              <w:noBreakHyphen/>
            </w:r>
            <w:r w:rsidRPr="35D65A3A" w:rsidR="6D34E622">
              <w:rPr>
                <w:noProof w:val="0"/>
                <w:lang w:val="en-US"/>
              </w:rPr>
              <w:t>efficient systems.</w:t>
            </w:r>
          </w:p>
        </w:tc>
      </w:tr>
      <w:tr w:rsidR="35D65A3A" w:rsidTr="35D65A3A" w14:paraId="7C5A538F">
        <w:trPr>
          <w:trHeight w:val="300"/>
        </w:trPr>
        <w:tc>
          <w:tcPr>
            <w:tcW w:w="2010" w:type="dxa"/>
            <w:tcMar/>
          </w:tcPr>
          <w:p w:rsidR="6D34E622" w:rsidP="35D65A3A" w:rsidRDefault="6D34E622" w14:paraId="172FFC8D" w14:textId="583C59E7">
            <w:pPr>
              <w:pStyle w:val="Normal"/>
            </w:pPr>
            <w:r w:rsidRPr="35D65A3A" w:rsidR="6D34E622">
              <w:rPr>
                <w:noProof w:val="0"/>
                <w:lang w:val="en-US"/>
              </w:rPr>
              <w:t>Stakeholders</w:t>
            </w:r>
          </w:p>
        </w:tc>
        <w:tc>
          <w:tcPr>
            <w:tcW w:w="7350" w:type="dxa"/>
            <w:tcMar/>
          </w:tcPr>
          <w:p w:rsidR="6D34E622" w:rsidP="35D65A3A" w:rsidRDefault="6D34E622" w14:paraId="0A57AB40" w14:textId="74D070B3">
            <w:pPr>
              <w:pStyle w:val="Normal"/>
            </w:pPr>
            <w:r w:rsidRPr="35D65A3A" w:rsidR="6D34E622">
              <w:rPr>
                <w:noProof w:val="0"/>
                <w:lang w:val="en-US"/>
              </w:rPr>
              <w:t>The primary stakeholders include the local authority, Network Rail, rail operators, bus companies, freight logistics organisations, local businesses, commuters, accessibility advocacy groups and environmental organisations.</w:t>
            </w:r>
          </w:p>
        </w:tc>
      </w:tr>
      <w:tr w:rsidR="35D65A3A" w:rsidTr="35D65A3A" w14:paraId="1BBEDBDB">
        <w:trPr>
          <w:trHeight w:val="300"/>
        </w:trPr>
        <w:tc>
          <w:tcPr>
            <w:tcW w:w="2010" w:type="dxa"/>
            <w:tcMar/>
          </w:tcPr>
          <w:p w:rsidR="6D34E622" w:rsidP="35D65A3A" w:rsidRDefault="6D34E622" w14:paraId="02FF1A40" w14:textId="41FBD258">
            <w:pPr>
              <w:pStyle w:val="Normal"/>
            </w:pPr>
            <w:r w:rsidRPr="35D65A3A" w:rsidR="6D34E622">
              <w:rPr>
                <w:noProof w:val="0"/>
                <w:lang w:val="en-US"/>
              </w:rPr>
              <w:t>High</w:t>
            </w:r>
            <w:r>
              <w:noBreakHyphen/>
            </w:r>
            <w:r w:rsidRPr="35D65A3A" w:rsidR="6D34E622">
              <w:rPr>
                <w:noProof w:val="0"/>
                <w:lang w:val="en-US"/>
              </w:rPr>
              <w:t>Level Risks</w:t>
            </w:r>
          </w:p>
        </w:tc>
        <w:tc>
          <w:tcPr>
            <w:tcW w:w="7350" w:type="dxa"/>
            <w:tcMar/>
          </w:tcPr>
          <w:p w:rsidR="6D34E622" w:rsidP="35D65A3A" w:rsidRDefault="6D34E622" w14:paraId="5A654AA5" w14:textId="56AFB67A">
            <w:pPr>
              <w:pStyle w:val="Normal"/>
            </w:pPr>
            <w:r w:rsidRPr="35D65A3A" w:rsidR="6D34E622">
              <w:rPr>
                <w:noProof w:val="0"/>
                <w:lang w:val="en-US"/>
              </w:rPr>
              <w:t>Major risks include cost overruns, construction disruption, cybersecurity vulnerabilities, delays in digital integration, balancing freight and passenger needs and achieving net</w:t>
            </w:r>
            <w:r>
              <w:noBreakHyphen/>
            </w:r>
            <w:r w:rsidRPr="35D65A3A" w:rsidR="6D34E622">
              <w:rPr>
                <w:noProof w:val="0"/>
                <w:lang w:val="en-US"/>
              </w:rPr>
              <w:t>zero goals within budget constraints.</w:t>
            </w:r>
          </w:p>
        </w:tc>
      </w:tr>
    </w:tbl>
    <w:p w:rsidR="65C4EBA2" w:rsidP="35D65A3A" w:rsidRDefault="65C4EBA2" w14:paraId="55E9991B" w14:textId="308BE67E">
      <w:pPr>
        <w:pStyle w:val="Heading2"/>
        <w:suppressLineNumbers w:val="0"/>
        <w:bidi w:val="0"/>
        <w:spacing w:before="299" w:beforeAutospacing="off" w:after="299" w:afterAutospacing="off" w:line="279" w:lineRule="auto"/>
        <w:ind w:left="0" w:right="0"/>
        <w:jc w:val="left"/>
        <w:rPr>
          <w:rFonts w:ascii="Aptos" w:hAnsi="Aptos" w:eastAsia="Aptos" w:cs="Aptos"/>
          <w:b w:val="1"/>
          <w:bCs w:val="1"/>
          <w:noProof w:val="0"/>
          <w:sz w:val="36"/>
          <w:szCs w:val="36"/>
          <w:lang w:val="en-US"/>
        </w:rPr>
      </w:pPr>
    </w:p>
    <w:p w:rsidR="65C4EBA2" w:rsidP="35D65A3A" w:rsidRDefault="65C4EBA2" w14:paraId="26BECA39" w14:textId="52F9447D">
      <w:pPr>
        <w:pStyle w:val="Heading2"/>
        <w:bidi w:val="0"/>
        <w:spacing w:before="299" w:beforeAutospacing="off" w:after="299" w:afterAutospacing="off"/>
        <w:ind w:left="0"/>
      </w:pPr>
      <w:r w:rsidRPr="35D65A3A" w:rsidR="3251ADC9">
        <w:rPr>
          <w:rFonts w:ascii="Aptos" w:hAnsi="Aptos" w:eastAsia="Aptos" w:cs="Aptos"/>
          <w:b w:val="1"/>
          <w:bCs w:val="1"/>
          <w:noProof w:val="0"/>
          <w:sz w:val="36"/>
          <w:szCs w:val="36"/>
          <w:lang w:val="en-US"/>
        </w:rPr>
        <w:t>6. Gantt Chart</w:t>
      </w:r>
    </w:p>
    <w:p w:rsidR="65C4EBA2" w:rsidP="35D65A3A" w:rsidRDefault="65C4EBA2" w14:paraId="63CF43C8" w14:textId="5C3FBD12">
      <w:pPr>
        <w:pStyle w:val="Heading2"/>
        <w:suppressLineNumbers w:val="0"/>
        <w:bidi w:val="0"/>
        <w:spacing w:before="299" w:beforeAutospacing="off" w:after="299" w:afterAutospacing="off" w:line="279" w:lineRule="auto"/>
        <w:ind w:left="0" w:right="0"/>
        <w:jc w:val="left"/>
        <w:rPr>
          <w:rFonts w:ascii="Aptos" w:hAnsi="Aptos" w:eastAsia="Aptos" w:cs="Aptos"/>
          <w:b w:val="1"/>
          <w:bCs w:val="1"/>
          <w:noProof w:val="0"/>
          <w:sz w:val="36"/>
          <w:szCs w:val="36"/>
          <w:lang w:val="en-US"/>
        </w:rPr>
      </w:pPr>
    </w:p>
    <w:tbl>
      <w:tblPr>
        <w:tblStyle w:val="TableGrid"/>
        <w:bidiVisual w:val="0"/>
        <w:tblW w:w="0" w:type="auto"/>
        <w:tblLook w:val="06A0" w:firstRow="1" w:lastRow="0" w:firstColumn="1" w:lastColumn="0" w:noHBand="1" w:noVBand="1"/>
      </w:tblPr>
      <w:tblGrid>
        <w:gridCol w:w="2340"/>
        <w:gridCol w:w="2340"/>
        <w:gridCol w:w="2340"/>
        <w:gridCol w:w="2340"/>
      </w:tblGrid>
      <w:tr w:rsidR="35D65A3A" w:rsidTr="35D65A3A" w14:paraId="7A6AEC30">
        <w:trPr>
          <w:trHeight w:val="300"/>
        </w:trPr>
        <w:tc>
          <w:tcPr>
            <w:tcW w:w="2340" w:type="dxa"/>
            <w:tcMar/>
          </w:tcPr>
          <w:p w:rsidR="1FCF3787" w:rsidP="35D65A3A" w:rsidRDefault="1FCF3787" w14:paraId="725A1060" w14:textId="25C65153">
            <w:pPr>
              <w:pStyle w:val="Heading2"/>
            </w:pPr>
            <w:r w:rsidRPr="35D65A3A" w:rsidR="1FCF3787">
              <w:rPr>
                <w:rFonts w:ascii="Aptos" w:hAnsi="Aptos" w:eastAsia="Aptos" w:cs="Aptos"/>
                <w:b w:val="1"/>
                <w:bCs w:val="1"/>
                <w:noProof w:val="0"/>
                <w:sz w:val="36"/>
                <w:szCs w:val="36"/>
                <w:lang w:val="en-US"/>
              </w:rPr>
              <w:t>Phase</w:t>
            </w:r>
          </w:p>
        </w:tc>
        <w:tc>
          <w:tcPr>
            <w:tcW w:w="2340" w:type="dxa"/>
            <w:tcMar/>
          </w:tcPr>
          <w:p w:rsidR="1FCF3787" w:rsidP="35D65A3A" w:rsidRDefault="1FCF3787" w14:paraId="7A043807" w14:textId="6193C9DA">
            <w:pPr>
              <w:pStyle w:val="Heading2"/>
            </w:pPr>
            <w:r w:rsidRPr="35D65A3A" w:rsidR="1FCF3787">
              <w:rPr>
                <w:rFonts w:ascii="Aptos" w:hAnsi="Aptos" w:eastAsia="Aptos" w:cs="Aptos"/>
                <w:b w:val="1"/>
                <w:bCs w:val="1"/>
                <w:noProof w:val="0"/>
                <w:sz w:val="36"/>
                <w:szCs w:val="36"/>
                <w:lang w:val="en-US"/>
              </w:rPr>
              <w:t>description</w:t>
            </w:r>
          </w:p>
        </w:tc>
        <w:tc>
          <w:tcPr>
            <w:tcW w:w="2340" w:type="dxa"/>
            <w:tcMar/>
          </w:tcPr>
          <w:p w:rsidR="1FCF3787" w:rsidP="35D65A3A" w:rsidRDefault="1FCF3787" w14:paraId="2ABD3EEF" w14:textId="54CCAED3">
            <w:pPr>
              <w:pStyle w:val="Heading2"/>
            </w:pPr>
            <w:r w:rsidRPr="35D65A3A" w:rsidR="1FCF3787">
              <w:rPr>
                <w:rFonts w:ascii="Aptos" w:hAnsi="Aptos" w:eastAsia="Aptos" w:cs="Aptos"/>
                <w:b w:val="1"/>
                <w:bCs w:val="1"/>
                <w:noProof w:val="0"/>
                <w:sz w:val="36"/>
                <w:szCs w:val="36"/>
                <w:lang w:val="en-US"/>
              </w:rPr>
              <w:t>timeline</w:t>
            </w:r>
          </w:p>
        </w:tc>
        <w:tc>
          <w:tcPr>
            <w:tcW w:w="2340" w:type="dxa"/>
            <w:tcMar/>
          </w:tcPr>
          <w:p w:rsidR="1FCF3787" w:rsidP="35D65A3A" w:rsidRDefault="1FCF3787" w14:paraId="6E5A31DF" w14:textId="08DCF18E">
            <w:pPr>
              <w:pStyle w:val="Heading2"/>
            </w:pPr>
            <w:r w:rsidRPr="35D65A3A" w:rsidR="1FCF3787">
              <w:rPr>
                <w:rFonts w:ascii="Aptos" w:hAnsi="Aptos" w:eastAsia="Aptos" w:cs="Aptos"/>
                <w:b w:val="1"/>
                <w:bCs w:val="1"/>
                <w:noProof w:val="0"/>
                <w:sz w:val="36"/>
                <w:szCs w:val="36"/>
                <w:lang w:val="en-US"/>
              </w:rPr>
              <w:t>Month Range</w:t>
            </w:r>
          </w:p>
        </w:tc>
      </w:tr>
      <w:tr w:rsidR="35D65A3A" w:rsidTr="35D65A3A" w14:paraId="6DF866AD">
        <w:trPr>
          <w:trHeight w:val="300"/>
        </w:trPr>
        <w:tc>
          <w:tcPr>
            <w:tcW w:w="2340" w:type="dxa"/>
            <w:tcMar/>
          </w:tcPr>
          <w:p w:rsidR="1FCF3787" w:rsidP="35D65A3A" w:rsidRDefault="1FCF3787" w14:paraId="2302CAD0" w14:textId="78C8EA5F">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Project </w:t>
            </w:r>
            <w:r w:rsidRPr="35D65A3A" w:rsidR="1FCF3787">
              <w:rPr>
                <w:rFonts w:ascii="Aptos" w:hAnsi="Aptos" w:eastAsia="Aptos" w:cs="Aptos"/>
                <w:b w:val="1"/>
                <w:bCs w:val="1"/>
                <w:noProof w:val="0"/>
                <w:sz w:val="18"/>
                <w:szCs w:val="18"/>
                <w:lang w:val="en-US"/>
              </w:rPr>
              <w:t>initiation</w:t>
            </w:r>
            <w:r w:rsidRPr="35D65A3A" w:rsidR="1FCF3787">
              <w:rPr>
                <w:rFonts w:ascii="Aptos" w:hAnsi="Aptos" w:eastAsia="Aptos" w:cs="Aptos"/>
                <w:b w:val="1"/>
                <w:bCs w:val="1"/>
                <w:noProof w:val="0"/>
                <w:sz w:val="18"/>
                <w:szCs w:val="18"/>
                <w:lang w:val="en-US"/>
              </w:rPr>
              <w:t xml:space="preserve"> </w:t>
            </w:r>
          </w:p>
        </w:tc>
        <w:tc>
          <w:tcPr>
            <w:tcW w:w="2340" w:type="dxa"/>
            <w:tcMar/>
          </w:tcPr>
          <w:p w:rsidR="1FCF3787" w:rsidP="35D65A3A" w:rsidRDefault="1FCF3787" w14:paraId="3093FDFC" w14:textId="2D87954D">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Governance set up, procurement, stakeholder engagement</w:t>
            </w:r>
          </w:p>
        </w:tc>
        <w:tc>
          <w:tcPr>
            <w:tcW w:w="2340" w:type="dxa"/>
            <w:tcMar/>
          </w:tcPr>
          <w:p w:rsidR="1FCF3787" w:rsidP="35D65A3A" w:rsidRDefault="1FCF3787" w14:paraId="446D3AB0" w14:textId="61092803">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3 months</w:t>
            </w:r>
          </w:p>
        </w:tc>
        <w:tc>
          <w:tcPr>
            <w:tcW w:w="2340" w:type="dxa"/>
            <w:tcMar/>
          </w:tcPr>
          <w:p w:rsidR="1FCF3787" w:rsidP="35D65A3A" w:rsidRDefault="1FCF3787" w14:paraId="08FBDC57" w14:textId="40AC8FDF">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Months 1-3</w:t>
            </w:r>
          </w:p>
        </w:tc>
      </w:tr>
      <w:tr w:rsidR="35D65A3A" w:rsidTr="35D65A3A" w14:paraId="3F152651">
        <w:trPr>
          <w:trHeight w:val="300"/>
        </w:trPr>
        <w:tc>
          <w:tcPr>
            <w:tcW w:w="2340" w:type="dxa"/>
            <w:tcMar/>
          </w:tcPr>
          <w:p w:rsidR="1FCF3787" w:rsidP="35D65A3A" w:rsidRDefault="1FCF3787" w14:paraId="2961D52D" w14:textId="3E40D81A">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Site </w:t>
            </w:r>
            <w:r w:rsidRPr="35D65A3A" w:rsidR="1FCF3787">
              <w:rPr>
                <w:rFonts w:ascii="Aptos" w:hAnsi="Aptos" w:eastAsia="Aptos" w:cs="Aptos"/>
                <w:b w:val="1"/>
                <w:bCs w:val="1"/>
                <w:noProof w:val="0"/>
                <w:sz w:val="18"/>
                <w:szCs w:val="18"/>
                <w:lang w:val="en-US"/>
              </w:rPr>
              <w:t>preparation</w:t>
            </w:r>
          </w:p>
        </w:tc>
        <w:tc>
          <w:tcPr>
            <w:tcW w:w="2340" w:type="dxa"/>
            <w:tcMar/>
          </w:tcPr>
          <w:p w:rsidR="1FCF3787" w:rsidP="35D65A3A" w:rsidRDefault="1FCF3787" w14:paraId="37E3782D" w14:textId="431D3301">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Demolition environmental </w:t>
            </w:r>
            <w:r w:rsidRPr="35D65A3A" w:rsidR="1FCF3787">
              <w:rPr>
                <w:rFonts w:ascii="Aptos" w:hAnsi="Aptos" w:eastAsia="Aptos" w:cs="Aptos"/>
                <w:b w:val="1"/>
                <w:bCs w:val="1"/>
                <w:noProof w:val="0"/>
                <w:sz w:val="18"/>
                <w:szCs w:val="18"/>
                <w:lang w:val="en-US"/>
              </w:rPr>
              <w:t>assessment</w:t>
            </w:r>
            <w:r w:rsidRPr="35D65A3A" w:rsidR="1FCF3787">
              <w:rPr>
                <w:rFonts w:ascii="Aptos" w:hAnsi="Aptos" w:eastAsia="Aptos" w:cs="Aptos"/>
                <w:b w:val="1"/>
                <w:bCs w:val="1"/>
                <w:noProof w:val="0"/>
                <w:sz w:val="18"/>
                <w:szCs w:val="18"/>
                <w:lang w:val="en-US"/>
              </w:rPr>
              <w:t>, groundworks</w:t>
            </w:r>
          </w:p>
        </w:tc>
        <w:tc>
          <w:tcPr>
            <w:tcW w:w="2340" w:type="dxa"/>
            <w:tcMar/>
          </w:tcPr>
          <w:p w:rsidR="1FCF3787" w:rsidP="35D65A3A" w:rsidRDefault="1FCF3787" w14:paraId="4FCA91A2" w14:textId="326BC4E7">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3 months</w:t>
            </w:r>
          </w:p>
        </w:tc>
        <w:tc>
          <w:tcPr>
            <w:tcW w:w="2340" w:type="dxa"/>
            <w:tcMar/>
          </w:tcPr>
          <w:p w:rsidR="1FCF3787" w:rsidP="35D65A3A" w:rsidRDefault="1FCF3787" w14:paraId="366ED79D" w14:textId="03889506">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Months 4-6</w:t>
            </w:r>
          </w:p>
        </w:tc>
      </w:tr>
      <w:tr w:rsidR="35D65A3A" w:rsidTr="35D65A3A" w14:paraId="18741E96">
        <w:trPr>
          <w:trHeight w:val="300"/>
        </w:trPr>
        <w:tc>
          <w:tcPr>
            <w:tcW w:w="2340" w:type="dxa"/>
            <w:tcMar/>
          </w:tcPr>
          <w:p w:rsidR="1FCF3787" w:rsidP="35D65A3A" w:rsidRDefault="1FCF3787" w14:paraId="3A63E988" w14:textId="058A48AC">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construction</w:t>
            </w:r>
          </w:p>
        </w:tc>
        <w:tc>
          <w:tcPr>
            <w:tcW w:w="2340" w:type="dxa"/>
            <w:tcMar/>
          </w:tcPr>
          <w:p w:rsidR="1FCF3787" w:rsidP="35D65A3A" w:rsidRDefault="1FCF3787" w14:paraId="44ACB091" w14:textId="58A9D1F5">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Rail platform, bus terminal, freight facilities</w:t>
            </w:r>
          </w:p>
        </w:tc>
        <w:tc>
          <w:tcPr>
            <w:tcW w:w="2340" w:type="dxa"/>
            <w:tcMar/>
          </w:tcPr>
          <w:p w:rsidR="1FCF3787" w:rsidP="35D65A3A" w:rsidRDefault="1FCF3787" w14:paraId="3F4C9383" w14:textId="2CB8F67C">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8 months</w:t>
            </w:r>
          </w:p>
        </w:tc>
        <w:tc>
          <w:tcPr>
            <w:tcW w:w="2340" w:type="dxa"/>
            <w:tcMar/>
          </w:tcPr>
          <w:p w:rsidR="1FCF3787" w:rsidP="35D65A3A" w:rsidRDefault="1FCF3787" w14:paraId="3683AA9B" w14:textId="36F00E9A">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Months 7-19 months</w:t>
            </w:r>
          </w:p>
        </w:tc>
      </w:tr>
      <w:tr w:rsidR="35D65A3A" w:rsidTr="35D65A3A" w14:paraId="26AC8404">
        <w:trPr>
          <w:trHeight w:val="300"/>
        </w:trPr>
        <w:tc>
          <w:tcPr>
            <w:tcW w:w="2340" w:type="dxa"/>
            <w:tcMar/>
          </w:tcPr>
          <w:p w:rsidR="1FCF3787" w:rsidP="35D65A3A" w:rsidRDefault="1FCF3787" w14:paraId="6C4815CB" w14:textId="5BF2FCF5">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Accessibility </w:t>
            </w:r>
            <w:r w:rsidRPr="35D65A3A" w:rsidR="1FCF3787">
              <w:rPr>
                <w:rFonts w:ascii="Aptos" w:hAnsi="Aptos" w:eastAsia="Aptos" w:cs="Aptos"/>
                <w:b w:val="1"/>
                <w:bCs w:val="1"/>
                <w:noProof w:val="0"/>
                <w:sz w:val="18"/>
                <w:szCs w:val="18"/>
                <w:lang w:val="en-US"/>
              </w:rPr>
              <w:t>upgrades</w:t>
            </w:r>
            <w:r w:rsidRPr="35D65A3A" w:rsidR="1FCF3787">
              <w:rPr>
                <w:rFonts w:ascii="Aptos" w:hAnsi="Aptos" w:eastAsia="Aptos" w:cs="Aptos"/>
                <w:b w:val="1"/>
                <w:bCs w:val="1"/>
                <w:noProof w:val="0"/>
                <w:sz w:val="18"/>
                <w:szCs w:val="18"/>
                <w:lang w:val="en-US"/>
              </w:rPr>
              <w:t xml:space="preserve"> </w:t>
            </w:r>
          </w:p>
        </w:tc>
        <w:tc>
          <w:tcPr>
            <w:tcW w:w="2340" w:type="dxa"/>
            <w:tcMar/>
          </w:tcPr>
          <w:p w:rsidR="1FCF3787" w:rsidP="35D65A3A" w:rsidRDefault="1FCF3787" w14:paraId="5460A71D" w14:textId="631876D5">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Lifts escalators, tactile paving and signage</w:t>
            </w:r>
          </w:p>
        </w:tc>
        <w:tc>
          <w:tcPr>
            <w:tcW w:w="2340" w:type="dxa"/>
            <w:tcMar/>
          </w:tcPr>
          <w:p w:rsidR="1FCF3787" w:rsidP="35D65A3A" w:rsidRDefault="1FCF3787" w14:paraId="45C332FC" w14:textId="6972E142">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4 months</w:t>
            </w:r>
          </w:p>
        </w:tc>
        <w:tc>
          <w:tcPr>
            <w:tcW w:w="2340" w:type="dxa"/>
            <w:tcMar/>
          </w:tcPr>
          <w:p w:rsidR="1FCF3787" w:rsidP="35D65A3A" w:rsidRDefault="1FCF3787" w14:paraId="65A2DBE8" w14:textId="17C7EA86">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Months 15-18</w:t>
            </w:r>
          </w:p>
        </w:tc>
      </w:tr>
      <w:tr w:rsidR="35D65A3A" w:rsidTr="35D65A3A" w14:paraId="5FEE91C2">
        <w:trPr>
          <w:trHeight w:val="300"/>
        </w:trPr>
        <w:tc>
          <w:tcPr>
            <w:tcW w:w="2340" w:type="dxa"/>
            <w:tcMar/>
          </w:tcPr>
          <w:p w:rsidR="1FCF3787" w:rsidP="35D65A3A" w:rsidRDefault="1FCF3787" w14:paraId="3A8C3636" w14:textId="057BEC2E">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Digital </w:t>
            </w:r>
            <w:r w:rsidRPr="35D65A3A" w:rsidR="1FCF3787">
              <w:rPr>
                <w:rFonts w:ascii="Aptos" w:hAnsi="Aptos" w:eastAsia="Aptos" w:cs="Aptos"/>
                <w:b w:val="1"/>
                <w:bCs w:val="1"/>
                <w:noProof w:val="0"/>
                <w:sz w:val="18"/>
                <w:szCs w:val="18"/>
                <w:lang w:val="en-US"/>
              </w:rPr>
              <w:t>in fracture</w:t>
            </w:r>
            <w:r w:rsidRPr="35D65A3A" w:rsidR="1FCF3787">
              <w:rPr>
                <w:rFonts w:ascii="Aptos" w:hAnsi="Aptos" w:eastAsia="Aptos" w:cs="Aptos"/>
                <w:b w:val="1"/>
                <w:bCs w:val="1"/>
                <w:noProof w:val="0"/>
                <w:sz w:val="18"/>
                <w:szCs w:val="18"/>
                <w:lang w:val="en-US"/>
              </w:rPr>
              <w:t xml:space="preserve"> </w:t>
            </w:r>
          </w:p>
        </w:tc>
        <w:tc>
          <w:tcPr>
            <w:tcW w:w="2340" w:type="dxa"/>
            <w:tcMar/>
          </w:tcPr>
          <w:p w:rsidR="1FCF3787" w:rsidP="35D65A3A" w:rsidRDefault="1FCF3787" w14:paraId="7DCABC45" w14:textId="271D3EA3">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5g real time systems, </w:t>
            </w:r>
            <w:r w:rsidRPr="35D65A3A" w:rsidR="1FCF3787">
              <w:rPr>
                <w:rFonts w:ascii="Aptos" w:hAnsi="Aptos" w:eastAsia="Aptos" w:cs="Aptos"/>
                <w:b w:val="1"/>
                <w:bCs w:val="1"/>
                <w:noProof w:val="0"/>
                <w:sz w:val="18"/>
                <w:szCs w:val="18"/>
                <w:lang w:val="en-US"/>
              </w:rPr>
              <w:t>cybersecurity</w:t>
            </w:r>
            <w:r w:rsidRPr="35D65A3A" w:rsidR="1FCF3787">
              <w:rPr>
                <w:rFonts w:ascii="Aptos" w:hAnsi="Aptos" w:eastAsia="Aptos" w:cs="Aptos"/>
                <w:b w:val="1"/>
                <w:bCs w:val="1"/>
                <w:noProof w:val="0"/>
                <w:sz w:val="18"/>
                <w:szCs w:val="18"/>
                <w:lang w:val="en-US"/>
              </w:rPr>
              <w:t xml:space="preserve"> </w:t>
            </w:r>
          </w:p>
        </w:tc>
        <w:tc>
          <w:tcPr>
            <w:tcW w:w="2340" w:type="dxa"/>
            <w:tcMar/>
          </w:tcPr>
          <w:p w:rsidR="1FCF3787" w:rsidP="35D65A3A" w:rsidRDefault="1FCF3787" w14:paraId="64813C47" w14:textId="75D2FE4D">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2 months</w:t>
            </w:r>
          </w:p>
        </w:tc>
        <w:tc>
          <w:tcPr>
            <w:tcW w:w="2340" w:type="dxa"/>
            <w:tcMar/>
          </w:tcPr>
          <w:p w:rsidR="1FCF3787" w:rsidP="35D65A3A" w:rsidRDefault="1FCF3787" w14:paraId="136F8F15" w14:textId="45D4FEC6">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Months 19-21</w:t>
            </w:r>
          </w:p>
        </w:tc>
      </w:tr>
      <w:tr w:rsidR="35D65A3A" w:rsidTr="35D65A3A" w14:paraId="1DE4FDCA">
        <w:trPr>
          <w:trHeight w:val="300"/>
        </w:trPr>
        <w:tc>
          <w:tcPr>
            <w:tcW w:w="2340" w:type="dxa"/>
            <w:tcMar/>
          </w:tcPr>
          <w:p w:rsidR="1FCF3787" w:rsidP="35D65A3A" w:rsidRDefault="1FCF3787" w14:paraId="4D3C4776" w14:textId="14B4F02B">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 xml:space="preserve">Environmental </w:t>
            </w:r>
            <w:r w:rsidRPr="35D65A3A" w:rsidR="1FCF3787">
              <w:rPr>
                <w:rFonts w:ascii="Aptos" w:hAnsi="Aptos" w:eastAsia="Aptos" w:cs="Aptos"/>
                <w:b w:val="1"/>
                <w:bCs w:val="1"/>
                <w:noProof w:val="0"/>
                <w:sz w:val="18"/>
                <w:szCs w:val="18"/>
                <w:lang w:val="en-US"/>
              </w:rPr>
              <w:t>enhancement</w:t>
            </w:r>
          </w:p>
        </w:tc>
        <w:tc>
          <w:tcPr>
            <w:tcW w:w="2340" w:type="dxa"/>
            <w:tcMar/>
          </w:tcPr>
          <w:p w:rsidR="1FCF3787" w:rsidP="35D65A3A" w:rsidRDefault="1FCF3787" w14:paraId="510FD51F" w14:textId="6BB22D08">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EV charging and green roofing, energy system</w:t>
            </w:r>
          </w:p>
        </w:tc>
        <w:tc>
          <w:tcPr>
            <w:tcW w:w="2340" w:type="dxa"/>
            <w:tcMar/>
          </w:tcPr>
          <w:p w:rsidR="1FCF3787" w:rsidP="35D65A3A" w:rsidRDefault="1FCF3787" w14:paraId="649D82F1" w14:textId="070942AD">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2 months</w:t>
            </w:r>
          </w:p>
        </w:tc>
        <w:tc>
          <w:tcPr>
            <w:tcW w:w="2340" w:type="dxa"/>
            <w:tcMar/>
          </w:tcPr>
          <w:p w:rsidR="1FCF3787" w:rsidP="35D65A3A" w:rsidRDefault="1FCF3787" w14:paraId="10D33E4B" w14:textId="4D6792FB">
            <w:pPr>
              <w:pStyle w:val="Heading2"/>
              <w:bidi w:val="0"/>
              <w:rPr>
                <w:rFonts w:ascii="Aptos" w:hAnsi="Aptos" w:eastAsia="Aptos" w:cs="Aptos"/>
                <w:b w:val="1"/>
                <w:bCs w:val="1"/>
                <w:noProof w:val="0"/>
                <w:sz w:val="18"/>
                <w:szCs w:val="18"/>
                <w:lang w:val="en-US"/>
              </w:rPr>
            </w:pPr>
            <w:r w:rsidRPr="35D65A3A" w:rsidR="1FCF3787">
              <w:rPr>
                <w:rFonts w:ascii="Aptos" w:hAnsi="Aptos" w:eastAsia="Aptos" w:cs="Aptos"/>
                <w:b w:val="1"/>
                <w:bCs w:val="1"/>
                <w:noProof w:val="0"/>
                <w:sz w:val="18"/>
                <w:szCs w:val="18"/>
                <w:lang w:val="en-US"/>
              </w:rPr>
              <w:t>22-23 months</w:t>
            </w:r>
          </w:p>
        </w:tc>
      </w:tr>
    </w:tbl>
    <w:p w:rsidR="65C4EBA2" w:rsidP="35D65A3A" w:rsidRDefault="65C4EBA2" w14:paraId="38CCAA99" w14:textId="1C6FBE69">
      <w:pPr>
        <w:pStyle w:val="Heading2"/>
        <w:suppressLineNumbers w:val="0"/>
        <w:bidi w:val="0"/>
        <w:spacing w:before="299" w:beforeAutospacing="off" w:after="299" w:afterAutospacing="off" w:line="279" w:lineRule="auto"/>
        <w:ind w:left="0" w:right="0"/>
        <w:jc w:val="left"/>
        <w:rPr>
          <w:rFonts w:ascii="Aptos" w:hAnsi="Aptos" w:eastAsia="Aptos" w:cs="Aptos"/>
          <w:b w:val="1"/>
          <w:bCs w:val="1"/>
          <w:noProof w:val="0"/>
          <w:sz w:val="36"/>
          <w:szCs w:val="36"/>
          <w:lang w:val="en-US"/>
        </w:rPr>
      </w:pPr>
    </w:p>
    <w:p w:rsidR="65C4EBA2" w:rsidP="35D65A3A" w:rsidRDefault="65C4EBA2" w14:paraId="5231820B" w14:textId="147D58B5">
      <w:pPr>
        <w:pStyle w:val="Heading2"/>
        <w:bidi w:val="0"/>
        <w:spacing w:before="299" w:beforeAutospacing="off" w:after="299" w:afterAutospacing="off"/>
        <w:ind w:left="0"/>
      </w:pPr>
      <w:r w:rsidRPr="35D65A3A" w:rsidR="3251ADC9">
        <w:rPr>
          <w:rFonts w:ascii="Aptos" w:hAnsi="Aptos" w:eastAsia="Aptos" w:cs="Aptos"/>
          <w:b w:val="1"/>
          <w:bCs w:val="1"/>
          <w:noProof w:val="0"/>
          <w:sz w:val="36"/>
          <w:szCs w:val="36"/>
          <w:lang w:val="en-US"/>
        </w:rPr>
        <w:t>7. Stakeholders’ Involvement</w:t>
      </w:r>
    </w:p>
    <w:p w:rsidR="65C4EBA2" w:rsidP="6770E20B" w:rsidRDefault="65C4EBA2" w14:paraId="6FD50609" w14:textId="7FDB0B80">
      <w:pPr>
        <w:bidi w:val="0"/>
        <w:spacing w:before="240" w:beforeAutospacing="off" w:after="240" w:afterAutospacing="off"/>
      </w:pPr>
      <w:r w:rsidRPr="35D65A3A" w:rsidR="3251ADC9">
        <w:rPr>
          <w:rFonts w:ascii="Aptos" w:hAnsi="Aptos" w:eastAsia="Aptos" w:cs="Aptos"/>
          <w:noProof w:val="0"/>
          <w:sz w:val="24"/>
          <w:szCs w:val="24"/>
          <w:lang w:val="en-US"/>
        </w:rPr>
        <w:t>Stakeholder involvement is central to the success of the redevelopment project. The local authority provides strategic oversight, funding approval and regulatory compliance, ensuring alignment with city transport objectives (DfT, 2024). Network Rail and rail operators contribute technical expertise and operational integration, ensuring the new infrastructure meets rail standards. Bus and freight companies collaborate on service requirements and operational planning, ensuring that the hub supports efficient multimodal transport. Local businesses are engaged to understand economic impacts and ensure the redevelopment supports commercial activity (Freeman, 2010). Commuters provide feedback on user experience, informing accessibility and digital design decisions. Accessibility advocacy groups ensure inclusive design principles are embedded throughout the project (LGA, 2025). Environmental organisations advise on sustainability measures and compliance with net</w:t>
      </w:r>
      <w:r>
        <w:noBreakHyphen/>
      </w:r>
      <w:r w:rsidRPr="35D65A3A" w:rsidR="3251ADC9">
        <w:rPr>
          <w:rFonts w:ascii="Aptos" w:hAnsi="Aptos" w:eastAsia="Aptos" w:cs="Aptos"/>
          <w:noProof w:val="0"/>
          <w:sz w:val="24"/>
          <w:szCs w:val="24"/>
          <w:lang w:val="en-US"/>
        </w:rPr>
        <w:t>zero objectives (UKGBC, 2024).</w:t>
      </w:r>
    </w:p>
    <w:p w:rsidR="65C4EBA2" w:rsidP="6770E20B" w:rsidRDefault="65C4EBA2" w14:paraId="395D3BB8" w14:textId="6120956A">
      <w:pPr>
        <w:bidi w:val="0"/>
        <w:spacing w:before="240" w:beforeAutospacing="off" w:after="240" w:afterAutospacing="off"/>
      </w:pPr>
      <w:r w:rsidRPr="35D65A3A" w:rsidR="3251ADC9">
        <w:rPr>
          <w:rFonts w:ascii="Aptos" w:hAnsi="Aptos" w:eastAsia="Aptos" w:cs="Aptos"/>
          <w:noProof w:val="0"/>
          <w:sz w:val="24"/>
          <w:szCs w:val="24"/>
          <w:lang w:val="en-US"/>
        </w:rPr>
        <w:t>Stakeholder engagement will be facilitated through workshops, public consultations, progress reports and digital communication platforms. These engagement methods ensure that stakeholders remain informed, involved and supportive throughout the project lifecycle (Freeman, 2010). Stakeholder influence and interest are mapped using recognised models such as the power</w:t>
      </w:r>
      <w:r>
        <w:noBreakHyphen/>
      </w:r>
      <w:r w:rsidRPr="35D65A3A" w:rsidR="3251ADC9">
        <w:rPr>
          <w:rFonts w:ascii="Aptos" w:hAnsi="Aptos" w:eastAsia="Aptos" w:cs="Aptos"/>
          <w:noProof w:val="0"/>
          <w:sz w:val="24"/>
          <w:szCs w:val="24"/>
          <w:lang w:val="en-US"/>
        </w:rPr>
        <w:t>interest matrix, ensuring that engagement strategies are tailored to stakeholder needs and influence levels (Turner, 2014). This structured approach to stakeholder engagement supports effective communication, reduces conflict and enhances project success. The stakeholder section also emphasises the importance of maintaining trust, transparency and accountability, recognising that stakeholder support is essential for securing funding, regulatory approval and public acceptance.</w:t>
      </w:r>
    </w:p>
    <w:p w:rsidR="65C4EBA2" w:rsidP="35D65A3A" w:rsidRDefault="65C4EBA2" w14:paraId="1E4406D0" w14:textId="5DC646EB">
      <w:pPr>
        <w:pStyle w:val="Heading2"/>
        <w:bidi w:val="0"/>
        <w:spacing w:before="299" w:beforeAutospacing="off" w:after="299" w:afterAutospacing="off"/>
      </w:pPr>
      <w:r w:rsidRPr="35D65A3A" w:rsidR="3251ADC9">
        <w:rPr>
          <w:rFonts w:ascii="Aptos" w:hAnsi="Aptos" w:eastAsia="Aptos" w:cs="Aptos"/>
          <w:b w:val="1"/>
          <w:bCs w:val="1"/>
          <w:noProof w:val="0"/>
          <w:sz w:val="36"/>
          <w:szCs w:val="36"/>
          <w:lang w:val="en-US"/>
        </w:rPr>
        <w:t>8. Allocation of Resources</w:t>
      </w:r>
    </w:p>
    <w:p w:rsidR="65C4EBA2" w:rsidP="6770E20B" w:rsidRDefault="65C4EBA2" w14:paraId="6A57D959" w14:textId="17286F90">
      <w:pPr>
        <w:bidi w:val="0"/>
        <w:spacing w:before="240" w:beforeAutospacing="off" w:after="240" w:afterAutospacing="off"/>
      </w:pPr>
      <w:r w:rsidRPr="35D65A3A" w:rsidR="3251ADC9">
        <w:rPr>
          <w:rFonts w:ascii="Aptos" w:hAnsi="Aptos" w:eastAsia="Aptos" w:cs="Aptos"/>
          <w:noProof w:val="0"/>
          <w:sz w:val="24"/>
          <w:szCs w:val="24"/>
          <w:lang w:val="en-US"/>
        </w:rPr>
        <w:t>Resource allocation follows PMBOK guidelines and ensures that human, financial, technological and material resources are deployed effectively (PMI, 2021). Human resources include project managers, engineers, construction teams, accessibility specialists, cybersecurity experts and procurement staff. These professionals bring the expertise required to deliver the project successfully. Financial resources are allocated across construction, digital systems, accessibility upgrades and environmental improvements, with an estimated budget of £180 million. This budget reflects the scale and complexity of the redevelopment and ensures that resources are available to deliver high</w:t>
      </w:r>
      <w:r>
        <w:noBreakHyphen/>
      </w:r>
      <w:r w:rsidRPr="35D65A3A" w:rsidR="3251ADC9">
        <w:rPr>
          <w:rFonts w:ascii="Aptos" w:hAnsi="Aptos" w:eastAsia="Aptos" w:cs="Aptos"/>
          <w:noProof w:val="0"/>
          <w:sz w:val="24"/>
          <w:szCs w:val="24"/>
          <w:lang w:val="en-US"/>
        </w:rPr>
        <w:t>quality infrastructure (Kerzner, 2019).</w:t>
      </w:r>
    </w:p>
    <w:p w:rsidR="65C4EBA2" w:rsidP="6770E20B" w:rsidRDefault="65C4EBA2" w14:paraId="46C74D63" w14:textId="2C328D05">
      <w:pPr>
        <w:bidi w:val="0"/>
        <w:spacing w:before="240" w:beforeAutospacing="off" w:after="240" w:afterAutospacing="off"/>
      </w:pPr>
      <w:r w:rsidRPr="35D65A3A" w:rsidR="3251ADC9">
        <w:rPr>
          <w:rFonts w:ascii="Aptos" w:hAnsi="Aptos" w:eastAsia="Aptos" w:cs="Aptos"/>
          <w:noProof w:val="0"/>
          <w:sz w:val="24"/>
          <w:szCs w:val="24"/>
          <w:lang w:val="en-US"/>
        </w:rPr>
        <w:t>Technological resources include 5G infrastructure, real</w:t>
      </w:r>
      <w:r>
        <w:noBreakHyphen/>
      </w:r>
      <w:r w:rsidRPr="35D65A3A" w:rsidR="3251ADC9">
        <w:rPr>
          <w:rFonts w:ascii="Aptos" w:hAnsi="Aptos" w:eastAsia="Aptos" w:cs="Aptos"/>
          <w:noProof w:val="0"/>
          <w:sz w:val="24"/>
          <w:szCs w:val="24"/>
          <w:lang w:val="en-US"/>
        </w:rPr>
        <w:t>time data systems, cybersecurity platforms and energy</w:t>
      </w:r>
      <w:r>
        <w:noBreakHyphen/>
      </w:r>
      <w:r w:rsidRPr="35D65A3A" w:rsidR="3251ADC9">
        <w:rPr>
          <w:rFonts w:ascii="Aptos" w:hAnsi="Aptos" w:eastAsia="Aptos" w:cs="Aptos"/>
          <w:noProof w:val="0"/>
          <w:sz w:val="24"/>
          <w:szCs w:val="24"/>
          <w:lang w:val="en-US"/>
        </w:rPr>
        <w:t>efficient technologies. These technologies support smart transport operations and improve passenger experience (Meredith &amp; Mantel, 2017). Material resources encompass construction materials, EV charging units, digital hardware and accessibility equipment. Resource utilisation is monitored through monthly cost reports and performance dashboards, ensuring that expenditure aligns with budget forecasts and that resources are used efficiently (PMI, 2021). Procurement processes follow transparent and competitive procedures to ensure value for money and compliance with regulatory standards (Kerzner, 2019). The resource section also highlights the importance of contingency planning, ensuring that additional resources can be mobilised quickly in response to unforeseen challenges.</w:t>
      </w:r>
    </w:p>
    <w:p w:rsidR="65C4EBA2" w:rsidP="35D65A3A" w:rsidRDefault="65C4EBA2" w14:paraId="157D76A8" w14:textId="6B6168E0">
      <w:pPr>
        <w:pStyle w:val="Heading2"/>
        <w:bidi w:val="0"/>
        <w:spacing w:before="299" w:beforeAutospacing="off" w:after="299" w:afterAutospacing="off"/>
      </w:pPr>
      <w:r w:rsidRPr="35D65A3A" w:rsidR="3251ADC9">
        <w:rPr>
          <w:rFonts w:ascii="Aptos" w:hAnsi="Aptos" w:eastAsia="Aptos" w:cs="Aptos"/>
          <w:b w:val="1"/>
          <w:bCs w:val="1"/>
          <w:noProof w:val="0"/>
          <w:sz w:val="36"/>
          <w:szCs w:val="36"/>
          <w:lang w:val="en-US"/>
        </w:rPr>
        <w:t>9. Risk Analysis</w:t>
      </w:r>
    </w:p>
    <w:p w:rsidR="65C4EBA2" w:rsidP="6770E20B" w:rsidRDefault="65C4EBA2" w14:paraId="3B529642" w14:textId="46BB23B6">
      <w:pPr>
        <w:bidi w:val="0"/>
        <w:spacing w:before="240" w:beforeAutospacing="off" w:after="240" w:afterAutospacing="off"/>
      </w:pPr>
      <w:r w:rsidRPr="35D65A3A" w:rsidR="3251ADC9">
        <w:rPr>
          <w:rFonts w:ascii="Aptos" w:hAnsi="Aptos" w:eastAsia="Aptos" w:cs="Aptos"/>
          <w:noProof w:val="0"/>
          <w:sz w:val="24"/>
          <w:szCs w:val="24"/>
          <w:lang w:val="en-US"/>
        </w:rPr>
        <w:t>Risk analysis is conducted using Hillson’s probability</w:t>
      </w:r>
      <w:r>
        <w:noBreakHyphen/>
      </w:r>
      <w:r w:rsidRPr="35D65A3A" w:rsidR="3251ADC9">
        <w:rPr>
          <w:rFonts w:ascii="Aptos" w:hAnsi="Aptos" w:eastAsia="Aptos" w:cs="Aptos"/>
          <w:noProof w:val="0"/>
          <w:sz w:val="24"/>
          <w:szCs w:val="24"/>
          <w:lang w:val="en-US"/>
        </w:rPr>
        <w:t>impact model, providing a structured approach to identifying, assessing and mitigating risks (Hillson, 2017). Cost overruns represent a significant risk due to the scale of construction and digital integration. Mitigation strategies include contingency funds, strict procurement controls and regular financial monitoring. Construction disruption poses risks to service continuity and public satisfaction; mitigation involves phased construction, temporary transport routes and clear communication with commuters (DfT, 2024). Cybersecurity risks arise from the integration of digital systems; mitigation includes cyber audits, encryption and secure network architecture (Kerzner, 2019).</w:t>
      </w:r>
    </w:p>
    <w:p w:rsidR="65C4EBA2" w:rsidP="6770E20B" w:rsidRDefault="65C4EBA2" w14:paraId="62851381" w14:textId="3A21A120">
      <w:pPr>
        <w:bidi w:val="0"/>
        <w:spacing w:before="240" w:beforeAutospacing="off" w:after="240" w:afterAutospacing="off"/>
      </w:pPr>
      <w:r w:rsidRPr="35D65A3A" w:rsidR="3251ADC9">
        <w:rPr>
          <w:rFonts w:ascii="Aptos" w:hAnsi="Aptos" w:eastAsia="Aptos" w:cs="Aptos"/>
          <w:noProof w:val="0"/>
          <w:sz w:val="24"/>
          <w:szCs w:val="24"/>
          <w:lang w:val="en-US"/>
        </w:rPr>
        <w:t>Balancing passenger and freight needs presents operational challenges; mitigation involves joint planning committees and demand modelling (Meredith &amp; Mantel, 2017). Delays in digital integration could reduce system functionality; mitigation includes early contractor involvement and parallel testing. Environmental compliance risks may arise from sustainability requirements; mitigation includes environmental monitoring and sustainability audits (UKGBC, 2024). Risks are reviewed monthly and updated in the risk register to ensure proactive management (Hillson, 2017). The risk section also emphasises the importance of continuous learning, recognising that risk management is an iterative process that requires ongoing monitoring, evaluation and adaptation (Ward &amp; Chapman, 2003).</w:t>
      </w:r>
    </w:p>
    <w:p w:rsidR="65C4EBA2" w:rsidP="35D65A3A" w:rsidRDefault="65C4EBA2" w14:paraId="2F274475" w14:textId="27DF1EB3">
      <w:pPr>
        <w:pStyle w:val="Heading2"/>
        <w:bidi w:val="0"/>
        <w:spacing w:before="299" w:beforeAutospacing="off" w:after="299" w:afterAutospacing="off"/>
      </w:pPr>
      <w:r w:rsidRPr="35D65A3A" w:rsidR="3251ADC9">
        <w:rPr>
          <w:rFonts w:ascii="Aptos" w:hAnsi="Aptos" w:eastAsia="Aptos" w:cs="Aptos"/>
          <w:b w:val="1"/>
          <w:bCs w:val="1"/>
          <w:noProof w:val="0"/>
          <w:sz w:val="36"/>
          <w:szCs w:val="36"/>
          <w:lang w:val="en-US"/>
        </w:rPr>
        <w:t>10. Conclusion</w:t>
      </w:r>
    </w:p>
    <w:p w:rsidR="65C4EBA2" w:rsidP="6770E20B" w:rsidRDefault="65C4EBA2" w14:paraId="14C0FD44" w14:textId="10BA64DF">
      <w:pPr>
        <w:bidi w:val="0"/>
        <w:spacing w:before="240" w:beforeAutospacing="off" w:after="240" w:afterAutospacing="off"/>
      </w:pPr>
      <w:r w:rsidRPr="542CA659" w:rsidR="3251ADC9">
        <w:rPr>
          <w:rFonts w:ascii="Aptos" w:hAnsi="Aptos" w:eastAsia="Aptos" w:cs="Aptos"/>
          <w:noProof w:val="0"/>
          <w:sz w:val="24"/>
          <w:szCs w:val="24"/>
          <w:lang w:val="en-US"/>
        </w:rPr>
        <w:t>This Project Management Plan provides a comprehensive framework for redeveloping the central transport hub in alignment with modern safety, accessibility, digital and environmental standards. Through structured planning, stakeholder engagement, risk management and resource allocation, the project aims to deliver a future</w:t>
      </w:r>
      <w:r>
        <w:noBreakHyphen/>
      </w:r>
      <w:r w:rsidRPr="542CA659" w:rsidR="3251ADC9">
        <w:rPr>
          <w:rFonts w:ascii="Aptos" w:hAnsi="Aptos" w:eastAsia="Aptos" w:cs="Aptos"/>
          <w:noProof w:val="0"/>
          <w:sz w:val="24"/>
          <w:szCs w:val="24"/>
          <w:lang w:val="en-US"/>
        </w:rPr>
        <w:t>proofed transport hub that enhances regional connectivity, supports economic recovery and contributes to sustainability objectives (DfT, 2024). The inclusion of written Quad and Gantt charts supports clear communication and enhances stakeholder understanding. The plan demonstrates the application of recognised project management approaches and techniques, ensuring that the redevelopment is delivered efficiently, transparently and in alignment with strategic priorities (PMI, 2021). By integrating accessibility, digital innovation and environmental sustainability into the project’s core design, the redevelopment will deliver long</w:t>
      </w:r>
      <w:r>
        <w:noBreakHyphen/>
      </w:r>
      <w:r w:rsidRPr="542CA659" w:rsidR="3251ADC9">
        <w:rPr>
          <w:rFonts w:ascii="Aptos" w:hAnsi="Aptos" w:eastAsia="Aptos" w:cs="Aptos"/>
          <w:noProof w:val="0"/>
          <w:sz w:val="24"/>
          <w:szCs w:val="24"/>
          <w:lang w:val="en-US"/>
        </w:rPr>
        <w:t>term value for commuters, businesses and the wider community (Flyvbjerg, 2023). The conclusion also reinforces the importance of continuous improvement, recognising that the lessons learned from this project will inform future infrastructure initiatives and support ongoing urban development (Turner, 2014).</w:t>
      </w:r>
    </w:p>
    <w:p w:rsidR="65C4EBA2" w:rsidP="35D65A3A" w:rsidRDefault="65C4EBA2" w14:paraId="73D4BD25" w14:textId="409EEA26">
      <w:pPr>
        <w:spacing w:before="240" w:beforeAutospacing="off" w:after="240" w:afterAutospacing="off"/>
        <w:rPr>
          <w:rFonts w:ascii="Aptos" w:hAnsi="Aptos" w:eastAsia="Aptos" w:cs="Aptos"/>
          <w:noProof w:val="0"/>
          <w:sz w:val="24"/>
          <w:szCs w:val="24"/>
          <w:lang w:val="en-US"/>
        </w:rPr>
      </w:pPr>
    </w:p>
    <w:p w:rsidR="763BAED9" w:rsidP="35D65A3A" w:rsidRDefault="763BAED9" w14:paraId="55FCD16D" w14:textId="31F0F538">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Department for Transport (DfT) (2024) </w:t>
      </w:r>
      <w:r w:rsidRPr="35D65A3A" w:rsidR="763BAED9">
        <w:rPr>
          <w:rFonts w:ascii="Aptos" w:hAnsi="Aptos" w:eastAsia="Aptos" w:cs="Aptos"/>
          <w:i w:val="1"/>
          <w:iCs w:val="1"/>
          <w:noProof w:val="0"/>
          <w:sz w:val="24"/>
          <w:szCs w:val="24"/>
          <w:lang w:val="en-US"/>
        </w:rPr>
        <w:t>Transport Infrastructure Report</w:t>
      </w:r>
      <w:r w:rsidRPr="35D65A3A" w:rsidR="763BAED9">
        <w:rPr>
          <w:rFonts w:ascii="Aptos" w:hAnsi="Aptos" w:eastAsia="Aptos" w:cs="Aptos"/>
          <w:noProof w:val="0"/>
          <w:sz w:val="24"/>
          <w:szCs w:val="24"/>
          <w:lang w:val="en-US"/>
        </w:rPr>
        <w:t>. London: DfT.</w:t>
      </w:r>
    </w:p>
    <w:p w:rsidR="763BAED9" w:rsidP="35D65A3A" w:rsidRDefault="763BAED9" w14:paraId="36A77F8F" w14:textId="03E707D5">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Freeman, R.E. (2010) </w:t>
      </w:r>
      <w:r w:rsidRPr="35D65A3A" w:rsidR="763BAED9">
        <w:rPr>
          <w:rFonts w:ascii="Aptos" w:hAnsi="Aptos" w:eastAsia="Aptos" w:cs="Aptos"/>
          <w:i w:val="1"/>
          <w:iCs w:val="1"/>
          <w:noProof w:val="0"/>
          <w:sz w:val="24"/>
          <w:szCs w:val="24"/>
          <w:lang w:val="en-US"/>
        </w:rPr>
        <w:t>Strategic Management: A Stakeholder Approach</w:t>
      </w:r>
      <w:r w:rsidRPr="35D65A3A" w:rsidR="763BAED9">
        <w:rPr>
          <w:rFonts w:ascii="Aptos" w:hAnsi="Aptos" w:eastAsia="Aptos" w:cs="Aptos"/>
          <w:noProof w:val="0"/>
          <w:sz w:val="24"/>
          <w:szCs w:val="24"/>
          <w:lang w:val="en-US"/>
        </w:rPr>
        <w:t>. Cambridge: Cambridge University Press.</w:t>
      </w:r>
    </w:p>
    <w:p w:rsidR="763BAED9" w:rsidP="35D65A3A" w:rsidRDefault="763BAED9" w14:paraId="78B0ACA0" w14:textId="25D4AE60">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Hillson, D. (2017) </w:t>
      </w:r>
      <w:r w:rsidRPr="35D65A3A" w:rsidR="763BAED9">
        <w:rPr>
          <w:rFonts w:ascii="Aptos" w:hAnsi="Aptos" w:eastAsia="Aptos" w:cs="Aptos"/>
          <w:i w:val="1"/>
          <w:iCs w:val="1"/>
          <w:noProof w:val="0"/>
          <w:sz w:val="24"/>
          <w:szCs w:val="24"/>
          <w:lang w:val="en-US"/>
        </w:rPr>
        <w:t>Practical Project Risk Management</w:t>
      </w:r>
      <w:r w:rsidRPr="35D65A3A" w:rsidR="763BAED9">
        <w:rPr>
          <w:rFonts w:ascii="Aptos" w:hAnsi="Aptos" w:eastAsia="Aptos" w:cs="Aptos"/>
          <w:noProof w:val="0"/>
          <w:sz w:val="24"/>
          <w:szCs w:val="24"/>
          <w:lang w:val="en-US"/>
        </w:rPr>
        <w:t>. Newtown Square: Project Management Institute.</w:t>
      </w:r>
    </w:p>
    <w:p w:rsidR="763BAED9" w:rsidP="35D65A3A" w:rsidRDefault="763BAED9" w14:paraId="4A56D3FA" w14:textId="78F7B50C">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Kerzner, H. (2019) </w:t>
      </w:r>
      <w:r w:rsidRPr="35D65A3A" w:rsidR="763BAED9">
        <w:rPr>
          <w:rFonts w:ascii="Aptos" w:hAnsi="Aptos" w:eastAsia="Aptos" w:cs="Aptos"/>
          <w:i w:val="1"/>
          <w:iCs w:val="1"/>
          <w:noProof w:val="0"/>
          <w:sz w:val="24"/>
          <w:szCs w:val="24"/>
          <w:lang w:val="en-US"/>
        </w:rPr>
        <w:t>Project Management: A Systems Approach to Planning, Scheduling and Controlling</w:t>
      </w:r>
      <w:r w:rsidRPr="35D65A3A" w:rsidR="763BAED9">
        <w:rPr>
          <w:rFonts w:ascii="Aptos" w:hAnsi="Aptos" w:eastAsia="Aptos" w:cs="Aptos"/>
          <w:noProof w:val="0"/>
          <w:sz w:val="24"/>
          <w:szCs w:val="24"/>
          <w:lang w:val="en-US"/>
        </w:rPr>
        <w:t>. 13th edn. Hoboken: Wiley.</w:t>
      </w:r>
    </w:p>
    <w:p w:rsidR="763BAED9" w:rsidP="35D65A3A" w:rsidRDefault="763BAED9" w14:paraId="5EE57DF6" w14:textId="37DFE574">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Project Management Institute (PMI) (2021) </w:t>
      </w:r>
      <w:r w:rsidRPr="35D65A3A" w:rsidR="763BAED9">
        <w:rPr>
          <w:rFonts w:ascii="Aptos" w:hAnsi="Aptos" w:eastAsia="Aptos" w:cs="Aptos"/>
          <w:i w:val="1"/>
          <w:iCs w:val="1"/>
          <w:noProof w:val="0"/>
          <w:sz w:val="24"/>
          <w:szCs w:val="24"/>
          <w:lang w:val="en-US"/>
        </w:rPr>
        <w:t>A Guide to the Project Management Body of Knowledge (PMBOK® Guide)</w:t>
      </w:r>
      <w:r w:rsidRPr="35D65A3A" w:rsidR="763BAED9">
        <w:rPr>
          <w:rFonts w:ascii="Aptos" w:hAnsi="Aptos" w:eastAsia="Aptos" w:cs="Aptos"/>
          <w:noProof w:val="0"/>
          <w:sz w:val="24"/>
          <w:szCs w:val="24"/>
          <w:lang w:val="en-US"/>
        </w:rPr>
        <w:t>. 7th edn. Newtown Square: PMI.</w:t>
      </w:r>
    </w:p>
    <w:p w:rsidR="763BAED9" w:rsidP="35D65A3A" w:rsidRDefault="763BAED9" w14:paraId="14E7AD99" w14:textId="7ACA8B9A">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UK Green Building Council (UKGBC) (2024) </w:t>
      </w:r>
      <w:r w:rsidRPr="35D65A3A" w:rsidR="763BAED9">
        <w:rPr>
          <w:rFonts w:ascii="Aptos" w:hAnsi="Aptos" w:eastAsia="Aptos" w:cs="Aptos"/>
          <w:i w:val="1"/>
          <w:iCs w:val="1"/>
          <w:noProof w:val="0"/>
          <w:sz w:val="24"/>
          <w:szCs w:val="24"/>
          <w:lang w:val="en-US"/>
        </w:rPr>
        <w:t>Net Zero Carbon Buildings Framework</w:t>
      </w:r>
      <w:r w:rsidRPr="35D65A3A" w:rsidR="763BAED9">
        <w:rPr>
          <w:rFonts w:ascii="Aptos" w:hAnsi="Aptos" w:eastAsia="Aptos" w:cs="Aptos"/>
          <w:noProof w:val="0"/>
          <w:sz w:val="24"/>
          <w:szCs w:val="24"/>
          <w:lang w:val="en-US"/>
        </w:rPr>
        <w:t>. London: UKGBC.</w:t>
      </w:r>
    </w:p>
    <w:p w:rsidR="763BAED9" w:rsidP="35D65A3A" w:rsidRDefault="763BAED9" w14:paraId="6F21AF90" w14:textId="088BBA08">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Local Government Association (LGA) (2025) </w:t>
      </w:r>
      <w:r w:rsidRPr="35D65A3A" w:rsidR="763BAED9">
        <w:rPr>
          <w:rFonts w:ascii="Aptos" w:hAnsi="Aptos" w:eastAsia="Aptos" w:cs="Aptos"/>
          <w:i w:val="1"/>
          <w:iCs w:val="1"/>
          <w:noProof w:val="0"/>
          <w:sz w:val="24"/>
          <w:szCs w:val="24"/>
          <w:lang w:val="en-US"/>
        </w:rPr>
        <w:t>Inclusive Transport Guidance</w:t>
      </w:r>
      <w:r w:rsidRPr="35D65A3A" w:rsidR="763BAED9">
        <w:rPr>
          <w:rFonts w:ascii="Aptos" w:hAnsi="Aptos" w:eastAsia="Aptos" w:cs="Aptos"/>
          <w:noProof w:val="0"/>
          <w:sz w:val="24"/>
          <w:szCs w:val="24"/>
          <w:lang w:val="en-US"/>
        </w:rPr>
        <w:t>. London: LGA.</w:t>
      </w:r>
    </w:p>
    <w:p w:rsidR="763BAED9" w:rsidP="35D65A3A" w:rsidRDefault="763BAED9" w14:paraId="67E214FE" w14:textId="690D994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Flyvbjerg, B. (2023) </w:t>
      </w:r>
      <w:r w:rsidRPr="35D65A3A" w:rsidR="763BAED9">
        <w:rPr>
          <w:rFonts w:ascii="Aptos" w:hAnsi="Aptos" w:eastAsia="Aptos" w:cs="Aptos"/>
          <w:i w:val="1"/>
          <w:iCs w:val="1"/>
          <w:noProof w:val="0"/>
          <w:sz w:val="24"/>
          <w:szCs w:val="24"/>
          <w:lang w:val="en-US"/>
        </w:rPr>
        <w:t>How Big Things Get Done</w:t>
      </w:r>
      <w:r w:rsidRPr="35D65A3A" w:rsidR="763BAED9">
        <w:rPr>
          <w:rFonts w:ascii="Aptos" w:hAnsi="Aptos" w:eastAsia="Aptos" w:cs="Aptos"/>
          <w:noProof w:val="0"/>
          <w:sz w:val="24"/>
          <w:szCs w:val="24"/>
          <w:lang w:val="en-US"/>
        </w:rPr>
        <w:t>. London: Penguin.</w:t>
      </w:r>
    </w:p>
    <w:p w:rsidR="763BAED9" w:rsidP="35D65A3A" w:rsidRDefault="763BAED9" w14:paraId="59486D01" w14:textId="5287ECD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Muller, R. (2017) </w:t>
      </w:r>
      <w:r w:rsidRPr="35D65A3A" w:rsidR="763BAED9">
        <w:rPr>
          <w:rFonts w:ascii="Aptos" w:hAnsi="Aptos" w:eastAsia="Aptos" w:cs="Aptos"/>
          <w:i w:val="1"/>
          <w:iCs w:val="1"/>
          <w:noProof w:val="0"/>
          <w:sz w:val="24"/>
          <w:szCs w:val="24"/>
          <w:lang w:val="en-US"/>
        </w:rPr>
        <w:t>Project Governance</w:t>
      </w:r>
      <w:r w:rsidRPr="35D65A3A" w:rsidR="763BAED9">
        <w:rPr>
          <w:rFonts w:ascii="Aptos" w:hAnsi="Aptos" w:eastAsia="Aptos" w:cs="Aptos"/>
          <w:noProof w:val="0"/>
          <w:sz w:val="24"/>
          <w:szCs w:val="24"/>
          <w:lang w:val="en-US"/>
        </w:rPr>
        <w:t>. Oxford: Oxford University Press.</w:t>
      </w:r>
    </w:p>
    <w:p w:rsidR="763BAED9" w:rsidP="35D65A3A" w:rsidRDefault="763BAED9" w14:paraId="06BE891A" w14:textId="3D6F0F91">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Ward, S. and Chapman, C. (2003) ‘Transforming project risk management into project uncertainty management’, </w:t>
      </w:r>
      <w:r w:rsidRPr="35D65A3A" w:rsidR="763BAED9">
        <w:rPr>
          <w:rFonts w:ascii="Aptos" w:hAnsi="Aptos" w:eastAsia="Aptos" w:cs="Aptos"/>
          <w:i w:val="1"/>
          <w:iCs w:val="1"/>
          <w:noProof w:val="0"/>
          <w:sz w:val="24"/>
          <w:szCs w:val="24"/>
          <w:lang w:val="en-US"/>
        </w:rPr>
        <w:t>International Journal of Project Management</w:t>
      </w:r>
      <w:r w:rsidRPr="35D65A3A" w:rsidR="763BAED9">
        <w:rPr>
          <w:rFonts w:ascii="Aptos" w:hAnsi="Aptos" w:eastAsia="Aptos" w:cs="Aptos"/>
          <w:noProof w:val="0"/>
          <w:sz w:val="24"/>
          <w:szCs w:val="24"/>
          <w:lang w:val="en-US"/>
        </w:rPr>
        <w:t>, 21(2), pp. 97–105.</w:t>
      </w:r>
    </w:p>
    <w:p w:rsidR="763BAED9" w:rsidP="35D65A3A" w:rsidRDefault="763BAED9" w14:paraId="43961657" w14:textId="1AE9F97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35D65A3A" w:rsidR="763BAED9">
        <w:rPr>
          <w:rFonts w:ascii="Aptos" w:hAnsi="Aptos" w:eastAsia="Aptos" w:cs="Aptos"/>
          <w:noProof w:val="0"/>
          <w:sz w:val="24"/>
          <w:szCs w:val="24"/>
          <w:lang w:val="en-US"/>
        </w:rPr>
        <w:t xml:space="preserve">Turner, J.R. (2014) </w:t>
      </w:r>
      <w:r w:rsidRPr="35D65A3A" w:rsidR="763BAED9">
        <w:rPr>
          <w:rFonts w:ascii="Aptos" w:hAnsi="Aptos" w:eastAsia="Aptos" w:cs="Aptos"/>
          <w:i w:val="1"/>
          <w:iCs w:val="1"/>
          <w:noProof w:val="0"/>
          <w:sz w:val="24"/>
          <w:szCs w:val="24"/>
          <w:lang w:val="en-US"/>
        </w:rPr>
        <w:t>Handbook of Project-Based Management</w:t>
      </w:r>
      <w:r w:rsidRPr="35D65A3A" w:rsidR="763BAED9">
        <w:rPr>
          <w:rFonts w:ascii="Aptos" w:hAnsi="Aptos" w:eastAsia="Aptos" w:cs="Aptos"/>
          <w:noProof w:val="0"/>
          <w:sz w:val="24"/>
          <w:szCs w:val="24"/>
          <w:lang w:val="en-US"/>
        </w:rPr>
        <w:t>. 3rd edn. London: McGraw-Hill.</w:t>
      </w:r>
    </w:p>
    <w:p w:rsidR="763BAED9" w:rsidP="35D65A3A" w:rsidRDefault="763BAED9" w14:paraId="6B1BB907" w14:textId="26BDF2B8">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542CA659" w:rsidR="763BAED9">
        <w:rPr>
          <w:rFonts w:ascii="Aptos" w:hAnsi="Aptos" w:eastAsia="Aptos" w:cs="Aptos"/>
          <w:noProof w:val="0"/>
          <w:sz w:val="24"/>
          <w:szCs w:val="24"/>
          <w:lang w:val="en-US"/>
        </w:rPr>
        <w:t xml:space="preserve">Meredith, J. and Mantel, S. (2017) </w:t>
      </w:r>
      <w:r w:rsidRPr="542CA659" w:rsidR="763BAED9">
        <w:rPr>
          <w:rFonts w:ascii="Aptos" w:hAnsi="Aptos" w:eastAsia="Aptos" w:cs="Aptos"/>
          <w:i w:val="1"/>
          <w:iCs w:val="1"/>
          <w:noProof w:val="0"/>
          <w:sz w:val="24"/>
          <w:szCs w:val="24"/>
          <w:lang w:val="en-US"/>
        </w:rPr>
        <w:t>Project Management: A Managerial Approach</w:t>
      </w:r>
      <w:r w:rsidRPr="542CA659" w:rsidR="763BAED9">
        <w:rPr>
          <w:rFonts w:ascii="Aptos" w:hAnsi="Aptos" w:eastAsia="Aptos" w:cs="Aptos"/>
          <w:noProof w:val="0"/>
          <w:sz w:val="24"/>
          <w:szCs w:val="24"/>
          <w:lang w:val="en-US"/>
        </w:rPr>
        <w:t>. Hoboken: Wiley.</w:t>
      </w:r>
    </w:p>
    <w:p w:rsidR="102CC90E" w:rsidP="542CA659" w:rsidRDefault="102CC90E" w14:paraId="0DE4E24E" w14:textId="06CFBEC4">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Department for Transport (DfT) (2024)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Transport Infrastructure Report</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London: DfT.</w:t>
      </w:r>
    </w:p>
    <w:p w:rsidR="102CC90E" w:rsidP="542CA659" w:rsidRDefault="102CC90E" w14:paraId="6AD326A6" w14:textId="0EFA8C1E">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Freeman, R.E. (2010)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Strategic Management: A Stakeholder Approach</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Cambridge: Cambridge University Press.</w:t>
      </w:r>
    </w:p>
    <w:p w:rsidR="102CC90E" w:rsidP="542CA659" w:rsidRDefault="102CC90E" w14:paraId="3FEA1C08" w14:textId="3A3D8740">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Hillson, D. (2017)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Practical Project Risk Management</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Newtown Square: Project Management Institute.</w:t>
      </w:r>
    </w:p>
    <w:p w:rsidR="102CC90E" w:rsidP="542CA659" w:rsidRDefault="102CC90E" w14:paraId="3F705901" w14:textId="06CCAE0A">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Kerzner, H. (2019)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Project Management: A Systems Approach to Planning, Scheduling and Controlling</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13th edn. Hoboken: Wiley.</w:t>
      </w:r>
    </w:p>
    <w:p w:rsidR="102CC90E" w:rsidP="542CA659" w:rsidRDefault="102CC90E" w14:paraId="2334C994" w14:textId="75E7A940">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Project Management Institute (PMI) (2021)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A Guide to the Project Management Body of Knowledge (PMBOK® Guide)</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7th edn. Newtown Square: PMI.</w:t>
      </w:r>
    </w:p>
    <w:p w:rsidR="102CC90E" w:rsidP="542CA659" w:rsidRDefault="102CC90E" w14:paraId="5A657367" w14:textId="779BECDF">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UK Green Building Council (UKGBC) (2024)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Net Zero Carbon Buildings Framework</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London: UKGBC.</w:t>
      </w:r>
    </w:p>
    <w:p w:rsidR="102CC90E" w:rsidP="542CA659" w:rsidRDefault="102CC90E" w14:paraId="1B7A618E" w14:textId="46324D49">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xml:space="preserve">Local Government Association (LGA) (2025) </w:t>
      </w:r>
      <w:r w:rsidRPr="542CA659" w:rsidR="102CC90E">
        <w:rPr>
          <w:rFonts w:ascii="Aptos" w:hAnsi="Aptos" w:eastAsia="Aptos" w:cs="Aptos"/>
          <w:b w:val="0"/>
          <w:bCs w:val="0"/>
          <w:i w:val="1"/>
          <w:iCs w:val="1"/>
          <w:caps w:val="0"/>
          <w:smallCaps w:val="0"/>
          <w:noProof w:val="0"/>
          <w:color w:val="000000" w:themeColor="text1" w:themeTint="FF" w:themeShade="FF"/>
          <w:sz w:val="24"/>
          <w:szCs w:val="24"/>
          <w:lang w:val="en-US"/>
        </w:rPr>
        <w:t>Inclusive Transport Guidance</w:t>
      </w:r>
      <w:r w:rsidRPr="542CA659" w:rsidR="102CC90E">
        <w:rPr>
          <w:rFonts w:ascii="Aptos" w:hAnsi="Aptos" w:eastAsia="Aptos" w:cs="Aptos"/>
          <w:b w:val="0"/>
          <w:bCs w:val="0"/>
          <w:i w:val="0"/>
          <w:iCs w:val="0"/>
          <w:caps w:val="0"/>
          <w:smallCaps w:val="0"/>
          <w:noProof w:val="0"/>
          <w:color w:val="000000" w:themeColor="text1" w:themeTint="FF" w:themeShade="FF"/>
          <w:sz w:val="24"/>
          <w:szCs w:val="24"/>
          <w:lang w:val="en-US"/>
        </w:rPr>
        <w:t>. London: LGA.</w:t>
      </w:r>
    </w:p>
    <w:p w:rsidR="542CA659" w:rsidP="542CA659" w:rsidRDefault="542CA659" w14:paraId="5E3A7E46" w14:textId="2C63B516">
      <w:pPr>
        <w:pStyle w:val="ListParagraph"/>
        <w:numPr>
          <w:ilvl w:val="0"/>
          <w:numId w:val="6"/>
        </w:numPr>
        <w:spacing w:before="240" w:beforeAutospacing="off" w:after="240" w:afterAutospacing="off"/>
        <w:rPr>
          <w:rFonts w:ascii="Aptos" w:hAnsi="Aptos" w:eastAsia="Aptos" w:cs="Aptos"/>
          <w:noProof w:val="0"/>
          <w:sz w:val="24"/>
          <w:szCs w:val="24"/>
          <w:lang w:val="en-US"/>
        </w:rPr>
      </w:pPr>
    </w:p>
    <w:p w:rsidR="542CA659" w:rsidRDefault="542CA659" w14:paraId="06E16EA6" w14:textId="4442CB01">
      <w:r>
        <w:br w:type="page"/>
      </w:r>
    </w:p>
    <w:p w:rsidR="5FBC4C13" w:rsidP="542CA659" w:rsidRDefault="5FBC4C13" w14:paraId="3FFDF36E" w14:textId="0B98D883">
      <w:pPr>
        <w:pStyle w:val="ListParagraph"/>
        <w:numPr>
          <w:ilvl w:val="0"/>
          <w:numId w:val="6"/>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Refereences </w:t>
      </w:r>
    </w:p>
    <w:p w:rsidR="5FBC4C13" w:rsidP="542CA659" w:rsidRDefault="5FBC4C13" w14:paraId="33DD5150" w14:textId="6823AB6D">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  Department for Transport (2024). </w:t>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Transport Infrastructure Efficiency Strategy Update</w:t>
      </w: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w:t>
      </w:r>
    </w:p>
    <w:p w:rsidR="5FBC4C13" w:rsidP="542CA659" w:rsidRDefault="5FBC4C13" w14:paraId="480A0949" w14:textId="38BCC81D">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  Network Rail (2023). </w:t>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Station Modernisation and Safety Standards Review</w:t>
      </w: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w:t>
      </w:r>
    </w:p>
    <w:p w:rsidR="5FBC4C13" w:rsidP="542CA659" w:rsidRDefault="5FBC4C13" w14:paraId="49493305" w14:textId="239F8686">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  UK Green Building Council (2024). </w:t>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Net</w:t>
      </w:r>
      <w:r>
        <w:noBreakHyphen/>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Zero Carbon Buildings Framework</w:t>
      </w: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w:t>
      </w:r>
    </w:p>
    <w:p w:rsidR="5FBC4C13" w:rsidP="542CA659" w:rsidRDefault="5FBC4C13" w14:paraId="38663916" w14:textId="36D91A5F">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  Chartered Institute of Logistics &amp; Transport (2025). </w:t>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Urban Freight and Last</w:t>
      </w:r>
      <w:r>
        <w:noBreakHyphen/>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Mile Delivery Report</w:t>
      </w: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w:t>
      </w:r>
    </w:p>
    <w:p w:rsidR="5FBC4C13" w:rsidP="542CA659" w:rsidRDefault="5FBC4C13" w14:paraId="24CF0257" w14:textId="06A92359">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 xml:space="preserve">  Local Government Association (2025). </w:t>
      </w:r>
      <w:r w:rsidRPr="542CA659" w:rsidR="5FBC4C13">
        <w:rPr>
          <w:rFonts w:ascii="Aptos" w:hAnsi="Aptos" w:eastAsia="Aptos" w:cs="Aptos"/>
          <w:b w:val="0"/>
          <w:bCs w:val="0"/>
          <w:i w:val="1"/>
          <w:iCs w:val="1"/>
          <w:caps w:val="0"/>
          <w:smallCaps w:val="0"/>
          <w:noProof w:val="0"/>
          <w:color w:val="000000" w:themeColor="text1" w:themeTint="FF" w:themeShade="FF"/>
          <w:sz w:val="24"/>
          <w:szCs w:val="24"/>
          <w:lang w:val="en-GB"/>
        </w:rPr>
        <w:t>Inclusive Urban Design and Accessibility Guidelines</w:t>
      </w:r>
      <w:r w:rsidRPr="542CA659" w:rsidR="5FBC4C13">
        <w:rPr>
          <w:rFonts w:ascii="Aptos" w:hAnsi="Aptos" w:eastAsia="Aptos" w:cs="Aptos"/>
          <w:b w:val="0"/>
          <w:bCs w:val="0"/>
          <w:i w:val="0"/>
          <w:iCs w:val="0"/>
          <w:caps w:val="0"/>
          <w:smallCaps w:val="0"/>
          <w:noProof w:val="0"/>
          <w:color w:val="000000" w:themeColor="text1" w:themeTint="FF" w:themeShade="FF"/>
          <w:sz w:val="24"/>
          <w:szCs w:val="24"/>
          <w:lang w:val="en-GB"/>
        </w:rPr>
        <w:t>.</w:t>
      </w:r>
    </w:p>
    <w:p w:rsidR="542CA659" w:rsidP="542CA659" w:rsidRDefault="542CA659" w14:paraId="54253226" w14:textId="542068CD">
      <w:pPr>
        <w:pStyle w:val="ListParagraph"/>
        <w:numPr>
          <w:ilvl w:val="0"/>
          <w:numId w:val="6"/>
        </w:numPr>
        <w:spacing w:before="240" w:beforeAutospacing="off" w:after="240" w:afterAutospacing="off"/>
        <w:rPr>
          <w:rFonts w:ascii="Aptos" w:hAnsi="Aptos" w:eastAsia="Aptos" w:cs="Aptos"/>
          <w:noProof w:val="0"/>
          <w:sz w:val="24"/>
          <w:szCs w:val="24"/>
          <w:lang w:val="en-US"/>
        </w:rPr>
      </w:pPr>
    </w:p>
    <w:p w:rsidR="35D65A3A" w:rsidP="35D65A3A" w:rsidRDefault="35D65A3A" w14:paraId="42421848" w14:textId="195E52AD">
      <w:pPr>
        <w:spacing w:before="240" w:beforeAutospacing="off" w:after="240" w:afterAutospacing="off"/>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7e869cf739a841c0"/>
      <w:footerReference w:type="default" r:id="Rad5ebf8f78f540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D65A3A" w:rsidTr="35D65A3A" w14:paraId="26E0170D">
      <w:trPr>
        <w:trHeight w:val="300"/>
      </w:trPr>
      <w:tc>
        <w:tcPr>
          <w:tcW w:w="3120" w:type="dxa"/>
          <w:tcMar/>
        </w:tcPr>
        <w:p w:rsidR="35D65A3A" w:rsidP="35D65A3A" w:rsidRDefault="35D65A3A" w14:paraId="64E48613" w14:textId="18F27CB6">
          <w:pPr>
            <w:pStyle w:val="Header"/>
            <w:bidi w:val="0"/>
            <w:ind w:left="-115"/>
            <w:jc w:val="left"/>
          </w:pPr>
        </w:p>
      </w:tc>
      <w:tc>
        <w:tcPr>
          <w:tcW w:w="3120" w:type="dxa"/>
          <w:tcMar/>
        </w:tcPr>
        <w:p w:rsidR="35D65A3A" w:rsidP="35D65A3A" w:rsidRDefault="35D65A3A" w14:paraId="394E57E7" w14:textId="0DCF4BCD">
          <w:pPr>
            <w:pStyle w:val="Header"/>
            <w:bidi w:val="0"/>
            <w:jc w:val="center"/>
          </w:pPr>
        </w:p>
      </w:tc>
      <w:tc>
        <w:tcPr>
          <w:tcW w:w="3120" w:type="dxa"/>
          <w:tcMar/>
        </w:tcPr>
        <w:p w:rsidR="35D65A3A" w:rsidP="35D65A3A" w:rsidRDefault="35D65A3A" w14:paraId="5CCF4A04" w14:textId="2C925747">
          <w:pPr>
            <w:pStyle w:val="Header"/>
            <w:bidi w:val="0"/>
            <w:ind w:right="-115"/>
            <w:jc w:val="right"/>
          </w:pPr>
        </w:p>
      </w:tc>
    </w:tr>
  </w:tbl>
  <w:p w:rsidR="35D65A3A" w:rsidP="35D65A3A" w:rsidRDefault="35D65A3A" w14:paraId="5C1E0644" w14:textId="38BD166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35D65A3A" w:rsidTr="35D65A3A" w14:paraId="1C90209E">
      <w:trPr>
        <w:trHeight w:val="300"/>
      </w:trPr>
      <w:tc>
        <w:tcPr>
          <w:tcW w:w="3120" w:type="dxa"/>
          <w:tcMar/>
        </w:tcPr>
        <w:p w:rsidR="35D65A3A" w:rsidP="35D65A3A" w:rsidRDefault="35D65A3A" w14:paraId="103CB0EE" w14:textId="07EC6E17">
          <w:pPr>
            <w:pStyle w:val="Header"/>
            <w:bidi w:val="0"/>
            <w:ind w:left="-115"/>
            <w:jc w:val="left"/>
          </w:pPr>
        </w:p>
      </w:tc>
      <w:tc>
        <w:tcPr>
          <w:tcW w:w="3120" w:type="dxa"/>
          <w:tcMar/>
        </w:tcPr>
        <w:p w:rsidR="35D65A3A" w:rsidP="35D65A3A" w:rsidRDefault="35D65A3A" w14:paraId="6CFD78B5" w14:textId="1D3B0D82">
          <w:pPr>
            <w:pStyle w:val="Header"/>
            <w:bidi w:val="0"/>
            <w:jc w:val="center"/>
          </w:pPr>
        </w:p>
      </w:tc>
      <w:tc>
        <w:tcPr>
          <w:tcW w:w="3120" w:type="dxa"/>
          <w:tcMar/>
        </w:tcPr>
        <w:p w:rsidR="35D65A3A" w:rsidP="35D65A3A" w:rsidRDefault="35D65A3A" w14:paraId="56174C6D" w14:textId="1464677F">
          <w:pPr>
            <w:pStyle w:val="Header"/>
            <w:bidi w:val="0"/>
            <w:ind w:right="-115"/>
            <w:jc w:val="right"/>
          </w:pPr>
        </w:p>
      </w:tc>
    </w:tr>
  </w:tbl>
  <w:p w:rsidR="35D65A3A" w:rsidP="35D65A3A" w:rsidRDefault="35D65A3A" w14:paraId="6C7C595F" w14:textId="6B513DA1">
    <w:pPr>
      <w:pStyle w:val="Header"/>
      <w:bidi w:val="0"/>
    </w:pPr>
  </w:p>
</w:hdr>
</file>

<file path=word/numbering.xml><?xml version="1.0" encoding="utf-8"?>
<w:numbering xmlns:w="http://schemas.openxmlformats.org/wordprocessingml/2006/main">
  <w:abstractNum xmlns:w="http://schemas.openxmlformats.org/wordprocessingml/2006/main" w:abstractNumId="7">
    <w:nsid w:val="739eaf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027c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1c22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bc3d3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ee79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85b8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5608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41CD75"/>
    <w:rsid w:val="03BF6826"/>
    <w:rsid w:val="0587E0DA"/>
    <w:rsid w:val="06AFBF86"/>
    <w:rsid w:val="07DE6E39"/>
    <w:rsid w:val="0A5B4832"/>
    <w:rsid w:val="0B52F285"/>
    <w:rsid w:val="0CD8D7EC"/>
    <w:rsid w:val="0D03075D"/>
    <w:rsid w:val="0F1C503B"/>
    <w:rsid w:val="0F1C503B"/>
    <w:rsid w:val="102CC90E"/>
    <w:rsid w:val="1311BD5A"/>
    <w:rsid w:val="13475281"/>
    <w:rsid w:val="13EC5A3A"/>
    <w:rsid w:val="1531DCE7"/>
    <w:rsid w:val="17380C41"/>
    <w:rsid w:val="19B37ECE"/>
    <w:rsid w:val="1A41CD75"/>
    <w:rsid w:val="1A5443A7"/>
    <w:rsid w:val="1D227E1D"/>
    <w:rsid w:val="1DCAFFFD"/>
    <w:rsid w:val="1FBCF842"/>
    <w:rsid w:val="1FBCF842"/>
    <w:rsid w:val="1FCF3787"/>
    <w:rsid w:val="20C94813"/>
    <w:rsid w:val="215C327E"/>
    <w:rsid w:val="222BD4FD"/>
    <w:rsid w:val="22CB22B8"/>
    <w:rsid w:val="22F2F5F2"/>
    <w:rsid w:val="25990BAB"/>
    <w:rsid w:val="2740B8D3"/>
    <w:rsid w:val="2BE9B91F"/>
    <w:rsid w:val="2E1BE03C"/>
    <w:rsid w:val="2FA66C73"/>
    <w:rsid w:val="311F96B0"/>
    <w:rsid w:val="3170C53E"/>
    <w:rsid w:val="3251ADC9"/>
    <w:rsid w:val="326DE7CC"/>
    <w:rsid w:val="346F51AC"/>
    <w:rsid w:val="35D65A3A"/>
    <w:rsid w:val="371FFB57"/>
    <w:rsid w:val="382B0A4E"/>
    <w:rsid w:val="3B79F342"/>
    <w:rsid w:val="3D59D952"/>
    <w:rsid w:val="3FF15786"/>
    <w:rsid w:val="40EDCCAA"/>
    <w:rsid w:val="4584F5D9"/>
    <w:rsid w:val="45E13F14"/>
    <w:rsid w:val="46605098"/>
    <w:rsid w:val="46ACEF9A"/>
    <w:rsid w:val="47978D2F"/>
    <w:rsid w:val="4A3326FC"/>
    <w:rsid w:val="4AB636C2"/>
    <w:rsid w:val="4AC7EEBE"/>
    <w:rsid w:val="4C0B4024"/>
    <w:rsid w:val="4EBE7A95"/>
    <w:rsid w:val="4F0B7CA8"/>
    <w:rsid w:val="50A2CB68"/>
    <w:rsid w:val="52CFE75C"/>
    <w:rsid w:val="542CA659"/>
    <w:rsid w:val="56A9F225"/>
    <w:rsid w:val="5705023E"/>
    <w:rsid w:val="57957881"/>
    <w:rsid w:val="59D0B70D"/>
    <w:rsid w:val="5A3024DC"/>
    <w:rsid w:val="5B1DEF01"/>
    <w:rsid w:val="5C94E1DF"/>
    <w:rsid w:val="5DA2DDD4"/>
    <w:rsid w:val="5FBC4C13"/>
    <w:rsid w:val="60821D69"/>
    <w:rsid w:val="60DDB4E5"/>
    <w:rsid w:val="62708E7F"/>
    <w:rsid w:val="627F03F0"/>
    <w:rsid w:val="64070416"/>
    <w:rsid w:val="64F7B75B"/>
    <w:rsid w:val="658404D6"/>
    <w:rsid w:val="65C4EBA2"/>
    <w:rsid w:val="6712113F"/>
    <w:rsid w:val="6770E20B"/>
    <w:rsid w:val="69465B34"/>
    <w:rsid w:val="6CF7D759"/>
    <w:rsid w:val="6D34E622"/>
    <w:rsid w:val="6E0548C6"/>
    <w:rsid w:val="70C688E2"/>
    <w:rsid w:val="711BBEF3"/>
    <w:rsid w:val="737B108E"/>
    <w:rsid w:val="74F78232"/>
    <w:rsid w:val="751AF3A1"/>
    <w:rsid w:val="763BAED9"/>
    <w:rsid w:val="7C65AB84"/>
    <w:rsid w:val="7CAF47BB"/>
    <w:rsid w:val="7D8C09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CBFA9"/>
  <w15:chartTrackingRefBased/>
  <w15:docId w15:val="{02E854D0-3B0B-4C0C-904F-0FA3B433B9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w:type="paragraph" w:styleId="ListParagraph">
    <w:uiPriority w:val="34"/>
    <w:name w:val="List Paragraph"/>
    <w:basedOn w:val="Normal"/>
    <w:qFormat/>
    <w:rsid w:val="70C688E2"/>
    <w:pPr>
      <w:spacing/>
      <w:ind w:left="720"/>
      <w:contextualSpacing/>
    </w:pPr>
  </w:style>
  <w:style w:type="paragraph" w:styleId="Heading1">
    <w:uiPriority w:val="9"/>
    <w:name w:val="heading 1"/>
    <w:basedOn w:val="Normal"/>
    <w:next w:val="Normal"/>
    <w:qFormat/>
    <w:rsid w:val="5C94E1D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w:type="paragraph" w:styleId="Header">
    <w:uiPriority w:val="99"/>
    <w:name w:val="header"/>
    <w:basedOn w:val="Normal"/>
    <w:unhideWhenUsed/>
    <w:rsid w:val="35D65A3A"/>
    <w:pPr>
      <w:tabs>
        <w:tab w:val="center" w:leader="none" w:pos="4680"/>
        <w:tab w:val="right" w:leader="none" w:pos="9360"/>
      </w:tabs>
      <w:spacing w:after="0" w:line="240" w:lineRule="auto"/>
    </w:pPr>
  </w:style>
  <w:style w:type="paragraph" w:styleId="Footer">
    <w:uiPriority w:val="99"/>
    <w:name w:val="footer"/>
    <w:basedOn w:val="Normal"/>
    <w:unhideWhenUsed/>
    <w:rsid w:val="35D65A3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4cf40f3054144ec" /><Relationship Type="http://schemas.openxmlformats.org/officeDocument/2006/relationships/image" Target="/media/image.png" Id="rId1510669306" /><Relationship Type="http://schemas.openxmlformats.org/officeDocument/2006/relationships/header" Target="header.xml" Id="R7e869cf739a841c0" /><Relationship Type="http://schemas.openxmlformats.org/officeDocument/2006/relationships/footer" Target="footer.xml" Id="Rad5ebf8f78f540c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2026-07-04T08:42:34.7514311Z</dcterms:created>
  <dcterms:modified xsi:type="dcterms:W3CDTF">2026-07-19T14:08:23.3851032Z</dcterms:modified>
  <dc:creator>Akeel Ali (2410749)</dc:creator>
  <lastModifiedBy>Akeel Ali (2410749)</lastModifiedBy>
</coreProperties>
</file>