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C4A081" w14:textId="42E52779" w:rsidR="00B00615" w:rsidRDefault="00B060EB">
      <w:pPr>
        <w:rPr>
          <w:u w:val="single"/>
        </w:rPr>
      </w:pPr>
      <w:r>
        <w:rPr>
          <w:u w:val="single"/>
        </w:rPr>
        <w:t>How does Trauma affect a child’s health and development?</w:t>
      </w:r>
    </w:p>
    <w:p w14:paraId="6C28376E" w14:textId="5DE35512" w:rsidR="00B060EB" w:rsidRPr="00B060EB" w:rsidRDefault="00B060EB" w:rsidP="00B060EB"/>
    <w:p w14:paraId="18CF3100" w14:textId="014AAFA7" w:rsidR="00B060EB" w:rsidRDefault="00B060EB" w:rsidP="00B060EB">
      <w:r>
        <w:rPr>
          <w:u w:val="single"/>
        </w:rPr>
        <w:t>Introduction: 250</w:t>
      </w:r>
    </w:p>
    <w:p w14:paraId="78EF1844" w14:textId="440B5F94" w:rsidR="005E2D8F" w:rsidRDefault="00E61F68" w:rsidP="00B060EB">
      <w:r>
        <w:t>The idea and notion of trauma is one that has been theorised for only a brief percentage of history, being first described and investigated by Jean Martin Charcot in the late 19</w:t>
      </w:r>
      <w:r w:rsidRPr="00E61F68">
        <w:rPr>
          <w:vertAlign w:val="superscript"/>
        </w:rPr>
        <w:t>th</w:t>
      </w:r>
      <w:r>
        <w:t xml:space="preserve"> century (Brandell &amp; Ringel, </w:t>
      </w:r>
      <w:r w:rsidRPr="008639EB">
        <w:t>2011, pp. 1</w:t>
      </w:r>
      <w:r>
        <w:t xml:space="preserve">). Charcot’s work initiated a change in the diagnosis of what was referred to as ‘Hysteria’ in women, which Charcot demonstrated was a psychological response to </w:t>
      </w:r>
      <w:r w:rsidR="00365273">
        <w:t>what was referred to as “</w:t>
      </w:r>
      <w:r w:rsidR="00365273" w:rsidRPr="00365273">
        <w:t>the results of having endured unbearable experiences</w:t>
      </w:r>
      <w:r w:rsidR="00365273">
        <w:t xml:space="preserve">” (Van der kolk, McFarlane, and Weisaeth, </w:t>
      </w:r>
      <w:r w:rsidR="00365273" w:rsidRPr="008639EB">
        <w:t>1996, pp. 50).</w:t>
      </w:r>
      <w:r w:rsidR="00365273">
        <w:t xml:space="preserve"> This notion was the foundation of what would come, t</w:t>
      </w:r>
      <w:r w:rsidR="00A9401C">
        <w:t>h</w:t>
      </w:r>
      <w:r w:rsidR="00365273">
        <w:t>rough a series of debates and contradictions, to be known as trauma.</w:t>
      </w:r>
      <w:r w:rsidR="005E2D8F">
        <w:br/>
      </w:r>
      <w:r w:rsidR="00A9401C">
        <w:t>Trauma, and more often ‘Post-Traumatic Stress Disorder’ (PTSD)</w:t>
      </w:r>
      <w:r w:rsidR="0026439D">
        <w:t>, which is the most common diagnosis associated with trauma,</w:t>
      </w:r>
      <w:r w:rsidR="00A9401C">
        <w:t xml:space="preserve"> have frequently been doubted and dismissed throughout history, particularly within the military.</w:t>
      </w:r>
      <w:r w:rsidR="0068647B">
        <w:t xml:space="preserve"> It was not until the 1980s that PTSD was included in the Diagnostic and Statistical Manual of Mental Disorders (DSM), which is the primary tool used by Psychiatrists in the USA, upon when it became more th</w:t>
      </w:r>
      <w:r w:rsidR="000242F3">
        <w:t>a</w:t>
      </w:r>
      <w:r w:rsidR="0068647B">
        <w:t>n a disorder associated with stress and was embraced as an umbrella term that could cover many types of traumatic experience, from Sexual Assault</w:t>
      </w:r>
      <w:r w:rsidR="00305523">
        <w:t xml:space="preserve"> and combat, through to events such as sudden bereavement.</w:t>
      </w:r>
      <w:r w:rsidR="005E2D8F">
        <w:t xml:space="preserve"> </w:t>
      </w:r>
      <w:r w:rsidR="00305523">
        <w:t xml:space="preserve">Traditionally, these ideas have only been considered </w:t>
      </w:r>
      <w:r w:rsidR="0026439D">
        <w:t xml:space="preserve">in the context </w:t>
      </w:r>
      <w:r w:rsidR="00305523">
        <w:t>of fighting men, but as modern psychiatry evolved, so did the ideas that anyone could experience trauma, even children.</w:t>
      </w:r>
    </w:p>
    <w:p w14:paraId="6BFAE3B5" w14:textId="1D17EB1D" w:rsidR="000E0DBC" w:rsidRDefault="006D6CA3" w:rsidP="00B060EB">
      <w:r>
        <w:t xml:space="preserve">It is no common or academic secret that trauma is </w:t>
      </w:r>
      <w:r w:rsidR="0026439D">
        <w:t xml:space="preserve">not </w:t>
      </w:r>
      <w:r>
        <w:t>a simple beast. The complexities associated with it can cause each individual who has been exposed to trauma to display this in a different way. As such</w:t>
      </w:r>
      <w:r w:rsidR="00934D98">
        <w:t>, the process of being treated for trauma can be a long and difficult process.</w:t>
      </w:r>
      <w:r w:rsidR="00934D98">
        <w:br/>
        <w:t xml:space="preserve">In terms of discovering the origins of a </w:t>
      </w:r>
      <w:r w:rsidR="00377B36">
        <w:t>person’s</w:t>
      </w:r>
      <w:r w:rsidR="00934D98">
        <w:t xml:space="preserve"> trauma, there are many causes that could be considered. One of the </w:t>
      </w:r>
      <w:r w:rsidR="0026439D">
        <w:t xml:space="preserve">prominent discussions in recent years </w:t>
      </w:r>
      <w:r w:rsidR="00934D98">
        <w:t>is the idea of ‘Generational Trauma</w:t>
      </w:r>
      <w:r w:rsidR="0026439D">
        <w:t xml:space="preserve">’, which despite being first described in the 1960s by </w:t>
      </w:r>
      <w:r w:rsidR="0026439D" w:rsidRPr="008639EB">
        <w:t>Rakoff, has</w:t>
      </w:r>
      <w:r w:rsidR="0026439D">
        <w:t xml:space="preserve"> more recently become a topic of prevalence in recent years. The idea of ‘Generational Trauma’ is that </w:t>
      </w:r>
      <w:r w:rsidR="004E26D0">
        <w:t xml:space="preserve">a traumatic event that happened to a large population or group can cause a number of effects that will subsequently affect future generations of the aforementioned </w:t>
      </w:r>
      <w:r w:rsidR="004E26D0" w:rsidRPr="00396C47">
        <w:t>group (DeAngelis, T., 2019). The</w:t>
      </w:r>
      <w:r w:rsidR="004E26D0">
        <w:t xml:space="preserve"> principle example of this, and the one that was first identified by Rakoff, was the appearance of higher levels of distress and symptoms of trauma present in the children of Holocaust survivors.</w:t>
      </w:r>
      <w:r w:rsidR="000E0DBC">
        <w:t xml:space="preserve"> This prevalence of seemingly generationally transferred trauma can also be seen in other groups, such as indigenous populations who have faced displacement from colonists and racial groups such as Africa</w:t>
      </w:r>
      <w:r w:rsidR="00D421A6">
        <w:t xml:space="preserve">n </w:t>
      </w:r>
      <w:r w:rsidR="000E0DBC">
        <w:t xml:space="preserve">Americans who have faced racial oppression. The </w:t>
      </w:r>
      <w:r w:rsidR="004F64E7">
        <w:t>e</w:t>
      </w:r>
      <w:r w:rsidR="000E0DBC">
        <w:t xml:space="preserve">ffects of these traumas have been noted to extend beyond the realm of psychology, reaching even into the group’s cultural, </w:t>
      </w:r>
      <w:r w:rsidR="00D421A6">
        <w:t>social,</w:t>
      </w:r>
      <w:r w:rsidR="000E0DBC">
        <w:t xml:space="preserve"> and potentially even genetic structures.</w:t>
      </w:r>
      <w:r w:rsidR="005E2D8F">
        <w:t xml:space="preserve"> </w:t>
      </w:r>
      <w:r w:rsidR="000E0DBC">
        <w:t xml:space="preserve">In terms of a singular experience, the origins of trauma could be from a wide range of experiences that have occurred over an extended period, or from a singular ‘traumatic event’ </w:t>
      </w:r>
      <w:r w:rsidR="000C5B72">
        <w:t>which is an incident in which a person believes they are seriously in danger or at risk of losing their life (</w:t>
      </w:r>
      <w:r w:rsidR="008639EB">
        <w:t>Harvard Health Publishing,</w:t>
      </w:r>
      <w:r w:rsidR="000C5B72">
        <w:t xml:space="preserve"> 2021)</w:t>
      </w:r>
      <w:r w:rsidR="00883023">
        <w:t xml:space="preserve">. </w:t>
      </w:r>
    </w:p>
    <w:p w14:paraId="37569C4C" w14:textId="77777777" w:rsidR="00F6449A" w:rsidRDefault="00F6449A" w:rsidP="00B060EB">
      <w:pPr>
        <w:rPr>
          <w:u w:val="single"/>
        </w:rPr>
      </w:pPr>
    </w:p>
    <w:p w14:paraId="5325165E" w14:textId="77777777" w:rsidR="005E2D8F" w:rsidRDefault="00F6449A" w:rsidP="00B060EB">
      <w:r>
        <w:t>When considering the impact that a traumatic experience can have on the health and development of a child it is somewhat intimidating to know where to begin. There are a seemingly innumerable number of potential negative impacts which range in aspect from behavioural and social, to biological or even effecting consciousness itself</w:t>
      </w:r>
      <w:r w:rsidRPr="00396C47">
        <w:t>. Alexandra et al (2005)</w:t>
      </w:r>
      <w:r w:rsidR="00F9254B" w:rsidRPr="00396C47">
        <w:t xml:space="preserve"> note</w:t>
      </w:r>
      <w:r w:rsidR="00F9254B">
        <w:t xml:space="preserve"> that the number of diagnoses that may arise from a traumatic event are so many that it can actually lead to issues </w:t>
      </w:r>
      <w:r w:rsidR="00F9254B">
        <w:lastRenderedPageBreak/>
        <w:t>arising in the diagnostic process. This is due to that children that have experienced incidents of trauma such as abuse, neglect, loss of a close family member, or otherwise, will often meet the diagnostic criteria for a number of different conditions which fall into the categories previously mentioned</w:t>
      </w:r>
      <w:r w:rsidR="00981660">
        <w:t>. However, it must be acknowledged that a diagnoses of one disorder, ADHD for example, will not encapsulate the difficulties faced by a traumatised child, and therefore will not be able to provide them with the support and interventions that they need in order to succeed and heal</w:t>
      </w:r>
      <w:r w:rsidR="00D816AE">
        <w:t xml:space="preserve"> as clinicians may erroneously focus on comorbid symptoms rather than treating the underlying cause that is trauma</w:t>
      </w:r>
      <w:r w:rsidR="00981660">
        <w:t xml:space="preserve">. To resolve this issue, there has been call for there to be a specific diagnosis for childhood trauma </w:t>
      </w:r>
      <w:r w:rsidR="00981660" w:rsidRPr="00396C47">
        <w:t>(van der Kolk, B. 2005),</w:t>
      </w:r>
      <w:r w:rsidR="00981660">
        <w:t xml:space="preserve"> that would enable children to receive care which looks at all of the developmental, neurological, and physical consequences of trauma, rather than seeking to resolve singular symptoms as the current diagnoses would do.</w:t>
      </w:r>
    </w:p>
    <w:p w14:paraId="76116A9A" w14:textId="1B6A2BF5" w:rsidR="00E917DF" w:rsidRDefault="00981660" w:rsidP="00B060EB">
      <w:r>
        <w:t xml:space="preserve">As previously mentioned, the experience of a traumatic event can </w:t>
      </w:r>
      <w:r w:rsidR="00D816AE">
        <w:t xml:space="preserve">have an effect on a number of facets of a young person’s health and life. Particularly, if the trauma is experienced whilst the child is in their formative years it can have a lasting impact on their development. </w:t>
      </w:r>
      <w:r w:rsidR="0087256B">
        <w:t>In Piaget’s model of development, should the trauma occur during or before the stage at which the child has ‘decentralised’, in which they become able to place events within the wider context of the world, rather than seeing themselves as the centre of everything, the child can develop difficulty in making rational and self-driven choices, and can start to be seen as having behavioural issues. This phenomenon often occurs due to children being held to the behavioural standards of a fully developed and neuro-typical adult, which means that these ‘negative’ traits and habits, which are in essence survival and coping mechanisms, are misinterpreted as delinquency.</w:t>
      </w:r>
      <w:r w:rsidR="00E45E68">
        <w:t xml:space="preserve"> This mislabelling of symptomatic behaviour can result in sanctions and punishment, which will further the strain and anguish faced by a child as now the behaviours they have developed in order to protect themselves form trauma are themselves being diminished and scrutinised.</w:t>
      </w:r>
      <w:r w:rsidR="001E4739">
        <w:br/>
        <w:t xml:space="preserve">Later In life, the negative impacts of trauma will persist without </w:t>
      </w:r>
      <w:r w:rsidR="001E4739" w:rsidRPr="00396C47">
        <w:t>proper treatment. Kinneburgh et al (2005) note that one particularly prominent result of trauma is the d</w:t>
      </w:r>
      <w:r w:rsidR="001E4739">
        <w:t>evelopment of attachment issues.</w:t>
      </w:r>
      <w:r w:rsidR="00D43828">
        <w:t xml:space="preserve"> Kinneburgh et al state that the majority of children who have experienced trauma will develop an insecure attachment pattern, falling into ether the insecure-anxious, or insecure-avoidant </w:t>
      </w:r>
      <w:r w:rsidR="00D43828" w:rsidRPr="00D41644">
        <w:t>categories (Bowlby, 1980, pp. 212)</w:t>
      </w:r>
      <w:r w:rsidR="00E917DF" w:rsidRPr="00D41644">
        <w:t>. These</w:t>
      </w:r>
      <w:r w:rsidR="00E917DF">
        <w:t xml:space="preserve"> issues regarding attachment can cause a child to struggle throughout their development, as it may make them either overly reliant on, resistant to or completely ambivalent to the presence of their caregiver, and then later on any authority figures in their life. Further to this, it has been shown that attachment issues in childhood can be strong predictors of depression and anxiety in adolescen</w:t>
      </w:r>
      <w:r w:rsidR="00E917DF" w:rsidRPr="00D41644">
        <w:t>ce (Lee and Hankin, 2009). These</w:t>
      </w:r>
      <w:r w:rsidR="00E917DF">
        <w:t xml:space="preserve"> links between different conditions show that a singular instance of trauma during the developmental stages can have a long lasting and profound negative effect on a child, simply due to the likeliness of comorbidities alone.</w:t>
      </w:r>
    </w:p>
    <w:p w14:paraId="2966A98C" w14:textId="351DC7D2" w:rsidR="00B060EB" w:rsidRDefault="00452117" w:rsidP="00B060EB">
      <w:r>
        <w:t>Having considered the potential impacts that a child who has experienced trauma would be likely to feel, it is important that there are effective and easily accessed interventions and support for the child. This is essential, as the sooner a child can be supported, or even removed from the proximity of the source of the trauma, the less of an impact it would continue to have.</w:t>
      </w:r>
      <w:r w:rsidR="00021518">
        <w:t xml:space="preserve"> The Wellbeing of Future </w:t>
      </w:r>
      <w:r w:rsidR="00021518" w:rsidRPr="00D41644">
        <w:t>Generations Act 2015 (WFGA) was</w:t>
      </w:r>
      <w:r w:rsidR="00021518">
        <w:t xml:space="preserve"> published by the Welsh Government in order to provide an outlook on, and set policy for the future of Wales. This document comprised of many guidelines designed to ensure Wales’s continual growth into a country that is a better place for future generations to live. Within this legislation the concept of Adverse Childhood Experiences (ACEs) are introduced</w:t>
      </w:r>
      <w:r w:rsidR="0041359A">
        <w:t xml:space="preserve">, ACEs are experiences or circumstances that a child may have when growing up that will negatively affect their development. An ACE can be a number of things, ranging from parental separation, and alcohol abuse, to domestic, verbal, or sexual abuse. A Public Health Wales </w:t>
      </w:r>
      <w:r w:rsidR="0041359A">
        <w:lastRenderedPageBreak/>
        <w:t>publication shows that having one ACE is fairly common, with 47% of adults having experienced at least one, and 14% having experienced four or more, which puts them into a high-risk category. (</w:t>
      </w:r>
      <w:r w:rsidR="0041359A" w:rsidRPr="00DD6837">
        <w:t>Bellis, M., N.d.). It</w:t>
      </w:r>
      <w:r w:rsidR="0041359A">
        <w:t xml:space="preserve"> is important to note however that this does not discern between ACEs, only that a person who has had one, and therefore does not fairly represent the risk of trauma, as some ACEs could be considered more traumatic than others when considered at a glance</w:t>
      </w:r>
      <w:r w:rsidR="004E4C63">
        <w:t xml:space="preserve"> such as in the case of</w:t>
      </w:r>
      <w:r w:rsidR="0041359A">
        <w:t xml:space="preserve"> Parental Separation compared to Physical Abuse.</w:t>
      </w:r>
    </w:p>
    <w:p w14:paraId="5B6D57C0" w14:textId="07296E6A" w:rsidR="00452117" w:rsidRDefault="004E4C63" w:rsidP="00B060EB">
      <w:r>
        <w:t xml:space="preserve">As part of the ongoing campaign to reduce the number of children In Wales that are affected by ACEs, the Education Wales published </w:t>
      </w:r>
      <w:r w:rsidR="005C6A10">
        <w:t>“</w:t>
      </w:r>
      <w:r w:rsidR="005C6A10" w:rsidRPr="00DD6837">
        <w:t>Knowing your Children” (2020) In</w:t>
      </w:r>
      <w:r w:rsidR="005C6A10">
        <w:t xml:space="preserve"> conjunction with Estyn. This document was produced with the intention of reviewing how well schools in Wales were supporting children who had ACEs</w:t>
      </w:r>
      <w:r w:rsidR="00ED0305">
        <w:t>, and how effectively Welsh Education was communicating with other agencies and sectors within this support. The report details that within Welsh education pupils who are vulnerable or have had ACEs are generally well supported, albeit more so in primary than secondary schools. The report notes that there is well implemented, specific, support for students that may need it, but also an important acknowledgement that all students should be taught wellbeing skills, how to manage their emotions, and also how to be more resilient.</w:t>
      </w:r>
      <w:r w:rsidR="00ED0305">
        <w:br/>
        <w:t xml:space="preserve">This report shines a positive light on education in </w:t>
      </w:r>
      <w:r w:rsidR="00A62B3D">
        <w:t>Wales, considering that in Wales almost 1/3</w:t>
      </w:r>
      <w:r w:rsidR="00A62B3D" w:rsidRPr="00A62B3D">
        <w:rPr>
          <w:vertAlign w:val="superscript"/>
        </w:rPr>
        <w:t>rd</w:t>
      </w:r>
      <w:r w:rsidR="00A62B3D">
        <w:t xml:space="preserve"> of Children live in poverty (</w:t>
      </w:r>
      <w:r w:rsidR="00A62B3D" w:rsidRPr="00DD6837">
        <w:t>Save the Children, 2021)</w:t>
      </w:r>
      <w:r w:rsidR="00096393" w:rsidRPr="00DD6837">
        <w:t>, however</w:t>
      </w:r>
      <w:r w:rsidR="00096393">
        <w:t xml:space="preserve"> there are still improvements that can be made. The report makes a number of recommendations which would allow schools to progress past offering adequate support, and provide the best possible help to students who have experienced trauma. Some examples of these recommendations are that schools have designated calm spaces that students can use to take some time to receive support should they need it during the day, along with all staff being trained to understand their role as a trusted adult and support provider as opposed to solely the pastoral staff being formally trained.</w:t>
      </w:r>
      <w:r w:rsidR="006218FF">
        <w:t xml:space="preserve"> These recommendations, if implemented effectively will ensure that students who have been affected by traumatic experiences are supported effectively and able to make the most of their time within formal education in Wales, as demonstrated by a school in Wales which was Highlighted by Estyn for offering particularly notable support to </w:t>
      </w:r>
      <w:r w:rsidR="006C75E9">
        <w:t>pupils facing social issues. (</w:t>
      </w:r>
      <w:r w:rsidR="006C75E9" w:rsidRPr="004A6AD5">
        <w:t>Estyn, 20</w:t>
      </w:r>
      <w:r w:rsidR="004A6AD5">
        <w:t>20</w:t>
      </w:r>
      <w:r w:rsidR="006C75E9" w:rsidRPr="004A6AD5">
        <w:t>)</w:t>
      </w:r>
    </w:p>
    <w:p w14:paraId="5EB52815" w14:textId="03C8B232" w:rsidR="00324739" w:rsidRDefault="006A4DB8" w:rsidP="00B060EB">
      <w:r>
        <w:t>If not supported and appropriately resolved in childhood, the impacts that trauma can have on a child later in life have been widely researched. It is no secret that traumatic experiences can have a profound impact on a person even when they</w:t>
      </w:r>
      <w:r w:rsidR="00324739">
        <w:t xml:space="preserve"> have received treatment and support, so it is obvious that should support and intervention not be accessed how intense the impact on a person could be. In the context of diagnosis, the most common diagnosis for a person who has experienced trauma would be that of PTSD, as mentioned </w:t>
      </w:r>
      <w:r w:rsidR="00324739" w:rsidRPr="00BB09AD">
        <w:t>previously. Dye (2018) notes</w:t>
      </w:r>
      <w:r w:rsidR="00324739">
        <w:t xml:space="preserve"> however, that in the DSM-IV, this diagnosis was described alongside Anxiety disorders due to their </w:t>
      </w:r>
      <w:r w:rsidR="00892984">
        <w:t>somewhat similar symptoms, however due to the complexities of trauma and its sequelae</w:t>
      </w:r>
      <w:r w:rsidR="0034636B">
        <w:t xml:space="preserve">, following the release of the DSM-V it has been </w:t>
      </w:r>
      <w:r w:rsidR="0034636B" w:rsidRPr="00BB09AD">
        <w:t>included under a unique chapter entitled ‘</w:t>
      </w:r>
      <w:r w:rsidR="0034636B" w:rsidRPr="00BB09AD">
        <w:t>Trauma</w:t>
      </w:r>
      <w:r w:rsidR="0034636B" w:rsidRPr="00BB09AD">
        <w:t xml:space="preserve"> </w:t>
      </w:r>
      <w:r w:rsidR="0034636B" w:rsidRPr="00BB09AD">
        <w:t>and</w:t>
      </w:r>
      <w:r w:rsidR="0034636B" w:rsidRPr="00BB09AD">
        <w:t xml:space="preserve"> </w:t>
      </w:r>
      <w:r w:rsidR="0034636B" w:rsidRPr="00BB09AD">
        <w:t>Stress</w:t>
      </w:r>
      <w:r w:rsidR="0034636B" w:rsidRPr="00BB09AD">
        <w:t xml:space="preserve"> </w:t>
      </w:r>
      <w:r w:rsidR="0034636B" w:rsidRPr="00BB09AD">
        <w:t>or</w:t>
      </w:r>
      <w:r w:rsidR="0034636B" w:rsidRPr="00BB09AD">
        <w:t xml:space="preserve"> </w:t>
      </w:r>
      <w:r w:rsidR="0034636B" w:rsidRPr="00BB09AD">
        <w:t>Related Disorders</w:t>
      </w:r>
      <w:r w:rsidR="0034636B" w:rsidRPr="00BB09AD">
        <w:t xml:space="preserve">’ (APA, 2013). </w:t>
      </w:r>
      <w:r w:rsidR="00B20B83" w:rsidRPr="00BB09AD">
        <w:t>This</w:t>
      </w:r>
      <w:r w:rsidR="00B20B83">
        <w:t xml:space="preserve"> has allowed psychiatrists to spend a greater amount of time on the subject of trauma and its associated conditions which will then in turn make allocating the correct interventions and support to those who have experienced trauma much more efficient.</w:t>
      </w:r>
    </w:p>
    <w:p w14:paraId="0EDA1CED" w14:textId="3CDE53B2" w:rsidR="00B20B83" w:rsidRDefault="00B20B83" w:rsidP="00B060EB">
      <w:r>
        <w:t xml:space="preserve">This efficiency of support is something that is essential in the context of trauma, it has been shown that the longer that a person is exposed to traumatic events or mistreatment, the greater impact it can have on them not only psychologically, but also neuro-biologically, i.e., that it can in fact affect a persons’ brain structure and development </w:t>
      </w:r>
      <w:r w:rsidRPr="00BB09AD">
        <w:t>(Delima and Vimpani, 2011, pp. 47).</w:t>
      </w:r>
      <w:r w:rsidR="00D465D7">
        <w:t xml:space="preserve"> This can lead to a number of problems in later life such as dependence on and abuse of controlled substances and alcohol, which are frequently used as coping mechanisms despite their negative affect on health. Further to this, the research of Suzuki et </w:t>
      </w:r>
      <w:r w:rsidR="00D465D7" w:rsidRPr="009B33C2">
        <w:t>al (2014, pp. 289-299) shows</w:t>
      </w:r>
      <w:r w:rsidR="00D465D7">
        <w:t xml:space="preserve"> that people who have </w:t>
      </w:r>
      <w:r w:rsidR="00D465D7">
        <w:lastRenderedPageBreak/>
        <w:t>experienced trauma will have a less effective cortisol response when in stressful situations, which is noted to be associated with dissociative tendencies, which can often occur due to a person compartmentalising their trauma if it has not been healed or resolved.</w:t>
      </w:r>
      <w:r w:rsidR="006153A9">
        <w:t xml:space="preserve"> Further study in this area by </w:t>
      </w:r>
      <w:r w:rsidR="006153A9" w:rsidRPr="009B33C2">
        <w:t>Copeland et al (2018) has</w:t>
      </w:r>
      <w:r w:rsidR="006153A9">
        <w:t xml:space="preserve"> also shown that there is a clear correlation between a person experiencing trauma in their childhood and </w:t>
      </w:r>
      <w:r w:rsidR="00377B36">
        <w:t>them struggling in areas such as social and financial prosperity and also the prevalence of psychiatric diagnoses.</w:t>
      </w:r>
    </w:p>
    <w:p w14:paraId="4ED60827" w14:textId="0BE3D3BB" w:rsidR="006153A9" w:rsidRDefault="006153A9" w:rsidP="00B060EB">
      <w:r>
        <w:t xml:space="preserve">Having experienced a traumatic event earlier in their life, </w:t>
      </w:r>
      <w:r w:rsidR="00AB4C1D">
        <w:t xml:space="preserve">it is clear that </w:t>
      </w:r>
      <w:r>
        <w:t>a person needing more support as they get older is to be expected. The aforementioned impacts</w:t>
      </w:r>
      <w:r w:rsidR="00AB4C1D">
        <w:t>,</w:t>
      </w:r>
      <w:r>
        <w:t xml:space="preserve"> such as greater risk of comorbidities, substance abuse, and lack of responsiveness to stress can quickly lead a person into situations where they may not be able respond appropriately or efficiently enough to the scenario in which they find themselves. The risks associated with unresolved trauma, alongside the obvious need to support those at any age who have experienced trauma or other adverse experiences, shows why it has become a major point of focus in education and policy in recent years.</w:t>
      </w:r>
      <w:r w:rsidR="00AB4C1D">
        <w:t xml:space="preserve"> Following this, as seen in the Welsh Education response to Estyn’s recommendations, the improvements needed to be made will help to reduce the amount of children in Wales who have experienced adversity or trauma, this improvement will in theory help to relieve the strain caused by these adversities, and allow those affected by prolonged trauma to overcome the challenges they face and prosper despite what they have experienced.</w:t>
      </w:r>
    </w:p>
    <w:p w14:paraId="124AB2C7" w14:textId="70B43C55" w:rsidR="00934D98" w:rsidRDefault="00934D98" w:rsidP="00B060EB">
      <w:pPr>
        <w:rPr>
          <w:u w:val="single"/>
        </w:rPr>
      </w:pPr>
    </w:p>
    <w:p w14:paraId="6B2C2BA9" w14:textId="77777777" w:rsidR="006A6FEE" w:rsidRPr="006A6FEE" w:rsidRDefault="006A6FEE" w:rsidP="006A6FEE">
      <w:pPr>
        <w:rPr>
          <w:u w:val="single"/>
        </w:rPr>
      </w:pPr>
      <w:r w:rsidRPr="006A6FEE">
        <w:rPr>
          <w:u w:val="single"/>
        </w:rPr>
        <w:t>Reference List:</w:t>
      </w:r>
    </w:p>
    <w:p w14:paraId="1893F359" w14:textId="77777777" w:rsidR="006A6FEE" w:rsidRPr="006A6FEE" w:rsidRDefault="006A6FEE" w:rsidP="006A6FEE">
      <w:pPr>
        <w:numPr>
          <w:ilvl w:val="0"/>
          <w:numId w:val="1"/>
        </w:numPr>
      </w:pPr>
      <w:r w:rsidRPr="006A6FEE">
        <w:t xml:space="preserve">American Psychiatric Association. (2013). </w:t>
      </w:r>
      <w:r w:rsidRPr="006A6FEE">
        <w:rPr>
          <w:i/>
          <w:iCs/>
        </w:rPr>
        <w:t>Diagnostic and statistical manual of mental disorders: DSM-5</w:t>
      </w:r>
      <w:r w:rsidRPr="006A6FEE">
        <w:t>. Fifth. Washington, D.C.: American Psychiatric</w:t>
      </w:r>
    </w:p>
    <w:p w14:paraId="7EEB6808" w14:textId="77777777" w:rsidR="006A6FEE" w:rsidRPr="006A6FEE" w:rsidRDefault="006A6FEE" w:rsidP="006A6FEE">
      <w:pPr>
        <w:numPr>
          <w:ilvl w:val="0"/>
          <w:numId w:val="1"/>
        </w:numPr>
      </w:pPr>
      <w:r w:rsidRPr="006A6FEE">
        <w:t xml:space="preserve">Bellis, M. (No Date) </w:t>
      </w:r>
      <w:r w:rsidRPr="006A6FEE">
        <w:rPr>
          <w:i/>
          <w:iCs/>
        </w:rPr>
        <w:t>Adverse Childhood Experiences in Wales</w:t>
      </w:r>
      <w:r w:rsidRPr="006A6FEE">
        <w:t xml:space="preserve">. Public Health Wales. Available from: </w:t>
      </w:r>
      <w:hyperlink r:id="rId5" w:history="1">
        <w:r w:rsidRPr="006A6FEE">
          <w:rPr>
            <w:rStyle w:val="Hyperlink"/>
          </w:rPr>
          <w:t>http://www.wales.nhs.uk/sitesplus/documents/888/Wales%20Public%20Health%20Conference%20MAB%20Draft%20%5BRe.pdf</w:t>
        </w:r>
      </w:hyperlink>
      <w:r w:rsidRPr="006A6FEE">
        <w:t xml:space="preserve"> [Accessed: 18/03/2021]</w:t>
      </w:r>
    </w:p>
    <w:p w14:paraId="2802FEC8" w14:textId="77777777" w:rsidR="006A6FEE" w:rsidRPr="006A6FEE" w:rsidRDefault="006A6FEE" w:rsidP="006A6FEE">
      <w:pPr>
        <w:numPr>
          <w:ilvl w:val="0"/>
          <w:numId w:val="1"/>
        </w:numPr>
      </w:pPr>
      <w:r w:rsidRPr="006A6FEE">
        <w:t xml:space="preserve">Bowlby, J. (1999). </w:t>
      </w:r>
      <w:r w:rsidRPr="006A6FEE">
        <w:rPr>
          <w:i/>
          <w:iCs/>
        </w:rPr>
        <w:t>Loss: Sadness and Depression</w:t>
      </w:r>
      <w:r w:rsidRPr="006A6FEE">
        <w:t xml:space="preserve">. Revised Ed. Random House. Available from: https://books.google.co.uk/books?id=1h89j7-Oe5kC&amp;lr=&amp;source=gbs_navlinks_s </w:t>
      </w:r>
    </w:p>
    <w:p w14:paraId="15F50C82" w14:textId="77777777" w:rsidR="006A6FEE" w:rsidRPr="006A6FEE" w:rsidRDefault="006A6FEE" w:rsidP="006A6FEE">
      <w:pPr>
        <w:numPr>
          <w:ilvl w:val="0"/>
          <w:numId w:val="1"/>
        </w:numPr>
        <w:rPr>
          <w:i/>
          <w:iCs/>
        </w:rPr>
      </w:pPr>
      <w:r w:rsidRPr="006A6FEE">
        <w:rPr>
          <w:i/>
          <w:iCs/>
        </w:rPr>
        <w:t>childhood experiences.</w:t>
      </w:r>
      <w:r w:rsidRPr="006A6FEE">
        <w:t xml:space="preserve"> Welsh Government. Available from </w:t>
      </w:r>
      <w:hyperlink r:id="rId6" w:history="1">
        <w:r w:rsidRPr="006A6FEE">
          <w:rPr>
            <w:rStyle w:val="Hyperlink"/>
          </w:rPr>
          <w:t>https://gov.wales/sites/default/files/publications/2020-01/knowing-your-children-supporting-pupils-with-adverse-childhood%20experiences.pdf</w:t>
        </w:r>
      </w:hyperlink>
      <w:r w:rsidRPr="006A6FEE">
        <w:t xml:space="preserve"> [Accessed: 22/03/2021]</w:t>
      </w:r>
    </w:p>
    <w:p w14:paraId="74EDA67F" w14:textId="77777777" w:rsidR="006A6FEE" w:rsidRPr="006A6FEE" w:rsidRDefault="006A6FEE" w:rsidP="006A6FEE">
      <w:pPr>
        <w:numPr>
          <w:ilvl w:val="0"/>
          <w:numId w:val="1"/>
        </w:numPr>
      </w:pPr>
      <w:r w:rsidRPr="006A6FEE">
        <w:t>Cook, A., Spinazzola, J., Ford, J., Lanktree, C., Blaustein, M., Cloitre, M., Derosa, R., Hubbard, R., Kagan, R., Liautaud, J., Mallah, K., Olafson, E. and Van der Kolk, B., (2005). ‘Complex Trauma in Children and Adolescents’. </w:t>
      </w:r>
      <w:r w:rsidRPr="006A6FEE">
        <w:rPr>
          <w:i/>
          <w:iCs/>
        </w:rPr>
        <w:t>Psychiatric Annals, </w:t>
      </w:r>
      <w:r w:rsidRPr="006A6FEE">
        <w:t xml:space="preserve">35(5), pp. 390-398. Available from: </w:t>
      </w:r>
      <w:hyperlink r:id="rId7" w:history="1">
        <w:r w:rsidRPr="006A6FEE">
          <w:rPr>
            <w:rStyle w:val="Hyperlink"/>
          </w:rPr>
          <w:t>https://www-proquest-com.ezproxy.uwtsd.ac.uk/docview/1928355700/fulltext/DDE13A532B2B4BE6PQ/17?accountid=130472</w:t>
        </w:r>
      </w:hyperlink>
      <w:r w:rsidRPr="006A6FEE">
        <w:t xml:space="preserve"> [Accessed: 20/03/2021]</w:t>
      </w:r>
    </w:p>
    <w:p w14:paraId="5C195D15" w14:textId="59C0F080" w:rsidR="006A6FEE" w:rsidRPr="006A6FEE" w:rsidRDefault="006A6FEE" w:rsidP="006A6FEE">
      <w:pPr>
        <w:numPr>
          <w:ilvl w:val="0"/>
          <w:numId w:val="1"/>
        </w:numPr>
      </w:pPr>
      <w:r w:rsidRPr="006A6FEE">
        <w:t xml:space="preserve">Copeland, W., Shanahan, L., Hinesley, J., Chan, R., Aberg, K., Fairbank, J., van den Oord, E., and Costello, J. (2018). ‘Association of Childhood Trauma Exposure </w:t>
      </w:r>
      <w:r w:rsidRPr="006A6FEE">
        <w:t>with</w:t>
      </w:r>
      <w:r w:rsidRPr="006A6FEE">
        <w:t xml:space="preserve"> Adult Psychiatric Disorders and Functional Outcomes’. </w:t>
      </w:r>
      <w:r w:rsidRPr="006A6FEE">
        <w:rPr>
          <w:i/>
          <w:iCs/>
        </w:rPr>
        <w:t>JAMA Network Open</w:t>
      </w:r>
      <w:r w:rsidRPr="006A6FEE">
        <w:t xml:space="preserve">. 2018, 1(7). Available from: </w:t>
      </w:r>
      <w:hyperlink r:id="rId8" w:history="1">
        <w:r w:rsidRPr="006A6FEE">
          <w:rPr>
            <w:rStyle w:val="Hyperlink"/>
          </w:rPr>
          <w:t>https://jamanetwork.com/journals/jamanetworkopen/article-abstract/2713038</w:t>
        </w:r>
      </w:hyperlink>
      <w:r w:rsidRPr="006A6FEE">
        <w:t xml:space="preserve"> [Accessed: 19/03/2021]</w:t>
      </w:r>
    </w:p>
    <w:p w14:paraId="5414CDB6" w14:textId="77777777" w:rsidR="006A6FEE" w:rsidRPr="006A6FEE" w:rsidRDefault="006A6FEE" w:rsidP="006A6FEE">
      <w:pPr>
        <w:numPr>
          <w:ilvl w:val="0"/>
          <w:numId w:val="1"/>
        </w:numPr>
      </w:pPr>
      <w:r w:rsidRPr="006A6FEE">
        <w:lastRenderedPageBreak/>
        <w:t xml:space="preserve">DeAngelis, T. (2019) ‘The legacy of trauma’, </w:t>
      </w:r>
      <w:r w:rsidRPr="006A6FEE">
        <w:rPr>
          <w:i/>
          <w:iCs/>
        </w:rPr>
        <w:t>Monitor on Psychology</w:t>
      </w:r>
      <w:r w:rsidRPr="006A6FEE">
        <w:t xml:space="preserve">, 50(2), pp. 36. Available at: </w:t>
      </w:r>
      <w:hyperlink r:id="rId9" w:history="1">
        <w:r w:rsidRPr="006A6FEE">
          <w:rPr>
            <w:rStyle w:val="Hyperlink"/>
          </w:rPr>
          <w:t>https://www.apa.org/monitor/2019/02/legacy-trauma</w:t>
        </w:r>
      </w:hyperlink>
      <w:r w:rsidRPr="006A6FEE">
        <w:t xml:space="preserve"> [Accessed: 17/03/2021]</w:t>
      </w:r>
    </w:p>
    <w:p w14:paraId="3D24AC37" w14:textId="2F9C3EA9" w:rsidR="006A6FEE" w:rsidRPr="006A6FEE" w:rsidRDefault="006A6FEE" w:rsidP="006A6FEE">
      <w:pPr>
        <w:numPr>
          <w:ilvl w:val="0"/>
          <w:numId w:val="1"/>
        </w:numPr>
      </w:pPr>
      <w:r w:rsidRPr="006A6FEE">
        <w:t xml:space="preserve">Delima, J. and Vimpani, G. (2011) ‘The neurobiological effects of childhood maltreatment: An </w:t>
      </w:r>
      <w:r w:rsidRPr="006A6FEE">
        <w:t>often-overlooked</w:t>
      </w:r>
      <w:r w:rsidRPr="006A6FEE">
        <w:t xml:space="preserve"> narrative related to the long-term effects of early childhood trauma?’, </w:t>
      </w:r>
      <w:r w:rsidRPr="006A6FEE">
        <w:rPr>
          <w:i/>
          <w:iCs/>
        </w:rPr>
        <w:t>Family Matters. Australian Institute of Family Studies</w:t>
      </w:r>
      <w:r w:rsidRPr="006A6FEE">
        <w:t xml:space="preserve">, (89), pp. 42–52. Available from: </w:t>
      </w:r>
      <w:hyperlink r:id="rId10" w:history="1">
        <w:r w:rsidRPr="006A6FEE">
          <w:rPr>
            <w:rStyle w:val="Hyperlink"/>
          </w:rPr>
          <w:t>https://search.informit.org/doi/10.3316/ielapa.717010661945019</w:t>
        </w:r>
      </w:hyperlink>
      <w:r w:rsidRPr="006A6FEE">
        <w:t>. [Accessed: 19/03/2021]</w:t>
      </w:r>
    </w:p>
    <w:p w14:paraId="42EF7F70" w14:textId="77777777" w:rsidR="006A6FEE" w:rsidRPr="006A6FEE" w:rsidRDefault="006A6FEE" w:rsidP="006A6FEE">
      <w:pPr>
        <w:numPr>
          <w:ilvl w:val="0"/>
          <w:numId w:val="1"/>
        </w:numPr>
        <w:rPr>
          <w:i/>
          <w:iCs/>
        </w:rPr>
      </w:pPr>
      <w:r w:rsidRPr="006A6FEE">
        <w:t xml:space="preserve">Dye, H. (2018). ‘The impact and long-term effects of childhood trauma’. </w:t>
      </w:r>
      <w:r w:rsidRPr="006A6FEE">
        <w:rPr>
          <w:i/>
          <w:iCs/>
        </w:rPr>
        <w:t>Journal of Human Behaviour in the Social Environment.</w:t>
      </w:r>
      <w:r w:rsidRPr="006A6FEE">
        <w:t xml:space="preserve"> 28(3). Pp. 381-392. Available from: </w:t>
      </w:r>
      <w:hyperlink r:id="rId11" w:history="1">
        <w:r w:rsidRPr="006A6FEE">
          <w:rPr>
            <w:rStyle w:val="Hyperlink"/>
          </w:rPr>
          <w:t>https://www.tandfonline.com/doi/full/10.1080/10911359.2018.1435328?casa_token=kX9LRrhG14IAAAAA%3AYtMrmHf21bZ0t4pspRUfUitjf_B_HnJIJGt_9nBqBYy81zj0atEuNiOUa_yWIfR0iWYQTQfNUA</w:t>
        </w:r>
      </w:hyperlink>
      <w:r w:rsidRPr="006A6FEE">
        <w:t xml:space="preserve"> [Accessed: 18/03/2021]</w:t>
      </w:r>
    </w:p>
    <w:p w14:paraId="78F8D422" w14:textId="77777777" w:rsidR="006A6FEE" w:rsidRPr="006A6FEE" w:rsidRDefault="006A6FEE" w:rsidP="006A6FEE">
      <w:pPr>
        <w:numPr>
          <w:ilvl w:val="0"/>
          <w:numId w:val="1"/>
        </w:numPr>
        <w:rPr>
          <w:i/>
          <w:iCs/>
        </w:rPr>
      </w:pPr>
      <w:r w:rsidRPr="006A6FEE">
        <w:t xml:space="preserve">Education Wales. (2020). </w:t>
      </w:r>
      <w:r w:rsidRPr="006A6FEE">
        <w:rPr>
          <w:i/>
          <w:iCs/>
        </w:rPr>
        <w:t>Knowing your children – supporting pupils with adverse</w:t>
      </w:r>
    </w:p>
    <w:p w14:paraId="7CEF247E" w14:textId="77777777" w:rsidR="006A6FEE" w:rsidRPr="006A6FEE" w:rsidRDefault="006A6FEE" w:rsidP="006A6FEE">
      <w:pPr>
        <w:numPr>
          <w:ilvl w:val="0"/>
          <w:numId w:val="1"/>
        </w:numPr>
        <w:rPr>
          <w:i/>
          <w:iCs/>
        </w:rPr>
      </w:pPr>
      <w:r w:rsidRPr="006A6FEE">
        <w:t xml:space="preserve">Estyn. (2020). </w:t>
      </w:r>
      <w:r w:rsidRPr="006A6FEE">
        <w:rPr>
          <w:i/>
          <w:iCs/>
        </w:rPr>
        <w:t>Developing additional expertise within school to support pupils’ wellbeing.</w:t>
      </w:r>
      <w:r w:rsidRPr="006A6FEE">
        <w:t xml:space="preserve"> Available from: </w:t>
      </w:r>
      <w:hyperlink r:id="rId12" w:history="1">
        <w:r w:rsidRPr="006A6FEE">
          <w:rPr>
            <w:rStyle w:val="Hyperlink"/>
          </w:rPr>
          <w:t>https://www.estyn.gov.wales/effective-practice/developing-additional-expertise-within-school-support-pupils-wellbeing</w:t>
        </w:r>
      </w:hyperlink>
      <w:r w:rsidRPr="006A6FEE">
        <w:t xml:space="preserve"> [Accessed: 21/03/2021].</w:t>
      </w:r>
    </w:p>
    <w:p w14:paraId="7D57F79F" w14:textId="77777777" w:rsidR="006A6FEE" w:rsidRPr="006A6FEE" w:rsidRDefault="006A6FEE" w:rsidP="006A6FEE">
      <w:pPr>
        <w:numPr>
          <w:ilvl w:val="0"/>
          <w:numId w:val="1"/>
        </w:numPr>
      </w:pPr>
      <w:r w:rsidRPr="006A6FEE">
        <w:t xml:space="preserve">Future Generations Commissioner for Wales (2015) </w:t>
      </w:r>
      <w:r w:rsidRPr="006A6FEE">
        <w:rPr>
          <w:i/>
          <w:iCs/>
        </w:rPr>
        <w:t xml:space="preserve">Well-being of Future Generations (Wales) Act 2015. </w:t>
      </w:r>
      <w:r w:rsidRPr="006A6FEE">
        <w:t xml:space="preserve">Available at: </w:t>
      </w:r>
      <w:hyperlink r:id="rId13" w:history="1">
        <w:r w:rsidRPr="006A6FEE">
          <w:rPr>
            <w:rStyle w:val="Hyperlink"/>
          </w:rPr>
          <w:t>https://www.futuregenerations.wales/about-us/future-generations-act/</w:t>
        </w:r>
      </w:hyperlink>
      <w:r w:rsidRPr="006A6FEE">
        <w:t xml:space="preserve"> [Accessed: 20/03/2021]</w:t>
      </w:r>
    </w:p>
    <w:p w14:paraId="32C386B9" w14:textId="77777777" w:rsidR="006A6FEE" w:rsidRPr="006A6FEE" w:rsidRDefault="006A6FEE" w:rsidP="006A6FEE">
      <w:pPr>
        <w:numPr>
          <w:ilvl w:val="0"/>
          <w:numId w:val="1"/>
        </w:numPr>
      </w:pPr>
      <w:r w:rsidRPr="006A6FEE">
        <w:t xml:space="preserve">Harvard Health Publishing (2021) </w:t>
      </w:r>
      <w:r w:rsidRPr="006A6FEE">
        <w:rPr>
          <w:i/>
          <w:iCs/>
        </w:rPr>
        <w:t>Past Trauma may haunt your Future Health</w:t>
      </w:r>
      <w:r w:rsidRPr="006A6FEE">
        <w:t xml:space="preserve">. Available at: </w:t>
      </w:r>
      <w:hyperlink r:id="rId14" w:history="1">
        <w:r w:rsidRPr="006A6FEE">
          <w:rPr>
            <w:rStyle w:val="Hyperlink"/>
          </w:rPr>
          <w:t>https://www.health.harvard.edu/diseases-and-conditions/past-trauma-may-haunt-your-future-health</w:t>
        </w:r>
      </w:hyperlink>
      <w:r w:rsidRPr="006A6FEE">
        <w:t xml:space="preserve"> [Accessed: 20/03/2021]</w:t>
      </w:r>
    </w:p>
    <w:p w14:paraId="121439B5" w14:textId="77777777" w:rsidR="006A6FEE" w:rsidRPr="006A6FEE" w:rsidRDefault="006A6FEE" w:rsidP="006A6FEE">
      <w:pPr>
        <w:numPr>
          <w:ilvl w:val="0"/>
          <w:numId w:val="1"/>
        </w:numPr>
      </w:pPr>
      <w:r w:rsidRPr="006A6FEE">
        <w:t>Kinniburgh, K.J., Blaustein, M., Spinazzola, J. and Van der Kolk, B., (2005). ‘Attachment, Self-Regulation, and Competency: A comprehensive intervention framework for children with complex trauma’. </w:t>
      </w:r>
      <w:r w:rsidRPr="006A6FEE">
        <w:rPr>
          <w:i/>
          <w:iCs/>
        </w:rPr>
        <w:t>Psychiatric Annals, </w:t>
      </w:r>
      <w:r w:rsidRPr="006A6FEE">
        <w:t xml:space="preserve">35(5), pp. 424-430. Available from: </w:t>
      </w:r>
      <w:hyperlink r:id="rId15" w:history="1">
        <w:r w:rsidRPr="006A6FEE">
          <w:rPr>
            <w:rStyle w:val="Hyperlink"/>
          </w:rPr>
          <w:t>https://www-proquest-com.ezproxy.uwtsd.ac.uk/docview/1928355420/fulltext/DDE13A532B2B4BE6PQ/23?accountid=130472</w:t>
        </w:r>
      </w:hyperlink>
      <w:r w:rsidRPr="006A6FEE">
        <w:t xml:space="preserve"> [Accessed: 21/03/2021]</w:t>
      </w:r>
    </w:p>
    <w:p w14:paraId="2CF687B5" w14:textId="77777777" w:rsidR="006A6FEE" w:rsidRPr="006A6FEE" w:rsidRDefault="006A6FEE" w:rsidP="006A6FEE">
      <w:pPr>
        <w:numPr>
          <w:ilvl w:val="0"/>
          <w:numId w:val="1"/>
        </w:numPr>
      </w:pPr>
      <w:r w:rsidRPr="006A6FEE">
        <w:t xml:space="preserve">Lee, A. and Hankin, B. (2009) ‘Insecure Attachment, Dysfunctional Attitudes, and Low Self-Esteem Predicting Prospective Symptoms of Depression and Anxiety During Adolescence’. </w:t>
      </w:r>
      <w:r w:rsidRPr="006A6FEE">
        <w:rPr>
          <w:i/>
          <w:iCs/>
        </w:rPr>
        <w:t>Journal of Clinical Child and Adolescent Psychology</w:t>
      </w:r>
      <w:r w:rsidRPr="006A6FEE">
        <w:t xml:space="preserve">. 38(2). Pp. 219-231. Available from: </w:t>
      </w:r>
      <w:hyperlink r:id="rId16" w:history="1">
        <w:r w:rsidRPr="006A6FEE">
          <w:rPr>
            <w:rStyle w:val="Hyperlink"/>
          </w:rPr>
          <w:t>https://www.ncbi.nlm.nih.gov/pmc/articles/PMC2741157/</w:t>
        </w:r>
      </w:hyperlink>
      <w:r w:rsidRPr="006A6FEE">
        <w:t xml:space="preserve"> [Accessed: 18/03/2021]</w:t>
      </w:r>
    </w:p>
    <w:p w14:paraId="08C0F204" w14:textId="77777777" w:rsidR="006A6FEE" w:rsidRPr="006A6FEE" w:rsidRDefault="006A6FEE" w:rsidP="006A6FEE">
      <w:pPr>
        <w:numPr>
          <w:ilvl w:val="0"/>
          <w:numId w:val="1"/>
        </w:numPr>
      </w:pPr>
      <w:r w:rsidRPr="006A6FEE">
        <w:t>Ringel, S. and Brandell, J. (2012) </w:t>
      </w:r>
      <w:r w:rsidRPr="006A6FEE">
        <w:rPr>
          <w:i/>
          <w:iCs/>
        </w:rPr>
        <w:t>Trauma: Contemporary Directions in Theory, Practice, and Research</w:t>
      </w:r>
      <w:r w:rsidRPr="006A6FEE">
        <w:t>. Thousand Oaks, CA: SAGE Publications, Inc. Available at: http://www.doi.org/10.4135/9781452230597 [Accessed 18/03/2021].</w:t>
      </w:r>
    </w:p>
    <w:p w14:paraId="6D112CF6" w14:textId="77777777" w:rsidR="006A6FEE" w:rsidRPr="006A6FEE" w:rsidRDefault="006A6FEE" w:rsidP="006A6FEE">
      <w:pPr>
        <w:numPr>
          <w:ilvl w:val="0"/>
          <w:numId w:val="1"/>
        </w:numPr>
        <w:rPr>
          <w:i/>
          <w:iCs/>
        </w:rPr>
      </w:pPr>
      <w:r w:rsidRPr="006A6FEE">
        <w:t xml:space="preserve">Save the Children. (2021). </w:t>
      </w:r>
      <w:r w:rsidRPr="006A6FEE">
        <w:rPr>
          <w:i/>
          <w:iCs/>
        </w:rPr>
        <w:t>What we do</w:t>
      </w:r>
      <w:r w:rsidRPr="006A6FEE">
        <w:t xml:space="preserve">. Available from: </w:t>
      </w:r>
      <w:hyperlink r:id="rId17" w:history="1">
        <w:r w:rsidRPr="006A6FEE">
          <w:rPr>
            <w:rStyle w:val="Hyperlink"/>
          </w:rPr>
          <w:t>https://www.savethechildren.org.uk/what-we-do/uk-work</w:t>
        </w:r>
      </w:hyperlink>
      <w:r w:rsidRPr="006A6FEE">
        <w:t xml:space="preserve">  [Accessed: 22/03/2021]</w:t>
      </w:r>
    </w:p>
    <w:p w14:paraId="46F6CB55" w14:textId="77777777" w:rsidR="006A6FEE" w:rsidRPr="006A6FEE" w:rsidRDefault="006A6FEE" w:rsidP="006A6FEE">
      <w:pPr>
        <w:numPr>
          <w:ilvl w:val="0"/>
          <w:numId w:val="1"/>
        </w:numPr>
      </w:pPr>
      <w:r w:rsidRPr="006A6FEE">
        <w:t>Suzuki, A., Poon, L., Papadopoulos, A., Kumari, V., Cleare, A. (2014) ‘Long term effects of childhood trauma on cortisol stress reactivity in adulthood and relationship to the occurrence of depression’.</w:t>
      </w:r>
      <w:r w:rsidRPr="006A6FEE">
        <w:rPr>
          <w:i/>
          <w:iCs/>
        </w:rPr>
        <w:t xml:space="preserve"> Psychoneuroendocrinology</w:t>
      </w:r>
      <w:r w:rsidRPr="006A6FEE">
        <w:t xml:space="preserve">. 50. Pp.289-299. Available from: </w:t>
      </w:r>
      <w:hyperlink r:id="rId18" w:history="1">
        <w:r w:rsidRPr="006A6FEE">
          <w:rPr>
            <w:rStyle w:val="Hyperlink"/>
          </w:rPr>
          <w:t>https://www.sciencedirect.com/science/article/abs/pii/S0306453014003473?casa_token=tJ</w:t>
        </w:r>
        <w:r w:rsidRPr="006A6FEE">
          <w:rPr>
            <w:rStyle w:val="Hyperlink"/>
          </w:rPr>
          <w:lastRenderedPageBreak/>
          <w:t>-f4YnGGggAAAAA:HJhINNMEUSiMzRNOfI6EMN3Yqrnm5HtN9UQylLtiqHc4-rrFG-uLSPAl7mwwfa_VP-OFY1-C</w:t>
        </w:r>
      </w:hyperlink>
      <w:r w:rsidRPr="006A6FEE">
        <w:t xml:space="preserve"> [Accessed: 22/01/2021]</w:t>
      </w:r>
    </w:p>
    <w:p w14:paraId="04E3605D" w14:textId="77777777" w:rsidR="006A6FEE" w:rsidRPr="006A6FEE" w:rsidRDefault="006A6FEE" w:rsidP="006A6FEE">
      <w:pPr>
        <w:numPr>
          <w:ilvl w:val="0"/>
          <w:numId w:val="1"/>
        </w:numPr>
      </w:pPr>
      <w:r w:rsidRPr="006A6FEE">
        <w:t>Van der Kolk, B. (2005). ‘Developmental Trauma Disorder’. </w:t>
      </w:r>
      <w:r w:rsidRPr="006A6FEE">
        <w:rPr>
          <w:i/>
          <w:iCs/>
        </w:rPr>
        <w:t>Psychiatric Annals, </w:t>
      </w:r>
      <w:r w:rsidRPr="006A6FEE">
        <w:t xml:space="preserve">35(5), pp. 401-408. Available from: </w:t>
      </w:r>
      <w:hyperlink r:id="rId19" w:history="1">
        <w:r w:rsidRPr="006A6FEE">
          <w:rPr>
            <w:rStyle w:val="Hyperlink"/>
          </w:rPr>
          <w:t>https://www-proquest-com.ezproxy.uwtsd.ac.uk/docview/217061643/fulltext/DDE13A532B2B4BE6PQ/18?accountid=130472</w:t>
        </w:r>
      </w:hyperlink>
      <w:r w:rsidRPr="006A6FEE">
        <w:t xml:space="preserve"> [Accessed: 21/03/2021]</w:t>
      </w:r>
    </w:p>
    <w:p w14:paraId="21F47327" w14:textId="77777777" w:rsidR="006A6FEE" w:rsidRPr="006A6FEE" w:rsidRDefault="006A6FEE" w:rsidP="006A6FEE">
      <w:pPr>
        <w:numPr>
          <w:ilvl w:val="0"/>
          <w:numId w:val="1"/>
        </w:numPr>
      </w:pPr>
      <w:r w:rsidRPr="006A6FEE">
        <w:t xml:space="preserve">Van der Kolk, B., McFarlane, A., and Weisaeth, L. (1996) </w:t>
      </w:r>
      <w:r w:rsidRPr="006A6FEE">
        <w:rPr>
          <w:i/>
          <w:iCs/>
        </w:rPr>
        <w:t>Traumatic Stress: The Effects of Overwhelming Experience on Mind, Body, and Society</w:t>
      </w:r>
      <w:r w:rsidRPr="006A6FEE">
        <w:t>. Guildford Press. Available at: https://www.routledge.com/Traumatic-Stress-The-Effects-of-Overwhelming-Experience-on-Mind-Body/kolk-McFarlane-Weisaeth/p/book/9781572304574#top [Accessed: 19/03/2021]</w:t>
      </w:r>
    </w:p>
    <w:p w14:paraId="39F26ED1" w14:textId="77777777" w:rsidR="006A6FEE" w:rsidRPr="006A6FEE" w:rsidRDefault="006A6FEE" w:rsidP="006A6FEE">
      <w:pPr>
        <w:rPr>
          <w:i/>
          <w:iCs/>
        </w:rPr>
      </w:pPr>
    </w:p>
    <w:p w14:paraId="4D7B8CE7" w14:textId="77777777" w:rsidR="006A6FEE" w:rsidRPr="006A6FEE" w:rsidRDefault="006A6FEE" w:rsidP="00B060EB"/>
    <w:sectPr w:rsidR="006A6FEE" w:rsidRPr="006A6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E56D3B"/>
    <w:multiLevelType w:val="hybridMultilevel"/>
    <w:tmpl w:val="99D87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0EB"/>
    <w:rsid w:val="00021518"/>
    <w:rsid w:val="000242F3"/>
    <w:rsid w:val="00096393"/>
    <w:rsid w:val="000C5B72"/>
    <w:rsid w:val="000D32BD"/>
    <w:rsid w:val="000E0DBC"/>
    <w:rsid w:val="00185FFD"/>
    <w:rsid w:val="001D6884"/>
    <w:rsid w:val="001E4739"/>
    <w:rsid w:val="0025141F"/>
    <w:rsid w:val="0026439D"/>
    <w:rsid w:val="00305523"/>
    <w:rsid w:val="003238FA"/>
    <w:rsid w:val="00324739"/>
    <w:rsid w:val="003327A7"/>
    <w:rsid w:val="0034636B"/>
    <w:rsid w:val="00365273"/>
    <w:rsid w:val="00377B36"/>
    <w:rsid w:val="00396C47"/>
    <w:rsid w:val="0041359A"/>
    <w:rsid w:val="00424A13"/>
    <w:rsid w:val="00452117"/>
    <w:rsid w:val="004817E3"/>
    <w:rsid w:val="004A6AD5"/>
    <w:rsid w:val="004E26D0"/>
    <w:rsid w:val="004E4C63"/>
    <w:rsid w:val="004F64E7"/>
    <w:rsid w:val="005C6A10"/>
    <w:rsid w:val="005D7DEB"/>
    <w:rsid w:val="005E2D8F"/>
    <w:rsid w:val="006153A9"/>
    <w:rsid w:val="006218FF"/>
    <w:rsid w:val="0068647B"/>
    <w:rsid w:val="006A4DB8"/>
    <w:rsid w:val="006A6FEE"/>
    <w:rsid w:val="006C75E9"/>
    <w:rsid w:val="006D6CA3"/>
    <w:rsid w:val="00786168"/>
    <w:rsid w:val="008167FE"/>
    <w:rsid w:val="008639EB"/>
    <w:rsid w:val="0087256B"/>
    <w:rsid w:val="00883023"/>
    <w:rsid w:val="00892984"/>
    <w:rsid w:val="00904357"/>
    <w:rsid w:val="00934D98"/>
    <w:rsid w:val="00981660"/>
    <w:rsid w:val="009B33C2"/>
    <w:rsid w:val="009C049B"/>
    <w:rsid w:val="00A62B3D"/>
    <w:rsid w:val="00A83503"/>
    <w:rsid w:val="00A9401C"/>
    <w:rsid w:val="00AB4C1D"/>
    <w:rsid w:val="00B00615"/>
    <w:rsid w:val="00B060EB"/>
    <w:rsid w:val="00B20B83"/>
    <w:rsid w:val="00BB09AD"/>
    <w:rsid w:val="00C03B7E"/>
    <w:rsid w:val="00C8736E"/>
    <w:rsid w:val="00D1415C"/>
    <w:rsid w:val="00D41644"/>
    <w:rsid w:val="00D421A6"/>
    <w:rsid w:val="00D43828"/>
    <w:rsid w:val="00D465D7"/>
    <w:rsid w:val="00D816AE"/>
    <w:rsid w:val="00DD6837"/>
    <w:rsid w:val="00E45E68"/>
    <w:rsid w:val="00E61F68"/>
    <w:rsid w:val="00E917DF"/>
    <w:rsid w:val="00EB1283"/>
    <w:rsid w:val="00ED0305"/>
    <w:rsid w:val="00F25B78"/>
    <w:rsid w:val="00F6449A"/>
    <w:rsid w:val="00F92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17728"/>
  <w15:chartTrackingRefBased/>
  <w15:docId w15:val="{1B9F8901-004A-41D8-88CF-89E405EBF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6FEE"/>
    <w:rPr>
      <w:color w:val="0563C1" w:themeColor="hyperlink"/>
      <w:u w:val="single"/>
    </w:rPr>
  </w:style>
  <w:style w:type="character" w:styleId="UnresolvedMention">
    <w:name w:val="Unresolved Mention"/>
    <w:basedOn w:val="DefaultParagraphFont"/>
    <w:uiPriority w:val="99"/>
    <w:semiHidden/>
    <w:unhideWhenUsed/>
    <w:rsid w:val="006A6F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amanetwork.com/journals/jamanetworkopen/article-abstract/2713038" TargetMode="External"/><Relationship Id="rId13" Type="http://schemas.openxmlformats.org/officeDocument/2006/relationships/hyperlink" Target="https://www.futuregenerations.wales/about-us/future-generations-act/" TargetMode="External"/><Relationship Id="rId18" Type="http://schemas.openxmlformats.org/officeDocument/2006/relationships/hyperlink" Target="https://www.sciencedirect.com/science/article/abs/pii/S0306453014003473?casa_token=tJ-f4YnGGggAAAAA:HJhINNMEUSiMzRNOfI6EMN3Yqrnm5HtN9UQylLtiqHc4-rrFG-uLSPAl7mwwfa_VP-OFY1-C"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roquest-com.ezproxy.uwtsd.ac.uk/docview/1928355700/fulltext/DDE13A532B2B4BE6PQ/17?accountid=130472" TargetMode="External"/><Relationship Id="rId12" Type="http://schemas.openxmlformats.org/officeDocument/2006/relationships/hyperlink" Target="https://www.estyn.gov.wales/effective-practice/developing-additional-expertise-within-school-support-pupils-wellbeing" TargetMode="External"/><Relationship Id="rId17" Type="http://schemas.openxmlformats.org/officeDocument/2006/relationships/hyperlink" Target="https://www.savethechildren.org.uk/what-we-do/uk-work" TargetMode="External"/><Relationship Id="rId2" Type="http://schemas.openxmlformats.org/officeDocument/2006/relationships/styles" Target="styles.xml"/><Relationship Id="rId16" Type="http://schemas.openxmlformats.org/officeDocument/2006/relationships/hyperlink" Target="https://www.ncbi.nlm.nih.gov/pmc/articles/PMC274115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gov.wales/sites/default/files/publications/2020-01/knowing-your-children-supporting-pupils-with-adverse-childhood%20experiences.pdf" TargetMode="External"/><Relationship Id="rId11" Type="http://schemas.openxmlformats.org/officeDocument/2006/relationships/hyperlink" Target="https://www.tandfonline.com/doi/full/10.1080/10911359.2018.1435328?casa_token=kX9LRrhG14IAAAAA%3AYtMrmHf21bZ0t4pspRUfUitjf_B_HnJIJGt_9nBqBYy81zj0atEuNiOUa_yWIfR0iWYQTQfNUA" TargetMode="External"/><Relationship Id="rId5" Type="http://schemas.openxmlformats.org/officeDocument/2006/relationships/hyperlink" Target="http://www.wales.nhs.uk/sitesplus/documents/888/Wales%20Public%20Health%20Conference%20MAB%20Draft%20%5BRe.pdf" TargetMode="External"/><Relationship Id="rId15" Type="http://schemas.openxmlformats.org/officeDocument/2006/relationships/hyperlink" Target="https://www-proquest-com.ezproxy.uwtsd.ac.uk/docview/1928355420/fulltext/DDE13A532B2B4BE6PQ/23?accountid=130472" TargetMode="External"/><Relationship Id="rId10" Type="http://schemas.openxmlformats.org/officeDocument/2006/relationships/hyperlink" Target="https://search.informit.org/doi/10.3316/ielapa.717010661945019" TargetMode="External"/><Relationship Id="rId19" Type="http://schemas.openxmlformats.org/officeDocument/2006/relationships/hyperlink" Target="https://www-proquest-com.ezproxy.uwtsd.ac.uk/docview/217061643/fulltext/DDE13A532B2B4BE6PQ/18?accountid=130472" TargetMode="External"/><Relationship Id="rId4" Type="http://schemas.openxmlformats.org/officeDocument/2006/relationships/webSettings" Target="webSettings.xml"/><Relationship Id="rId9" Type="http://schemas.openxmlformats.org/officeDocument/2006/relationships/hyperlink" Target="https://www.apa.org/monitor/2019/02/legacy-trauma" TargetMode="External"/><Relationship Id="rId14" Type="http://schemas.openxmlformats.org/officeDocument/2006/relationships/hyperlink" Target="https://www.health.harvard.edu/diseases-and-conditions/past-trauma-may-haunt-your-future-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2532</TotalTime>
  <Pages>6</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14</cp:revision>
  <dcterms:created xsi:type="dcterms:W3CDTF">2021-03-16T17:41:00Z</dcterms:created>
  <dcterms:modified xsi:type="dcterms:W3CDTF">2021-03-22T19:11:00Z</dcterms:modified>
</cp:coreProperties>
</file>