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A8E930" w14:textId="57A3AB42" w:rsidR="0003485D" w:rsidRDefault="0003485D">
      <w:pPr>
        <w:rPr>
          <w:rFonts w:ascii="Tahoma" w:eastAsia="Tahoma" w:hAnsi="Tahoma" w:cs="Tahoma"/>
          <w:b/>
          <w:u w:val="single"/>
        </w:rPr>
      </w:pPr>
    </w:p>
    <w:p w14:paraId="3CEDE85B" w14:textId="77777777" w:rsidR="0089092F" w:rsidRDefault="0089092F">
      <w:pPr>
        <w:rPr>
          <w:rFonts w:ascii="Tahoma" w:eastAsia="Tahoma" w:hAnsi="Tahoma" w:cs="Tahoma"/>
          <w:sz w:val="20"/>
          <w:szCs w:val="20"/>
        </w:rPr>
      </w:pPr>
    </w:p>
    <w:tbl>
      <w:tblPr>
        <w:tblStyle w:val="a"/>
        <w:tblW w:w="11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87"/>
        <w:gridCol w:w="7195"/>
      </w:tblGrid>
      <w:tr w:rsidR="0003485D" w14:paraId="2E4E396D" w14:textId="77777777">
        <w:tc>
          <w:tcPr>
            <w:tcW w:w="3987" w:type="dxa"/>
            <w:shd w:val="clear" w:color="auto" w:fill="8DB3E2"/>
          </w:tcPr>
          <w:p w14:paraId="7E06A914" w14:textId="1D609B6C" w:rsidR="0003485D" w:rsidRDefault="00DF4F3D">
            <w:pPr>
              <w:rPr>
                <w:rFonts w:ascii="Tahoma" w:eastAsia="Tahoma" w:hAnsi="Tahoma" w:cs="Tahoma"/>
                <w:b/>
                <w:sz w:val="20"/>
                <w:szCs w:val="20"/>
              </w:rPr>
            </w:pPr>
            <w:r>
              <w:rPr>
                <w:rFonts w:ascii="Tahoma" w:eastAsia="Tahoma" w:hAnsi="Tahoma" w:cs="Tahoma"/>
                <w:b/>
                <w:sz w:val="20"/>
                <w:szCs w:val="20"/>
              </w:rPr>
              <w:t xml:space="preserve">Student Name: </w:t>
            </w:r>
            <w:r w:rsidR="0089092F">
              <w:rPr>
                <w:rFonts w:ascii="Tahoma" w:eastAsia="Tahoma" w:hAnsi="Tahoma" w:cs="Tahoma"/>
                <w:b/>
                <w:sz w:val="20"/>
                <w:szCs w:val="20"/>
              </w:rPr>
              <w:t>Sadia mirza</w:t>
            </w:r>
          </w:p>
          <w:p w14:paraId="609171E1" w14:textId="77777777" w:rsidR="0003485D" w:rsidRDefault="0003485D">
            <w:pPr>
              <w:rPr>
                <w:rFonts w:ascii="Tahoma" w:eastAsia="Tahoma" w:hAnsi="Tahoma" w:cs="Tahoma"/>
                <w:b/>
                <w:sz w:val="20"/>
                <w:szCs w:val="20"/>
              </w:rPr>
            </w:pPr>
          </w:p>
          <w:p w14:paraId="46CAAA44" w14:textId="42506841" w:rsidR="0003485D" w:rsidRDefault="00DF4F3D">
            <w:pPr>
              <w:rPr>
                <w:rFonts w:ascii="Tahoma" w:eastAsia="Tahoma" w:hAnsi="Tahoma" w:cs="Tahoma"/>
                <w:b/>
                <w:sz w:val="20"/>
                <w:szCs w:val="20"/>
              </w:rPr>
            </w:pPr>
            <w:r>
              <w:rPr>
                <w:rFonts w:ascii="Tahoma" w:eastAsia="Tahoma" w:hAnsi="Tahoma" w:cs="Tahoma"/>
                <w:b/>
                <w:sz w:val="20"/>
                <w:szCs w:val="20"/>
              </w:rPr>
              <w:t xml:space="preserve">Student Number: </w:t>
            </w:r>
            <w:r w:rsidR="003B439A">
              <w:rPr>
                <w:rFonts w:ascii="Tahoma" w:eastAsia="Tahoma" w:hAnsi="Tahoma" w:cs="Tahoma"/>
                <w:b/>
                <w:sz w:val="20"/>
                <w:szCs w:val="20"/>
              </w:rPr>
              <w:t>2123470</w:t>
            </w:r>
            <w:r w:rsidR="00A16BDD">
              <w:rPr>
                <w:rFonts w:ascii="Tahoma" w:eastAsia="Tahoma" w:hAnsi="Tahoma" w:cs="Tahoma"/>
                <w:b/>
                <w:sz w:val="20"/>
                <w:szCs w:val="20"/>
              </w:rPr>
              <w:t xml:space="preserve"> </w:t>
            </w:r>
          </w:p>
          <w:p w14:paraId="67F2D143" w14:textId="77777777" w:rsidR="0003485D" w:rsidRDefault="0003485D">
            <w:pPr>
              <w:rPr>
                <w:rFonts w:ascii="Tahoma" w:eastAsia="Tahoma" w:hAnsi="Tahoma" w:cs="Tahoma"/>
                <w:b/>
                <w:sz w:val="20"/>
                <w:szCs w:val="20"/>
              </w:rPr>
            </w:pPr>
          </w:p>
        </w:tc>
        <w:tc>
          <w:tcPr>
            <w:tcW w:w="7195" w:type="dxa"/>
            <w:shd w:val="clear" w:color="auto" w:fill="8DB3E2"/>
          </w:tcPr>
          <w:p w14:paraId="6952DA05" w14:textId="5DBE5DB7" w:rsidR="0003485D" w:rsidRDefault="00DF4F3D" w:rsidP="00670923">
            <w:pPr>
              <w:tabs>
                <w:tab w:val="left" w:pos="2760"/>
              </w:tabs>
              <w:rPr>
                <w:rFonts w:ascii="Tahoma" w:eastAsia="Tahoma" w:hAnsi="Tahoma" w:cs="Tahoma"/>
                <w:b/>
                <w:sz w:val="20"/>
                <w:szCs w:val="20"/>
              </w:rPr>
            </w:pPr>
            <w:r>
              <w:rPr>
                <w:rFonts w:ascii="Tahoma" w:eastAsia="Tahoma" w:hAnsi="Tahoma" w:cs="Tahoma"/>
                <w:b/>
                <w:sz w:val="20"/>
                <w:szCs w:val="20"/>
              </w:rPr>
              <w:t xml:space="preserve">Module: </w:t>
            </w:r>
            <w:r w:rsidR="00670923">
              <w:rPr>
                <w:rFonts w:ascii="Tahoma" w:eastAsia="Tahoma" w:hAnsi="Tahoma" w:cs="Tahoma"/>
                <w:b/>
                <w:sz w:val="20"/>
                <w:szCs w:val="20"/>
              </w:rPr>
              <w:t>Food and Beverage Operations  BMIH4002</w:t>
            </w:r>
          </w:p>
          <w:p w14:paraId="2A82D420" w14:textId="77777777" w:rsidR="0003485D" w:rsidRDefault="0003485D">
            <w:pPr>
              <w:rPr>
                <w:rFonts w:ascii="Tahoma" w:eastAsia="Tahoma" w:hAnsi="Tahoma" w:cs="Tahoma"/>
                <w:b/>
                <w:sz w:val="20"/>
                <w:szCs w:val="20"/>
              </w:rPr>
            </w:pPr>
          </w:p>
          <w:p w14:paraId="78108F16" w14:textId="0F2326B6" w:rsidR="0003485D" w:rsidRDefault="00DF4F3D">
            <w:pPr>
              <w:rPr>
                <w:rFonts w:ascii="Tahoma" w:eastAsia="Tahoma" w:hAnsi="Tahoma" w:cs="Tahoma"/>
                <w:b/>
                <w:sz w:val="20"/>
                <w:szCs w:val="20"/>
              </w:rPr>
            </w:pPr>
            <w:r>
              <w:rPr>
                <w:rFonts w:ascii="Tahoma" w:eastAsia="Tahoma" w:hAnsi="Tahoma" w:cs="Tahoma"/>
                <w:b/>
                <w:sz w:val="20"/>
                <w:szCs w:val="20"/>
              </w:rPr>
              <w:t xml:space="preserve">Lecturer: </w:t>
            </w:r>
            <w:r w:rsidR="00670923">
              <w:rPr>
                <w:rFonts w:ascii="Tahoma" w:eastAsia="Tahoma" w:hAnsi="Tahoma" w:cs="Tahoma"/>
                <w:b/>
                <w:sz w:val="20"/>
                <w:szCs w:val="20"/>
              </w:rPr>
              <w:t>Laurence Blake</w:t>
            </w:r>
          </w:p>
        </w:tc>
      </w:tr>
    </w:tbl>
    <w:p w14:paraId="09FDDCF3" w14:textId="77777777" w:rsidR="0003485D" w:rsidRDefault="0003485D">
      <w:pPr>
        <w:rPr>
          <w:rFonts w:ascii="Tahoma" w:eastAsia="Tahoma" w:hAnsi="Tahoma" w:cs="Tahoma"/>
          <w:sz w:val="20"/>
          <w:szCs w:val="20"/>
        </w:rPr>
      </w:pPr>
    </w:p>
    <w:tbl>
      <w:tblPr>
        <w:tblStyle w:val="a0"/>
        <w:tblW w:w="11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83"/>
        <w:gridCol w:w="7199"/>
      </w:tblGrid>
      <w:tr w:rsidR="0003485D" w14:paraId="6B9EF7F0" w14:textId="77777777">
        <w:tc>
          <w:tcPr>
            <w:tcW w:w="3983" w:type="dxa"/>
            <w:shd w:val="clear" w:color="auto" w:fill="FBD5B5"/>
          </w:tcPr>
          <w:p w14:paraId="6B11FB4A" w14:textId="77777777" w:rsidR="0003485D" w:rsidRDefault="00DF4F3D">
            <w:pPr>
              <w:rPr>
                <w:rFonts w:ascii="Tahoma" w:eastAsia="Tahoma" w:hAnsi="Tahoma" w:cs="Tahoma"/>
                <w:b/>
                <w:sz w:val="20"/>
                <w:szCs w:val="20"/>
              </w:rPr>
            </w:pPr>
            <w:r>
              <w:rPr>
                <w:rFonts w:ascii="Tahoma" w:eastAsia="Tahoma" w:hAnsi="Tahoma" w:cs="Tahoma"/>
                <w:b/>
                <w:sz w:val="20"/>
                <w:szCs w:val="20"/>
              </w:rPr>
              <w:t xml:space="preserve">Topic of choice: </w:t>
            </w:r>
          </w:p>
        </w:tc>
        <w:tc>
          <w:tcPr>
            <w:tcW w:w="7199" w:type="dxa"/>
            <w:shd w:val="clear" w:color="auto" w:fill="FBD5B5"/>
          </w:tcPr>
          <w:p w14:paraId="2BE23BBF" w14:textId="77777777" w:rsidR="0003485D" w:rsidRDefault="0003485D">
            <w:pPr>
              <w:rPr>
                <w:rFonts w:ascii="Tahoma" w:eastAsia="Tahoma" w:hAnsi="Tahoma" w:cs="Tahoma"/>
                <w:b/>
                <w:sz w:val="20"/>
                <w:szCs w:val="20"/>
              </w:rPr>
            </w:pPr>
          </w:p>
          <w:p w14:paraId="211ADD97" w14:textId="77777777" w:rsidR="0003485D" w:rsidRDefault="00DF4F3D">
            <w:pPr>
              <w:jc w:val="center"/>
              <w:rPr>
                <w:rFonts w:ascii="Tahoma" w:eastAsia="Tahoma" w:hAnsi="Tahoma" w:cs="Tahoma"/>
                <w:b/>
                <w:sz w:val="20"/>
                <w:szCs w:val="20"/>
              </w:rPr>
            </w:pPr>
            <w:r>
              <w:rPr>
                <w:rFonts w:ascii="Arial" w:eastAsia="Arial" w:hAnsi="Arial" w:cs="Arial"/>
                <w:b/>
                <w:sz w:val="21"/>
                <w:szCs w:val="21"/>
              </w:rPr>
              <w:t>Allergies and Intolerances and the importance within the industry</w:t>
            </w:r>
          </w:p>
          <w:p w14:paraId="1EB39D1C" w14:textId="77777777" w:rsidR="0003485D" w:rsidRDefault="0003485D">
            <w:pPr>
              <w:jc w:val="center"/>
              <w:rPr>
                <w:rFonts w:ascii="Tahoma" w:eastAsia="Tahoma" w:hAnsi="Tahoma" w:cs="Tahoma"/>
                <w:b/>
                <w:sz w:val="20"/>
                <w:szCs w:val="20"/>
              </w:rPr>
            </w:pPr>
          </w:p>
        </w:tc>
      </w:tr>
      <w:tr w:rsidR="0003485D" w14:paraId="7F06B21B" w14:textId="77777777">
        <w:trPr>
          <w:trHeight w:val="2494"/>
        </w:trPr>
        <w:tc>
          <w:tcPr>
            <w:tcW w:w="11182" w:type="dxa"/>
            <w:gridSpan w:val="2"/>
          </w:tcPr>
          <w:p w14:paraId="4C9A97F1" w14:textId="77777777" w:rsidR="0003485D" w:rsidRDefault="0003485D" w:rsidP="008D05A4">
            <w:pPr>
              <w:spacing w:before="240" w:after="240" w:line="360" w:lineRule="auto"/>
              <w:jc w:val="both"/>
              <w:rPr>
                <w:rFonts w:ascii="Tahoma" w:eastAsia="Tahoma" w:hAnsi="Tahoma" w:cs="Tahoma"/>
                <w:sz w:val="20"/>
                <w:szCs w:val="20"/>
              </w:rPr>
            </w:pPr>
          </w:p>
          <w:p w14:paraId="61C3C5CD" w14:textId="0738CB31" w:rsidR="0003485D" w:rsidRDefault="00DF4F3D" w:rsidP="008D05A4">
            <w:pPr>
              <w:spacing w:before="240" w:after="240" w:line="360" w:lineRule="auto"/>
              <w:jc w:val="both"/>
              <w:rPr>
                <w:rFonts w:ascii="Arial" w:eastAsia="Arial" w:hAnsi="Arial" w:cs="Arial"/>
              </w:rPr>
            </w:pPr>
            <w:r>
              <w:rPr>
                <w:rFonts w:ascii="Arial" w:eastAsia="Arial" w:hAnsi="Arial" w:cs="Arial"/>
              </w:rPr>
              <w:t>A substantial proportion of people are consistently adversely affected by the food they consume. Spitting, loose bowels, stomach ache, and fever are a few true adverse symptoms of food</w:t>
            </w:r>
            <w:r w:rsidR="009D4F09">
              <w:rPr>
                <w:rFonts w:ascii="Arial" w:eastAsia="Arial" w:hAnsi="Arial" w:cs="Arial"/>
              </w:rPr>
              <w:t>-</w:t>
            </w:r>
            <w:r>
              <w:rPr>
                <w:rFonts w:ascii="Arial" w:eastAsia="Arial" w:hAnsi="Arial" w:cs="Arial"/>
              </w:rPr>
              <w:t xml:space="preserve">related diseases that people may experience after consuming contaminated foods </w:t>
            </w:r>
            <w:r>
              <w:rPr>
                <w:rFonts w:ascii="Arial" w:eastAsia="Arial" w:hAnsi="Arial" w:cs="Arial"/>
                <w:sz w:val="20"/>
                <w:szCs w:val="20"/>
                <w:highlight w:val="white"/>
              </w:rPr>
              <w:t>(Thom, 2002)</w:t>
            </w:r>
            <w:r>
              <w:rPr>
                <w:rFonts w:ascii="Arial" w:eastAsia="Arial" w:hAnsi="Arial" w:cs="Arial"/>
              </w:rPr>
              <w:t>. Most diseases, hospitalizations, and other medical procedures are caused by microbes, infections, parasites, and toxins. To control these dangers and ensure the safety of food for human consumption, public and global sanitation measures are required.</w:t>
            </w:r>
          </w:p>
          <w:p w14:paraId="2E882DBA" w14:textId="79EAD24A" w:rsidR="0003485D" w:rsidRDefault="00DF4F3D" w:rsidP="008D05A4">
            <w:pPr>
              <w:spacing w:before="240" w:after="240" w:line="360" w:lineRule="auto"/>
              <w:jc w:val="both"/>
              <w:rPr>
                <w:rFonts w:ascii="Arial" w:eastAsia="Arial" w:hAnsi="Arial" w:cs="Arial"/>
              </w:rPr>
            </w:pPr>
            <w:r>
              <w:rPr>
                <w:rFonts w:ascii="Arial" w:eastAsia="Arial" w:hAnsi="Arial" w:cs="Arial"/>
              </w:rPr>
              <w:t xml:space="preserve">Food allergy and intolerance research must be done with caution because the results might be life-threatening. A genuine food allergy influences the insusceptible framework. Indeed, even modest quantities of the culpable food can set off a scope of side effects, which can be extreme or perilous. Conversely, food bigotry frequently influences just the stomach related framework and causes less genuine side effects </w:t>
            </w:r>
            <w:r>
              <w:rPr>
                <w:rFonts w:ascii="Arial" w:eastAsia="Arial" w:hAnsi="Arial" w:cs="Arial"/>
                <w:sz w:val="20"/>
                <w:szCs w:val="20"/>
                <w:highlight w:val="white"/>
              </w:rPr>
              <w:t>(Leung and Leung, 2010)</w:t>
            </w:r>
            <w:r>
              <w:rPr>
                <w:rFonts w:ascii="Arial" w:eastAsia="Arial" w:hAnsi="Arial" w:cs="Arial"/>
              </w:rPr>
              <w:t>. The best way to oversee narrow mindedness is to quit eating the food for some time and afterward</w:t>
            </w:r>
            <w:r w:rsidR="009D4F09">
              <w:rPr>
                <w:rFonts w:ascii="Arial" w:eastAsia="Arial" w:hAnsi="Arial" w:cs="Arial"/>
              </w:rPr>
              <w:t>s</w:t>
            </w:r>
            <w:r>
              <w:rPr>
                <w:rFonts w:ascii="Arial" w:eastAsia="Arial" w:hAnsi="Arial" w:cs="Arial"/>
              </w:rPr>
              <w:t xml:space="preserve"> once again introduce little amounts while observing the amount one can eat without causing side effects. Check food marks to see which kinds of foods to stay away from. It's critical to appreciate how much thought goes into ethically organizing research projects, particularly those involving vulnerable populations such as children. Being hypersensitive to a certain food is a disease, thus people with food sensitivities should be cautious about what they eat. Because avoiding allergens is the greatest method to avoid food-related adverse reactions, the food business plays an important role in ensuring consumer health </w:t>
            </w:r>
            <w:r>
              <w:rPr>
                <w:rFonts w:ascii="Arial" w:eastAsia="Arial" w:hAnsi="Arial" w:cs="Arial"/>
                <w:sz w:val="20"/>
                <w:szCs w:val="20"/>
                <w:highlight w:val="white"/>
              </w:rPr>
              <w:t>(Leonard, 2020)</w:t>
            </w:r>
            <w:r>
              <w:rPr>
                <w:rFonts w:ascii="Arial" w:eastAsia="Arial" w:hAnsi="Arial" w:cs="Arial"/>
              </w:rPr>
              <w:t>.</w:t>
            </w:r>
          </w:p>
          <w:p w14:paraId="394F13C2" w14:textId="66ACCF8F" w:rsidR="0003485D" w:rsidRDefault="00DF4F3D" w:rsidP="008D05A4">
            <w:pPr>
              <w:spacing w:before="240" w:after="240" w:line="360" w:lineRule="auto"/>
              <w:jc w:val="both"/>
              <w:rPr>
                <w:rFonts w:ascii="Arial" w:eastAsia="Arial" w:hAnsi="Arial" w:cs="Arial"/>
              </w:rPr>
            </w:pPr>
            <w:r>
              <w:rPr>
                <w:rFonts w:ascii="Arial" w:eastAsia="Arial" w:hAnsi="Arial" w:cs="Arial"/>
              </w:rPr>
              <w:t>Foodservice managers should provide allergy information to buyers for both pre</w:t>
            </w:r>
            <w:r w:rsidR="009D4F09">
              <w:rPr>
                <w:rFonts w:ascii="Arial" w:eastAsia="Arial" w:hAnsi="Arial" w:cs="Arial"/>
              </w:rPr>
              <w:t>-</w:t>
            </w:r>
            <w:r>
              <w:rPr>
                <w:rFonts w:ascii="Arial" w:eastAsia="Arial" w:hAnsi="Arial" w:cs="Arial"/>
              </w:rPr>
              <w:t>packaged and unpackaged foods and beverages, as well as handle and monitor food allergens in the food arrangement. Food businesses should guarantee that their employees are trained on allergies. Supervisors can also provide personnel with an allergen agenda for recommendations on food allergy best practices. Clients can be given allergy information in a variety of ways.</w:t>
            </w:r>
            <w:r w:rsidR="008D05A4">
              <w:rPr>
                <w:rFonts w:ascii="Arial" w:eastAsia="Arial" w:hAnsi="Arial" w:cs="Arial"/>
              </w:rPr>
              <w:t xml:space="preserve"> I learned that</w:t>
            </w:r>
            <w:r>
              <w:rPr>
                <w:rFonts w:ascii="Arial" w:eastAsia="Arial" w:hAnsi="Arial" w:cs="Arial"/>
              </w:rPr>
              <w:t xml:space="preserve"> </w:t>
            </w:r>
            <w:r w:rsidR="008D05A4">
              <w:rPr>
                <w:rFonts w:ascii="Arial" w:eastAsia="Arial" w:hAnsi="Arial" w:cs="Arial"/>
              </w:rPr>
              <w:t>t</w:t>
            </w:r>
            <w:r>
              <w:rPr>
                <w:rFonts w:ascii="Arial" w:eastAsia="Arial" w:hAnsi="Arial" w:cs="Arial"/>
              </w:rPr>
              <w:t xml:space="preserve">he ideal approach for the business and the type of food offered should be chosen. </w:t>
            </w:r>
            <w:r w:rsidR="008D05A4">
              <w:rPr>
                <w:rFonts w:ascii="Arial" w:eastAsia="Arial" w:hAnsi="Arial" w:cs="Arial"/>
              </w:rPr>
              <w:t xml:space="preserve">I also learned that </w:t>
            </w:r>
            <w:proofErr w:type="spellStart"/>
            <w:r>
              <w:rPr>
                <w:rFonts w:ascii="Arial" w:eastAsia="Arial" w:hAnsi="Arial" w:cs="Arial"/>
              </w:rPr>
              <w:t>Prepackaged</w:t>
            </w:r>
            <w:proofErr w:type="spellEnd"/>
            <w:r>
              <w:rPr>
                <w:rFonts w:ascii="Arial" w:eastAsia="Arial" w:hAnsi="Arial" w:cs="Arial"/>
              </w:rPr>
              <w:t xml:space="preserve"> foods are those that have been packaged </w:t>
            </w:r>
            <w:r w:rsidR="009D4F09">
              <w:rPr>
                <w:rFonts w:ascii="Arial" w:eastAsia="Arial" w:hAnsi="Arial" w:cs="Arial"/>
              </w:rPr>
              <w:t>before</w:t>
            </w:r>
            <w:r>
              <w:rPr>
                <w:rFonts w:ascii="Arial" w:eastAsia="Arial" w:hAnsi="Arial" w:cs="Arial"/>
              </w:rPr>
              <w:t xml:space="preserve"> being placed on sale, whereas unpackaged foods are those that have not </w:t>
            </w:r>
            <w:r>
              <w:rPr>
                <w:rFonts w:ascii="Arial" w:eastAsia="Arial" w:hAnsi="Arial" w:cs="Arial"/>
              </w:rPr>
              <w:lastRenderedPageBreak/>
              <w:t xml:space="preserve">been packaged </w:t>
            </w:r>
            <w:r>
              <w:rPr>
                <w:rFonts w:ascii="Arial" w:eastAsia="Arial" w:hAnsi="Arial" w:cs="Arial"/>
                <w:sz w:val="20"/>
                <w:szCs w:val="20"/>
                <w:highlight w:val="white"/>
              </w:rPr>
              <w:t>(Briggs, Sutherland and Drummond, 2007)</w:t>
            </w:r>
            <w:r>
              <w:rPr>
                <w:rFonts w:ascii="Arial" w:eastAsia="Arial" w:hAnsi="Arial" w:cs="Arial"/>
              </w:rPr>
              <w:t xml:space="preserve">. Depending on how the meal is served, different allergy naming guidelines apply. A list of fixings should be included with </w:t>
            </w:r>
            <w:proofErr w:type="spellStart"/>
            <w:r>
              <w:rPr>
                <w:rFonts w:ascii="Arial" w:eastAsia="Arial" w:hAnsi="Arial" w:cs="Arial"/>
              </w:rPr>
              <w:t>prepackaged</w:t>
            </w:r>
            <w:proofErr w:type="spellEnd"/>
            <w:r>
              <w:rPr>
                <w:rFonts w:ascii="Arial" w:eastAsia="Arial" w:hAnsi="Arial" w:cs="Arial"/>
              </w:rPr>
              <w:t xml:space="preserve"> food. </w:t>
            </w:r>
            <w:r w:rsidR="008D05A4">
              <w:rPr>
                <w:rFonts w:ascii="Arial" w:eastAsia="Arial" w:hAnsi="Arial" w:cs="Arial"/>
              </w:rPr>
              <w:t>I learned that a</w:t>
            </w:r>
            <w:r>
              <w:rPr>
                <w:rFonts w:ascii="Arial" w:eastAsia="Arial" w:hAnsi="Arial" w:cs="Arial"/>
              </w:rPr>
              <w:t>llergens in the item should be highlighted every time they appear in the fixings list. Free items offered at a store counter, a bread shop, dinners provided in a café, and food from an activity item may all require non-</w:t>
            </w:r>
            <w:proofErr w:type="spellStart"/>
            <w:r>
              <w:rPr>
                <w:rFonts w:ascii="Arial" w:eastAsia="Arial" w:hAnsi="Arial" w:cs="Arial"/>
              </w:rPr>
              <w:t>prepackaged</w:t>
            </w:r>
            <w:proofErr w:type="spellEnd"/>
            <w:r>
              <w:rPr>
                <w:rFonts w:ascii="Arial" w:eastAsia="Arial" w:hAnsi="Arial" w:cs="Arial"/>
              </w:rPr>
              <w:t xml:space="preserve"> allergy info </w:t>
            </w:r>
            <w:r>
              <w:rPr>
                <w:rFonts w:ascii="Arial" w:eastAsia="Arial" w:hAnsi="Arial" w:cs="Arial"/>
                <w:sz w:val="20"/>
                <w:szCs w:val="20"/>
                <w:highlight w:val="white"/>
              </w:rPr>
              <w:t>(Anca and Sussman, 2013)</w:t>
            </w:r>
            <w:r>
              <w:rPr>
                <w:rFonts w:ascii="Arial" w:eastAsia="Arial" w:hAnsi="Arial" w:cs="Arial"/>
              </w:rPr>
              <w:t>.</w:t>
            </w:r>
          </w:p>
          <w:p w14:paraId="29B5D57D" w14:textId="77777777" w:rsidR="0003485D" w:rsidRDefault="00DF4F3D" w:rsidP="008D05A4">
            <w:pPr>
              <w:spacing w:before="240" w:after="240" w:line="360" w:lineRule="auto"/>
              <w:jc w:val="both"/>
              <w:rPr>
                <w:rFonts w:ascii="Arial" w:eastAsia="Arial" w:hAnsi="Arial" w:cs="Arial"/>
              </w:rPr>
            </w:pPr>
            <w:r>
              <w:rPr>
                <w:rFonts w:ascii="Arial" w:eastAsia="Arial" w:hAnsi="Arial" w:cs="Arial"/>
              </w:rPr>
              <w:t xml:space="preserve">When the immune system reacts to a harmless food, a food allergy develops. When the body has a substance response to ingesting a certain food or drink, it is called food narrow mindedness. Sensitivities develop when your immune system incorrectly labels a material as harmful, such as dust, form, animal dander, or food. An allergy is a term used to describe a material. The allergen activates safe framework cells, causing them to supply certain synthetics, such as receptors, which cause allergy symptoms. When a harmless material, such as residue, form, or dust, causes an allergic reaction in a person, the immune system may overreact by producing antibodies that attack the allergen </w:t>
            </w:r>
            <w:r>
              <w:rPr>
                <w:rFonts w:ascii="Arial" w:eastAsia="Arial" w:hAnsi="Arial" w:cs="Arial"/>
                <w:sz w:val="20"/>
                <w:szCs w:val="20"/>
                <w:highlight w:val="white"/>
              </w:rPr>
              <w:t>(Thom, 2002)</w:t>
            </w:r>
            <w:r>
              <w:rPr>
                <w:rFonts w:ascii="Arial" w:eastAsia="Arial" w:hAnsi="Arial" w:cs="Arial"/>
              </w:rPr>
              <w:t xml:space="preserve">. Food bias, on the other hand, is a stomach-related framework reaction rather than a safe framework reaction. It happens when anything in food upsets a person's stomach-related structure, or when a person can't see or separate the food as expected. The most efficient strategy to avoid the negative consequences of a food's narrow-mindedness is to avoid it or consume it only on rare occasions and in small amounts. Individuals can also take supplements to aid with absorption. A true food allergy has an impact on the safe framework. Indeed, even little amounts of the implicated meal can cause a variety of negative effects, some of which are severe or dangerous </w:t>
            </w:r>
            <w:r>
              <w:rPr>
                <w:rFonts w:ascii="Arial" w:eastAsia="Arial" w:hAnsi="Arial" w:cs="Arial"/>
                <w:sz w:val="20"/>
                <w:szCs w:val="20"/>
                <w:highlight w:val="white"/>
              </w:rPr>
              <w:t>(Leung and Leung, 2010)</w:t>
            </w:r>
            <w:r>
              <w:rPr>
                <w:rFonts w:ascii="Arial" w:eastAsia="Arial" w:hAnsi="Arial" w:cs="Arial"/>
              </w:rPr>
              <w:t>. Surprisingly, a food's narrow-mindedness often affects just the stomach-related structure, resulting in fewer serious adverse effects.</w:t>
            </w:r>
          </w:p>
          <w:p w14:paraId="3FCBF859" w14:textId="0A4FF485" w:rsidR="0003485D" w:rsidRDefault="00DF4F3D" w:rsidP="008D05A4">
            <w:pPr>
              <w:spacing w:before="240" w:after="240" w:line="360" w:lineRule="auto"/>
              <w:jc w:val="both"/>
              <w:rPr>
                <w:rFonts w:ascii="Arial" w:eastAsia="Arial" w:hAnsi="Arial" w:cs="Arial"/>
              </w:rPr>
            </w:pPr>
            <w:r>
              <w:rPr>
                <w:rFonts w:ascii="Arial" w:eastAsia="Arial" w:hAnsi="Arial" w:cs="Arial"/>
              </w:rPr>
              <w:t>In the neighbo</w:t>
            </w:r>
            <w:r w:rsidR="009D4F09">
              <w:rPr>
                <w:rFonts w:ascii="Arial" w:eastAsia="Arial" w:hAnsi="Arial" w:cs="Arial"/>
              </w:rPr>
              <w:t>u</w:t>
            </w:r>
            <w:r>
              <w:rPr>
                <w:rFonts w:ascii="Arial" w:eastAsia="Arial" w:hAnsi="Arial" w:cs="Arial"/>
              </w:rPr>
              <w:t xml:space="preserve">rliness industry, it is critical to ensure food security across the full presenting chain. Food business owners should also ensure that all stages of food production, handling, and transportation, which are all governed by the Act, fulfil the Act's cleanliness requirements </w:t>
            </w:r>
            <w:r>
              <w:rPr>
                <w:rFonts w:ascii="Arial" w:eastAsia="Arial" w:hAnsi="Arial" w:cs="Arial"/>
                <w:sz w:val="20"/>
                <w:szCs w:val="20"/>
                <w:highlight w:val="white"/>
              </w:rPr>
              <w:t>(Leonard, 2020)</w:t>
            </w:r>
            <w:r>
              <w:rPr>
                <w:rFonts w:ascii="Arial" w:eastAsia="Arial" w:hAnsi="Arial" w:cs="Arial"/>
              </w:rPr>
              <w:t>. For people who are allergic to certain me</w:t>
            </w:r>
            <w:r w:rsidR="009D4F09">
              <w:rPr>
                <w:rFonts w:ascii="Arial" w:eastAsia="Arial" w:hAnsi="Arial" w:cs="Arial"/>
              </w:rPr>
              <w:t>t</w:t>
            </w:r>
            <w:r>
              <w:rPr>
                <w:rFonts w:ascii="Arial" w:eastAsia="Arial" w:hAnsi="Arial" w:cs="Arial"/>
              </w:rPr>
              <w:t xml:space="preserve">als, the choosing and use of food at hotels can result in unwanted feelings, fear, and even severe or fatal reactions and outcomes. That is, in general, the thing that might make profitable business difficult for the lodging office, given that the number of food allergies, as well as the number of tourists with such concerns, is always increasing </w:t>
            </w:r>
            <w:r>
              <w:rPr>
                <w:rFonts w:ascii="Arial" w:eastAsia="Arial" w:hAnsi="Arial" w:cs="Arial"/>
                <w:sz w:val="20"/>
                <w:szCs w:val="20"/>
                <w:highlight w:val="white"/>
              </w:rPr>
              <w:t>(Briggs, Sutherland and Drummond, 2007)</w:t>
            </w:r>
            <w:r>
              <w:rPr>
                <w:rFonts w:ascii="Arial" w:eastAsia="Arial" w:hAnsi="Arial" w:cs="Arial"/>
              </w:rPr>
              <w:t>.</w:t>
            </w:r>
          </w:p>
          <w:p w14:paraId="0F03434E" w14:textId="77777777" w:rsidR="0003485D" w:rsidRDefault="0003485D" w:rsidP="008D05A4">
            <w:pPr>
              <w:spacing w:before="240" w:after="240" w:line="360" w:lineRule="auto"/>
              <w:jc w:val="both"/>
              <w:rPr>
                <w:rFonts w:ascii="Arial" w:eastAsia="Arial" w:hAnsi="Arial" w:cs="Arial"/>
              </w:rPr>
            </w:pPr>
          </w:p>
          <w:p w14:paraId="0B39BA11" w14:textId="77777777" w:rsidR="0003485D" w:rsidRDefault="0003485D">
            <w:pPr>
              <w:spacing w:line="360" w:lineRule="auto"/>
              <w:jc w:val="both"/>
              <w:rPr>
                <w:rFonts w:ascii="Arial" w:eastAsia="Arial" w:hAnsi="Arial" w:cs="Arial"/>
              </w:rPr>
            </w:pPr>
          </w:p>
          <w:p w14:paraId="40A3D087" w14:textId="77777777" w:rsidR="0003485D" w:rsidRDefault="0003485D">
            <w:pPr>
              <w:spacing w:line="360" w:lineRule="auto"/>
              <w:jc w:val="both"/>
              <w:rPr>
                <w:rFonts w:ascii="Arial" w:eastAsia="Arial" w:hAnsi="Arial" w:cs="Arial"/>
              </w:rPr>
            </w:pPr>
          </w:p>
          <w:p w14:paraId="351F4181" w14:textId="77777777" w:rsidR="0003485D" w:rsidRDefault="0003485D">
            <w:pPr>
              <w:jc w:val="both"/>
              <w:rPr>
                <w:rFonts w:ascii="Arial" w:eastAsia="Arial" w:hAnsi="Arial" w:cs="Arial"/>
              </w:rPr>
            </w:pPr>
          </w:p>
          <w:p w14:paraId="37B7C7B3" w14:textId="77777777" w:rsidR="005148F0" w:rsidRDefault="005148F0">
            <w:pPr>
              <w:jc w:val="both"/>
              <w:rPr>
                <w:rFonts w:ascii="Arial" w:eastAsia="Arial" w:hAnsi="Arial" w:cs="Arial"/>
              </w:rPr>
            </w:pPr>
          </w:p>
          <w:p w14:paraId="4D062001" w14:textId="7D4E163B" w:rsidR="005C19B9" w:rsidRDefault="005C19B9" w:rsidP="002776A7">
            <w:pPr>
              <w:rPr>
                <w:rFonts w:eastAsia="Tahoma"/>
              </w:rPr>
            </w:pPr>
          </w:p>
        </w:tc>
      </w:tr>
    </w:tbl>
    <w:p w14:paraId="2E3D7B32" w14:textId="77777777" w:rsidR="0003485D" w:rsidRDefault="0003485D">
      <w:pPr>
        <w:rPr>
          <w:rFonts w:ascii="Tahoma" w:eastAsia="Tahoma" w:hAnsi="Tahoma" w:cs="Tahoma"/>
          <w:b/>
        </w:rPr>
      </w:pPr>
    </w:p>
    <w:p w14:paraId="07ABEC42" w14:textId="77777777" w:rsidR="0003485D" w:rsidRDefault="0003485D">
      <w:pPr>
        <w:rPr>
          <w:rFonts w:ascii="Tahoma" w:eastAsia="Tahoma" w:hAnsi="Tahoma" w:cs="Tahoma"/>
          <w:b/>
        </w:rPr>
      </w:pPr>
    </w:p>
    <w:tbl>
      <w:tblPr>
        <w:tblStyle w:val="a1"/>
        <w:tblW w:w="11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910"/>
        <w:gridCol w:w="272"/>
      </w:tblGrid>
      <w:tr w:rsidR="0003485D" w14:paraId="54EB16C8" w14:textId="77777777">
        <w:tc>
          <w:tcPr>
            <w:tcW w:w="10910" w:type="dxa"/>
            <w:shd w:val="clear" w:color="auto" w:fill="FBD5B5"/>
          </w:tcPr>
          <w:p w14:paraId="69935134" w14:textId="77777777" w:rsidR="0003485D" w:rsidRDefault="00DF4F3D">
            <w:pPr>
              <w:rPr>
                <w:rFonts w:ascii="Tahoma" w:eastAsia="Tahoma" w:hAnsi="Tahoma" w:cs="Tahoma"/>
                <w:b/>
                <w:sz w:val="20"/>
                <w:szCs w:val="20"/>
              </w:rPr>
            </w:pPr>
            <w:r>
              <w:rPr>
                <w:rFonts w:ascii="Tahoma" w:eastAsia="Tahoma" w:hAnsi="Tahoma" w:cs="Tahoma"/>
                <w:b/>
                <w:sz w:val="20"/>
                <w:szCs w:val="20"/>
              </w:rPr>
              <w:t>REFERENCE LIST (not included in word count)</w:t>
            </w:r>
          </w:p>
        </w:tc>
        <w:tc>
          <w:tcPr>
            <w:tcW w:w="272" w:type="dxa"/>
            <w:shd w:val="clear" w:color="auto" w:fill="FBD5B5"/>
          </w:tcPr>
          <w:p w14:paraId="539F1EB1" w14:textId="77777777" w:rsidR="0003485D" w:rsidRDefault="0003485D">
            <w:pPr>
              <w:jc w:val="center"/>
              <w:rPr>
                <w:rFonts w:ascii="Tahoma" w:eastAsia="Tahoma" w:hAnsi="Tahoma" w:cs="Tahoma"/>
                <w:b/>
                <w:sz w:val="20"/>
                <w:szCs w:val="20"/>
              </w:rPr>
            </w:pPr>
          </w:p>
          <w:p w14:paraId="1A694E3C" w14:textId="77777777" w:rsidR="0003485D" w:rsidRDefault="0003485D">
            <w:pPr>
              <w:jc w:val="center"/>
              <w:rPr>
                <w:rFonts w:ascii="Tahoma" w:eastAsia="Tahoma" w:hAnsi="Tahoma" w:cs="Tahoma"/>
                <w:b/>
                <w:sz w:val="20"/>
                <w:szCs w:val="20"/>
              </w:rPr>
            </w:pPr>
          </w:p>
        </w:tc>
      </w:tr>
      <w:tr w:rsidR="0003485D" w14:paraId="1325F2D4" w14:textId="77777777">
        <w:trPr>
          <w:trHeight w:val="2494"/>
        </w:trPr>
        <w:tc>
          <w:tcPr>
            <w:tcW w:w="11182" w:type="dxa"/>
            <w:gridSpan w:val="2"/>
          </w:tcPr>
          <w:p w14:paraId="426D09A6" w14:textId="77777777" w:rsidR="008D05A4" w:rsidRPr="008D05A4" w:rsidRDefault="008D05A4" w:rsidP="008D05A4">
            <w:pPr>
              <w:spacing w:before="240" w:after="240" w:line="360" w:lineRule="auto"/>
              <w:jc w:val="both"/>
              <w:rPr>
                <w:rFonts w:ascii="Arial" w:eastAsia="Arial" w:hAnsi="Arial" w:cs="Arial"/>
                <w:highlight w:val="white"/>
              </w:rPr>
            </w:pPr>
            <w:r w:rsidRPr="008D05A4">
              <w:rPr>
                <w:rFonts w:ascii="Arial" w:eastAsia="Arial" w:hAnsi="Arial" w:cs="Arial"/>
                <w:highlight w:val="white"/>
              </w:rPr>
              <w:t xml:space="preserve">Anca, A. and Sussman, G., 2013. </w:t>
            </w:r>
            <w:r w:rsidRPr="008D05A4">
              <w:rPr>
                <w:rFonts w:ascii="Arial" w:eastAsia="Arial" w:hAnsi="Arial" w:cs="Arial"/>
                <w:i/>
                <w:highlight w:val="white"/>
              </w:rPr>
              <w:t>The total food allergy health and diet guide</w:t>
            </w:r>
            <w:r w:rsidRPr="008D05A4">
              <w:rPr>
                <w:rFonts w:ascii="Arial" w:eastAsia="Arial" w:hAnsi="Arial" w:cs="Arial"/>
                <w:highlight w:val="white"/>
              </w:rPr>
              <w:t xml:space="preserve">. </w:t>
            </w:r>
            <w:proofErr w:type="spellStart"/>
            <w:r w:rsidRPr="008D05A4">
              <w:rPr>
                <w:rFonts w:ascii="Arial" w:eastAsia="Arial" w:hAnsi="Arial" w:cs="Arial"/>
                <w:highlight w:val="white"/>
              </w:rPr>
              <w:t>Wollombi</w:t>
            </w:r>
            <w:proofErr w:type="spellEnd"/>
            <w:r w:rsidRPr="008D05A4">
              <w:rPr>
                <w:rFonts w:ascii="Arial" w:eastAsia="Arial" w:hAnsi="Arial" w:cs="Arial"/>
                <w:highlight w:val="white"/>
              </w:rPr>
              <w:t xml:space="preserve">, N.S.W.: </w:t>
            </w:r>
            <w:proofErr w:type="spellStart"/>
            <w:r w:rsidRPr="008D05A4">
              <w:rPr>
                <w:rFonts w:ascii="Arial" w:eastAsia="Arial" w:hAnsi="Arial" w:cs="Arial"/>
                <w:highlight w:val="white"/>
              </w:rPr>
              <w:t>Exisle</w:t>
            </w:r>
            <w:proofErr w:type="spellEnd"/>
            <w:r w:rsidRPr="008D05A4">
              <w:rPr>
                <w:rFonts w:ascii="Arial" w:eastAsia="Arial" w:hAnsi="Arial" w:cs="Arial"/>
                <w:highlight w:val="white"/>
              </w:rPr>
              <w:t xml:space="preserve"> Publishing.</w:t>
            </w:r>
          </w:p>
          <w:p w14:paraId="6C17FBFF" w14:textId="77777777" w:rsidR="008D05A4" w:rsidRPr="008D05A4" w:rsidRDefault="008D05A4" w:rsidP="008D05A4">
            <w:pPr>
              <w:spacing w:before="240" w:after="240" w:line="360" w:lineRule="auto"/>
              <w:jc w:val="both"/>
              <w:rPr>
                <w:rFonts w:ascii="Arial" w:eastAsia="Arial" w:hAnsi="Arial" w:cs="Arial"/>
                <w:highlight w:val="white"/>
              </w:rPr>
            </w:pPr>
            <w:r w:rsidRPr="008D05A4">
              <w:rPr>
                <w:rFonts w:ascii="Arial" w:eastAsia="Arial" w:hAnsi="Arial" w:cs="Arial"/>
                <w:highlight w:val="white"/>
              </w:rPr>
              <w:t xml:space="preserve">Briggs, S., Sutherland, J. and Drummond, S., 2007. Are hotels serving quality? An exploratory study of service quality in the Scottish hotel sector. </w:t>
            </w:r>
            <w:r w:rsidRPr="008D05A4">
              <w:rPr>
                <w:rFonts w:ascii="Arial" w:eastAsia="Arial" w:hAnsi="Arial" w:cs="Arial"/>
                <w:i/>
                <w:highlight w:val="white"/>
              </w:rPr>
              <w:t>Tourism Management</w:t>
            </w:r>
            <w:r w:rsidRPr="008D05A4">
              <w:rPr>
                <w:rFonts w:ascii="Arial" w:eastAsia="Arial" w:hAnsi="Arial" w:cs="Arial"/>
                <w:highlight w:val="white"/>
              </w:rPr>
              <w:t>, 28(4), pp.1006-1019.</w:t>
            </w:r>
          </w:p>
          <w:p w14:paraId="6F2B458B" w14:textId="77777777" w:rsidR="008D05A4" w:rsidRPr="008D05A4" w:rsidRDefault="008D05A4" w:rsidP="008D05A4">
            <w:pPr>
              <w:spacing w:before="240" w:after="240" w:line="360" w:lineRule="auto"/>
              <w:jc w:val="both"/>
              <w:rPr>
                <w:rFonts w:ascii="Arial" w:eastAsia="Arial" w:hAnsi="Arial" w:cs="Arial"/>
                <w:highlight w:val="white"/>
              </w:rPr>
            </w:pPr>
            <w:r w:rsidRPr="008D05A4">
              <w:rPr>
                <w:rFonts w:ascii="Arial" w:eastAsia="Arial" w:hAnsi="Arial" w:cs="Arial"/>
                <w:highlight w:val="white"/>
              </w:rPr>
              <w:t xml:space="preserve">Leonard, S., 2020. Food allergy prevention, including early food introduction. </w:t>
            </w:r>
            <w:r w:rsidRPr="008D05A4">
              <w:rPr>
                <w:rFonts w:ascii="Arial" w:eastAsia="Arial" w:hAnsi="Arial" w:cs="Arial"/>
                <w:i/>
                <w:highlight w:val="white"/>
              </w:rPr>
              <w:t>Journal of Food Allergy</w:t>
            </w:r>
            <w:r w:rsidRPr="008D05A4">
              <w:rPr>
                <w:rFonts w:ascii="Arial" w:eastAsia="Arial" w:hAnsi="Arial" w:cs="Arial"/>
                <w:highlight w:val="white"/>
              </w:rPr>
              <w:t>, 2(1), pp.69-74.</w:t>
            </w:r>
          </w:p>
          <w:p w14:paraId="6A17D284" w14:textId="77777777" w:rsidR="008D05A4" w:rsidRPr="008D05A4" w:rsidRDefault="008D05A4" w:rsidP="008D05A4">
            <w:pPr>
              <w:spacing w:before="240" w:after="240" w:line="360" w:lineRule="auto"/>
              <w:jc w:val="both"/>
              <w:rPr>
                <w:rFonts w:ascii="Arial" w:eastAsia="Arial" w:hAnsi="Arial" w:cs="Arial"/>
                <w:highlight w:val="white"/>
              </w:rPr>
            </w:pPr>
            <w:r w:rsidRPr="008D05A4">
              <w:rPr>
                <w:rFonts w:ascii="Arial" w:eastAsia="Arial" w:hAnsi="Arial" w:cs="Arial"/>
                <w:highlight w:val="white"/>
              </w:rPr>
              <w:t xml:space="preserve">Leung, A. and Leung, J., 2010. </w:t>
            </w:r>
            <w:r w:rsidRPr="008D05A4">
              <w:rPr>
                <w:rFonts w:ascii="Arial" w:eastAsia="Arial" w:hAnsi="Arial" w:cs="Arial"/>
                <w:i/>
                <w:highlight w:val="white"/>
              </w:rPr>
              <w:t>Food allergy</w:t>
            </w:r>
            <w:r w:rsidRPr="008D05A4">
              <w:rPr>
                <w:rFonts w:ascii="Arial" w:eastAsia="Arial" w:hAnsi="Arial" w:cs="Arial"/>
                <w:highlight w:val="white"/>
              </w:rPr>
              <w:t xml:space="preserve">. New York: </w:t>
            </w:r>
            <w:proofErr w:type="spellStart"/>
            <w:r w:rsidRPr="008D05A4">
              <w:rPr>
                <w:rFonts w:ascii="Arial" w:eastAsia="Arial" w:hAnsi="Arial" w:cs="Arial"/>
                <w:highlight w:val="white"/>
              </w:rPr>
              <w:t>Novinka</w:t>
            </w:r>
            <w:proofErr w:type="spellEnd"/>
            <w:r w:rsidRPr="008D05A4">
              <w:rPr>
                <w:rFonts w:ascii="Arial" w:eastAsia="Arial" w:hAnsi="Arial" w:cs="Arial"/>
                <w:highlight w:val="white"/>
              </w:rPr>
              <w:t>.</w:t>
            </w:r>
          </w:p>
          <w:p w14:paraId="2EF3F6E2" w14:textId="77777777" w:rsidR="008D05A4" w:rsidRPr="008D05A4" w:rsidRDefault="008D05A4" w:rsidP="008D05A4">
            <w:pPr>
              <w:spacing w:before="240" w:after="240" w:line="360" w:lineRule="auto"/>
              <w:jc w:val="both"/>
              <w:rPr>
                <w:rFonts w:ascii="Arial" w:eastAsia="Arial" w:hAnsi="Arial" w:cs="Arial"/>
                <w:highlight w:val="white"/>
              </w:rPr>
            </w:pPr>
            <w:r w:rsidRPr="008D05A4">
              <w:rPr>
                <w:rFonts w:ascii="Arial" w:eastAsia="Arial" w:hAnsi="Arial" w:cs="Arial"/>
                <w:highlight w:val="white"/>
              </w:rPr>
              <w:t xml:space="preserve">Thom, D., 2002. </w:t>
            </w:r>
            <w:r w:rsidRPr="008D05A4">
              <w:rPr>
                <w:rFonts w:ascii="Arial" w:eastAsia="Arial" w:hAnsi="Arial" w:cs="Arial"/>
                <w:i/>
                <w:highlight w:val="white"/>
              </w:rPr>
              <w:t>Coping with food intolerances</w:t>
            </w:r>
            <w:r w:rsidRPr="008D05A4">
              <w:rPr>
                <w:rFonts w:ascii="Arial" w:eastAsia="Arial" w:hAnsi="Arial" w:cs="Arial"/>
                <w:highlight w:val="white"/>
              </w:rPr>
              <w:t>. New York: Sterling Pub. Co.</w:t>
            </w:r>
          </w:p>
          <w:p w14:paraId="7E47EC5E" w14:textId="77777777" w:rsidR="0003485D" w:rsidRPr="008D05A4" w:rsidRDefault="0003485D">
            <w:pPr>
              <w:spacing w:line="360" w:lineRule="auto"/>
              <w:jc w:val="both"/>
              <w:rPr>
                <w:rFonts w:ascii="Arial" w:eastAsia="Arial" w:hAnsi="Arial" w:cs="Arial"/>
                <w:sz w:val="32"/>
                <w:szCs w:val="32"/>
              </w:rPr>
            </w:pPr>
          </w:p>
          <w:p w14:paraId="2843C7DD" w14:textId="77777777" w:rsidR="0003485D" w:rsidRDefault="0003485D">
            <w:pPr>
              <w:spacing w:line="360" w:lineRule="auto"/>
              <w:jc w:val="both"/>
              <w:rPr>
                <w:rFonts w:ascii="Arial" w:eastAsia="Arial" w:hAnsi="Arial" w:cs="Arial"/>
              </w:rPr>
            </w:pPr>
          </w:p>
          <w:p w14:paraId="4B572A8C" w14:textId="77777777" w:rsidR="0003485D" w:rsidRDefault="0003485D">
            <w:pPr>
              <w:spacing w:line="360" w:lineRule="auto"/>
              <w:jc w:val="both"/>
              <w:rPr>
                <w:rFonts w:ascii="Arial" w:eastAsia="Arial" w:hAnsi="Arial" w:cs="Arial"/>
              </w:rPr>
            </w:pPr>
          </w:p>
          <w:p w14:paraId="6A081EB7" w14:textId="77777777" w:rsidR="0003485D" w:rsidRDefault="0003485D">
            <w:pPr>
              <w:spacing w:line="360" w:lineRule="auto"/>
              <w:jc w:val="both"/>
              <w:rPr>
                <w:rFonts w:ascii="Arial" w:eastAsia="Arial" w:hAnsi="Arial" w:cs="Arial"/>
              </w:rPr>
            </w:pPr>
          </w:p>
          <w:p w14:paraId="548F34DC" w14:textId="77777777" w:rsidR="0003485D" w:rsidRDefault="0003485D">
            <w:pPr>
              <w:spacing w:line="360" w:lineRule="auto"/>
              <w:jc w:val="both"/>
              <w:rPr>
                <w:rFonts w:ascii="Arial" w:eastAsia="Arial" w:hAnsi="Arial" w:cs="Arial"/>
              </w:rPr>
            </w:pPr>
          </w:p>
          <w:p w14:paraId="14EBC8B9" w14:textId="77777777" w:rsidR="0003485D" w:rsidRDefault="0003485D">
            <w:pPr>
              <w:spacing w:line="360" w:lineRule="auto"/>
              <w:jc w:val="both"/>
              <w:rPr>
                <w:rFonts w:ascii="Arial" w:eastAsia="Arial" w:hAnsi="Arial" w:cs="Arial"/>
              </w:rPr>
            </w:pPr>
          </w:p>
          <w:p w14:paraId="34800ACB" w14:textId="77777777" w:rsidR="0003485D" w:rsidRDefault="0003485D">
            <w:pPr>
              <w:spacing w:line="360" w:lineRule="auto"/>
              <w:jc w:val="both"/>
              <w:rPr>
                <w:rFonts w:ascii="Arial" w:eastAsia="Arial" w:hAnsi="Arial" w:cs="Arial"/>
              </w:rPr>
            </w:pPr>
          </w:p>
          <w:p w14:paraId="2F2AE052" w14:textId="77777777" w:rsidR="0003485D" w:rsidRDefault="0003485D">
            <w:pPr>
              <w:spacing w:line="360" w:lineRule="auto"/>
              <w:jc w:val="both"/>
              <w:rPr>
                <w:rFonts w:ascii="Arial" w:eastAsia="Arial" w:hAnsi="Arial" w:cs="Arial"/>
              </w:rPr>
            </w:pPr>
          </w:p>
          <w:p w14:paraId="1AEC63B6" w14:textId="77777777" w:rsidR="0003485D" w:rsidRDefault="0003485D">
            <w:pPr>
              <w:spacing w:line="360" w:lineRule="auto"/>
              <w:jc w:val="both"/>
              <w:rPr>
                <w:rFonts w:ascii="Arial" w:eastAsia="Arial" w:hAnsi="Arial" w:cs="Arial"/>
              </w:rPr>
            </w:pPr>
          </w:p>
          <w:p w14:paraId="79BA0040" w14:textId="77777777" w:rsidR="0003485D" w:rsidRDefault="0003485D">
            <w:pPr>
              <w:spacing w:line="360" w:lineRule="auto"/>
              <w:jc w:val="both"/>
              <w:rPr>
                <w:rFonts w:ascii="Arial" w:eastAsia="Arial" w:hAnsi="Arial" w:cs="Arial"/>
              </w:rPr>
            </w:pPr>
          </w:p>
          <w:p w14:paraId="6FA88DDC" w14:textId="77777777" w:rsidR="0003485D" w:rsidRDefault="0003485D">
            <w:pPr>
              <w:spacing w:line="360" w:lineRule="auto"/>
              <w:jc w:val="both"/>
              <w:rPr>
                <w:rFonts w:ascii="Arial" w:eastAsia="Arial" w:hAnsi="Arial" w:cs="Arial"/>
              </w:rPr>
            </w:pPr>
          </w:p>
          <w:p w14:paraId="30571F71" w14:textId="77777777" w:rsidR="0003485D" w:rsidRDefault="0003485D">
            <w:pPr>
              <w:spacing w:line="360" w:lineRule="auto"/>
              <w:jc w:val="both"/>
              <w:rPr>
                <w:rFonts w:ascii="Arial" w:eastAsia="Arial" w:hAnsi="Arial" w:cs="Arial"/>
              </w:rPr>
            </w:pPr>
          </w:p>
          <w:p w14:paraId="195E08E5" w14:textId="77777777" w:rsidR="0003485D" w:rsidRDefault="0003485D">
            <w:pPr>
              <w:spacing w:line="360" w:lineRule="auto"/>
              <w:jc w:val="both"/>
              <w:rPr>
                <w:rFonts w:ascii="Arial" w:eastAsia="Arial" w:hAnsi="Arial" w:cs="Arial"/>
              </w:rPr>
            </w:pPr>
          </w:p>
          <w:p w14:paraId="478800AC" w14:textId="77777777" w:rsidR="0003485D" w:rsidRDefault="0003485D">
            <w:pPr>
              <w:spacing w:line="360" w:lineRule="auto"/>
              <w:jc w:val="both"/>
              <w:rPr>
                <w:rFonts w:ascii="Arial" w:eastAsia="Arial" w:hAnsi="Arial" w:cs="Arial"/>
              </w:rPr>
            </w:pPr>
          </w:p>
          <w:p w14:paraId="478EAB43" w14:textId="77777777" w:rsidR="0003485D" w:rsidRDefault="0003485D">
            <w:pPr>
              <w:spacing w:line="360" w:lineRule="auto"/>
              <w:jc w:val="both"/>
              <w:rPr>
                <w:rFonts w:ascii="Arial" w:eastAsia="Arial" w:hAnsi="Arial" w:cs="Arial"/>
              </w:rPr>
            </w:pPr>
          </w:p>
          <w:p w14:paraId="474D0EF1" w14:textId="77777777" w:rsidR="0003485D" w:rsidRDefault="0003485D">
            <w:pPr>
              <w:spacing w:line="360" w:lineRule="auto"/>
              <w:jc w:val="both"/>
              <w:rPr>
                <w:rFonts w:ascii="Arial" w:eastAsia="Arial" w:hAnsi="Arial" w:cs="Arial"/>
              </w:rPr>
            </w:pPr>
          </w:p>
          <w:p w14:paraId="72431913" w14:textId="77777777" w:rsidR="0003485D" w:rsidRDefault="0003485D">
            <w:pPr>
              <w:jc w:val="both"/>
              <w:rPr>
                <w:rFonts w:ascii="Tahoma" w:eastAsia="Tahoma" w:hAnsi="Tahoma" w:cs="Tahoma"/>
                <w:sz w:val="20"/>
                <w:szCs w:val="20"/>
              </w:rPr>
            </w:pPr>
          </w:p>
        </w:tc>
      </w:tr>
    </w:tbl>
    <w:p w14:paraId="31E16B7C" w14:textId="77777777" w:rsidR="0003485D" w:rsidRDefault="0003485D">
      <w:pPr>
        <w:rPr>
          <w:rFonts w:ascii="Tahoma" w:eastAsia="Tahoma" w:hAnsi="Tahoma" w:cs="Tahoma"/>
          <w:b/>
        </w:rPr>
      </w:pPr>
    </w:p>
    <w:p w14:paraId="2FE53DED" w14:textId="77777777" w:rsidR="0003485D" w:rsidRDefault="0003485D">
      <w:pPr>
        <w:rPr>
          <w:rFonts w:ascii="Tahoma" w:eastAsia="Tahoma" w:hAnsi="Tahoma" w:cs="Tahoma"/>
          <w:b/>
        </w:rPr>
      </w:pPr>
    </w:p>
    <w:p w14:paraId="08858AB0" w14:textId="77777777" w:rsidR="0003485D" w:rsidRDefault="0003485D">
      <w:pPr>
        <w:rPr>
          <w:rFonts w:ascii="Tahoma" w:eastAsia="Tahoma" w:hAnsi="Tahoma" w:cs="Tahoma"/>
          <w:b/>
        </w:rPr>
      </w:pPr>
    </w:p>
    <w:p w14:paraId="06263066" w14:textId="77777777" w:rsidR="0003485D" w:rsidRDefault="0003485D">
      <w:pPr>
        <w:rPr>
          <w:rFonts w:ascii="Tahoma" w:eastAsia="Tahoma" w:hAnsi="Tahoma" w:cs="Tahoma"/>
          <w:b/>
        </w:rPr>
      </w:pPr>
    </w:p>
    <w:p w14:paraId="021B5DD9" w14:textId="77777777" w:rsidR="0003485D" w:rsidRDefault="0003485D">
      <w:pPr>
        <w:rPr>
          <w:rFonts w:ascii="Tahoma" w:eastAsia="Tahoma" w:hAnsi="Tahoma" w:cs="Tahoma"/>
          <w:b/>
        </w:rPr>
      </w:pPr>
    </w:p>
    <w:p w14:paraId="6EEC086C" w14:textId="77777777" w:rsidR="0003485D" w:rsidRDefault="0003485D">
      <w:pPr>
        <w:rPr>
          <w:rFonts w:ascii="Tahoma" w:eastAsia="Tahoma" w:hAnsi="Tahoma" w:cs="Tahoma"/>
          <w:b/>
        </w:rPr>
      </w:pPr>
    </w:p>
    <w:p w14:paraId="700C1916" w14:textId="77777777" w:rsidR="0003485D" w:rsidRDefault="0003485D">
      <w:pPr>
        <w:rPr>
          <w:rFonts w:ascii="Tahoma" w:eastAsia="Tahoma" w:hAnsi="Tahoma" w:cs="Tahoma"/>
          <w:b/>
        </w:rPr>
      </w:pPr>
    </w:p>
    <w:sectPr w:rsidR="0003485D">
      <w:headerReference w:type="default" r:id="rId8"/>
      <w:footerReference w:type="default" r:id="rId9"/>
      <w:pgSz w:w="11906" w:h="16838"/>
      <w:pgMar w:top="360" w:right="357" w:bottom="0" w:left="357"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3142C5" w14:textId="77777777" w:rsidR="003F2644" w:rsidRDefault="003F2644">
      <w:r>
        <w:separator/>
      </w:r>
    </w:p>
  </w:endnote>
  <w:endnote w:type="continuationSeparator" w:id="0">
    <w:p w14:paraId="5A7590D4" w14:textId="77777777" w:rsidR="003F2644" w:rsidRDefault="003F26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A8CE1" w14:textId="77777777" w:rsidR="0003485D" w:rsidRDefault="00DF4F3D">
    <w:pPr>
      <w:pBdr>
        <w:top w:val="nil"/>
        <w:left w:val="nil"/>
        <w:bottom w:val="nil"/>
        <w:right w:val="nil"/>
        <w:between w:val="nil"/>
      </w:pBdr>
      <w:tabs>
        <w:tab w:val="center" w:pos="4153"/>
        <w:tab w:val="right" w:pos="8306"/>
      </w:tabs>
      <w:jc w:val="right"/>
      <w:rPr>
        <w:color w:val="000000"/>
      </w:rPr>
    </w:pPr>
    <w:r>
      <w:rPr>
        <w:color w:val="000000"/>
      </w:rPr>
      <w:fldChar w:fldCharType="begin"/>
    </w:r>
    <w:r>
      <w:rPr>
        <w:color w:val="000000"/>
      </w:rPr>
      <w:instrText>PAGE</w:instrText>
    </w:r>
    <w:r>
      <w:rPr>
        <w:color w:val="000000"/>
      </w:rPr>
      <w:fldChar w:fldCharType="separate"/>
    </w:r>
    <w:r w:rsidR="008D05A4">
      <w:rPr>
        <w:noProof/>
        <w:color w:val="000000"/>
      </w:rPr>
      <w:t>1</w:t>
    </w:r>
    <w:r>
      <w:rPr>
        <w:color w:val="000000"/>
      </w:rPr>
      <w:fldChar w:fldCharType="end"/>
    </w:r>
  </w:p>
  <w:p w14:paraId="755B6E53" w14:textId="77777777" w:rsidR="0003485D" w:rsidRDefault="0003485D">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6EBACA" w14:textId="77777777" w:rsidR="003F2644" w:rsidRDefault="003F2644">
      <w:r>
        <w:separator/>
      </w:r>
    </w:p>
  </w:footnote>
  <w:footnote w:type="continuationSeparator" w:id="0">
    <w:p w14:paraId="6B370DE7" w14:textId="77777777" w:rsidR="003F2644" w:rsidRDefault="003F26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B19AE" w14:textId="5E790256" w:rsidR="0003485D" w:rsidRDefault="0003485D" w:rsidP="0089092F">
    <w:pPr>
      <w:pBdr>
        <w:top w:val="nil"/>
        <w:left w:val="nil"/>
        <w:bottom w:val="nil"/>
        <w:right w:val="nil"/>
        <w:between w:val="nil"/>
      </w:pBdr>
      <w:tabs>
        <w:tab w:val="center" w:pos="4153"/>
        <w:tab w:val="right" w:pos="8306"/>
      </w:tabs>
      <w:rPr>
        <w:rFonts w:ascii="Calibri" w:eastAsia="Calibri" w:hAnsi="Calibri" w:cs="Calibr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FD4884"/>
    <w:multiLevelType w:val="multilevel"/>
    <w:tmpl w:val="5882E2D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2732480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c2NzAwNDUytDSzMDNW0lEKTi0uzszPAykwrAUAxpfieywAAAA="/>
  </w:docVars>
  <w:rsids>
    <w:rsidRoot w:val="0003485D"/>
    <w:rsid w:val="0003485D"/>
    <w:rsid w:val="00223447"/>
    <w:rsid w:val="002776A7"/>
    <w:rsid w:val="003B439A"/>
    <w:rsid w:val="003F2644"/>
    <w:rsid w:val="005148F0"/>
    <w:rsid w:val="005C19B9"/>
    <w:rsid w:val="00670923"/>
    <w:rsid w:val="0089092F"/>
    <w:rsid w:val="008D05A4"/>
    <w:rsid w:val="009D4F09"/>
    <w:rsid w:val="00A16BDD"/>
    <w:rsid w:val="00D74A6B"/>
    <w:rsid w:val="00DF4F3D"/>
    <w:rsid w:val="00FC2C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0C3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78CE"/>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fhPbiPq90rELHEKIB2Q4sZ1Zo8w==">AMUW2mUru85OUcrjmIjNLImOr+4UXDZzBb+JGaBgaWQDVKhJEZd+2HBu8tT1Fm9H4MC2EM6vaEbtzYaQQddcElYXKxGyLE9zIoB0tSXSIphu8L1HmKX2RA0=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898</Words>
  <Characters>5119</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2022-06-02T13:38:00Z</dcterms:created>
  <dcterms:modified xsi:type="dcterms:W3CDTF">2022-06-02T14:43:00Z</dcterms:modified>
</cp:coreProperties>
</file>