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xmlns:wp14="http://schemas.microsoft.com/office/word/2010/wordml" w14:paraId="672A6659" wp14:textId="77777777">
      <w:pPr>
        <w:spacing w:before="0" w:after="600"/>
        <w:jc w:val="center"/>
      </w:pPr>
      <w:r>
        <w:drawing>
          <wp:inline xmlns:a="http://schemas.openxmlformats.org/drawingml/2006/main" xmlns:pic="http://schemas.openxmlformats.org/drawingml/2006/picture" xmlns:wp14="http://schemas.microsoft.com/office/word/2010/wordprocessingDrawing" wp14:anchorId="476B0E56" wp14:editId="7777777">
            <wp:extent cx="1828800" cy="1770242"/>
            <wp:docPr id="1" name="Picture 1"/>
            <wp:cNvGraphicFramePr>
              <a:graphicFrameLocks noChangeAspect="1"/>
            </wp:cNvGraphicFramePr>
            <a:graphic>
              <a:graphicData uri="http://schemas.openxmlformats.org/drawingml/2006/picture">
                <pic:pic>
                  <pic:nvPicPr>
                    <pic:cNvPr id="0" name="image1.png"/>
                    <pic:cNvPicPr/>
                  </pic:nvPicPr>
                  <pic:blipFill>
                    <a:blip r:embed="rId13"/>
                    <a:stretch>
                      <a:fillRect/>
                    </a:stretch>
                  </pic:blipFill>
                  <pic:spPr>
                    <a:xfrm>
                      <a:off x="0" y="0"/>
                      <a:ext cx="1828800" cy="1770242"/>
                    </a:xfrm>
                    <a:prstGeom prst="rect"/>
                  </pic:spPr>
                </pic:pic>
              </a:graphicData>
            </a:graphic>
          </wp:inline>
        </w:drawing>
      </w:r>
    </w:p>
    <w:p xmlns:wp14="http://schemas.microsoft.com/office/word/2010/wordml" w14:paraId="1DAF5DF9" wp14:textId="77777777">
      <w:pPr>
        <w:spacing w:after="200"/>
        <w:jc w:val="center"/>
      </w:pPr>
      <w:r w:rsidRPr="4B5BC951" w:rsidR="4B5BC951">
        <w:rPr>
          <w:rFonts w:ascii="Arial" w:hAnsi="Arial" w:eastAsia="Arial"/>
          <w:b w:val="1"/>
          <w:bCs w:val="1"/>
          <w:sz w:val="36"/>
          <w:szCs w:val="36"/>
        </w:rPr>
        <w:t>Managing the Mental Health Awareness Campaign</w:t>
      </w:r>
    </w:p>
    <w:p xmlns:wp14="http://schemas.microsoft.com/office/word/2010/wordml" w14:paraId="344631EC" wp14:textId="77777777">
      <w:pPr>
        <w:spacing w:before="120"/>
        <w:jc w:val="center"/>
      </w:pPr>
      <w:r>
        <w:rPr>
          <w:rFonts w:ascii="Arial" w:hAnsi="Arial" w:eastAsia="Arial"/>
          <w:sz w:val="24"/>
        </w:rPr>
        <w:t>Module: Managing Projects in Organisations</w:t>
      </w:r>
    </w:p>
    <w:p w:rsidR="4B5BC951" w:rsidP="4B5BC951" w:rsidRDefault="4B5BC951" w14:paraId="6AC7F925" w14:textId="58C2C1FC">
      <w:pPr>
        <w:spacing w:before="120"/>
        <w:jc w:val="center"/>
      </w:pPr>
      <w:r w:rsidRPr="4B5BC951" w:rsidR="4B5BC951">
        <w:rPr>
          <w:rFonts w:ascii="Arial" w:hAnsi="Arial" w:eastAsia="Arial"/>
          <w:sz w:val="24"/>
          <w:szCs w:val="24"/>
        </w:rPr>
        <w:t>Student: Daniel-Mihai Naica</w:t>
      </w:r>
    </w:p>
    <w:p w:rsidR="55EDBD97" w:rsidP="4B5BC951" w:rsidRDefault="55EDBD97" w14:paraId="0448177A" w14:textId="1CF79B81">
      <w:pPr>
        <w:spacing w:before="120"/>
        <w:jc w:val="center"/>
        <w:rPr>
          <w:rFonts w:ascii="Arial" w:hAnsi="Arial" w:eastAsia="Arial"/>
          <w:sz w:val="24"/>
          <w:szCs w:val="24"/>
        </w:rPr>
      </w:pPr>
      <w:r w:rsidRPr="4B5BC951" w:rsidR="55EDBD97">
        <w:rPr>
          <w:rFonts w:ascii="Arial" w:hAnsi="Arial" w:eastAsia="Arial"/>
          <w:sz w:val="24"/>
          <w:szCs w:val="24"/>
        </w:rPr>
        <w:t>Student id: 2411629</w:t>
      </w:r>
    </w:p>
    <w:p xmlns:wp14="http://schemas.microsoft.com/office/word/2010/wordml" w14:paraId="541CBAE6" wp14:textId="6D7189F9">
      <w:pPr>
        <w:spacing w:before="120"/>
        <w:jc w:val="center"/>
      </w:pPr>
      <w:r w:rsidRPr="4B5BC951" w:rsidR="55EDBD97">
        <w:rPr>
          <w:rFonts w:ascii="Arial" w:hAnsi="Arial" w:eastAsia="Arial"/>
          <w:sz w:val="24"/>
          <w:szCs w:val="24"/>
        </w:rPr>
        <w:t>Lecturer: Giul</w:t>
      </w:r>
      <w:r w:rsidRPr="4B5BC951" w:rsidR="55EDBD97">
        <w:rPr>
          <w:rFonts w:ascii="Arial" w:hAnsi="Arial" w:eastAsia="Arial"/>
          <w:sz w:val="24"/>
          <w:szCs w:val="24"/>
        </w:rPr>
        <w:t>ia Chif</w:t>
      </w:r>
      <w:r w:rsidRPr="4B5BC951" w:rsidR="55EDBD97">
        <w:rPr>
          <w:rFonts w:ascii="Arial" w:hAnsi="Arial" w:eastAsia="Arial"/>
          <w:sz w:val="24"/>
          <w:szCs w:val="24"/>
        </w:rPr>
        <w:t>ari</w:t>
      </w:r>
    </w:p>
    <w:p xmlns:wp14="http://schemas.microsoft.com/office/word/2010/wordml" w14:paraId="6EB41717" wp14:textId="3FE31708">
      <w:pPr>
        <w:spacing w:before="120"/>
        <w:jc w:val="center"/>
      </w:pPr>
      <w:r w:rsidRPr="4B5BC951" w:rsidR="4B5BC951">
        <w:rPr>
          <w:rFonts w:ascii="Arial" w:hAnsi="Arial" w:eastAsia="Arial"/>
          <w:sz w:val="24"/>
          <w:szCs w:val="24"/>
        </w:rPr>
        <w:t xml:space="preserve">Word count: </w:t>
      </w:r>
      <w:r w:rsidRPr="4B5BC951" w:rsidR="7CAA7DDA">
        <w:rPr>
          <w:rFonts w:ascii="Arial" w:hAnsi="Arial" w:eastAsia="Arial"/>
          <w:sz w:val="24"/>
          <w:szCs w:val="24"/>
        </w:rPr>
        <w:t>1992 words</w:t>
      </w:r>
    </w:p>
    <w:p xmlns:wp14="http://schemas.microsoft.com/office/word/2010/wordml" w14:paraId="0A37501D" wp14:textId="77777777">
      <w:r>
        <w:br w:type="page"/>
      </w:r>
    </w:p>
    <w:p xmlns:wp14="http://schemas.microsoft.com/office/word/2010/wordml" w14:paraId="2664F4B3" wp14:textId="77777777">
      <w:pPr>
        <w:spacing w:after="240"/>
        <w:jc w:val="left"/>
      </w:pPr>
      <w:r w:rsidRPr="4B5BC951" w:rsidR="4B5BC951">
        <w:rPr>
          <w:rFonts w:ascii="Arial" w:hAnsi="Arial" w:eastAsia="Arial"/>
          <w:b w:val="1"/>
          <w:bCs w:val="1"/>
          <w:sz w:val="36"/>
          <w:szCs w:val="36"/>
        </w:rPr>
        <w:t>Executive Summary</w:t>
      </w:r>
    </w:p>
    <w:p xmlns:wp14="http://schemas.microsoft.com/office/word/2010/wordml" w14:paraId="239BD536" wp14:textId="77777777">
      <w:pPr>
        <w:spacing w:before="0" w:after="120" w:line="360" w:lineRule="auto"/>
        <w:jc w:val="both"/>
      </w:pPr>
      <w:r>
        <w:rPr>
          <w:rFonts w:ascii="Arial" w:hAnsi="Arial" w:eastAsia="Arial"/>
          <w:sz w:val="24"/>
        </w:rPr>
        <w:t>This report critically evaluates the management of a student-led Mental Health Awareness Campaign delivered at UWTSD Swansea by Daniel, Sanda, Catalina and Marian. The campaign was sponsored by Giulia Chifari and aimed to raise awareness of student mental health support while encouraging voluntary donations for Mind. The main activity was a small awareness stand in the IQ area, supported by posters, leaflets, green Mental Health Awareness T-shirts, refreshments, social media messages and informal student conversations.</w:t>
      </w:r>
    </w:p>
    <w:p xmlns:wp14="http://schemas.microsoft.com/office/word/2010/wordml" w14:paraId="47BF0EFF" wp14:textId="77777777">
      <w:pPr>
        <w:spacing w:before="0" w:after="120" w:line="360" w:lineRule="auto"/>
        <w:jc w:val="both"/>
      </w:pPr>
      <w:r>
        <w:rPr>
          <w:rFonts w:ascii="Arial" w:hAnsi="Arial" w:eastAsia="Arial"/>
          <w:sz w:val="24"/>
        </w:rPr>
        <w:t>The report covers the full project lifecycle from initiation to closure. It critically discusses project management tools and techniques including the project lifecycle, scope planning, the Iron Triangle, Work Breakdown Structure, Gantt Chart, risk management, stakeholder analysis, team roles, communication and reflection. The campaign was successful because it delivered a visible and supportive student-facing activity. The main improvements for future projects are earlier approval checks, a simple risk register, a live Gantt Chart, clearer action notes and stronger evidence of impact.</w:t>
      </w:r>
    </w:p>
    <w:p xmlns:wp14="http://schemas.microsoft.com/office/word/2010/wordml" w14:paraId="5DAB6C7B" wp14:textId="77777777">
      <w:r>
        <w:br w:type="page"/>
      </w:r>
    </w:p>
    <w:p xmlns:wp14="http://schemas.microsoft.com/office/word/2010/wordml" w14:paraId="406425CA" wp14:textId="77777777">
      <w:pPr>
        <w:spacing w:after="240"/>
        <w:jc w:val="left"/>
      </w:pPr>
      <w:r w:rsidRPr="4B5BC951" w:rsidR="4B5BC951">
        <w:rPr>
          <w:rFonts w:ascii="Arial" w:hAnsi="Arial" w:eastAsia="Arial"/>
          <w:b w:val="1"/>
          <w:bCs w:val="1"/>
          <w:sz w:val="36"/>
          <w:szCs w:val="36"/>
        </w:rPr>
        <w:t>Contents</w:t>
      </w:r>
    </w:p>
    <w:tbl>
      <w:tblPr>
        <w:tblStyle w:val="TableGrid"/>
        <w:tblW w:w="0" w:type="auto"/>
        <w:jc w:val="center"/>
        <w:tblLook w:val="04A0" w:firstRow="1" w:lastRow="0" w:firstColumn="1" w:lastColumn="0" w:noHBand="0" w:noVBand="1"/>
      </w:tblPr>
      <w:tblGrid>
        <w:gridCol w:w="3120"/>
        <w:gridCol w:w="3120"/>
        <w:gridCol w:w="3120"/>
      </w:tblGrid>
      <w:tr xmlns:wp14="http://schemas.microsoft.com/office/word/2010/wordml" w14:paraId="6DEE2103" wp14:textId="77777777">
        <w:tc>
          <w:tcPr>
            <w:tcW w:w="1247" w:type="dxa"/>
            <w:vAlign w:val="center"/>
            <w:shd w:fill="D9EAD3"/>
          </w:tcPr>
          <w:p w14:paraId="32AFB29E" wp14:textId="77777777">
            <w:pPr>
              <w:spacing w:after="0" w:line="240" w:lineRule="auto"/>
            </w:pPr>
            <w:r>
              <w:rPr>
                <w:rFonts w:ascii="Arial" w:hAnsi="Arial" w:eastAsia="Arial"/>
                <w:b/>
                <w:i w:val="0"/>
                <w:sz w:val="21"/>
              </w:rPr>
              <w:t>No.</w:t>
            </w:r>
          </w:p>
        </w:tc>
        <w:tc>
          <w:tcPr>
            <w:tcW w:w="7370" w:type="dxa"/>
            <w:vAlign w:val="center"/>
            <w:shd w:fill="D9EAD3"/>
          </w:tcPr>
          <w:p w14:paraId="6604EB22" wp14:textId="77777777">
            <w:pPr>
              <w:spacing w:after="0" w:line="240" w:lineRule="auto"/>
            </w:pPr>
            <w:r>
              <w:rPr>
                <w:rFonts w:ascii="Arial" w:hAnsi="Arial" w:eastAsia="Arial"/>
                <w:b/>
                <w:i w:val="0"/>
                <w:sz w:val="21"/>
              </w:rPr>
              <w:t>Section</w:t>
            </w:r>
          </w:p>
        </w:tc>
        <w:tc>
          <w:tcPr>
            <w:tcW w:w="1134" w:type="dxa"/>
            <w:vAlign w:val="center"/>
            <w:shd w:fill="D9EAD3"/>
          </w:tcPr>
          <w:p w14:paraId="6D74EAC0" wp14:textId="77777777">
            <w:pPr>
              <w:spacing w:after="0" w:line="240" w:lineRule="auto"/>
            </w:pPr>
            <w:r>
              <w:rPr>
                <w:rFonts w:ascii="Arial" w:hAnsi="Arial" w:eastAsia="Arial"/>
                <w:b/>
                <w:i w:val="0"/>
                <w:sz w:val="21"/>
              </w:rPr>
              <w:t>Page</w:t>
            </w:r>
          </w:p>
        </w:tc>
      </w:tr>
      <w:tr xmlns:wp14="http://schemas.microsoft.com/office/word/2010/wordml" w14:paraId="67C1CDAB" wp14:textId="77777777">
        <w:tc>
          <w:tcPr>
            <w:tcW w:w="1247" w:type="dxa"/>
            <w:vAlign w:val="center"/>
          </w:tcPr>
          <w:p w14:paraId="02EB378F" wp14:textId="77777777">
            <w:pPr>
              <w:spacing w:after="0" w:line="240" w:lineRule="auto"/>
            </w:pPr>
            <w:r>
              <w:rPr>
                <w:rFonts w:ascii="Arial" w:hAnsi="Arial" w:eastAsia="Arial"/>
                <w:b w:val="0"/>
                <w:i w:val="0"/>
                <w:sz w:val="21"/>
              </w:rPr>
            </w:r>
          </w:p>
        </w:tc>
        <w:tc>
          <w:tcPr>
            <w:tcW w:w="7370" w:type="dxa"/>
            <w:vAlign w:val="center"/>
          </w:tcPr>
          <w:p w14:paraId="146C1E7C" wp14:textId="77777777">
            <w:pPr>
              <w:spacing w:after="0" w:line="240" w:lineRule="auto"/>
            </w:pPr>
            <w:r>
              <w:rPr>
                <w:rFonts w:ascii="Arial" w:hAnsi="Arial" w:eastAsia="Arial"/>
                <w:b w:val="0"/>
                <w:i w:val="0"/>
                <w:sz w:val="21"/>
              </w:rPr>
              <w:t>Executive Summary</w:t>
            </w:r>
          </w:p>
        </w:tc>
        <w:tc>
          <w:tcPr>
            <w:tcW w:w="1134" w:type="dxa"/>
            <w:vAlign w:val="center"/>
          </w:tcPr>
          <w:p w14:paraId="18F999B5" wp14:textId="77777777">
            <w:pPr>
              <w:spacing w:after="0" w:line="240" w:lineRule="auto"/>
            </w:pPr>
            <w:r>
              <w:rPr>
                <w:rFonts w:ascii="Arial" w:hAnsi="Arial" w:eastAsia="Arial"/>
                <w:b w:val="0"/>
                <w:i w:val="0"/>
                <w:sz w:val="21"/>
              </w:rPr>
              <w:t>2</w:t>
            </w:r>
          </w:p>
        </w:tc>
      </w:tr>
      <w:tr xmlns:wp14="http://schemas.microsoft.com/office/word/2010/wordml" w14:paraId="624667D1" wp14:textId="77777777">
        <w:tc>
          <w:tcPr>
            <w:tcW w:w="1247" w:type="dxa"/>
            <w:vAlign w:val="center"/>
          </w:tcPr>
          <w:p w14:paraId="649841BE" wp14:textId="77777777">
            <w:pPr>
              <w:spacing w:after="0" w:line="240" w:lineRule="auto"/>
            </w:pPr>
            <w:r>
              <w:rPr>
                <w:rFonts w:ascii="Arial" w:hAnsi="Arial" w:eastAsia="Arial"/>
                <w:b w:val="0"/>
                <w:i w:val="0"/>
                <w:sz w:val="21"/>
              </w:rPr>
              <w:t>1</w:t>
            </w:r>
          </w:p>
        </w:tc>
        <w:tc>
          <w:tcPr>
            <w:tcW w:w="7370" w:type="dxa"/>
            <w:vAlign w:val="center"/>
          </w:tcPr>
          <w:p w14:paraId="3E7A9F1C" wp14:textId="77777777">
            <w:pPr>
              <w:spacing w:after="0" w:line="240" w:lineRule="auto"/>
            </w:pPr>
            <w:r>
              <w:rPr>
                <w:rFonts w:ascii="Arial" w:hAnsi="Arial" w:eastAsia="Arial"/>
                <w:b w:val="0"/>
                <w:i w:val="0"/>
                <w:sz w:val="21"/>
              </w:rPr>
              <w:t>Introduction</w:t>
            </w:r>
          </w:p>
        </w:tc>
        <w:tc>
          <w:tcPr>
            <w:tcW w:w="1134" w:type="dxa"/>
            <w:vAlign w:val="center"/>
          </w:tcPr>
          <w:p w14:paraId="2598DEE6" wp14:textId="77777777">
            <w:pPr>
              <w:spacing w:after="0" w:line="240" w:lineRule="auto"/>
            </w:pPr>
            <w:r>
              <w:rPr>
                <w:rFonts w:ascii="Arial" w:hAnsi="Arial" w:eastAsia="Arial"/>
                <w:b w:val="0"/>
                <w:i w:val="0"/>
                <w:sz w:val="21"/>
              </w:rPr>
              <w:t>4</w:t>
            </w:r>
          </w:p>
        </w:tc>
      </w:tr>
      <w:tr xmlns:wp14="http://schemas.microsoft.com/office/word/2010/wordml" w14:paraId="7F649066" wp14:textId="77777777">
        <w:tc>
          <w:tcPr>
            <w:tcW w:w="1247" w:type="dxa"/>
            <w:vAlign w:val="center"/>
          </w:tcPr>
          <w:p w14:paraId="7144751B" wp14:textId="77777777">
            <w:pPr>
              <w:spacing w:after="0" w:line="240" w:lineRule="auto"/>
            </w:pPr>
            <w:r>
              <w:rPr>
                <w:rFonts w:ascii="Arial" w:hAnsi="Arial" w:eastAsia="Arial"/>
                <w:b w:val="0"/>
                <w:i w:val="0"/>
                <w:sz w:val="21"/>
              </w:rPr>
              <w:t>2</w:t>
            </w:r>
          </w:p>
        </w:tc>
        <w:tc>
          <w:tcPr>
            <w:tcW w:w="7370" w:type="dxa"/>
            <w:vAlign w:val="center"/>
          </w:tcPr>
          <w:p w14:paraId="1F28A0C3" wp14:textId="77777777">
            <w:pPr>
              <w:spacing w:after="0" w:line="240" w:lineRule="auto"/>
            </w:pPr>
            <w:r>
              <w:rPr>
                <w:rFonts w:ascii="Arial" w:hAnsi="Arial" w:eastAsia="Arial"/>
                <w:b w:val="0"/>
                <w:i w:val="0"/>
                <w:sz w:val="21"/>
              </w:rPr>
              <w:t>Findings: Project Lifecycle</w:t>
            </w:r>
          </w:p>
        </w:tc>
        <w:tc>
          <w:tcPr>
            <w:tcW w:w="1134" w:type="dxa"/>
            <w:vAlign w:val="center"/>
          </w:tcPr>
          <w:p w14:paraId="279935FF" wp14:textId="77777777">
            <w:pPr>
              <w:spacing w:after="0" w:line="240" w:lineRule="auto"/>
            </w:pPr>
            <w:r>
              <w:rPr>
                <w:rFonts w:ascii="Arial" w:hAnsi="Arial" w:eastAsia="Arial"/>
                <w:b w:val="0"/>
                <w:i w:val="0"/>
                <w:sz w:val="21"/>
              </w:rPr>
              <w:t>4</w:t>
            </w:r>
          </w:p>
        </w:tc>
      </w:tr>
      <w:tr xmlns:wp14="http://schemas.microsoft.com/office/word/2010/wordml" w14:paraId="58342DB9" wp14:textId="77777777">
        <w:tc>
          <w:tcPr>
            <w:tcW w:w="1247" w:type="dxa"/>
            <w:vAlign w:val="center"/>
          </w:tcPr>
          <w:p w14:paraId="5FCD5EC4" wp14:textId="77777777">
            <w:pPr>
              <w:spacing w:after="0" w:line="240" w:lineRule="auto"/>
            </w:pPr>
            <w:r>
              <w:rPr>
                <w:rFonts w:ascii="Arial" w:hAnsi="Arial" w:eastAsia="Arial"/>
                <w:b w:val="0"/>
                <w:i w:val="0"/>
                <w:sz w:val="21"/>
              </w:rPr>
              <w:t>3</w:t>
            </w:r>
          </w:p>
        </w:tc>
        <w:tc>
          <w:tcPr>
            <w:tcW w:w="7370" w:type="dxa"/>
            <w:vAlign w:val="center"/>
          </w:tcPr>
          <w:p w14:paraId="525A7F1E" wp14:textId="77777777">
            <w:pPr>
              <w:spacing w:after="0" w:line="240" w:lineRule="auto"/>
            </w:pPr>
            <w:r>
              <w:rPr>
                <w:rFonts w:ascii="Arial" w:hAnsi="Arial" w:eastAsia="Arial"/>
                <w:b w:val="0"/>
                <w:i w:val="0"/>
                <w:sz w:val="21"/>
              </w:rPr>
              <w:t>Critical Discussion of Project Management Tools and Techniques in General</w:t>
            </w:r>
          </w:p>
        </w:tc>
        <w:tc>
          <w:tcPr>
            <w:tcW w:w="1134" w:type="dxa"/>
            <w:vAlign w:val="center"/>
          </w:tcPr>
          <w:p w14:paraId="78941E47" wp14:textId="77777777">
            <w:pPr>
              <w:spacing w:after="0" w:line="240" w:lineRule="auto"/>
            </w:pPr>
            <w:r>
              <w:rPr>
                <w:rFonts w:ascii="Arial" w:hAnsi="Arial" w:eastAsia="Arial"/>
                <w:b w:val="0"/>
                <w:i w:val="0"/>
                <w:sz w:val="21"/>
              </w:rPr>
              <w:t>5</w:t>
            </w:r>
          </w:p>
        </w:tc>
      </w:tr>
      <w:tr xmlns:wp14="http://schemas.microsoft.com/office/word/2010/wordml" w14:paraId="6719ACB9" wp14:textId="77777777">
        <w:tc>
          <w:tcPr>
            <w:tcW w:w="1247" w:type="dxa"/>
            <w:vAlign w:val="center"/>
          </w:tcPr>
          <w:p w14:paraId="7C964D78" wp14:textId="77777777">
            <w:pPr>
              <w:spacing w:after="0" w:line="240" w:lineRule="auto"/>
            </w:pPr>
            <w:r>
              <w:rPr>
                <w:rFonts w:ascii="Arial" w:hAnsi="Arial" w:eastAsia="Arial"/>
                <w:b w:val="0"/>
                <w:i w:val="0"/>
                <w:sz w:val="21"/>
              </w:rPr>
              <w:t>4</w:t>
            </w:r>
          </w:p>
        </w:tc>
        <w:tc>
          <w:tcPr>
            <w:tcW w:w="7370" w:type="dxa"/>
            <w:vAlign w:val="center"/>
          </w:tcPr>
          <w:p w14:paraId="3D44D862" wp14:textId="77777777">
            <w:pPr>
              <w:spacing w:after="0" w:line="240" w:lineRule="auto"/>
            </w:pPr>
            <w:r>
              <w:rPr>
                <w:rFonts w:ascii="Arial" w:hAnsi="Arial" w:eastAsia="Arial"/>
                <w:b w:val="0"/>
                <w:i w:val="0"/>
                <w:sz w:val="21"/>
              </w:rPr>
              <w:t>Critical Discussion of How Tools Were Used in the Project</w:t>
            </w:r>
          </w:p>
        </w:tc>
        <w:tc>
          <w:tcPr>
            <w:tcW w:w="1134" w:type="dxa"/>
            <w:vAlign w:val="center"/>
          </w:tcPr>
          <w:p w14:paraId="29B4EA11" wp14:textId="77777777">
            <w:pPr>
              <w:spacing w:after="0" w:line="240" w:lineRule="auto"/>
            </w:pPr>
            <w:r>
              <w:rPr>
                <w:rFonts w:ascii="Arial" w:hAnsi="Arial" w:eastAsia="Arial"/>
                <w:b w:val="0"/>
                <w:i w:val="0"/>
                <w:sz w:val="21"/>
              </w:rPr>
              <w:t>6</w:t>
            </w:r>
          </w:p>
        </w:tc>
      </w:tr>
      <w:tr xmlns:wp14="http://schemas.microsoft.com/office/word/2010/wordml" w14:paraId="6027BE82" wp14:textId="77777777">
        <w:tc>
          <w:tcPr>
            <w:tcW w:w="1247" w:type="dxa"/>
            <w:vAlign w:val="center"/>
          </w:tcPr>
          <w:p w14:paraId="44240AAE" wp14:textId="77777777">
            <w:pPr>
              <w:spacing w:after="0" w:line="240" w:lineRule="auto"/>
            </w:pPr>
            <w:r>
              <w:rPr>
                <w:rFonts w:ascii="Arial" w:hAnsi="Arial" w:eastAsia="Arial"/>
                <w:b w:val="0"/>
                <w:i w:val="0"/>
                <w:sz w:val="21"/>
              </w:rPr>
              <w:t>5</w:t>
            </w:r>
          </w:p>
        </w:tc>
        <w:tc>
          <w:tcPr>
            <w:tcW w:w="7370" w:type="dxa"/>
            <w:vAlign w:val="center"/>
          </w:tcPr>
          <w:p w14:paraId="289E4E6E" wp14:textId="77777777">
            <w:pPr>
              <w:spacing w:after="0" w:line="240" w:lineRule="auto"/>
            </w:pPr>
            <w:r>
              <w:rPr>
                <w:rFonts w:ascii="Arial" w:hAnsi="Arial" w:eastAsia="Arial"/>
                <w:b w:val="0"/>
                <w:i w:val="0"/>
                <w:sz w:val="21"/>
              </w:rPr>
              <w:t>Communication and Stakeholders</w:t>
            </w:r>
          </w:p>
        </w:tc>
        <w:tc>
          <w:tcPr>
            <w:tcW w:w="1134" w:type="dxa"/>
            <w:vAlign w:val="center"/>
          </w:tcPr>
          <w:p w14:paraId="75697EEC" wp14:textId="77777777">
            <w:pPr>
              <w:spacing w:after="0" w:line="240" w:lineRule="auto"/>
            </w:pPr>
            <w:r>
              <w:rPr>
                <w:rFonts w:ascii="Arial" w:hAnsi="Arial" w:eastAsia="Arial"/>
                <w:b w:val="0"/>
                <w:i w:val="0"/>
                <w:sz w:val="21"/>
              </w:rPr>
              <w:t>7</w:t>
            </w:r>
          </w:p>
        </w:tc>
      </w:tr>
      <w:tr xmlns:wp14="http://schemas.microsoft.com/office/word/2010/wordml" w14:paraId="550F31C9" wp14:textId="77777777">
        <w:tc>
          <w:tcPr>
            <w:tcW w:w="1247" w:type="dxa"/>
            <w:vAlign w:val="center"/>
          </w:tcPr>
          <w:p w14:paraId="1B87E3DE" wp14:textId="77777777">
            <w:pPr>
              <w:spacing w:after="0" w:line="240" w:lineRule="auto"/>
            </w:pPr>
            <w:r>
              <w:rPr>
                <w:rFonts w:ascii="Arial" w:hAnsi="Arial" w:eastAsia="Arial"/>
                <w:b w:val="0"/>
                <w:i w:val="0"/>
                <w:sz w:val="21"/>
              </w:rPr>
              <w:t>6</w:t>
            </w:r>
          </w:p>
        </w:tc>
        <w:tc>
          <w:tcPr>
            <w:tcW w:w="7370" w:type="dxa"/>
            <w:vAlign w:val="center"/>
          </w:tcPr>
          <w:p w14:paraId="6586B296" wp14:textId="77777777">
            <w:pPr>
              <w:spacing w:after="0" w:line="240" w:lineRule="auto"/>
            </w:pPr>
            <w:r>
              <w:rPr>
                <w:rFonts w:ascii="Arial" w:hAnsi="Arial" w:eastAsia="Arial"/>
                <w:b w:val="0"/>
                <w:i w:val="0"/>
                <w:sz w:val="21"/>
              </w:rPr>
              <w:t>Future Improvement</w:t>
            </w:r>
          </w:p>
        </w:tc>
        <w:tc>
          <w:tcPr>
            <w:tcW w:w="1134" w:type="dxa"/>
            <w:vAlign w:val="center"/>
          </w:tcPr>
          <w:p w14:paraId="44B0A208" wp14:textId="77777777">
            <w:pPr>
              <w:spacing w:after="0" w:line="240" w:lineRule="auto"/>
            </w:pPr>
            <w:r>
              <w:rPr>
                <w:rFonts w:ascii="Arial" w:hAnsi="Arial" w:eastAsia="Arial"/>
                <w:b w:val="0"/>
                <w:i w:val="0"/>
                <w:sz w:val="21"/>
              </w:rPr>
              <w:t>8</w:t>
            </w:r>
          </w:p>
        </w:tc>
      </w:tr>
      <w:tr xmlns:wp14="http://schemas.microsoft.com/office/word/2010/wordml" w14:paraId="0C16343F" wp14:textId="77777777">
        <w:tc>
          <w:tcPr>
            <w:tcW w:w="1247" w:type="dxa"/>
            <w:vAlign w:val="center"/>
          </w:tcPr>
          <w:p w14:paraId="109B8484" wp14:textId="77777777">
            <w:pPr>
              <w:spacing w:after="0" w:line="240" w:lineRule="auto"/>
            </w:pPr>
            <w:r>
              <w:rPr>
                <w:rFonts w:ascii="Arial" w:hAnsi="Arial" w:eastAsia="Arial"/>
                <w:b w:val="0"/>
                <w:i w:val="0"/>
                <w:sz w:val="21"/>
              </w:rPr>
              <w:t>7</w:t>
            </w:r>
          </w:p>
        </w:tc>
        <w:tc>
          <w:tcPr>
            <w:tcW w:w="7370" w:type="dxa"/>
            <w:vAlign w:val="center"/>
          </w:tcPr>
          <w:p w14:paraId="2B2A7A39" wp14:textId="77777777">
            <w:pPr>
              <w:spacing w:after="0" w:line="240" w:lineRule="auto"/>
            </w:pPr>
            <w:r>
              <w:rPr>
                <w:rFonts w:ascii="Arial" w:hAnsi="Arial" w:eastAsia="Arial"/>
                <w:b w:val="0"/>
                <w:i w:val="0"/>
                <w:sz w:val="21"/>
              </w:rPr>
              <w:t>Conclusion</w:t>
            </w:r>
          </w:p>
        </w:tc>
        <w:tc>
          <w:tcPr>
            <w:tcW w:w="1134" w:type="dxa"/>
            <w:vAlign w:val="center"/>
          </w:tcPr>
          <w:p w14:paraId="2B2B7304" wp14:textId="77777777">
            <w:pPr>
              <w:spacing w:after="0" w:line="240" w:lineRule="auto"/>
            </w:pPr>
            <w:r>
              <w:rPr>
                <w:rFonts w:ascii="Arial" w:hAnsi="Arial" w:eastAsia="Arial"/>
                <w:b w:val="0"/>
                <w:i w:val="0"/>
                <w:sz w:val="21"/>
              </w:rPr>
              <w:t>9</w:t>
            </w:r>
          </w:p>
        </w:tc>
      </w:tr>
      <w:tr xmlns:wp14="http://schemas.microsoft.com/office/word/2010/wordml" w14:paraId="5F4F1E66" wp14:textId="77777777">
        <w:tc>
          <w:tcPr>
            <w:tcW w:w="1247" w:type="dxa"/>
            <w:vAlign w:val="center"/>
          </w:tcPr>
          <w:p w14:paraId="65C3CA8D" wp14:textId="77777777">
            <w:pPr>
              <w:spacing w:after="0" w:line="240" w:lineRule="auto"/>
            </w:pPr>
            <w:r>
              <w:rPr>
                <w:rFonts w:ascii="Arial" w:hAnsi="Arial" w:eastAsia="Arial"/>
                <w:b w:val="0"/>
                <w:i w:val="0"/>
                <w:sz w:val="21"/>
              </w:rPr>
              <w:t>Appendix A</w:t>
            </w:r>
          </w:p>
        </w:tc>
        <w:tc>
          <w:tcPr>
            <w:tcW w:w="7370" w:type="dxa"/>
            <w:vAlign w:val="center"/>
          </w:tcPr>
          <w:p w14:paraId="5F68F83B" wp14:textId="77777777">
            <w:pPr>
              <w:spacing w:after="0" w:line="240" w:lineRule="auto"/>
            </w:pPr>
            <w:r>
              <w:rPr>
                <w:rFonts w:ascii="Arial" w:hAnsi="Arial" w:eastAsia="Arial"/>
                <w:b w:val="0"/>
                <w:i w:val="0"/>
                <w:sz w:val="21"/>
              </w:rPr>
              <w:t>Work Breakdown Structure (WBS)</w:t>
            </w:r>
          </w:p>
        </w:tc>
        <w:tc>
          <w:tcPr>
            <w:tcW w:w="1134" w:type="dxa"/>
            <w:vAlign w:val="center"/>
          </w:tcPr>
          <w:p w14:paraId="5D369756" wp14:textId="77777777">
            <w:pPr>
              <w:spacing w:after="0" w:line="240" w:lineRule="auto"/>
            </w:pPr>
            <w:r>
              <w:rPr>
                <w:rFonts w:ascii="Arial" w:hAnsi="Arial" w:eastAsia="Arial"/>
                <w:b w:val="0"/>
                <w:i w:val="0"/>
                <w:sz w:val="21"/>
              </w:rPr>
              <w:t>10</w:t>
            </w:r>
          </w:p>
        </w:tc>
      </w:tr>
      <w:tr xmlns:wp14="http://schemas.microsoft.com/office/word/2010/wordml" w14:paraId="009D9502" wp14:textId="77777777">
        <w:tc>
          <w:tcPr>
            <w:tcW w:w="3120" w:type="dxa"/>
          </w:tcPr>
          <w:p w14:paraId="67DE0155" wp14:textId="77777777">
            <w:pPr>
              <w:spacing w:after="0" w:line="240" w:lineRule="auto"/>
            </w:pPr>
            <w:r>
              <w:rPr>
                <w:rFonts w:ascii="Arial" w:hAnsi="Arial" w:eastAsia="Arial"/>
                <w:b w:val="0"/>
                <w:i w:val="0"/>
                <w:sz w:val="21"/>
              </w:rPr>
              <w:t>Appendix B</w:t>
            </w:r>
          </w:p>
        </w:tc>
        <w:tc>
          <w:tcPr>
            <w:tcW w:w="3120" w:type="dxa"/>
          </w:tcPr>
          <w:p w14:paraId="44BB34A8" wp14:textId="77777777">
            <w:pPr>
              <w:spacing w:after="0" w:line="240" w:lineRule="auto"/>
            </w:pPr>
            <w:r>
              <w:rPr>
                <w:rFonts w:ascii="Arial" w:hAnsi="Arial" w:eastAsia="Arial"/>
                <w:b w:val="0"/>
                <w:i w:val="0"/>
                <w:sz w:val="21"/>
              </w:rPr>
              <w:t>Gantt Chart</w:t>
            </w:r>
          </w:p>
        </w:tc>
        <w:tc>
          <w:tcPr>
            <w:tcW w:w="3120" w:type="dxa"/>
          </w:tcPr>
          <w:p w14:paraId="4737E36C" wp14:textId="77777777">
            <w:pPr>
              <w:spacing w:after="0" w:line="240" w:lineRule="auto"/>
            </w:pPr>
            <w:r>
              <w:rPr>
                <w:rFonts w:ascii="Arial" w:hAnsi="Arial" w:eastAsia="Arial"/>
                <w:b w:val="0"/>
                <w:i w:val="0"/>
                <w:sz w:val="21"/>
              </w:rPr>
              <w:t>11</w:t>
            </w:r>
          </w:p>
        </w:tc>
      </w:tr>
      <w:tr xmlns:wp14="http://schemas.microsoft.com/office/word/2010/wordml" w14:paraId="778F7EDA" wp14:textId="77777777">
        <w:tc>
          <w:tcPr>
            <w:tcW w:w="3120" w:type="dxa"/>
          </w:tcPr>
          <w:p w14:paraId="6A05A809" wp14:textId="77777777">
            <w:pPr>
              <w:spacing w:after="0" w:line="240" w:lineRule="auto"/>
            </w:pPr>
            <w:r>
              <w:rPr>
                <w:rFonts w:ascii="Arial" w:hAnsi="Arial" w:eastAsia="Arial"/>
                <w:b w:val="0"/>
                <w:i w:val="0"/>
                <w:sz w:val="21"/>
              </w:rPr>
            </w:r>
          </w:p>
        </w:tc>
        <w:tc>
          <w:tcPr>
            <w:tcW w:w="3120" w:type="dxa"/>
          </w:tcPr>
          <w:p w14:paraId="3D94284D" wp14:textId="77777777">
            <w:pPr>
              <w:spacing w:after="0" w:line="240" w:lineRule="auto"/>
            </w:pPr>
            <w:r>
              <w:rPr>
                <w:rFonts w:ascii="Arial" w:hAnsi="Arial" w:eastAsia="Arial"/>
                <w:b w:val="0"/>
                <w:i w:val="0"/>
                <w:sz w:val="21"/>
              </w:rPr>
              <w:t>Reference List</w:t>
            </w:r>
          </w:p>
        </w:tc>
        <w:tc>
          <w:tcPr>
            <w:tcW w:w="3120" w:type="dxa"/>
          </w:tcPr>
          <w:p w14:paraId="4B73E586" wp14:textId="77777777">
            <w:pPr>
              <w:spacing w:after="0" w:line="240" w:lineRule="auto"/>
            </w:pPr>
            <w:r>
              <w:rPr>
                <w:rFonts w:ascii="Arial" w:hAnsi="Arial" w:eastAsia="Arial"/>
                <w:b w:val="0"/>
                <w:i w:val="0"/>
                <w:sz w:val="21"/>
              </w:rPr>
              <w:t>12</w:t>
            </w:r>
          </w:p>
        </w:tc>
      </w:tr>
    </w:tbl>
    <w:p xmlns:wp14="http://schemas.microsoft.com/office/word/2010/wordml" w14:paraId="5A39BBE3" wp14:textId="77777777">
      <w:r>
        <w:br w:type="page"/>
      </w:r>
    </w:p>
    <w:p xmlns:wp14="http://schemas.microsoft.com/office/word/2010/wordml" w14:paraId="32A36C38" wp14:textId="77777777">
      <w:pPr>
        <w:pStyle w:val="Heading1"/>
        <w:keepNext/>
        <w:spacing w:before="160" w:after="120"/>
        <w:jc w:val="left"/>
      </w:pPr>
      <w:r>
        <w:rPr>
          <w:rFonts w:ascii="Arial" w:hAnsi="Arial" w:eastAsia="Arial"/>
          <w:b/>
          <w:sz w:val="32"/>
        </w:rPr>
        <w:t>1. Introduction</w:t>
      </w:r>
    </w:p>
    <w:p xmlns:wp14="http://schemas.microsoft.com/office/word/2010/wordml" w14:paraId="5F765F69" wp14:textId="77777777">
      <w:pPr>
        <w:spacing w:before="0" w:after="120" w:line="360" w:lineRule="auto"/>
        <w:jc w:val="both"/>
      </w:pPr>
      <w:r>
        <w:rPr>
          <w:rFonts w:ascii="Arial" w:hAnsi="Arial" w:eastAsia="Arial"/>
          <w:sz w:val="24"/>
        </w:rPr>
        <w:t>This report critically reviews the Mental Health Awareness Campaign completed at UWTSD Swansea by Daniel, Sanda, Catalina and Marian for the Managing Projects in Organisations module. Giulia Chifari acted as the project sponsor. The project aimed to raise awareness of student mental health support and to encourage voluntary donations for Mind through a small pop-up awareness stand in the IQ area. The objectives were to create clear awareness materials, promote a supportive message, speak with students in an approachable way, provide refreshments and show that mental health can be discussed openly on campus.</w:t>
      </w:r>
    </w:p>
    <w:p xmlns:wp14="http://schemas.microsoft.com/office/word/2010/wordml" w14:paraId="63C2E285" wp14:textId="77777777">
      <w:pPr>
        <w:spacing w:before="0" w:after="120" w:line="360" w:lineRule="auto"/>
        <w:jc w:val="both"/>
      </w:pPr>
      <w:r>
        <w:rPr>
          <w:rFonts w:ascii="Arial" w:hAnsi="Arial" w:eastAsia="Arial"/>
          <w:sz w:val="24"/>
        </w:rPr>
        <w:t>The campaign was a temporary piece of work with a clear outcome, limited time, defined team and visible deliverables, which fits the normal definition of a project (Project Management Institute, 2021). Although the activity was small, it still followed a full lifecycle. The group had to start with an idea, plan the work, manage stakeholders, deliver the stand, monitor progress and reflect on what was achieved. The Association for Project Management (2019) also shows that success includes people, benefits and learning, not only completing tasks. This report discusses the tools and techniques used, how well they worked in practice, and what I would improve in a future project.</w:t>
      </w:r>
    </w:p>
    <w:p xmlns:wp14="http://schemas.microsoft.com/office/word/2010/wordml" w14:paraId="2E53504F" wp14:textId="77777777">
      <w:pPr>
        <w:pStyle w:val="Heading1"/>
        <w:keepNext/>
        <w:spacing w:before="160" w:after="120"/>
        <w:jc w:val="left"/>
      </w:pPr>
      <w:r>
        <w:rPr>
          <w:rFonts w:ascii="Arial" w:hAnsi="Arial" w:eastAsia="Arial"/>
          <w:b/>
          <w:sz w:val="32"/>
        </w:rPr>
        <w:t>2. Findings: Project Lifecycle</w:t>
      </w:r>
    </w:p>
    <w:p xmlns:wp14="http://schemas.microsoft.com/office/word/2010/wordml" w14:paraId="15DF42D4" wp14:textId="77777777">
      <w:pPr>
        <w:spacing w:before="0" w:after="120" w:line="360" w:lineRule="auto"/>
        <w:jc w:val="both"/>
      </w:pPr>
      <w:r>
        <w:rPr>
          <w:rFonts w:ascii="Arial" w:hAnsi="Arial" w:eastAsia="Arial"/>
          <w:sz w:val="24"/>
        </w:rPr>
        <w:t>At the initiation stage, the team moved from a broad concern about student wellbeing to a project that could be delivered with limited time and resources. Clear aims reduce confusion because team members know what the project is meant to achieve (Kerzner, 2022). The scope was deliberately realistic. We did not try to run a professional counselling service or a large university event. Instead, the project focused on a student-facing stand, leaflets, posters, matching green T-shirts, social media promotion, snacks and drinks, and a final presentation.</w:t>
      </w:r>
    </w:p>
    <w:p xmlns:wp14="http://schemas.microsoft.com/office/word/2010/wordml" w14:paraId="5B9AC12C" wp14:textId="77777777">
      <w:pPr>
        <w:spacing w:before="0" w:after="120" w:line="360" w:lineRule="auto"/>
        <w:jc w:val="both"/>
      </w:pPr>
      <w:r>
        <w:rPr>
          <w:rFonts w:ascii="Arial" w:hAnsi="Arial" w:eastAsia="Arial"/>
          <w:sz w:val="24"/>
        </w:rPr>
        <w:t>The planning stage turned these deliverables into tasks. The group discussed who would do what, what materials were needed, and when each task should be completed. During implementation, the stand was set up and students were invited to read the materials, take refreshments and have informal conversations. Monitoring happened through group messages and discussions, but it was informal. At closure, the team reflected through blogs and the final report. This shows Maylor's (2010) view that projects move through connected stages rather than one single activity.</w:t>
      </w:r>
    </w:p>
    <w:p xmlns:wp14="http://schemas.microsoft.com/office/word/2010/wordml" w14:paraId="07FA41FE" wp14:textId="77777777">
      <w:pPr>
        <w:spacing w:before="0" w:after="120" w:line="360" w:lineRule="auto"/>
        <w:jc w:val="both"/>
      </w:pPr>
      <w:r>
        <w:rPr>
          <w:rFonts w:ascii="Arial" w:hAnsi="Arial" w:eastAsia="Arial"/>
          <w:sz w:val="24"/>
        </w:rPr>
        <w:t>The lifecycle also showed how early decisions affected later performance. For example, choosing a small stand made the project achievable, but it also meant that student engagement depended heavily on good display materials and confident conversation. Buying refreshments near the event helped keep them fresh, while preparing posters earlier allowed time for promotion. Overall, the lifecycle helped us understand the whole journey. The main weakness was that some activities, especially approval checks with university operations, were not identified early enough. A short project brief would have made the lifecycle clearer from the beginning.</w:t>
      </w:r>
    </w:p>
    <w:p xmlns:wp14="http://schemas.microsoft.com/office/word/2010/wordml" w14:paraId="25A75170" wp14:textId="77777777">
      <w:pPr>
        <w:spacing w:before="0" w:after="120" w:line="360" w:lineRule="auto"/>
        <w:jc w:val="both"/>
      </w:pPr>
      <w:r>
        <w:rPr>
          <w:rFonts w:ascii="Arial" w:hAnsi="Arial" w:eastAsia="Arial"/>
          <w:sz w:val="24"/>
        </w:rPr>
        <w:t>The project also created learning for the team. It showed that the planning stage is not separate from delivery; every decision about materials, location, timing and responsibilities affected the final student experience. When the stand looked organised, students were more likely to approach us. When communication was unclear, pressure increased. This helped me understand that lifecycle management is about control and confidence, not only following a classroom model.</w:t>
      </w:r>
    </w:p>
    <w:p xmlns:wp14="http://schemas.microsoft.com/office/word/2010/wordml" w14:paraId="583B8711" wp14:textId="77777777">
      <w:pPr>
        <w:pStyle w:val="Heading1"/>
        <w:keepNext/>
        <w:spacing w:before="160" w:after="120"/>
        <w:jc w:val="left"/>
      </w:pPr>
      <w:r>
        <w:rPr>
          <w:rFonts w:ascii="Arial" w:hAnsi="Arial" w:eastAsia="Arial"/>
          <w:b/>
          <w:sz w:val="32"/>
        </w:rPr>
        <w:t>3. Critical Discussion of Project Management Tools and Techniques in General</w:t>
      </w:r>
    </w:p>
    <w:p xmlns:wp14="http://schemas.microsoft.com/office/word/2010/wordml" w14:paraId="2B991941" wp14:textId="77777777">
      <w:pPr>
        <w:spacing w:before="0" w:after="120" w:line="360" w:lineRule="auto"/>
        <w:jc w:val="both"/>
      </w:pPr>
      <w:r>
        <w:rPr>
          <w:rFonts w:ascii="Arial" w:hAnsi="Arial" w:eastAsia="Arial"/>
          <w:sz w:val="24"/>
        </w:rPr>
        <w:t>Project management tools are useful because they give structure to work that could otherwise become messy. The project lifecycle gives a high-level map from start to finish, while scope planning explains what is included and excluded. The Iron Triangle focuses attention on time, cost and quality, which are still important measures of performance (Atkinson, 1999). However, it can be too narrow when a project has social aims, because it does not fully measure learning, awareness or stakeholder value.</w:t>
      </w:r>
    </w:p>
    <w:p xmlns:wp14="http://schemas.microsoft.com/office/word/2010/wordml" w14:paraId="58A2A863" wp14:textId="77777777">
      <w:pPr>
        <w:spacing w:before="0" w:after="120" w:line="360" w:lineRule="auto"/>
        <w:jc w:val="both"/>
      </w:pPr>
      <w:r>
        <w:rPr>
          <w:rFonts w:ascii="Arial" w:hAnsi="Arial" w:eastAsia="Arial"/>
          <w:sz w:val="24"/>
        </w:rPr>
        <w:t>A Work Breakdown Structure is also important because it breaks one large project into smaller work packages. This supports clearer responsibility and progress control (Heagney, 2016). A Gantt Chart then places tasks into a timeline and shows which tasks must happen first (Lock, 2020). These tools are simple, but they can be powerful when they are updated and used to guide decisions. Their weakness is that they can give a false sense of control if the team produces them once and then forgets them.</w:t>
      </w:r>
    </w:p>
    <w:p xmlns:wp14="http://schemas.microsoft.com/office/word/2010/wordml" w14:paraId="1BAB9A1D" wp14:textId="77777777">
      <w:pPr>
        <w:spacing w:before="0" w:after="120" w:line="360" w:lineRule="auto"/>
        <w:jc w:val="both"/>
      </w:pPr>
      <w:r>
        <w:rPr>
          <w:rFonts w:ascii="Arial" w:hAnsi="Arial" w:eastAsia="Arial"/>
          <w:sz w:val="24"/>
        </w:rPr>
        <w:t>Risk management is another key technique. Risk planning helps teams think about uncertain events before they become problems (Hillson, 2017). Stakeholder analysis is also essential because projects depend on people who can support, influence or block delivery. Freeman (1984) explains that stakeholders are people or groups affected by, or able to affect, a project. Bourne (2015) adds that stakeholder management is about relationships and expectations, not just names on a list.</w:t>
      </w:r>
    </w:p>
    <w:p xmlns:wp14="http://schemas.microsoft.com/office/word/2010/wordml" w14:paraId="76595715" wp14:textId="77777777">
      <w:pPr>
        <w:spacing w:before="0" w:after="120" w:line="360" w:lineRule="auto"/>
        <w:jc w:val="both"/>
      </w:pPr>
      <w:r>
        <w:rPr>
          <w:rFonts w:ascii="Arial" w:hAnsi="Arial" w:eastAsia="Arial"/>
          <w:sz w:val="24"/>
        </w:rPr>
        <w:t>Team tools also matter. Belbin (2010) shows that people contribute in different ways, while Tuckman (1965) explains that teams develop over time through stages such as forming, storming, norming and performing. In general, these tools work best when they are kept practical. Reiss (2015) argues that project management should be understandable and useful, not just paperwork. Therefore, the value of a tool depends on how honestly the team uses it during real decisions.</w:t>
      </w:r>
    </w:p>
    <w:p xmlns:wp14="http://schemas.microsoft.com/office/word/2010/wordml" w14:paraId="3B79DB68" wp14:textId="77777777">
      <w:pPr>
        <w:pStyle w:val="Heading1"/>
        <w:keepNext/>
        <w:spacing w:before="160" w:after="120"/>
        <w:jc w:val="left"/>
      </w:pPr>
      <w:r>
        <w:rPr>
          <w:rFonts w:ascii="Arial" w:hAnsi="Arial" w:eastAsia="Arial"/>
          <w:b/>
          <w:sz w:val="32"/>
        </w:rPr>
        <w:t>4. Critical Discussion of How Tools Were Used in the Project</w:t>
      </w:r>
    </w:p>
    <w:p xmlns:wp14="http://schemas.microsoft.com/office/word/2010/wordml" w14:paraId="3E14B113" wp14:textId="77777777">
      <w:pPr>
        <w:spacing w:before="0" w:after="120" w:line="360" w:lineRule="auto"/>
        <w:jc w:val="both"/>
      </w:pPr>
      <w:r>
        <w:rPr>
          <w:rFonts w:ascii="Arial" w:hAnsi="Arial" w:eastAsia="Arial"/>
          <w:sz w:val="24"/>
        </w:rPr>
        <w:t>In this campaign, the tools supported delivery, but they were used more informally than they should have been. The Iron Triangle helped us make practical choices. Time was short, the budget was small and the stand still needed to look professional. My own task of buying snacks and drinks showed this clearly. I had to consider price, timing and the quality of the student experience. The refreshments were simple, but they made the stand more welcoming and encouraged students to stop. This showed that quality in a small project can mean atmosphere, trust and approachability.</w:t>
      </w:r>
    </w:p>
    <w:p xmlns:wp14="http://schemas.microsoft.com/office/word/2010/wordml" w14:paraId="61A059F3" wp14:textId="77777777">
      <w:pPr>
        <w:spacing w:before="0" w:after="120" w:line="360" w:lineRule="auto"/>
        <w:jc w:val="both"/>
      </w:pPr>
      <w:r>
        <w:rPr>
          <w:rFonts w:ascii="Arial" w:hAnsi="Arial" w:eastAsia="Arial"/>
          <w:sz w:val="24"/>
        </w:rPr>
        <w:t>The WBS was useful because it separated the work into planning, approvals, promotion, materials, refreshments, delivery and evaluation. My role fitted within refreshments and event preparation. This helped me see that a practical task can still support project success. Fisher, Hunter and Macrosson (2001) argue that team roles can change depending on the situation, and this happened because members helped beyond their original responsibilities. However, the WBS should have been checked against all approval needs, because permissions were not clear enough at the start.</w:t>
      </w:r>
    </w:p>
    <w:p xmlns:wp14="http://schemas.microsoft.com/office/word/2010/wordml" w14:paraId="4630BFF9" wp14:textId="77777777">
      <w:pPr>
        <w:spacing w:before="0" w:after="120" w:line="360" w:lineRule="auto"/>
        <w:jc w:val="both"/>
      </w:pPr>
      <w:r>
        <w:rPr>
          <w:rFonts w:ascii="Arial" w:hAnsi="Arial" w:eastAsia="Arial"/>
          <w:sz w:val="24"/>
        </w:rPr>
        <w:t>The Gantt Chart helped the group see the order of work, especially because promotion had to happen before the event and refreshments had to be bought close to the delivery day. However, it was not used enough as a live control document. Good scheduling should connect planning, monitoring and control (Kidston, Haward and Association for Project Management, 2015). If the Gantt Chart had been reviewed after every meeting, delays and approval issues would have been easier to see.</w:t>
      </w:r>
    </w:p>
    <w:p xmlns:wp14="http://schemas.microsoft.com/office/word/2010/wordml" w14:paraId="06770F1F" wp14:textId="77777777">
      <w:pPr>
        <w:spacing w:before="0" w:after="120" w:line="360" w:lineRule="auto"/>
        <w:jc w:val="both"/>
      </w:pPr>
      <w:r>
        <w:rPr>
          <w:rFonts w:ascii="Arial" w:hAnsi="Arial" w:eastAsia="Arial"/>
          <w:sz w:val="24"/>
        </w:rPr>
        <w:t>Risk management was the weakest area. We thought about possible problems, such as low engagement, limited money and time pressure, but we did not create a risk register at the start. Meredith and Mantel (2009) explain that monitoring helps teams compare planned progress with actual progress. A simple register and progress tracker would have made the project more controlled without making it complicated. It could have named each risk, the owner and the planned response.</w:t>
      </w:r>
    </w:p>
    <w:p xmlns:wp14="http://schemas.microsoft.com/office/word/2010/wordml" w14:paraId="7D2EE6AB" wp14:textId="77777777">
      <w:pPr>
        <w:pStyle w:val="Heading1"/>
        <w:keepNext/>
        <w:spacing w:before="160" w:after="120"/>
        <w:jc w:val="left"/>
      </w:pPr>
      <w:r>
        <w:rPr>
          <w:rFonts w:ascii="Arial" w:hAnsi="Arial" w:eastAsia="Arial"/>
          <w:b/>
          <w:sz w:val="32"/>
        </w:rPr>
        <w:t>5. Communication and Stakeholders</w:t>
      </w:r>
    </w:p>
    <w:p xmlns:wp14="http://schemas.microsoft.com/office/word/2010/wordml" w14:paraId="61D92CC6" wp14:textId="77777777">
      <w:pPr>
        <w:spacing w:before="0" w:after="120" w:line="360" w:lineRule="auto"/>
        <w:jc w:val="both"/>
      </w:pPr>
      <w:r>
        <w:rPr>
          <w:rFonts w:ascii="Arial" w:hAnsi="Arial" w:eastAsia="Arial"/>
          <w:sz w:val="24"/>
        </w:rPr>
        <w:t>Stakeholder analysis was important because the campaign depended on several groups. The main stakeholders were students, Giulia Chifari as sponsor, the Student Wellbeing Team, university operations staff, Mind, university staff and the project team. Students had high interest because the campaign was designed for them. Communication with students needed to be friendly, simple and visible through posters, social media and face-to-face conversations.</w:t>
      </w:r>
    </w:p>
    <w:p xmlns:wp14="http://schemas.microsoft.com/office/word/2010/wordml" w14:paraId="49EB0A66" wp14:textId="77777777">
      <w:pPr>
        <w:spacing w:before="0" w:after="120" w:line="360" w:lineRule="auto"/>
        <w:jc w:val="both"/>
      </w:pPr>
      <w:r>
        <w:rPr>
          <w:rFonts w:ascii="Arial" w:hAnsi="Arial" w:eastAsia="Arial"/>
          <w:sz w:val="24"/>
        </w:rPr>
        <w:t>The sponsor and university staff had more power because they could guide or approve the project. This meant communication with them needed to be more organised and respectful. Heerkens (2015) states that good communication gives the right information to the right people at the right time. This did not always happen perfectly. Operations staff were identified too late as approval stakeholders, which created extra pressure near delivery. Stakeholder mapping should therefore include anyone who can approve, block, support or be affected by the project.</w:t>
      </w:r>
    </w:p>
    <w:p xmlns:wp14="http://schemas.microsoft.com/office/word/2010/wordml" w14:paraId="59768E22" wp14:textId="77777777">
      <w:pPr>
        <w:spacing w:before="0" w:after="120" w:line="360" w:lineRule="auto"/>
        <w:jc w:val="both"/>
      </w:pPr>
      <w:r>
        <w:rPr>
          <w:rFonts w:ascii="Arial" w:hAnsi="Arial" w:eastAsia="Arial"/>
          <w:sz w:val="24"/>
        </w:rPr>
        <w:t>Within the team, communication was mostly through messages and informal discussions. This worked because the team was small and cooperative. However, informal communication also meant that actions were not always recorded clearly. A short action list after each meeting would have helped. It could show the task, owner, deadline and current status. Turner (2014) argues that projects need both technical processes and human coordination. This was true in our campaign because the stand succeeded through teamwork, but control could have been stronger.</w:t>
      </w:r>
    </w:p>
    <w:p xmlns:wp14="http://schemas.microsoft.com/office/word/2010/wordml" w14:paraId="3C1C22B1" wp14:textId="77777777">
      <w:pPr>
        <w:pStyle w:val="Heading1"/>
        <w:keepNext/>
        <w:spacing w:before="160" w:after="120"/>
        <w:jc w:val="left"/>
      </w:pPr>
      <w:r>
        <w:rPr>
          <w:rFonts w:ascii="Arial" w:hAnsi="Arial" w:eastAsia="Arial"/>
          <w:b/>
          <w:sz w:val="32"/>
        </w:rPr>
        <w:t>6. Future Improvement</w:t>
      </w:r>
    </w:p>
    <w:p xmlns:wp14="http://schemas.microsoft.com/office/word/2010/wordml" w14:paraId="34FB7560" wp14:textId="77777777">
      <w:pPr>
        <w:spacing w:before="0" w:after="120" w:line="360" w:lineRule="auto"/>
        <w:jc w:val="both"/>
      </w:pPr>
      <w:r>
        <w:rPr>
          <w:rFonts w:ascii="Arial" w:hAnsi="Arial" w:eastAsia="Arial"/>
          <w:sz w:val="24"/>
        </w:rPr>
        <w:t>Several parts of the project went well. The team chose a meaningful topic, created a welcoming stand, used matching T-shirts to look professional, provided refreshments and spoke to students in a positive way. The campaign gained recognition from a relevant wellbeing stakeholder, which suggested that it had value beyond the group. I also think my own contribution went well because I completed the refreshments task and supported the stand on the day.</w:t>
      </w:r>
    </w:p>
    <w:p xmlns:wp14="http://schemas.microsoft.com/office/word/2010/wordml" w14:paraId="7822A5B9" wp14:textId="77777777">
      <w:pPr>
        <w:spacing w:before="0" w:after="120" w:line="360" w:lineRule="auto"/>
        <w:jc w:val="both"/>
      </w:pPr>
      <w:r>
        <w:rPr>
          <w:rFonts w:ascii="Arial" w:hAnsi="Arial" w:eastAsia="Arial"/>
          <w:sz w:val="24"/>
        </w:rPr>
        <w:t>Some parts did not go so well. We focused strongly on delivery, but not enough on early risk planning, approval checks and evidence collection. Wysocki (2014) explains that the project approach should fit the type of outcome being measured. For an awareness campaign, we should have collected stronger evidence, such as visitor numbers, short anonymous feedback, photos of the stand, screenshots of engagement and notes from stakeholder comments. This would have made the evaluation more convincing and less dependent on memory.</w:t>
      </w:r>
    </w:p>
    <w:p xmlns:wp14="http://schemas.microsoft.com/office/word/2010/wordml" w14:paraId="41AC0407" wp14:textId="77777777">
      <w:pPr>
        <w:spacing w:before="0" w:after="120" w:line="360" w:lineRule="auto"/>
        <w:jc w:val="both"/>
      </w:pPr>
      <w:r>
        <w:rPr>
          <w:rFonts w:ascii="Arial" w:hAnsi="Arial" w:eastAsia="Arial"/>
          <w:sz w:val="24"/>
        </w:rPr>
        <w:t>For future projects, I would recommend five improvements. First, write a one-page project brief at initiation. Second, complete stakeholder mapping before planning the event. Third, create a simple risk register with likelihood, impact, owner and response. Fourth, update the Gantt Chart every week as a live document. Fifth, keep short meeting notes so every person knows their next action. Gibbs' (1988) reflective model is useful here because it turns experience into future action.</w:t>
      </w:r>
    </w:p>
    <w:p xmlns:wp14="http://schemas.microsoft.com/office/word/2010/wordml" w14:paraId="5643BB2B" wp14:textId="77777777">
      <w:pPr>
        <w:spacing w:before="0" w:after="120" w:line="360" w:lineRule="auto"/>
        <w:jc w:val="both"/>
      </w:pPr>
      <w:r>
        <w:rPr>
          <w:rFonts w:ascii="Arial" w:hAnsi="Arial" w:eastAsia="Arial"/>
          <w:sz w:val="24"/>
        </w:rPr>
        <w:t>Personally, I would also try to see the wider project earlier. I focused mainly on refreshments, which was useful, but I could have asked more questions about permissions, risks and evaluation. In the future, I would still complete my own task, but I would also check how it connects to the whole project.</w:t>
      </w:r>
    </w:p>
    <w:p xmlns:wp14="http://schemas.microsoft.com/office/word/2010/wordml" w14:paraId="16A1F5A8" wp14:textId="77777777">
      <w:pPr>
        <w:pStyle w:val="Heading1"/>
        <w:keepNext/>
        <w:spacing w:before="160" w:after="120"/>
        <w:jc w:val="left"/>
      </w:pPr>
      <w:r>
        <w:rPr>
          <w:rFonts w:ascii="Arial" w:hAnsi="Arial" w:eastAsia="Arial"/>
          <w:b/>
          <w:sz w:val="32"/>
        </w:rPr>
        <w:t>7. Conclusion</w:t>
      </w:r>
    </w:p>
    <w:p xmlns:wp14="http://schemas.microsoft.com/office/word/2010/wordml" w14:paraId="17CD01E0" wp14:textId="77777777">
      <w:pPr>
        <w:spacing w:before="0" w:after="120" w:line="360" w:lineRule="auto"/>
        <w:jc w:val="both"/>
      </w:pPr>
      <w:r>
        <w:rPr>
          <w:rFonts w:ascii="Arial" w:hAnsi="Arial" w:eastAsia="Arial"/>
          <w:sz w:val="24"/>
        </w:rPr>
        <w:t>The Mental Health Awareness Campaign was successful because it delivered its main aim: it raised awareness, created student engagement and presented mental health as a topic that students could discuss openly. The project also showed that even a small campaign needs proper management across the full lifecycle. Initiation helped define the idea, planning turned it into tasks, implementation delivered the stand, monitoring checked progress, and closure helped the team reflect.</w:t>
      </w:r>
    </w:p>
    <w:p xmlns:wp14="http://schemas.microsoft.com/office/word/2010/wordml" w14:paraId="54A78832" wp14:textId="77777777">
      <w:pPr>
        <w:spacing w:before="0" w:after="120" w:line="360" w:lineRule="auto"/>
        <w:jc w:val="both"/>
      </w:pPr>
      <w:r>
        <w:rPr>
          <w:rFonts w:ascii="Arial" w:hAnsi="Arial" w:eastAsia="Arial"/>
          <w:sz w:val="24"/>
        </w:rPr>
        <w:t>The strongest tools were the WBS, Gantt Chart, stakeholder analysis and team role allocation. They helped the group organise work and deliver the event. The weaker areas were risk management, formal monitoring and early approval planning. The main lesson I learnt is that project management tools should not be used only for coursework. They should guide real decisions. In future, I would look beyond my own task earlier, ask more questions about risks and permissions, and help the team collect better evidence of impact. This would make the next project more organised, less stressful and easier to evaluate.</w:t>
      </w:r>
    </w:p>
    <w:p xmlns:wp14="http://schemas.microsoft.com/office/word/2010/wordml" w14:paraId="595B4A97" wp14:textId="77777777">
      <w:pPr>
        <w:spacing w:before="0" w:after="120" w:line="360" w:lineRule="auto"/>
        <w:jc w:val="both"/>
      </w:pPr>
      <w:r>
        <w:rPr>
          <w:rFonts w:ascii="Arial" w:hAnsi="Arial" w:eastAsia="Arial"/>
          <w:sz w:val="24"/>
        </w:rPr>
        <w:t>For me, the report story is also personal. I learnt that a small role can make a real difference when it supports the purpose of the project. Snacks and drinks were not the main message, but they helped create a relaxed space for students. Next time, I would combine this practical reliability with more active planning, so I can contribute both to delivery and to stronger project control. This balanced approach would help future projects keep the same human and friendly feeling, while also showing clearer evidence, better planning discipline, earlier communication and stronger professional judgement across the whole project lifecycle from the first idea to final reflection stage.</w:t>
      </w:r>
    </w:p>
    <w:p xmlns:wp14="http://schemas.microsoft.com/office/word/2010/wordml" w14:paraId="41C8F396" wp14:textId="77777777">
      <w:r>
        <w:br w:type="page"/>
      </w:r>
    </w:p>
    <w:p xmlns:wp14="http://schemas.microsoft.com/office/word/2010/wordml" w14:paraId="72A3D3EC" wp14:textId="77777777">
      <w:pPr>
        <w:spacing w:after="120"/>
      </w:pPr>
    </w:p>
    <w:p xmlns:wp14="http://schemas.microsoft.com/office/word/2010/wordml" w14:paraId="5ED21BB9" wp14:textId="768C4910">
      <w:pPr>
        <w:spacing w:after="120" w:line="360" w:lineRule="auto"/>
        <w:jc w:val="left"/>
      </w:pPr>
      <w:r w:rsidRPr="4B5BC951" w:rsidR="4B5BC951">
        <w:rPr>
          <w:rFonts w:ascii="Arial" w:hAnsi="Arial" w:eastAsia="Arial"/>
          <w:b w:val="1"/>
          <w:bCs w:val="1"/>
          <w:i w:val="0"/>
          <w:iCs w:val="0"/>
          <w:sz w:val="32"/>
          <w:szCs w:val="32"/>
        </w:rPr>
        <w:t>Work Breakdown Structure (WBS)</w:t>
      </w:r>
    </w:p>
    <w:tbl>
      <w:tblPr>
        <w:tblStyle w:val="TableGrid"/>
        <w:tblW w:w="0" w:type="auto"/>
        <w:jc w:val="center"/>
        <w:tblLook w:val="04A0" w:firstRow="1" w:lastRow="0" w:firstColumn="1" w:lastColumn="0" w:noHBand="0" w:noVBand="1"/>
      </w:tblPr>
      <w:tblGrid>
        <w:gridCol w:w="3264"/>
        <w:gridCol w:w="3264"/>
        <w:gridCol w:w="3264"/>
      </w:tblGrid>
      <w:tr xmlns:wp14="http://schemas.microsoft.com/office/word/2010/wordml" w14:paraId="0D27649A" wp14:textId="77777777">
        <w:tc>
          <w:tcPr>
            <w:tcW w:w="2376" w:type="dxa"/>
            <w:vAlign w:val="center"/>
            <w:shd w:fill="D9EAD3"/>
          </w:tcPr>
          <w:p w14:paraId="5ED678BD" wp14:textId="77777777">
            <w:pPr>
              <w:spacing w:after="0" w:line="276" w:lineRule="auto"/>
              <w:jc w:val="left"/>
            </w:pPr>
            <w:r>
              <w:rPr>
                <w:rFonts w:ascii="Arial" w:hAnsi="Arial" w:eastAsia="Arial"/>
                <w:b/>
                <w:i w:val="0"/>
                <w:sz w:val="21"/>
              </w:rPr>
              <w:t>Work package</w:t>
            </w:r>
          </w:p>
        </w:tc>
        <w:tc>
          <w:tcPr>
            <w:tcW w:w="4896" w:type="dxa"/>
            <w:vAlign w:val="center"/>
            <w:shd w:fill="D9EAD3"/>
          </w:tcPr>
          <w:p w14:paraId="1E3D497E" wp14:textId="77777777">
            <w:pPr>
              <w:spacing w:after="0" w:line="276" w:lineRule="auto"/>
              <w:jc w:val="left"/>
            </w:pPr>
            <w:r>
              <w:rPr>
                <w:rFonts w:ascii="Arial" w:hAnsi="Arial" w:eastAsia="Arial"/>
                <w:b/>
                <w:i w:val="0"/>
                <w:sz w:val="21"/>
              </w:rPr>
              <w:t>Main tasks</w:t>
            </w:r>
          </w:p>
        </w:tc>
        <w:tc>
          <w:tcPr>
            <w:tcW w:w="2520" w:type="dxa"/>
            <w:vAlign w:val="center"/>
            <w:shd w:fill="D9EAD3"/>
          </w:tcPr>
          <w:p w14:paraId="09617135" wp14:textId="77777777">
            <w:pPr>
              <w:spacing w:after="0" w:line="276" w:lineRule="auto"/>
              <w:jc w:val="left"/>
            </w:pPr>
            <w:r>
              <w:rPr>
                <w:rFonts w:ascii="Arial" w:hAnsi="Arial" w:eastAsia="Arial"/>
                <w:b/>
                <w:i w:val="0"/>
                <w:sz w:val="21"/>
              </w:rPr>
              <w:t>Main responsibility</w:t>
            </w:r>
          </w:p>
        </w:tc>
      </w:tr>
      <w:tr xmlns:wp14="http://schemas.microsoft.com/office/word/2010/wordml" w14:paraId="6EE330DA" wp14:textId="77777777">
        <w:tc>
          <w:tcPr>
            <w:tcW w:w="2376" w:type="dxa"/>
            <w:vAlign w:val="center"/>
          </w:tcPr>
          <w:p w14:paraId="535A577C" wp14:textId="77777777">
            <w:pPr>
              <w:spacing w:after="0" w:line="276" w:lineRule="auto"/>
              <w:jc w:val="left"/>
            </w:pPr>
            <w:r>
              <w:rPr>
                <w:rFonts w:ascii="Arial" w:hAnsi="Arial" w:eastAsia="Arial"/>
                <w:b w:val="0"/>
                <w:i w:val="0"/>
                <w:sz w:val="21"/>
              </w:rPr>
              <w:t>1. Planning and scope</w:t>
            </w:r>
          </w:p>
        </w:tc>
        <w:tc>
          <w:tcPr>
            <w:tcW w:w="4896" w:type="dxa"/>
            <w:vAlign w:val="center"/>
          </w:tcPr>
          <w:p w14:paraId="4EA05906" wp14:textId="77777777">
            <w:pPr>
              <w:spacing w:after="0" w:line="276" w:lineRule="auto"/>
              <w:jc w:val="left"/>
            </w:pPr>
            <w:r>
              <w:rPr>
                <w:rFonts w:ascii="Arial" w:hAnsi="Arial" w:eastAsia="Arial"/>
                <w:b w:val="0"/>
                <w:i w:val="0"/>
                <w:sz w:val="21"/>
              </w:rPr>
              <w:t>Agree aims, scope, deliverables and budget.</w:t>
            </w:r>
          </w:p>
        </w:tc>
        <w:tc>
          <w:tcPr>
            <w:tcW w:w="2520" w:type="dxa"/>
            <w:vAlign w:val="center"/>
          </w:tcPr>
          <w:p w14:paraId="134751E8" wp14:textId="77777777">
            <w:pPr>
              <w:spacing w:after="0" w:line="276" w:lineRule="auto"/>
              <w:jc w:val="left"/>
            </w:pPr>
            <w:r>
              <w:rPr>
                <w:rFonts w:ascii="Arial" w:hAnsi="Arial" w:eastAsia="Arial"/>
                <w:b w:val="0"/>
                <w:i w:val="0"/>
                <w:sz w:val="21"/>
              </w:rPr>
              <w:t>Whole team</w:t>
            </w:r>
          </w:p>
        </w:tc>
      </w:tr>
      <w:tr xmlns:wp14="http://schemas.microsoft.com/office/word/2010/wordml" w14:paraId="2DC19AB8" wp14:textId="77777777">
        <w:tc>
          <w:tcPr>
            <w:tcW w:w="2376" w:type="dxa"/>
            <w:vAlign w:val="center"/>
          </w:tcPr>
          <w:p w14:paraId="4713FFD2" wp14:textId="77777777">
            <w:pPr>
              <w:spacing w:after="0" w:line="276" w:lineRule="auto"/>
              <w:jc w:val="left"/>
            </w:pPr>
            <w:r>
              <w:rPr>
                <w:rFonts w:ascii="Arial" w:hAnsi="Arial" w:eastAsia="Arial"/>
                <w:b w:val="0"/>
                <w:i w:val="0"/>
                <w:sz w:val="21"/>
              </w:rPr>
              <w:t>2. Stakeholders and approvals</w:t>
            </w:r>
          </w:p>
        </w:tc>
        <w:tc>
          <w:tcPr>
            <w:tcW w:w="4896" w:type="dxa"/>
            <w:vAlign w:val="center"/>
          </w:tcPr>
          <w:p w14:paraId="52EEBC6C" wp14:textId="77777777">
            <w:pPr>
              <w:spacing w:after="0" w:line="276" w:lineRule="auto"/>
              <w:jc w:val="left"/>
            </w:pPr>
            <w:r>
              <w:rPr>
                <w:rFonts w:ascii="Arial" w:hAnsi="Arial" w:eastAsia="Arial"/>
                <w:b w:val="0"/>
                <w:i w:val="0"/>
                <w:sz w:val="21"/>
              </w:rPr>
              <w:t>Identify key people, speak to the sponsor and check permissions needed.</w:t>
            </w:r>
          </w:p>
        </w:tc>
        <w:tc>
          <w:tcPr>
            <w:tcW w:w="2520" w:type="dxa"/>
            <w:vAlign w:val="center"/>
          </w:tcPr>
          <w:p w14:paraId="45F18A15" wp14:textId="77777777">
            <w:pPr>
              <w:spacing w:after="0" w:line="276" w:lineRule="auto"/>
              <w:jc w:val="left"/>
            </w:pPr>
            <w:r>
              <w:rPr>
                <w:rFonts w:ascii="Arial" w:hAnsi="Arial" w:eastAsia="Arial"/>
                <w:b w:val="0"/>
                <w:i w:val="0"/>
                <w:sz w:val="21"/>
              </w:rPr>
              <w:t>Team with sponsor support</w:t>
            </w:r>
          </w:p>
        </w:tc>
      </w:tr>
      <w:tr xmlns:wp14="http://schemas.microsoft.com/office/word/2010/wordml" w14:paraId="16E0BA64" wp14:textId="77777777">
        <w:tc>
          <w:tcPr>
            <w:tcW w:w="2376" w:type="dxa"/>
            <w:vAlign w:val="center"/>
          </w:tcPr>
          <w:p w14:paraId="500A57A3" wp14:textId="77777777">
            <w:pPr>
              <w:spacing w:after="0" w:line="276" w:lineRule="auto"/>
              <w:jc w:val="left"/>
            </w:pPr>
            <w:r>
              <w:rPr>
                <w:rFonts w:ascii="Arial" w:hAnsi="Arial" w:eastAsia="Arial"/>
                <w:b w:val="0"/>
                <w:i w:val="0"/>
                <w:sz w:val="21"/>
              </w:rPr>
              <w:t>3. Promotion and materials</w:t>
            </w:r>
          </w:p>
        </w:tc>
        <w:tc>
          <w:tcPr>
            <w:tcW w:w="4896" w:type="dxa"/>
            <w:vAlign w:val="center"/>
          </w:tcPr>
          <w:p w14:paraId="21264A23" wp14:textId="77777777">
            <w:pPr>
              <w:spacing w:after="0" w:line="276" w:lineRule="auto"/>
              <w:jc w:val="left"/>
            </w:pPr>
            <w:r>
              <w:rPr>
                <w:rFonts w:ascii="Arial" w:hAnsi="Arial" w:eastAsia="Arial"/>
                <w:b w:val="0"/>
                <w:i w:val="0"/>
                <w:sz w:val="21"/>
              </w:rPr>
              <w:t>Prepare flyers, social media messages, display items and T-shirts.</w:t>
            </w:r>
          </w:p>
        </w:tc>
        <w:tc>
          <w:tcPr>
            <w:tcW w:w="2520" w:type="dxa"/>
            <w:vAlign w:val="center"/>
          </w:tcPr>
          <w:p w14:paraId="4FABBED8" wp14:textId="77777777">
            <w:pPr>
              <w:spacing w:after="0" w:line="276" w:lineRule="auto"/>
              <w:jc w:val="left"/>
            </w:pPr>
            <w:r>
              <w:rPr>
                <w:rFonts w:ascii="Arial" w:hAnsi="Arial" w:eastAsia="Arial"/>
                <w:b w:val="0"/>
                <w:i w:val="0"/>
                <w:sz w:val="21"/>
              </w:rPr>
              <w:t>Whole team</w:t>
            </w:r>
          </w:p>
        </w:tc>
      </w:tr>
      <w:tr xmlns:wp14="http://schemas.microsoft.com/office/word/2010/wordml" w14:paraId="2D5B06D2" wp14:textId="77777777">
        <w:tc>
          <w:tcPr>
            <w:tcW w:w="2376" w:type="dxa"/>
            <w:vAlign w:val="center"/>
          </w:tcPr>
          <w:p w14:paraId="6EE2AD7B" wp14:textId="77777777">
            <w:pPr>
              <w:spacing w:after="0" w:line="276" w:lineRule="auto"/>
              <w:jc w:val="left"/>
            </w:pPr>
            <w:r>
              <w:rPr>
                <w:rFonts w:ascii="Arial" w:hAnsi="Arial" w:eastAsia="Arial"/>
                <w:b w:val="0"/>
                <w:i w:val="0"/>
                <w:sz w:val="21"/>
              </w:rPr>
              <w:t>4. Refreshments</w:t>
            </w:r>
          </w:p>
        </w:tc>
        <w:tc>
          <w:tcPr>
            <w:tcW w:w="4896" w:type="dxa"/>
            <w:vAlign w:val="center"/>
          </w:tcPr>
          <w:p w14:paraId="47CA4A5C" wp14:textId="77777777">
            <w:pPr>
              <w:spacing w:after="0" w:line="276" w:lineRule="auto"/>
              <w:jc w:val="left"/>
            </w:pPr>
            <w:r>
              <w:rPr>
                <w:rFonts w:ascii="Arial" w:hAnsi="Arial" w:eastAsia="Arial"/>
                <w:b w:val="0"/>
                <w:i w:val="0"/>
                <w:sz w:val="21"/>
              </w:rPr>
              <w:t>Choose, buy and arrange snacks and drinks for students.</w:t>
            </w:r>
          </w:p>
        </w:tc>
        <w:tc>
          <w:tcPr>
            <w:tcW w:w="2520" w:type="dxa"/>
            <w:vAlign w:val="center"/>
          </w:tcPr>
          <w:p w14:paraId="024E097A" wp14:textId="77777777">
            <w:pPr>
              <w:spacing w:after="0" w:line="276" w:lineRule="auto"/>
              <w:jc w:val="left"/>
            </w:pPr>
            <w:r>
              <w:rPr>
                <w:rFonts w:ascii="Arial" w:hAnsi="Arial" w:eastAsia="Arial"/>
                <w:b w:val="0"/>
                <w:i w:val="0"/>
                <w:sz w:val="21"/>
              </w:rPr>
              <w:t>Daniel</w:t>
            </w:r>
          </w:p>
        </w:tc>
      </w:tr>
      <w:tr xmlns:wp14="http://schemas.microsoft.com/office/word/2010/wordml" w14:paraId="42908C0B" wp14:textId="77777777">
        <w:tc>
          <w:tcPr>
            <w:tcW w:w="2376" w:type="dxa"/>
            <w:vAlign w:val="center"/>
          </w:tcPr>
          <w:p w14:paraId="06155F03" wp14:textId="77777777">
            <w:pPr>
              <w:spacing w:after="0" w:line="276" w:lineRule="auto"/>
              <w:jc w:val="left"/>
            </w:pPr>
            <w:r>
              <w:rPr>
                <w:rFonts w:ascii="Arial" w:hAnsi="Arial" w:eastAsia="Arial"/>
                <w:b w:val="0"/>
                <w:i w:val="0"/>
                <w:sz w:val="21"/>
              </w:rPr>
              <w:t>5. Event delivery</w:t>
            </w:r>
          </w:p>
        </w:tc>
        <w:tc>
          <w:tcPr>
            <w:tcW w:w="4896" w:type="dxa"/>
            <w:vAlign w:val="center"/>
          </w:tcPr>
          <w:p w14:paraId="563AF322" wp14:textId="77777777">
            <w:pPr>
              <w:spacing w:after="0" w:line="276" w:lineRule="auto"/>
              <w:jc w:val="left"/>
            </w:pPr>
            <w:r>
              <w:rPr>
                <w:rFonts w:ascii="Arial" w:hAnsi="Arial" w:eastAsia="Arial"/>
                <w:b w:val="0"/>
                <w:i w:val="0"/>
                <w:sz w:val="21"/>
              </w:rPr>
              <w:t>Set up the stand, speak to students, share materials and support donations.</w:t>
            </w:r>
          </w:p>
        </w:tc>
        <w:tc>
          <w:tcPr>
            <w:tcW w:w="2520" w:type="dxa"/>
            <w:vAlign w:val="center"/>
          </w:tcPr>
          <w:p w14:paraId="184DE957" wp14:textId="77777777">
            <w:pPr>
              <w:spacing w:after="0" w:line="276" w:lineRule="auto"/>
              <w:jc w:val="left"/>
            </w:pPr>
            <w:r>
              <w:rPr>
                <w:rFonts w:ascii="Arial" w:hAnsi="Arial" w:eastAsia="Arial"/>
                <w:b w:val="0"/>
                <w:i w:val="0"/>
                <w:sz w:val="21"/>
              </w:rPr>
              <w:t>Whole team</w:t>
            </w:r>
          </w:p>
        </w:tc>
      </w:tr>
      <w:tr xmlns:wp14="http://schemas.microsoft.com/office/word/2010/wordml" w14:paraId="6EE6444B" wp14:textId="77777777">
        <w:tc>
          <w:tcPr>
            <w:tcW w:w="2376" w:type="dxa"/>
            <w:vAlign w:val="center"/>
          </w:tcPr>
          <w:p w14:paraId="45C6E814" wp14:textId="77777777">
            <w:pPr>
              <w:spacing w:after="0" w:line="276" w:lineRule="auto"/>
              <w:jc w:val="left"/>
            </w:pPr>
            <w:r>
              <w:rPr>
                <w:rFonts w:ascii="Arial" w:hAnsi="Arial" w:eastAsia="Arial"/>
                <w:b w:val="0"/>
                <w:i w:val="0"/>
                <w:sz w:val="21"/>
              </w:rPr>
              <w:t>6. Evaluation</w:t>
            </w:r>
          </w:p>
        </w:tc>
        <w:tc>
          <w:tcPr>
            <w:tcW w:w="4896" w:type="dxa"/>
            <w:vAlign w:val="center"/>
          </w:tcPr>
          <w:p w14:paraId="4538BD1A" wp14:textId="77777777">
            <w:pPr>
              <w:spacing w:after="0" w:line="276" w:lineRule="auto"/>
              <w:jc w:val="left"/>
            </w:pPr>
            <w:r>
              <w:rPr>
                <w:rFonts w:ascii="Arial" w:hAnsi="Arial" w:eastAsia="Arial"/>
                <w:b w:val="0"/>
                <w:i w:val="0"/>
                <w:sz w:val="21"/>
              </w:rPr>
              <w:t>Review feedback, reflect on lessons learned and complete blogs/report.</w:t>
            </w:r>
          </w:p>
        </w:tc>
        <w:tc>
          <w:tcPr>
            <w:tcW w:w="2520" w:type="dxa"/>
            <w:vAlign w:val="center"/>
          </w:tcPr>
          <w:p w14:paraId="3F8456C8" wp14:textId="77777777">
            <w:pPr>
              <w:spacing w:after="0" w:line="276" w:lineRule="auto"/>
              <w:jc w:val="left"/>
            </w:pPr>
            <w:r>
              <w:rPr>
                <w:rFonts w:ascii="Arial" w:hAnsi="Arial" w:eastAsia="Arial"/>
                <w:b w:val="0"/>
                <w:i w:val="0"/>
                <w:sz w:val="21"/>
              </w:rPr>
              <w:t>Individual and team</w:t>
            </w:r>
          </w:p>
        </w:tc>
      </w:tr>
    </w:tbl>
    <w:p xmlns:wp14="http://schemas.microsoft.com/office/word/2010/wordml" w14:paraId="0D0B940D" wp14:textId="77777777">
      <w:pPr>
        <w:spacing w:after="120"/>
      </w:pPr>
      <w:r>
        <w:br w:type="page"/>
      </w:r>
    </w:p>
    <w:p xmlns:wp14="http://schemas.microsoft.com/office/word/2010/wordml" w14:paraId="346C6E37" wp14:textId="57CD99BF">
      <w:pPr>
        <w:spacing w:after="120" w:line="360" w:lineRule="auto"/>
        <w:jc w:val="left"/>
      </w:pPr>
      <w:r w:rsidRPr="4B5BC951" w:rsidR="4B5BC951">
        <w:rPr>
          <w:rFonts w:ascii="Arial" w:hAnsi="Arial" w:eastAsia="Arial"/>
          <w:b w:val="1"/>
          <w:bCs w:val="1"/>
          <w:i w:val="0"/>
          <w:iCs w:val="0"/>
          <w:sz w:val="32"/>
          <w:szCs w:val="32"/>
        </w:rPr>
        <w:t xml:space="preserve"> Gantt Chart</w:t>
      </w:r>
    </w:p>
    <w:p xmlns:wp14="http://schemas.microsoft.com/office/word/2010/wordml" w14:paraId="0E27B00A" wp14:textId="77777777">
      <w:pPr>
        <w:jc w:val="center"/>
      </w:pPr>
      <w:r w:rsidR="4B5BC951">
        <w:drawing>
          <wp:inline xmlns:wp14="http://schemas.microsoft.com/office/word/2010/wordprocessingDrawing" wp14:editId="10B712E1" wp14:anchorId="2B0AACEF">
            <wp:extent cx="5669280" cy="3110075"/>
            <wp:effectExtent l="0" t="0" r="0" b="0"/>
            <wp:docPr id="2"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mental_health_gantt_chart.png"/>
                    <pic:cNvPicPr/>
                  </pic:nvPicPr>
                  <pic:blipFill>
                    <a:blip xmlns:r="http://schemas.openxmlformats.org/officeDocument/2006/relationships" r:embed="rId14"/>
                    <a:stretch>
                      <a:fillRect/>
                    </a:stretch>
                  </pic:blipFill>
                  <pic:spPr>
                    <a:xfrm>
                      <a:off x="0" y="0"/>
                      <a:ext cx="5669280" cy="3110075"/>
                    </a:xfrm>
                    <a:prstGeom prst="rect"/>
                  </pic:spPr>
                </pic:pic>
              </a:graphicData>
            </a:graphic>
          </wp:inline>
        </w:drawing>
      </w:r>
    </w:p>
    <w:p xmlns:wp14="http://schemas.microsoft.com/office/word/2010/wordml" w14:paraId="60061E4C" wp14:textId="77777777">
      <w:pPr>
        <w:spacing w:after="120"/>
      </w:pPr>
      <w:r>
        <w:br w:type="page"/>
      </w:r>
    </w:p>
    <w:p xmlns:wp14="http://schemas.microsoft.com/office/word/2010/wordml" w14:paraId="1F990036" wp14:textId="77777777">
      <w:pPr>
        <w:spacing w:after="240"/>
        <w:jc w:val="left"/>
      </w:pPr>
      <w:r>
        <w:rPr>
          <w:rFonts w:ascii="Arial" w:hAnsi="Arial" w:eastAsia="Arial"/>
          <w:b/>
          <w:sz w:val="36"/>
        </w:rPr>
        <w:t>Reference List</w:t>
      </w:r>
    </w:p>
    <w:p xmlns:wp14="http://schemas.microsoft.com/office/word/2010/wordml" w14:paraId="7F0ED3BB" wp14:textId="77777777">
      <w:pPr>
        <w:spacing w:after="120" w:line="360" w:lineRule="auto"/>
        <w:jc w:val="left"/>
      </w:pPr>
      <w:r>
        <w:rPr>
          <w:rFonts w:ascii="Arial" w:hAnsi="Arial" w:eastAsia="Arial"/>
          <w:b w:val="0"/>
          <w:i/>
          <w:sz w:val="24"/>
        </w:rPr>
        <w:t>(Not included in word count)</w:t>
      </w:r>
    </w:p>
    <w:p xmlns:wp14="http://schemas.microsoft.com/office/word/2010/wordml" w14:paraId="2C4EF373" wp14:textId="77777777">
      <w:pPr>
        <w:spacing w:after="60" w:line="360" w:lineRule="auto"/>
        <w:ind w:left="504" w:hanging="360"/>
        <w:jc w:val="both"/>
      </w:pPr>
      <w:r>
        <w:rPr>
          <w:rFonts w:ascii="Arial" w:hAnsi="Arial" w:eastAsia="Arial"/>
          <w:b w:val="0"/>
          <w:i w:val="0"/>
          <w:sz w:val="24"/>
        </w:rPr>
        <w:t>1. Association for Project Management (2019) APM Body of Knowledge. 7th edn. Princes Risborough: Association for Project Management.</w:t>
      </w:r>
    </w:p>
    <w:p xmlns:wp14="http://schemas.microsoft.com/office/word/2010/wordml" w14:paraId="3DB729A3" wp14:textId="77777777">
      <w:pPr>
        <w:spacing w:after="60" w:line="360" w:lineRule="auto"/>
        <w:ind w:left="504" w:hanging="360"/>
        <w:jc w:val="both"/>
      </w:pPr>
      <w:r>
        <w:rPr>
          <w:rFonts w:ascii="Arial" w:hAnsi="Arial" w:eastAsia="Arial"/>
          <w:b w:val="0"/>
          <w:i w:val="0"/>
          <w:sz w:val="24"/>
        </w:rPr>
        <w:t>2. Atkinson, R. (1999) 'Project management: cost, time and quality, two best guesses and a phenomenon, it's time to accept other success criteria', International Journal of Project Management, 17(6), pp. 337-342.</w:t>
      </w:r>
    </w:p>
    <w:p xmlns:wp14="http://schemas.microsoft.com/office/word/2010/wordml" w14:paraId="6FB62CA7" wp14:textId="77777777">
      <w:pPr>
        <w:spacing w:after="60" w:line="360" w:lineRule="auto"/>
        <w:ind w:left="504" w:hanging="360"/>
        <w:jc w:val="both"/>
      </w:pPr>
      <w:r>
        <w:rPr>
          <w:rFonts w:ascii="Arial" w:hAnsi="Arial" w:eastAsia="Arial"/>
          <w:b w:val="0"/>
          <w:i w:val="0"/>
          <w:sz w:val="24"/>
        </w:rPr>
        <w:t>3. Belbin, R.M. (2010) Management Teams: Why They Succeed or Fail. 3rd edn. Oxford: Butterworth-Heinemann.</w:t>
      </w:r>
    </w:p>
    <w:p xmlns:wp14="http://schemas.microsoft.com/office/word/2010/wordml" w14:paraId="2F54F0F5" wp14:textId="77777777">
      <w:pPr>
        <w:spacing w:after="60" w:line="360" w:lineRule="auto"/>
        <w:ind w:left="504" w:hanging="360"/>
        <w:jc w:val="both"/>
      </w:pPr>
      <w:r>
        <w:rPr>
          <w:rFonts w:ascii="Arial" w:hAnsi="Arial" w:eastAsia="Arial"/>
          <w:b w:val="0"/>
          <w:i w:val="0"/>
          <w:sz w:val="24"/>
        </w:rPr>
        <w:t>4. Bourne, L. (2015) Stakeholder Relationship Management: A Maturity Model for Organisational Implementation. 2nd edn. Farnham: Gower.</w:t>
      </w:r>
    </w:p>
    <w:p xmlns:wp14="http://schemas.microsoft.com/office/word/2010/wordml" w14:paraId="088F92C8" wp14:textId="77777777">
      <w:pPr>
        <w:spacing w:after="60" w:line="360" w:lineRule="auto"/>
        <w:ind w:left="504" w:hanging="360"/>
        <w:jc w:val="both"/>
      </w:pPr>
      <w:r>
        <w:rPr>
          <w:rFonts w:ascii="Arial" w:hAnsi="Arial" w:eastAsia="Arial"/>
          <w:b w:val="0"/>
          <w:i w:val="0"/>
          <w:sz w:val="24"/>
        </w:rPr>
        <w:t>5. Fisher, S.G., Hunter, T.A. and Macrosson, W.D.K. (2001) 'A validation study of Belbin team roles', European Journal of Work and Organizational Psychology, 10(2), pp. 121-144.</w:t>
      </w:r>
    </w:p>
    <w:p xmlns:wp14="http://schemas.microsoft.com/office/word/2010/wordml" w14:paraId="17099BEA" wp14:textId="77777777">
      <w:pPr>
        <w:spacing w:after="60" w:line="360" w:lineRule="auto"/>
        <w:ind w:left="504" w:hanging="360"/>
        <w:jc w:val="both"/>
      </w:pPr>
      <w:r>
        <w:rPr>
          <w:rFonts w:ascii="Arial" w:hAnsi="Arial" w:eastAsia="Arial"/>
          <w:b w:val="0"/>
          <w:i w:val="0"/>
          <w:sz w:val="24"/>
        </w:rPr>
        <w:t>6. Freeman, R.E. (1984) Strategic Management: A Stakeholder Approach. Boston: Pitman.</w:t>
      </w:r>
    </w:p>
    <w:p xmlns:wp14="http://schemas.microsoft.com/office/word/2010/wordml" w14:paraId="6C222BDB" wp14:textId="77777777">
      <w:pPr>
        <w:spacing w:after="60" w:line="360" w:lineRule="auto"/>
        <w:ind w:left="504" w:hanging="360"/>
        <w:jc w:val="both"/>
      </w:pPr>
      <w:r>
        <w:rPr>
          <w:rFonts w:ascii="Arial" w:hAnsi="Arial" w:eastAsia="Arial"/>
          <w:b w:val="0"/>
          <w:i w:val="0"/>
          <w:sz w:val="24"/>
        </w:rPr>
        <w:t>7. Gibbs, G. (1988) Learning by Doing: A Guide to Teaching and Learning Methods. Oxford: Oxford Polytechnic.</w:t>
      </w:r>
    </w:p>
    <w:p xmlns:wp14="http://schemas.microsoft.com/office/word/2010/wordml" w14:paraId="3F29070C" wp14:textId="77777777">
      <w:pPr>
        <w:spacing w:after="60" w:line="360" w:lineRule="auto"/>
        <w:ind w:left="504" w:hanging="360"/>
        <w:jc w:val="both"/>
      </w:pPr>
      <w:r>
        <w:rPr>
          <w:rFonts w:ascii="Arial" w:hAnsi="Arial" w:eastAsia="Arial"/>
          <w:b w:val="0"/>
          <w:i w:val="0"/>
          <w:sz w:val="24"/>
        </w:rPr>
        <w:t>8. Heagney, J. (2016) Fundamentals of Project Management. 5th edn. New York: AMACOM.</w:t>
      </w:r>
    </w:p>
    <w:p xmlns:wp14="http://schemas.microsoft.com/office/word/2010/wordml" w14:paraId="4E21850C" wp14:textId="77777777">
      <w:pPr>
        <w:spacing w:after="60" w:line="360" w:lineRule="auto"/>
        <w:ind w:left="504" w:hanging="360"/>
        <w:jc w:val="both"/>
      </w:pPr>
      <w:r>
        <w:rPr>
          <w:rFonts w:ascii="Arial" w:hAnsi="Arial" w:eastAsia="Arial"/>
          <w:b w:val="0"/>
          <w:i w:val="0"/>
          <w:sz w:val="24"/>
        </w:rPr>
        <w:t>9. Heerkens, G. (2015) Project Management. 2nd edn. New York: McGraw-Hill Education.</w:t>
      </w:r>
    </w:p>
    <w:p xmlns:wp14="http://schemas.microsoft.com/office/word/2010/wordml" w14:paraId="094B9513" wp14:textId="77777777">
      <w:pPr>
        <w:spacing w:after="60" w:line="360" w:lineRule="auto"/>
        <w:ind w:left="504" w:hanging="360"/>
        <w:jc w:val="both"/>
      </w:pPr>
      <w:r>
        <w:rPr>
          <w:rFonts w:ascii="Arial" w:hAnsi="Arial" w:eastAsia="Arial"/>
          <w:b w:val="0"/>
          <w:i w:val="0"/>
          <w:sz w:val="24"/>
        </w:rPr>
        <w:t>10. Hillson, D. (2017) The Risk Management Handbook: A Practical Guide to Managing the Multiple Dimensions of Risk. London: Kogan Page.</w:t>
      </w:r>
    </w:p>
    <w:p xmlns:wp14="http://schemas.microsoft.com/office/word/2010/wordml" w14:paraId="191B8680" wp14:textId="77777777">
      <w:pPr>
        <w:spacing w:after="60" w:line="360" w:lineRule="auto"/>
        <w:ind w:left="504" w:hanging="360"/>
        <w:jc w:val="both"/>
      </w:pPr>
      <w:r>
        <w:rPr>
          <w:rFonts w:ascii="Arial" w:hAnsi="Arial" w:eastAsia="Arial"/>
          <w:b w:val="0"/>
          <w:i w:val="0"/>
          <w:sz w:val="24"/>
        </w:rPr>
        <w:t>11. Kerzner, H. (2022) Project Management: A Systems Approach to Planning, Scheduling, and Controlling. 13th edn. Hoboken, NJ: Wiley.</w:t>
      </w:r>
    </w:p>
    <w:p xmlns:wp14="http://schemas.microsoft.com/office/word/2010/wordml" w14:paraId="74BBF67B" wp14:textId="77777777">
      <w:pPr>
        <w:spacing w:after="60" w:line="360" w:lineRule="auto"/>
        <w:ind w:left="504" w:hanging="360"/>
        <w:jc w:val="both"/>
      </w:pPr>
      <w:r>
        <w:rPr>
          <w:rFonts w:ascii="Arial" w:hAnsi="Arial" w:eastAsia="Arial"/>
          <w:b w:val="0"/>
          <w:i w:val="0"/>
          <w:sz w:val="24"/>
        </w:rPr>
        <w:t>12. Kidston, P., Haward, K. and Association for Project Management (2015) Planning, Scheduling, Monitoring and Control: The Practical Project Management of Time, Cost and Risk. Princes Risborough: Association for Project Management.</w:t>
      </w:r>
    </w:p>
    <w:p xmlns:wp14="http://schemas.microsoft.com/office/word/2010/wordml" w14:paraId="28D6D415" wp14:textId="77777777">
      <w:pPr>
        <w:spacing w:after="60" w:line="360" w:lineRule="auto"/>
        <w:ind w:left="504" w:hanging="360"/>
        <w:jc w:val="both"/>
      </w:pPr>
      <w:r>
        <w:rPr>
          <w:rFonts w:ascii="Arial" w:hAnsi="Arial" w:eastAsia="Arial"/>
          <w:b w:val="0"/>
          <w:i w:val="0"/>
          <w:sz w:val="24"/>
        </w:rPr>
        <w:t>13. Lock, D. (2020) Project Management. 11th edn. London: Routledge.</w:t>
      </w:r>
    </w:p>
    <w:p xmlns:wp14="http://schemas.microsoft.com/office/word/2010/wordml" w14:paraId="7DF973B5" wp14:textId="77777777">
      <w:pPr>
        <w:spacing w:after="60" w:line="360" w:lineRule="auto"/>
        <w:ind w:left="504" w:hanging="360"/>
        <w:jc w:val="both"/>
      </w:pPr>
      <w:r>
        <w:rPr>
          <w:rFonts w:ascii="Arial" w:hAnsi="Arial" w:eastAsia="Arial"/>
          <w:b w:val="0"/>
          <w:i w:val="0"/>
          <w:sz w:val="24"/>
        </w:rPr>
        <w:t>14. Maylor, H. (2010) Project Management. 4th edn. Harlow: Pearson Education.</w:t>
      </w:r>
    </w:p>
    <w:p xmlns:wp14="http://schemas.microsoft.com/office/word/2010/wordml" w14:paraId="48544130" wp14:textId="77777777">
      <w:pPr>
        <w:spacing w:after="60" w:line="360" w:lineRule="auto"/>
        <w:ind w:left="504" w:hanging="360"/>
        <w:jc w:val="both"/>
      </w:pPr>
      <w:r>
        <w:rPr>
          <w:rFonts w:ascii="Arial" w:hAnsi="Arial" w:eastAsia="Arial"/>
          <w:b w:val="0"/>
          <w:i w:val="0"/>
          <w:sz w:val="24"/>
        </w:rPr>
        <w:t>15. Meredith, J.R. and Mantel, S.J. (2009) Project Management: A Managerial Approach. 7th edn. Hoboken, NJ: John Wiley &amp; Sons.</w:t>
      </w:r>
    </w:p>
    <w:p xmlns:wp14="http://schemas.microsoft.com/office/word/2010/wordml" w14:paraId="5C3121AC" wp14:textId="77777777">
      <w:pPr>
        <w:spacing w:after="60" w:line="360" w:lineRule="auto"/>
        <w:ind w:left="504" w:hanging="360"/>
        <w:jc w:val="both"/>
      </w:pPr>
      <w:r>
        <w:rPr>
          <w:rFonts w:ascii="Arial" w:hAnsi="Arial" w:eastAsia="Arial"/>
          <w:b w:val="0"/>
          <w:i w:val="0"/>
          <w:sz w:val="24"/>
        </w:rPr>
        <w:t>16. Project Management Institute (2021) A Guide to the Project Management Body of Knowledge (PMBOK Guide). 7th edn. Newtown Square, PA: Project Management Institute.</w:t>
      </w:r>
    </w:p>
    <w:p xmlns:wp14="http://schemas.microsoft.com/office/word/2010/wordml" w14:paraId="28D60A18" wp14:textId="77777777">
      <w:pPr>
        <w:spacing w:after="60" w:line="360" w:lineRule="auto"/>
        <w:ind w:left="504" w:hanging="360"/>
        <w:jc w:val="both"/>
      </w:pPr>
      <w:r>
        <w:rPr>
          <w:rFonts w:ascii="Arial" w:hAnsi="Arial" w:eastAsia="Arial"/>
          <w:b w:val="0"/>
          <w:i w:val="0"/>
          <w:sz w:val="24"/>
        </w:rPr>
        <w:t>17. Reiss, G. (2015) Project Management Demystified. London: Routledge.</w:t>
      </w:r>
    </w:p>
    <w:p xmlns:wp14="http://schemas.microsoft.com/office/word/2010/wordml" w14:paraId="4AF6FB83" wp14:textId="77777777">
      <w:pPr>
        <w:spacing w:after="60" w:line="360" w:lineRule="auto"/>
        <w:ind w:left="504" w:hanging="360"/>
        <w:jc w:val="both"/>
      </w:pPr>
      <w:r>
        <w:rPr>
          <w:rFonts w:ascii="Arial" w:hAnsi="Arial" w:eastAsia="Arial"/>
          <w:b w:val="0"/>
          <w:i w:val="0"/>
          <w:sz w:val="24"/>
        </w:rPr>
        <w:t>18. Tuckman, B.W. (1965) 'Developmental sequence in small groups', Psychological Bulletin, 63(6), pp. 384-399.</w:t>
      </w:r>
    </w:p>
    <w:p xmlns:wp14="http://schemas.microsoft.com/office/word/2010/wordml" w14:paraId="6C27D7B3" wp14:textId="77777777">
      <w:pPr>
        <w:spacing w:after="60" w:line="360" w:lineRule="auto"/>
        <w:ind w:left="504" w:hanging="360"/>
        <w:jc w:val="both"/>
      </w:pPr>
      <w:r>
        <w:rPr>
          <w:rFonts w:ascii="Arial" w:hAnsi="Arial" w:eastAsia="Arial"/>
          <w:b w:val="0"/>
          <w:i w:val="0"/>
          <w:sz w:val="24"/>
        </w:rPr>
        <w:t>19. Turner, J.R. (2014) The Handbook of Project-Based Management. 4th edn. New York: McGraw-Hill Education.</w:t>
      </w:r>
    </w:p>
    <w:p xmlns:wp14="http://schemas.microsoft.com/office/word/2010/wordml" w14:paraId="09B244F3" wp14:textId="77777777">
      <w:pPr>
        <w:spacing w:after="60" w:line="360" w:lineRule="auto"/>
        <w:ind w:left="504" w:hanging="360"/>
        <w:jc w:val="both"/>
      </w:pPr>
      <w:r>
        <w:rPr>
          <w:rFonts w:ascii="Arial" w:hAnsi="Arial" w:eastAsia="Arial"/>
          <w:b w:val="0"/>
          <w:i w:val="0"/>
          <w:sz w:val="24"/>
        </w:rPr>
        <w:t>20. Wysocki, R.K. (2014) Effective Project Management: Traditional, Agile, Extreme. 7th edn. Indianapolis, IN: Wiley.</w:t>
      </w:r>
    </w:p>
    <w:sectPr w:rsidRPr="0006063C" w:rsidR="00FC693F" w:rsidSect="00034616">
      <w:headerReference w:type="default" r:id="rId9"/>
      <w:footerReference w:type="default" r:id="rId10"/>
      <w:headerReference w:type="first" r:id="rId11"/>
      <w:headerReference w:type="even" r:id="rId1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xmlns:wp14="http://schemas.microsoft.com/office/word/2010/wordml" w14:paraId="0FD2B6DA" wp14:textId="77777777">
    <w:pPr>
      <w:pStyle w:val="Footer"/>
      <w:jc w:val="center"/>
    </w:pPr>
    <w:r/>
    <w:r>
      <w:rPr>
        <w:rFonts w:ascii="Arial" w:hAnsi="Arial" w:eastAsia="Arial"/>
        <w:sz w:val="18"/>
      </w:rPr>
      <w:t xml:space="preserve">Page </w:t>
    </w:r>
    <w:r>
      <w:fldChar w:fldCharType="begin"/>
    </w:r>
    <w:r>
      <w:instrText xml:space="preserve">PAGE</w:instrText>
    </w:r>
    <w:r>
      <w:fldChar w:fldCharType="end"/>
    </w:r>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xmlns:wp14="http://schemas.microsoft.com/office/word/2010/wordml" w14:paraId="44EAFD9C" wp14:textId="77777777">
    <w:pPr>
      <w:pStyle w:val="Header"/>
      <w:jc w:val="center"/>
    </w:pPr>
  </w:p>
</w:hdr>
</file>

<file path=word/header2.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xmlns:wp14="http://schemas.microsoft.com/office/word/2010/wordml" w14:paraId="4B94D5A5" wp14:textId="77777777">
    <w:pPr>
      <w:pStyle w:val="Header"/>
    </w:pPr>
  </w:p>
</w:hdr>
</file>

<file path=word/header3.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xmlns:wp14="http://schemas.microsoft.com/office/word/2010/wordml" w14:paraId="3DEEC669" wp14:textId="7777777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1D8F410E"/>
    <w:rsid w:val="296C79A8"/>
    <w:rsid w:val="2E3FC03B"/>
    <w:rsid w:val="2E3FC03B"/>
    <w:rsid w:val="36B4A96E"/>
    <w:rsid w:val="4B5BC951"/>
    <w:rsid w:val="55EDBD97"/>
    <w:rsid w:val="5D160A80"/>
    <w:rsid w:val="72D397AB"/>
    <w:rsid w:val="7CAA7DDA"/>
    <w:rsid w:val="7DC3E5E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DF2C60F9-BE3B-4B55-9595-17E78E8A82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Arial" w:hAnsi="Arial" w:eastAsia="Arial"/>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Arial" w:hAnsi="Arial" w:eastAsia="Arial"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Arial" w:hAnsi="Arial" w:eastAsia="Arial"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Arial" w:hAnsi="Arial" w:eastAsia="Arial"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Arial" w:hAnsi="Arial" w:eastAsia="Arial"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header" Target="header1.xml" Id="rId9" /><Relationship Type="http://schemas.openxmlformats.org/officeDocument/2006/relationships/footer" Target="footer1.xml" Id="rId10" /><Relationship Type="http://schemas.openxmlformats.org/officeDocument/2006/relationships/header" Target="header2.xml" Id="rId11" /><Relationship Type="http://schemas.openxmlformats.org/officeDocument/2006/relationships/header" Target="header3.xml" Id="rId12" /><Relationship Type="http://schemas.openxmlformats.org/officeDocument/2006/relationships/image" Target="media/image1.png" Id="rId13" /><Relationship Type="http://schemas.openxmlformats.org/officeDocument/2006/relationships/image" Target="media/image2.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Daniel Naica</lastModifiedBy>
  <revision>2</revision>
  <dcterms:created xsi:type="dcterms:W3CDTF">2013-12-23T23:15:00.0000000Z</dcterms:created>
  <dcterms:modified xsi:type="dcterms:W3CDTF">2026-07-03T17:52:32.6572472Z</dcterms:modified>
  <category/>
</coreProperties>
</file>