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Cs w:val="24"/>
        </w:rPr>
      </w:pPr>
    </w:p>
    <w:p w14:paraId="238CC0CF" w14:textId="77777777" w:rsidR="007F3CCF" w:rsidRDefault="007F3CCF" w:rsidP="00833470">
      <w:pPr>
        <w:tabs>
          <w:tab w:val="left" w:pos="6540"/>
        </w:tabs>
        <w:spacing w:line="360" w:lineRule="auto"/>
        <w:rPr>
          <w:rFonts w:ascii="Arial" w:hAnsi="Arial" w:cs="Arial"/>
          <w:sz w:val="28"/>
          <w:szCs w:val="28"/>
        </w:rPr>
      </w:pPr>
    </w:p>
    <w:p w14:paraId="5818B88A" w14:textId="42E1A3C8"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BD2305" w:rsidRPr="00BD2305">
        <w:rPr>
          <w:rFonts w:ascii="Arial" w:hAnsi="Arial" w:cs="Arial"/>
        </w:rPr>
        <w:t>Sabbir Ahmed</w:t>
      </w:r>
    </w:p>
    <w:p w14:paraId="476C763A" w14:textId="1868147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BD2305">
        <w:rPr>
          <w:rFonts w:ascii="Arial" w:hAnsi="Arial" w:cs="Arial"/>
          <w:sz w:val="28"/>
          <w:szCs w:val="28"/>
          <w:lang w:val="nl-NL"/>
        </w:rPr>
        <w:t xml:space="preserve"> </w:t>
      </w:r>
      <w:r w:rsidR="00D16DC3" w:rsidRPr="00A23257">
        <w:rPr>
          <w:rFonts w:ascii="Arial" w:hAnsi="Arial" w:cs="Arial"/>
          <w:lang w:val="nl-NL"/>
        </w:rPr>
        <w:t>24</w:t>
      </w:r>
      <w:r w:rsidR="00DB7C61" w:rsidRPr="00A23257">
        <w:rPr>
          <w:rFonts w:ascii="Arial" w:hAnsi="Arial" w:cs="Arial"/>
          <w:lang w:val="nl-NL"/>
        </w:rPr>
        <w:t>35269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FF1287D" w:rsidR="00833470" w:rsidRPr="00D04874" w:rsidRDefault="00833470" w:rsidP="00833470">
      <w:pPr>
        <w:tabs>
          <w:tab w:val="left" w:pos="6540"/>
        </w:tabs>
        <w:spacing w:line="360" w:lineRule="auto"/>
        <w:rPr>
          <w:rFonts w:ascii="Arial" w:hAnsi="Arial" w:cs="Arial"/>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014DF0" w:rsidRPr="00D04874">
        <w:rPr>
          <w:rFonts w:ascii="Arial" w:hAnsi="Arial" w:cs="Arial"/>
          <w:lang w:val="nl-NL"/>
        </w:rPr>
        <w:t xml:space="preserve">Introduction to Health and social care </w:t>
      </w:r>
    </w:p>
    <w:p w14:paraId="0009AFB0" w14:textId="40ADFB1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C10AF9">
        <w:rPr>
          <w:rFonts w:ascii="Arial" w:hAnsi="Arial" w:cs="Arial"/>
          <w:sz w:val="28"/>
          <w:szCs w:val="28"/>
        </w:rPr>
        <w:t xml:space="preserve"> </w:t>
      </w:r>
      <w:r w:rsidR="00C10AF9" w:rsidRPr="00D04874">
        <w:rPr>
          <w:rFonts w:ascii="Arial" w:hAnsi="Arial" w:cs="Arial"/>
        </w:rPr>
        <w:t>LCH</w:t>
      </w:r>
      <w:r w:rsidR="00B14056" w:rsidRPr="00D04874">
        <w:rPr>
          <w:rFonts w:ascii="Arial" w:hAnsi="Arial" w:cs="Arial"/>
        </w:rPr>
        <w:t>S4003</w:t>
      </w:r>
    </w:p>
    <w:p w14:paraId="43B0F853" w14:textId="15B541C2" w:rsidR="00925D5E" w:rsidRPr="0083150A" w:rsidRDefault="00833470">
      <w:pPr>
        <w:rPr>
          <w:rFonts w:ascii="Arial" w:hAnsi="Arial" w:cs="Arial"/>
        </w:rPr>
      </w:pPr>
      <w:r w:rsidRPr="0020413D">
        <w:rPr>
          <w:rFonts w:ascii="Arial" w:hAnsi="Arial" w:cs="Arial"/>
          <w:b/>
          <w:bCs/>
          <w:sz w:val="28"/>
          <w:szCs w:val="28"/>
        </w:rPr>
        <w:t xml:space="preserve">Lecturer </w:t>
      </w:r>
      <w:bookmarkEnd w:id="0"/>
      <w:r w:rsidR="005E51C6" w:rsidRPr="0020413D">
        <w:rPr>
          <w:rFonts w:ascii="Arial" w:hAnsi="Arial" w:cs="Arial"/>
          <w:b/>
          <w:bCs/>
          <w:sz w:val="28"/>
          <w:szCs w:val="28"/>
        </w:rPr>
        <w:t>name</w:t>
      </w:r>
      <w:r w:rsidR="005E51C6" w:rsidRPr="0020413D">
        <w:t>:</w:t>
      </w:r>
      <w:r w:rsidR="005B7705">
        <w:t xml:space="preserve"> </w:t>
      </w:r>
      <w:r w:rsidR="005B7705" w:rsidRPr="0083150A">
        <w:rPr>
          <w:rFonts w:ascii="Arial" w:hAnsi="Arial" w:cs="Arial"/>
        </w:rPr>
        <w:t>M</w:t>
      </w:r>
      <w:r w:rsidR="00822570" w:rsidRPr="0083150A">
        <w:rPr>
          <w:rFonts w:ascii="Arial" w:hAnsi="Arial" w:cs="Arial"/>
        </w:rPr>
        <w:t>ark Kane</w:t>
      </w:r>
    </w:p>
    <w:p w14:paraId="089C6673" w14:textId="77777777" w:rsidR="005E51C6" w:rsidRDefault="005E51C6"/>
    <w:p w14:paraId="3BCC69CD" w14:textId="77777777" w:rsidR="005E51C6" w:rsidRDefault="005E51C6"/>
    <w:p w14:paraId="2562CC53" w14:textId="77777777" w:rsidR="005E51C6" w:rsidRDefault="005E51C6"/>
    <w:p w14:paraId="2E700C1C" w14:textId="77777777" w:rsidR="005E51C6" w:rsidRDefault="005E51C6"/>
    <w:p w14:paraId="429A99C8" w14:textId="77777777" w:rsidR="005E51C6" w:rsidRDefault="005E51C6"/>
    <w:p w14:paraId="21D53FC8" w14:textId="77777777" w:rsidR="005E51C6" w:rsidRPr="005E51C6" w:rsidRDefault="005E51C6" w:rsidP="005E51C6">
      <w:pPr>
        <w:rPr>
          <w:rFonts w:ascii="Arial" w:hAnsi="Arial" w:cs="Arial"/>
          <w:b/>
          <w:bCs/>
        </w:rPr>
      </w:pPr>
      <w:r w:rsidRPr="005E51C6">
        <w:rPr>
          <w:rFonts w:ascii="Arial" w:hAnsi="Arial" w:cs="Arial"/>
          <w:b/>
          <w:bCs/>
        </w:rPr>
        <w:t>Case Study: Mrs Mann</w:t>
      </w:r>
    </w:p>
    <w:p w14:paraId="0CFC8D56" w14:textId="77777777" w:rsidR="005E51C6" w:rsidRPr="005E51C6" w:rsidRDefault="005E51C6" w:rsidP="005E51C6">
      <w:pPr>
        <w:rPr>
          <w:rFonts w:ascii="Arial" w:hAnsi="Arial" w:cs="Arial"/>
        </w:rPr>
      </w:pPr>
      <w:r w:rsidRPr="005E51C6">
        <w:rPr>
          <w:rFonts w:ascii="Arial" w:hAnsi="Arial" w:cs="Arial"/>
        </w:rPr>
        <w:t>Mrs Mann is a 72-year-old woman who was recently discharged from hospital following hip replacement surgery. She lives independently in her own home and receives twice-daily support from a domiciliary care agency to assist with personal care and mobility. Her ongoing care is coordinated by a multidisciplinary team (MDT), which includes her GP and a community physiotherapist who visits twice weekly to support her rehabilitation.</w:t>
      </w:r>
    </w:p>
    <w:p w14:paraId="4FC6E020" w14:textId="77777777" w:rsidR="005E51C6" w:rsidRPr="005E51C6" w:rsidRDefault="005E51C6" w:rsidP="005E51C6">
      <w:pPr>
        <w:rPr>
          <w:rFonts w:ascii="Arial" w:hAnsi="Arial" w:cs="Arial"/>
        </w:rPr>
      </w:pPr>
      <w:r w:rsidRPr="005E51C6">
        <w:rPr>
          <w:rFonts w:ascii="Arial" w:hAnsi="Arial" w:cs="Arial"/>
        </w:rPr>
        <w:t>Mrs Mann’s first language is Urdu, and she has limited proficiency in English. Although her daughter, who lives nearby, frequently assists with interpretation, this reliance on informal interpretation presents potential risks relating to accuracy, confidentiality, and informed consent.</w:t>
      </w:r>
    </w:p>
    <w:p w14:paraId="1B911B32" w14:textId="77777777" w:rsidR="005E51C6" w:rsidRPr="005E51C6" w:rsidRDefault="005E51C6" w:rsidP="005E51C6">
      <w:pPr>
        <w:rPr>
          <w:rFonts w:ascii="Arial" w:hAnsi="Arial" w:cs="Arial"/>
        </w:rPr>
      </w:pPr>
      <w:r w:rsidRPr="005E51C6">
        <w:rPr>
          <w:rFonts w:ascii="Arial" w:hAnsi="Arial" w:cs="Arial"/>
        </w:rPr>
        <w:t>Concerns have recently been raised regarding inconsistencies within Mrs Mann’s care documentation. In addition, a breakdown in communication between professionals led to a delay in adjusting her medication. This incident has since been referred for internal review, highlighting potential weaknesses in record-keeping practices and interprofessional communication.</w:t>
      </w:r>
    </w:p>
    <w:p w14:paraId="28CD1266" w14:textId="77777777" w:rsidR="005E51C6" w:rsidRPr="005E51C6" w:rsidRDefault="005E51C6" w:rsidP="005E51C6">
      <w:pPr>
        <w:rPr>
          <w:rFonts w:ascii="Arial" w:hAnsi="Arial" w:cs="Arial"/>
        </w:rPr>
      </w:pPr>
      <w:r w:rsidRPr="005E51C6">
        <w:rPr>
          <w:rFonts w:ascii="Arial" w:hAnsi="Arial" w:cs="Arial"/>
        </w:rPr>
        <w:t>These issues pose risks to Mrs Mann’s safety and recovery. Inaccurate or incomplete documentation can compromise continuity of care and hinder effective clinical decision-making. Furthermore, delayed medication adjustments may negatively affect pain management and rehabilitation outcomes. Mrs Mann’s limited English proficiency further increases the risk of misunderstanding care instructions and reduces her ability to fully participate in decisions regarding her treatment.</w:t>
      </w:r>
    </w:p>
    <w:p w14:paraId="5E47A699" w14:textId="77777777" w:rsidR="005E51C6" w:rsidRPr="005E51C6" w:rsidRDefault="005E51C6" w:rsidP="005E51C6">
      <w:pPr>
        <w:rPr>
          <w:rFonts w:ascii="Arial" w:hAnsi="Arial" w:cs="Arial"/>
        </w:rPr>
      </w:pPr>
      <w:r w:rsidRPr="005E51C6">
        <w:rPr>
          <w:rFonts w:ascii="Arial" w:hAnsi="Arial" w:cs="Arial"/>
        </w:rPr>
        <w:t>From a legal and ethical perspective, professionals involved in Mrs Mann’s care have a duty of care to provide safe, coordinated, and person-centred support. Accurate and timely record keeping is a professional requirement, and under the Equality Act 2010, Mrs Mann is entitled to reasonable adjustments, including access to professional interpreting services, to ensure she can provide informed consent and actively engage in her care.</w:t>
      </w:r>
    </w:p>
    <w:p w14:paraId="7DCF29B9" w14:textId="77777777" w:rsidR="005E51C6" w:rsidRPr="005E51C6" w:rsidRDefault="005E51C6" w:rsidP="005E51C6">
      <w:pPr>
        <w:rPr>
          <w:rFonts w:ascii="Arial" w:hAnsi="Arial" w:cs="Arial"/>
        </w:rPr>
      </w:pPr>
      <w:r w:rsidRPr="005E51C6">
        <w:rPr>
          <w:rFonts w:ascii="Arial" w:hAnsi="Arial" w:cs="Arial"/>
        </w:rPr>
        <w:t>In conclusion, Mrs Mann’s case illustrates the importance of effective documentation, clear MDT communication, and culturally responsive practice. Addressing these areas through improved record-keeping systems, structured interprofessional communication, and appropriate language support would enhance patient safety, promote autonomy, and support Mrs Mann’s recovery and wellbeing.</w:t>
      </w:r>
    </w:p>
    <w:p w14:paraId="68A77686" w14:textId="4D23C413" w:rsidR="005E51C6" w:rsidRPr="00434136" w:rsidRDefault="005E51C6">
      <w:pPr>
        <w:rPr>
          <w:rFonts w:ascii="Arial" w:hAnsi="Arial" w:cs="Arial"/>
        </w:rPr>
      </w:pPr>
    </w:p>
    <w:p w14:paraId="2F406069" w14:textId="77777777" w:rsidR="005E51C6" w:rsidRPr="00434136" w:rsidRDefault="005E51C6">
      <w:pPr>
        <w:rPr>
          <w:rFonts w:ascii="Arial" w:hAnsi="Arial" w:cs="Arial"/>
        </w:rPr>
      </w:pPr>
    </w:p>
    <w:p w14:paraId="1A4630FE" w14:textId="4B8B42AC" w:rsidR="005E51C6" w:rsidRPr="00434136" w:rsidRDefault="005E51C6" w:rsidP="005E51C6">
      <w:pPr>
        <w:rPr>
          <w:rFonts w:ascii="Arial" w:hAnsi="Arial" w:cs="Arial"/>
          <w:b/>
          <w:bCs/>
        </w:rPr>
      </w:pPr>
      <w:r w:rsidRPr="00434136">
        <w:rPr>
          <w:rFonts w:ascii="Arial" w:hAnsi="Arial" w:cs="Arial"/>
        </w:rPr>
        <w:t>1.</w:t>
      </w:r>
      <w:r w:rsidRPr="00434136">
        <w:rPr>
          <w:rFonts w:ascii="Arial" w:eastAsia="Times New Roman" w:hAnsi="Arial" w:cs="Arial"/>
          <w:b/>
          <w:bCs/>
          <w:lang w:eastAsia="en-GB"/>
        </w:rPr>
        <w:t xml:space="preserve"> </w:t>
      </w:r>
      <w:r w:rsidRPr="00434136">
        <w:rPr>
          <w:rFonts w:ascii="Arial" w:hAnsi="Arial" w:cs="Arial"/>
          <w:b/>
          <w:bCs/>
        </w:rPr>
        <w:t>The Importance of Effective Communication in Mrs Mann’s Care</w:t>
      </w:r>
    </w:p>
    <w:p w14:paraId="11D23FE4" w14:textId="77777777" w:rsidR="005E51C6" w:rsidRPr="005E51C6" w:rsidRDefault="005E51C6" w:rsidP="005E51C6">
      <w:pPr>
        <w:rPr>
          <w:rFonts w:ascii="Arial" w:hAnsi="Arial" w:cs="Arial"/>
        </w:rPr>
      </w:pPr>
      <w:r w:rsidRPr="005E51C6">
        <w:rPr>
          <w:rFonts w:ascii="Arial" w:hAnsi="Arial" w:cs="Arial"/>
        </w:rPr>
        <w:t>Effective communication is fundamental to the delivery of safe, high-quality, and person-centred care. In the case of Mrs Mann, a 72-year-old woman recovering from hip replacement surgery, effective communication is particularly important due to her complex needs, including limited English proficiency, reliance on multiple care professionals, and dependence on domiciliary support while living alone. Failures in communication have already contributed to inconsistent documentation and a delayed medication adjustment, demonstrating how poor communication can directly compromise patient safety and wellbeing.</w:t>
      </w:r>
    </w:p>
    <w:p w14:paraId="49E9C979" w14:textId="6A00A998" w:rsidR="005E51C6" w:rsidRPr="005E51C6" w:rsidRDefault="005E51C6" w:rsidP="005E51C6">
      <w:pPr>
        <w:rPr>
          <w:rFonts w:ascii="Arial" w:hAnsi="Arial" w:cs="Arial"/>
        </w:rPr>
      </w:pPr>
    </w:p>
    <w:p w14:paraId="28E2F0EA" w14:textId="77777777" w:rsidR="005E51C6" w:rsidRPr="005E51C6" w:rsidRDefault="005E51C6" w:rsidP="005E51C6">
      <w:pPr>
        <w:rPr>
          <w:rFonts w:ascii="Arial" w:hAnsi="Arial" w:cs="Arial"/>
          <w:b/>
          <w:bCs/>
        </w:rPr>
      </w:pPr>
      <w:r w:rsidRPr="005E51C6">
        <w:rPr>
          <w:rFonts w:ascii="Arial" w:hAnsi="Arial" w:cs="Arial"/>
          <w:b/>
          <w:bCs/>
        </w:rPr>
        <w:t>Communicating Effectively with the Service User and Family Members</w:t>
      </w:r>
    </w:p>
    <w:p w14:paraId="2540FF33" w14:textId="77777777" w:rsidR="005E51C6" w:rsidRPr="005E51C6" w:rsidRDefault="005E51C6" w:rsidP="005E51C6">
      <w:pPr>
        <w:rPr>
          <w:rFonts w:ascii="Arial" w:hAnsi="Arial" w:cs="Arial"/>
          <w:b/>
          <w:bCs/>
        </w:rPr>
      </w:pPr>
      <w:r w:rsidRPr="005E51C6">
        <w:rPr>
          <w:rFonts w:ascii="Arial" w:hAnsi="Arial" w:cs="Arial"/>
          <w:b/>
          <w:bCs/>
        </w:rPr>
        <w:t>Communication with Mrs Mann</w:t>
      </w:r>
    </w:p>
    <w:p w14:paraId="498B183A" w14:textId="77777777" w:rsidR="005E51C6" w:rsidRPr="005E51C6" w:rsidRDefault="005E51C6" w:rsidP="005E51C6">
      <w:pPr>
        <w:rPr>
          <w:rFonts w:ascii="Arial" w:hAnsi="Arial" w:cs="Arial"/>
        </w:rPr>
      </w:pPr>
      <w:r w:rsidRPr="005E51C6">
        <w:rPr>
          <w:rFonts w:ascii="Arial" w:hAnsi="Arial" w:cs="Arial"/>
        </w:rPr>
        <w:t>To ensure effective communication with Mrs Mann, care professionals must adapt their approach to meet her individual needs. This includes using clear and simple language, avoiding medical jargon, and speaking at an appropriate pace. Understanding should be checked regularly through feedback, rather than assumed. Visual aids, demonstrations, and written information can further support understanding, particularly during explanations of medication use and physiotherapy exercises.</w:t>
      </w:r>
    </w:p>
    <w:p w14:paraId="782D3498" w14:textId="77777777" w:rsidR="005E51C6" w:rsidRPr="005E51C6" w:rsidRDefault="005E51C6" w:rsidP="005E51C6">
      <w:pPr>
        <w:rPr>
          <w:rFonts w:ascii="Arial" w:hAnsi="Arial" w:cs="Arial"/>
        </w:rPr>
      </w:pPr>
      <w:r w:rsidRPr="005E51C6">
        <w:rPr>
          <w:rFonts w:ascii="Arial" w:hAnsi="Arial" w:cs="Arial"/>
        </w:rPr>
        <w:t>Given that Urdu is Mrs Mann’s first language, the use of professional interpreters and translated written materials is essential. While her daughter may assist with communication, reliance on family members alone is not best practice, as it may affect accuracy, confidentiality, and Mrs Mann’s ability to express her own views freely. Providing appropriate language support promotes autonomy, dignity, and informed decision-making.</w:t>
      </w:r>
    </w:p>
    <w:p w14:paraId="7947AF04" w14:textId="77777777" w:rsidR="005E51C6" w:rsidRPr="005E51C6" w:rsidRDefault="005E51C6" w:rsidP="005E51C6">
      <w:pPr>
        <w:rPr>
          <w:rFonts w:ascii="Arial" w:hAnsi="Arial" w:cs="Arial"/>
          <w:b/>
          <w:bCs/>
        </w:rPr>
      </w:pPr>
      <w:r w:rsidRPr="005E51C6">
        <w:rPr>
          <w:rFonts w:ascii="Arial" w:hAnsi="Arial" w:cs="Arial"/>
          <w:b/>
          <w:bCs/>
        </w:rPr>
        <w:t>Communication with Family Members</w:t>
      </w:r>
    </w:p>
    <w:p w14:paraId="27739B5F" w14:textId="2A8FFAE3" w:rsidR="005E51C6" w:rsidRPr="005E51C6" w:rsidRDefault="005E51C6" w:rsidP="005E51C6">
      <w:pPr>
        <w:rPr>
          <w:rFonts w:ascii="Arial" w:hAnsi="Arial" w:cs="Arial"/>
        </w:rPr>
      </w:pPr>
      <w:r w:rsidRPr="005E51C6">
        <w:rPr>
          <w:rFonts w:ascii="Arial" w:hAnsi="Arial" w:cs="Arial"/>
        </w:rPr>
        <w:t>With Mrs Mann’s consent, her daughter should be involved in discussions regarding care planning, medication changes, and rehabilitation progress. Clear and consistent information should be shared to ensure continuity of care and to reduce the risk of misunderstandings. However, professionals must remain mindful of confidentiality and data protection requirements, ensuring that Mrs Mann remains central to all decisions about her care.</w:t>
      </w:r>
    </w:p>
    <w:p w14:paraId="191C4835" w14:textId="77777777" w:rsidR="005E51C6" w:rsidRPr="005E51C6" w:rsidRDefault="005E51C6" w:rsidP="005E51C6">
      <w:pPr>
        <w:rPr>
          <w:rFonts w:ascii="Arial" w:hAnsi="Arial" w:cs="Arial"/>
          <w:b/>
          <w:bCs/>
        </w:rPr>
      </w:pPr>
      <w:r w:rsidRPr="005E51C6">
        <w:rPr>
          <w:rFonts w:ascii="Arial" w:hAnsi="Arial" w:cs="Arial"/>
          <w:b/>
          <w:bCs/>
        </w:rPr>
        <w:t>Equality Act 2010 and Inclusive Communication</w:t>
      </w:r>
    </w:p>
    <w:p w14:paraId="6D0AD1AC" w14:textId="77777777" w:rsidR="005E51C6" w:rsidRPr="005E51C6" w:rsidRDefault="005E51C6" w:rsidP="005E51C6">
      <w:pPr>
        <w:rPr>
          <w:rFonts w:ascii="Arial" w:hAnsi="Arial" w:cs="Arial"/>
        </w:rPr>
      </w:pPr>
      <w:r w:rsidRPr="005E51C6">
        <w:rPr>
          <w:rFonts w:ascii="Arial" w:hAnsi="Arial" w:cs="Arial"/>
        </w:rPr>
        <w:t>The Equality Act 2010 provides a legal framework to protect individuals from discrimination and to promote equality of opportunity. Mrs Mann’s language needs relate to protected characteristics such as race and ethnicity. Failure to provide appropriate communication support could therefore result in indirect discrimination.</w:t>
      </w:r>
    </w:p>
    <w:p w14:paraId="4121A77B" w14:textId="2A888AD7" w:rsidR="005E51C6" w:rsidRPr="005E51C6" w:rsidRDefault="005E51C6" w:rsidP="005E51C6">
      <w:pPr>
        <w:rPr>
          <w:rFonts w:ascii="Arial" w:hAnsi="Arial" w:cs="Arial"/>
        </w:rPr>
      </w:pPr>
      <w:r w:rsidRPr="005E51C6">
        <w:rPr>
          <w:rFonts w:ascii="Arial" w:hAnsi="Arial" w:cs="Arial"/>
        </w:rPr>
        <w:t>Under the Act, care providers have a duty to make reasonable adjustments to ensure services are accessible. In Mrs Mann’s case, this includes providing interpreters, culturally sensitive communication, and information in her preferred language. By doing so, professionals uphold her rights, promote dignity and respect, and ensure equitable access to health and social care services.</w:t>
      </w:r>
    </w:p>
    <w:p w14:paraId="432300A3" w14:textId="77777777" w:rsidR="005E51C6" w:rsidRPr="005E51C6" w:rsidRDefault="005E51C6" w:rsidP="005E51C6">
      <w:pPr>
        <w:rPr>
          <w:rFonts w:ascii="Arial" w:hAnsi="Arial" w:cs="Arial"/>
          <w:b/>
          <w:bCs/>
        </w:rPr>
      </w:pPr>
      <w:r w:rsidRPr="005E51C6">
        <w:rPr>
          <w:rFonts w:ascii="Arial" w:hAnsi="Arial" w:cs="Arial"/>
          <w:b/>
          <w:bCs/>
        </w:rPr>
        <w:t>Application of the Transactional Model of Communication</w:t>
      </w:r>
    </w:p>
    <w:p w14:paraId="30DC36B9" w14:textId="77777777" w:rsidR="005E51C6" w:rsidRPr="005E51C6" w:rsidRDefault="005E51C6" w:rsidP="005E51C6">
      <w:pPr>
        <w:rPr>
          <w:rFonts w:ascii="Arial" w:hAnsi="Arial" w:cs="Arial"/>
        </w:rPr>
      </w:pPr>
      <w:r w:rsidRPr="005E51C6">
        <w:rPr>
          <w:rFonts w:ascii="Arial" w:hAnsi="Arial" w:cs="Arial"/>
        </w:rPr>
        <w:t>The Transactional Model of Communication emphasises communication as a two-way, dynamic process in which both the sender and receiver actively participate. This model is particularly relevant to Mrs Mann’s care, as it highlights the importance of feedback and shared understanding.</w:t>
      </w:r>
    </w:p>
    <w:p w14:paraId="0B2C11F4" w14:textId="77777777" w:rsidR="005E51C6" w:rsidRPr="005E51C6" w:rsidRDefault="005E51C6" w:rsidP="005E51C6">
      <w:pPr>
        <w:rPr>
          <w:rFonts w:ascii="Arial" w:hAnsi="Arial" w:cs="Arial"/>
        </w:rPr>
      </w:pPr>
      <w:r w:rsidRPr="005E51C6">
        <w:rPr>
          <w:rFonts w:ascii="Arial" w:hAnsi="Arial" w:cs="Arial"/>
        </w:rPr>
        <w:t>In practice, care professionals must actively seek confirmation that Mrs Mann has understood the information provided. Barriers such as language differences, cultural factors, and emotional stress following surgery can disrupt communication. These barriers can be reduced through the use of interpreters, non-verbal communication, and active listening. Applying this model helps prevent misunderstandings, supports accurate information sharing, and reduces the risk of errors such as missed medication changes.</w:t>
      </w:r>
    </w:p>
    <w:p w14:paraId="3D19C6DF" w14:textId="77777777" w:rsidR="005E51C6" w:rsidRPr="00434136" w:rsidRDefault="005E51C6">
      <w:pPr>
        <w:rPr>
          <w:rFonts w:ascii="Arial" w:hAnsi="Arial" w:cs="Arial"/>
        </w:rPr>
      </w:pPr>
    </w:p>
    <w:p w14:paraId="1267D36A" w14:textId="77777777" w:rsidR="006F7E4E" w:rsidRPr="00434136" w:rsidRDefault="006F7E4E">
      <w:pPr>
        <w:rPr>
          <w:rFonts w:ascii="Arial" w:hAnsi="Arial" w:cs="Arial"/>
        </w:rPr>
      </w:pPr>
    </w:p>
    <w:p w14:paraId="55FD343A" w14:textId="6F63D656" w:rsidR="006F7E4E" w:rsidRPr="00434136" w:rsidRDefault="006F7E4E" w:rsidP="006F7E4E">
      <w:pPr>
        <w:rPr>
          <w:rFonts w:ascii="Arial" w:hAnsi="Arial" w:cs="Arial"/>
          <w:b/>
          <w:bCs/>
        </w:rPr>
      </w:pPr>
      <w:r w:rsidRPr="00434136">
        <w:rPr>
          <w:rFonts w:ascii="Arial" w:hAnsi="Arial" w:cs="Arial"/>
        </w:rPr>
        <w:t>2.</w:t>
      </w:r>
      <w:r w:rsidRPr="00434136">
        <w:rPr>
          <w:rFonts w:ascii="Arial" w:eastAsia="Times New Roman" w:hAnsi="Arial" w:cs="Arial"/>
          <w:b/>
          <w:bCs/>
          <w:lang w:eastAsia="en-GB"/>
        </w:rPr>
        <w:t xml:space="preserve"> </w:t>
      </w:r>
      <w:r w:rsidRPr="00434136">
        <w:rPr>
          <w:rFonts w:ascii="Arial" w:hAnsi="Arial" w:cs="Arial"/>
          <w:b/>
          <w:bCs/>
        </w:rPr>
        <w:t>The Importance of Good Administrative Skills in Professional Practice</w:t>
      </w:r>
    </w:p>
    <w:p w14:paraId="35DCDC3E" w14:textId="74FA10A9" w:rsidR="006F7E4E" w:rsidRPr="006F7E4E" w:rsidRDefault="006F7E4E" w:rsidP="006F7E4E">
      <w:pPr>
        <w:rPr>
          <w:rFonts w:ascii="Arial" w:hAnsi="Arial" w:cs="Arial"/>
        </w:rPr>
      </w:pPr>
      <w:r w:rsidRPr="006F7E4E">
        <w:rPr>
          <w:rFonts w:ascii="Arial" w:hAnsi="Arial" w:cs="Arial"/>
        </w:rPr>
        <w:t xml:space="preserve">Good administrative skills are essential in health and social care, supporting safe, coordinated, and legally compliant care. In Mrs Mann’s case, strong administration is critical due to her recent hip surgery, complex needs, and involvement of multiple professionals. The incident of inconsistent documentation and a delayed medication adjustment </w:t>
      </w:r>
      <w:r w:rsidRPr="00434136">
        <w:rPr>
          <w:rFonts w:ascii="Arial" w:hAnsi="Arial" w:cs="Arial"/>
        </w:rPr>
        <w:t>demonstrate</w:t>
      </w:r>
      <w:r w:rsidRPr="006F7E4E">
        <w:rPr>
          <w:rFonts w:ascii="Arial" w:hAnsi="Arial" w:cs="Arial"/>
        </w:rPr>
        <w:t xml:space="preserve"> how poor administration can directly impact patient safety and wellbeing.</w:t>
      </w:r>
    </w:p>
    <w:p w14:paraId="6D4E7D16" w14:textId="77777777" w:rsidR="006F7E4E" w:rsidRPr="006F7E4E" w:rsidRDefault="006F7E4E" w:rsidP="006F7E4E">
      <w:pPr>
        <w:rPr>
          <w:rFonts w:ascii="Arial" w:hAnsi="Arial" w:cs="Arial"/>
          <w:b/>
          <w:bCs/>
        </w:rPr>
      </w:pPr>
      <w:r w:rsidRPr="006F7E4E">
        <w:rPr>
          <w:rFonts w:ascii="Arial" w:hAnsi="Arial" w:cs="Arial"/>
          <w:b/>
          <w:bCs/>
        </w:rPr>
        <w:t>Record Keeping in Mrs Mann’s Care</w:t>
      </w:r>
    </w:p>
    <w:p w14:paraId="7721A289" w14:textId="77777777" w:rsidR="006F7E4E" w:rsidRPr="006F7E4E" w:rsidRDefault="006F7E4E" w:rsidP="006F7E4E">
      <w:pPr>
        <w:rPr>
          <w:rFonts w:ascii="Arial" w:hAnsi="Arial" w:cs="Arial"/>
        </w:rPr>
      </w:pPr>
      <w:r w:rsidRPr="006F7E4E">
        <w:rPr>
          <w:rFonts w:ascii="Arial" w:hAnsi="Arial" w:cs="Arial"/>
        </w:rPr>
        <w:t>Accurate records ensure continuity of care and effective communication between carers, the GP, and the physiotherapist. High-quality records should be:</w:t>
      </w:r>
    </w:p>
    <w:p w14:paraId="60655130" w14:textId="77777777" w:rsidR="006F7E4E" w:rsidRPr="006F7E4E" w:rsidRDefault="006F7E4E" w:rsidP="006F7E4E">
      <w:pPr>
        <w:numPr>
          <w:ilvl w:val="0"/>
          <w:numId w:val="1"/>
        </w:numPr>
        <w:rPr>
          <w:rFonts w:ascii="Arial" w:hAnsi="Arial" w:cs="Arial"/>
        </w:rPr>
      </w:pPr>
      <w:r w:rsidRPr="006F7E4E">
        <w:rPr>
          <w:rFonts w:ascii="Arial" w:hAnsi="Arial" w:cs="Arial"/>
        </w:rPr>
        <w:t>Factual, clear, and up to date</w:t>
      </w:r>
    </w:p>
    <w:p w14:paraId="0C627AC0" w14:textId="77777777" w:rsidR="006F7E4E" w:rsidRPr="00434136" w:rsidRDefault="006F7E4E" w:rsidP="006F7E4E">
      <w:pPr>
        <w:numPr>
          <w:ilvl w:val="0"/>
          <w:numId w:val="1"/>
        </w:numPr>
        <w:rPr>
          <w:rFonts w:ascii="Arial" w:hAnsi="Arial" w:cs="Arial"/>
        </w:rPr>
      </w:pPr>
      <w:r w:rsidRPr="006F7E4E">
        <w:rPr>
          <w:rFonts w:ascii="Arial" w:hAnsi="Arial" w:cs="Arial"/>
        </w:rPr>
        <w:t>Dated, timed, and signed</w:t>
      </w:r>
    </w:p>
    <w:p w14:paraId="56F086BD" w14:textId="28638142" w:rsidR="006F7E4E" w:rsidRPr="006F7E4E" w:rsidRDefault="006F7E4E" w:rsidP="006F7E4E">
      <w:pPr>
        <w:numPr>
          <w:ilvl w:val="0"/>
          <w:numId w:val="1"/>
        </w:numPr>
        <w:rPr>
          <w:rFonts w:ascii="Arial" w:hAnsi="Arial" w:cs="Arial"/>
        </w:rPr>
      </w:pPr>
      <w:r w:rsidRPr="006F7E4E">
        <w:rPr>
          <w:rFonts w:ascii="Arial" w:hAnsi="Arial" w:cs="Arial"/>
        </w:rPr>
        <w:t>Accessible only to authorised personnel</w:t>
      </w:r>
    </w:p>
    <w:p w14:paraId="67B45787" w14:textId="226CCC14" w:rsidR="006F7E4E" w:rsidRPr="006F7E4E" w:rsidRDefault="006F7E4E" w:rsidP="006F7E4E">
      <w:pPr>
        <w:rPr>
          <w:rFonts w:ascii="Arial" w:hAnsi="Arial" w:cs="Arial"/>
        </w:rPr>
      </w:pPr>
      <w:r w:rsidRPr="006F7E4E">
        <w:rPr>
          <w:rFonts w:ascii="Arial" w:hAnsi="Arial" w:cs="Arial"/>
        </w:rPr>
        <w:t xml:space="preserve">In Mrs Mann’s case, inconsistent documentation led to a delayed medication change, highlighting the risks of poor record keeping. Professional standards such as the </w:t>
      </w:r>
      <w:r w:rsidRPr="006F7E4E">
        <w:rPr>
          <w:rFonts w:ascii="Arial" w:hAnsi="Arial" w:cs="Arial"/>
          <w:b/>
          <w:bCs/>
        </w:rPr>
        <w:t>NMC Code</w:t>
      </w:r>
      <w:r w:rsidRPr="006F7E4E">
        <w:rPr>
          <w:rFonts w:ascii="Arial" w:hAnsi="Arial" w:cs="Arial"/>
        </w:rPr>
        <w:t xml:space="preserve"> and </w:t>
      </w:r>
      <w:r w:rsidRPr="006F7E4E">
        <w:rPr>
          <w:rFonts w:ascii="Arial" w:hAnsi="Arial" w:cs="Arial"/>
          <w:b/>
          <w:bCs/>
        </w:rPr>
        <w:t>HCPC guidance</w:t>
      </w:r>
      <w:r w:rsidRPr="006F7E4E">
        <w:rPr>
          <w:rFonts w:ascii="Arial" w:hAnsi="Arial" w:cs="Arial"/>
        </w:rPr>
        <w:t xml:space="preserve"> emphasise the importance of accurate, timely records in maintaining accountability and safe care.</w:t>
      </w:r>
    </w:p>
    <w:p w14:paraId="0C8ED0DB" w14:textId="77777777" w:rsidR="006F7E4E" w:rsidRPr="006F7E4E" w:rsidRDefault="006F7E4E" w:rsidP="006F7E4E">
      <w:pPr>
        <w:rPr>
          <w:rFonts w:ascii="Arial" w:hAnsi="Arial" w:cs="Arial"/>
          <w:b/>
          <w:bCs/>
        </w:rPr>
      </w:pPr>
      <w:r w:rsidRPr="006F7E4E">
        <w:rPr>
          <w:rFonts w:ascii="Arial" w:hAnsi="Arial" w:cs="Arial"/>
          <w:b/>
          <w:bCs/>
        </w:rPr>
        <w:t>Data Protection Act 2018</w:t>
      </w:r>
    </w:p>
    <w:p w14:paraId="5DEF09DE" w14:textId="77777777" w:rsidR="006F7E4E" w:rsidRPr="006F7E4E" w:rsidRDefault="006F7E4E" w:rsidP="006F7E4E">
      <w:pPr>
        <w:rPr>
          <w:rFonts w:ascii="Arial" w:hAnsi="Arial" w:cs="Arial"/>
        </w:rPr>
      </w:pPr>
      <w:r w:rsidRPr="006F7E4E">
        <w:rPr>
          <w:rFonts w:ascii="Arial" w:hAnsi="Arial" w:cs="Arial"/>
        </w:rPr>
        <w:t xml:space="preserve">The </w:t>
      </w:r>
      <w:r w:rsidRPr="006F7E4E">
        <w:rPr>
          <w:rFonts w:ascii="Arial" w:hAnsi="Arial" w:cs="Arial"/>
          <w:b/>
          <w:bCs/>
        </w:rPr>
        <w:t>Data Protection Act 2018</w:t>
      </w:r>
      <w:r w:rsidRPr="006F7E4E">
        <w:rPr>
          <w:rFonts w:ascii="Arial" w:hAnsi="Arial" w:cs="Arial"/>
        </w:rPr>
        <w:t xml:space="preserve"> (incorporating UK GDPR) sets out principles for handling personal data. For Mrs Mann, these include:</w:t>
      </w:r>
    </w:p>
    <w:p w14:paraId="365A7F36" w14:textId="77777777" w:rsidR="006F7E4E" w:rsidRPr="006F7E4E" w:rsidRDefault="006F7E4E" w:rsidP="006F7E4E">
      <w:pPr>
        <w:numPr>
          <w:ilvl w:val="0"/>
          <w:numId w:val="2"/>
        </w:numPr>
        <w:rPr>
          <w:rFonts w:ascii="Arial" w:hAnsi="Arial" w:cs="Arial"/>
        </w:rPr>
      </w:pPr>
      <w:r w:rsidRPr="006F7E4E">
        <w:rPr>
          <w:rFonts w:ascii="Arial" w:hAnsi="Arial" w:cs="Arial"/>
          <w:b/>
          <w:bCs/>
        </w:rPr>
        <w:t>Lawfulness and transparency</w:t>
      </w:r>
      <w:r w:rsidRPr="006F7E4E">
        <w:rPr>
          <w:rFonts w:ascii="Arial" w:hAnsi="Arial" w:cs="Arial"/>
        </w:rPr>
        <w:t xml:space="preserve"> – informing her how data is used</w:t>
      </w:r>
    </w:p>
    <w:p w14:paraId="48CF143B" w14:textId="77777777" w:rsidR="006F7E4E" w:rsidRPr="006F7E4E" w:rsidRDefault="006F7E4E" w:rsidP="006F7E4E">
      <w:pPr>
        <w:numPr>
          <w:ilvl w:val="0"/>
          <w:numId w:val="2"/>
        </w:numPr>
        <w:rPr>
          <w:rFonts w:ascii="Arial" w:hAnsi="Arial" w:cs="Arial"/>
        </w:rPr>
      </w:pPr>
      <w:r w:rsidRPr="006F7E4E">
        <w:rPr>
          <w:rFonts w:ascii="Arial" w:hAnsi="Arial" w:cs="Arial"/>
          <w:b/>
          <w:bCs/>
        </w:rPr>
        <w:t>Accuracy and minimisation</w:t>
      </w:r>
      <w:r w:rsidRPr="006F7E4E">
        <w:rPr>
          <w:rFonts w:ascii="Arial" w:hAnsi="Arial" w:cs="Arial"/>
        </w:rPr>
        <w:t xml:space="preserve"> – recording only necessary, up-to-date information</w:t>
      </w:r>
    </w:p>
    <w:p w14:paraId="4B47FE90" w14:textId="77777777" w:rsidR="006F7E4E" w:rsidRPr="006F7E4E" w:rsidRDefault="006F7E4E" w:rsidP="006F7E4E">
      <w:pPr>
        <w:numPr>
          <w:ilvl w:val="0"/>
          <w:numId w:val="2"/>
        </w:numPr>
        <w:rPr>
          <w:rFonts w:ascii="Arial" w:hAnsi="Arial" w:cs="Arial"/>
        </w:rPr>
      </w:pPr>
      <w:r w:rsidRPr="006F7E4E">
        <w:rPr>
          <w:rFonts w:ascii="Arial" w:hAnsi="Arial" w:cs="Arial"/>
          <w:b/>
          <w:bCs/>
        </w:rPr>
        <w:t>Confidentiality and security</w:t>
      </w:r>
      <w:r w:rsidRPr="006F7E4E">
        <w:rPr>
          <w:rFonts w:ascii="Arial" w:hAnsi="Arial" w:cs="Arial"/>
        </w:rPr>
        <w:t xml:space="preserve"> – protecting records from unauthorised access</w:t>
      </w:r>
    </w:p>
    <w:p w14:paraId="23FDC011" w14:textId="77777777" w:rsidR="006F7E4E" w:rsidRPr="006F7E4E" w:rsidRDefault="006F7E4E" w:rsidP="006F7E4E">
      <w:pPr>
        <w:numPr>
          <w:ilvl w:val="0"/>
          <w:numId w:val="2"/>
        </w:numPr>
        <w:rPr>
          <w:rFonts w:ascii="Arial" w:hAnsi="Arial" w:cs="Arial"/>
        </w:rPr>
      </w:pPr>
      <w:r w:rsidRPr="006F7E4E">
        <w:rPr>
          <w:rFonts w:ascii="Arial" w:hAnsi="Arial" w:cs="Arial"/>
          <w:b/>
          <w:bCs/>
        </w:rPr>
        <w:t>Accountability</w:t>
      </w:r>
      <w:r w:rsidRPr="006F7E4E">
        <w:rPr>
          <w:rFonts w:ascii="Arial" w:hAnsi="Arial" w:cs="Arial"/>
        </w:rPr>
        <w:t xml:space="preserve"> – demonstrating compliance with data protection laws</w:t>
      </w:r>
    </w:p>
    <w:p w14:paraId="0FDC8F1D" w14:textId="14F414E9" w:rsidR="006F7E4E" w:rsidRPr="006F7E4E" w:rsidRDefault="006F7E4E" w:rsidP="006F7E4E">
      <w:pPr>
        <w:rPr>
          <w:rFonts w:ascii="Arial" w:hAnsi="Arial" w:cs="Arial"/>
        </w:rPr>
      </w:pPr>
      <w:r w:rsidRPr="006F7E4E">
        <w:rPr>
          <w:rFonts w:ascii="Arial" w:hAnsi="Arial" w:cs="Arial"/>
        </w:rPr>
        <w:t>Following these principles protects Mrs Mann’s privacy while enabling safe information sharing among her care team.</w:t>
      </w:r>
    </w:p>
    <w:p w14:paraId="1B6B089B" w14:textId="77777777" w:rsidR="006F7E4E" w:rsidRPr="006F7E4E" w:rsidRDefault="006F7E4E" w:rsidP="006F7E4E">
      <w:pPr>
        <w:rPr>
          <w:rFonts w:ascii="Arial" w:hAnsi="Arial" w:cs="Arial"/>
          <w:b/>
          <w:bCs/>
        </w:rPr>
      </w:pPr>
      <w:r w:rsidRPr="006F7E4E">
        <w:rPr>
          <w:rFonts w:ascii="Arial" w:hAnsi="Arial" w:cs="Arial"/>
          <w:b/>
          <w:bCs/>
        </w:rPr>
        <w:t>Relevant Legislation and Policies</w:t>
      </w:r>
    </w:p>
    <w:p w14:paraId="7435D735" w14:textId="77777777" w:rsidR="006F7E4E" w:rsidRPr="006F7E4E" w:rsidRDefault="006F7E4E" w:rsidP="006F7E4E">
      <w:pPr>
        <w:rPr>
          <w:rFonts w:ascii="Arial" w:hAnsi="Arial" w:cs="Arial"/>
        </w:rPr>
      </w:pPr>
      <w:r w:rsidRPr="006F7E4E">
        <w:rPr>
          <w:rFonts w:ascii="Arial" w:hAnsi="Arial" w:cs="Arial"/>
        </w:rPr>
        <w:t>Key frameworks include:</w:t>
      </w:r>
    </w:p>
    <w:p w14:paraId="508DEF3C" w14:textId="77777777" w:rsidR="006F7E4E" w:rsidRPr="006F7E4E" w:rsidRDefault="006F7E4E" w:rsidP="006F7E4E">
      <w:pPr>
        <w:numPr>
          <w:ilvl w:val="0"/>
          <w:numId w:val="3"/>
        </w:numPr>
        <w:rPr>
          <w:rFonts w:ascii="Arial" w:hAnsi="Arial" w:cs="Arial"/>
        </w:rPr>
      </w:pPr>
      <w:r w:rsidRPr="006F7E4E">
        <w:rPr>
          <w:rFonts w:ascii="Arial" w:hAnsi="Arial" w:cs="Arial"/>
          <w:b/>
          <w:bCs/>
        </w:rPr>
        <w:t>Data Protection Act 2018</w:t>
      </w:r>
      <w:r w:rsidRPr="006F7E4E">
        <w:rPr>
          <w:rFonts w:ascii="Arial" w:hAnsi="Arial" w:cs="Arial"/>
        </w:rPr>
        <w:t xml:space="preserve"> – governs secure handling of personal data</w:t>
      </w:r>
    </w:p>
    <w:p w14:paraId="701FA8AF" w14:textId="77777777" w:rsidR="006F7E4E" w:rsidRPr="006F7E4E" w:rsidRDefault="006F7E4E" w:rsidP="006F7E4E">
      <w:pPr>
        <w:numPr>
          <w:ilvl w:val="0"/>
          <w:numId w:val="3"/>
        </w:numPr>
        <w:rPr>
          <w:rFonts w:ascii="Arial" w:hAnsi="Arial" w:cs="Arial"/>
        </w:rPr>
      </w:pPr>
      <w:r w:rsidRPr="006F7E4E">
        <w:rPr>
          <w:rFonts w:ascii="Arial" w:hAnsi="Arial" w:cs="Arial"/>
          <w:b/>
          <w:bCs/>
        </w:rPr>
        <w:t>Care Act 2014</w:t>
      </w:r>
      <w:r w:rsidRPr="006F7E4E">
        <w:rPr>
          <w:rFonts w:ascii="Arial" w:hAnsi="Arial" w:cs="Arial"/>
        </w:rPr>
        <w:t xml:space="preserve"> – supports wellbeing, safeguarding, and person-centred care</w:t>
      </w:r>
    </w:p>
    <w:p w14:paraId="09974441" w14:textId="77777777" w:rsidR="006F7E4E" w:rsidRPr="006F7E4E" w:rsidRDefault="006F7E4E" w:rsidP="006F7E4E">
      <w:pPr>
        <w:numPr>
          <w:ilvl w:val="0"/>
          <w:numId w:val="3"/>
        </w:numPr>
        <w:rPr>
          <w:rFonts w:ascii="Arial" w:hAnsi="Arial" w:cs="Arial"/>
        </w:rPr>
      </w:pPr>
      <w:r w:rsidRPr="006F7E4E">
        <w:rPr>
          <w:rFonts w:ascii="Arial" w:hAnsi="Arial" w:cs="Arial"/>
          <w:b/>
          <w:bCs/>
        </w:rPr>
        <w:t>Health and Social Care Act 2012</w:t>
      </w:r>
      <w:r w:rsidRPr="006F7E4E">
        <w:rPr>
          <w:rFonts w:ascii="Arial" w:hAnsi="Arial" w:cs="Arial"/>
        </w:rPr>
        <w:t xml:space="preserve"> – promotes integrated working</w:t>
      </w:r>
    </w:p>
    <w:p w14:paraId="0B221CB3" w14:textId="77777777" w:rsidR="006F7E4E" w:rsidRPr="006F7E4E" w:rsidRDefault="006F7E4E" w:rsidP="006F7E4E">
      <w:pPr>
        <w:numPr>
          <w:ilvl w:val="0"/>
          <w:numId w:val="3"/>
        </w:numPr>
        <w:rPr>
          <w:rFonts w:ascii="Arial" w:hAnsi="Arial" w:cs="Arial"/>
        </w:rPr>
      </w:pPr>
      <w:r w:rsidRPr="006F7E4E">
        <w:rPr>
          <w:rFonts w:ascii="Arial" w:hAnsi="Arial" w:cs="Arial"/>
          <w:b/>
          <w:bCs/>
        </w:rPr>
        <w:t>Caldicott Principles</w:t>
      </w:r>
      <w:r w:rsidRPr="006F7E4E">
        <w:rPr>
          <w:rFonts w:ascii="Arial" w:hAnsi="Arial" w:cs="Arial"/>
        </w:rPr>
        <w:t xml:space="preserve"> – ensure confidentiality while allowing necessary information sharing</w:t>
      </w:r>
    </w:p>
    <w:p w14:paraId="75FE4D76" w14:textId="77777777" w:rsidR="006F7E4E" w:rsidRPr="00434136" w:rsidRDefault="006F7E4E">
      <w:pPr>
        <w:rPr>
          <w:rFonts w:ascii="Arial" w:hAnsi="Arial" w:cs="Arial"/>
        </w:rPr>
      </w:pPr>
      <w:r w:rsidRPr="006F7E4E">
        <w:rPr>
          <w:rFonts w:ascii="Arial" w:hAnsi="Arial" w:cs="Arial"/>
        </w:rPr>
        <w:t>These frameworks guide administrative practices that support safe, effective, and legally compliant ca</w:t>
      </w:r>
      <w:r w:rsidRPr="00434136">
        <w:rPr>
          <w:rFonts w:ascii="Arial" w:hAnsi="Arial" w:cs="Arial"/>
        </w:rPr>
        <w:t>re.</w:t>
      </w:r>
    </w:p>
    <w:p w14:paraId="5E6BD57E" w14:textId="77777777" w:rsidR="006F7E4E" w:rsidRPr="00434136" w:rsidRDefault="006F7E4E">
      <w:pPr>
        <w:rPr>
          <w:rFonts w:ascii="Arial" w:hAnsi="Arial" w:cs="Arial"/>
        </w:rPr>
      </w:pPr>
    </w:p>
    <w:p w14:paraId="57526DF2" w14:textId="77777777" w:rsidR="00434136" w:rsidRPr="00434136" w:rsidRDefault="00434136">
      <w:pPr>
        <w:rPr>
          <w:rFonts w:ascii="Arial" w:hAnsi="Arial" w:cs="Arial"/>
        </w:rPr>
      </w:pPr>
    </w:p>
    <w:p w14:paraId="56CC5547" w14:textId="2AC25095" w:rsidR="00434136" w:rsidRPr="00434136" w:rsidRDefault="00434136" w:rsidP="00434136">
      <w:pPr>
        <w:rPr>
          <w:rFonts w:ascii="Arial" w:hAnsi="Arial" w:cs="Arial"/>
          <w:b/>
          <w:bCs/>
        </w:rPr>
      </w:pPr>
      <w:r w:rsidRPr="00434136">
        <w:rPr>
          <w:rFonts w:ascii="Arial" w:hAnsi="Arial" w:cs="Arial"/>
        </w:rPr>
        <w:t>3.</w:t>
      </w:r>
      <w:r w:rsidRPr="00434136">
        <w:rPr>
          <w:rFonts w:ascii="Arial" w:eastAsia="Times New Roman" w:hAnsi="Arial" w:cs="Arial"/>
          <w:b/>
          <w:bCs/>
          <w:lang w:eastAsia="en-GB"/>
        </w:rPr>
        <w:t xml:space="preserve"> </w:t>
      </w:r>
      <w:r w:rsidRPr="00434136">
        <w:rPr>
          <w:rFonts w:ascii="Arial" w:hAnsi="Arial" w:cs="Arial"/>
          <w:b/>
          <w:bCs/>
        </w:rPr>
        <w:t>The Importance of Collaborative Working in Mrs Mann’s Care</w:t>
      </w:r>
    </w:p>
    <w:p w14:paraId="5D064C07" w14:textId="3392A0BD" w:rsidR="00434136" w:rsidRPr="00434136" w:rsidRDefault="00434136" w:rsidP="00434136">
      <w:pPr>
        <w:rPr>
          <w:rFonts w:ascii="Arial" w:hAnsi="Arial" w:cs="Arial"/>
        </w:rPr>
      </w:pPr>
      <w:r w:rsidRPr="00434136">
        <w:rPr>
          <w:rFonts w:ascii="Arial" w:hAnsi="Arial" w:cs="Arial"/>
        </w:rPr>
        <w:t>Effective collaboration among health and social care professionals is essential to delivering safe, coordinated, and person-centred care. In the case of Mrs Mann, a 72-year-old recovering from hip replacement surgery, her care involves the GP, community physiotherapist, and domiciliary care workers. Collaborative working ensures that her rehabilitation, medication management, and daily support are consistent, timely, and responsive to her individual needs. It also mitigates the risk of errors, such as the recent delayed medication adjustment.</w:t>
      </w:r>
    </w:p>
    <w:p w14:paraId="559F9A82" w14:textId="77777777" w:rsidR="00434136" w:rsidRPr="00434136" w:rsidRDefault="00434136" w:rsidP="00434136">
      <w:pPr>
        <w:rPr>
          <w:rFonts w:ascii="Arial" w:hAnsi="Arial" w:cs="Arial"/>
          <w:b/>
          <w:bCs/>
        </w:rPr>
      </w:pPr>
      <w:r w:rsidRPr="00434136">
        <w:rPr>
          <w:rFonts w:ascii="Arial" w:hAnsi="Arial" w:cs="Arial"/>
          <w:b/>
          <w:bCs/>
        </w:rPr>
        <w:t>Approaches to Foster Effective Collaboration</w:t>
      </w:r>
    </w:p>
    <w:p w14:paraId="66F751A1" w14:textId="77777777" w:rsidR="00434136" w:rsidRPr="00434136" w:rsidRDefault="00434136" w:rsidP="00434136">
      <w:pPr>
        <w:rPr>
          <w:rFonts w:ascii="Arial" w:hAnsi="Arial" w:cs="Arial"/>
        </w:rPr>
      </w:pPr>
      <w:r w:rsidRPr="00434136">
        <w:rPr>
          <w:rFonts w:ascii="Arial" w:hAnsi="Arial" w:cs="Arial"/>
        </w:rPr>
        <w:t>Successful multi-professional working relies on clear communication, mutual respect, and shared objectives. Key approaches include:</w:t>
      </w:r>
    </w:p>
    <w:p w14:paraId="3903769D" w14:textId="77777777" w:rsidR="00434136" w:rsidRPr="00434136" w:rsidRDefault="00434136" w:rsidP="00434136">
      <w:pPr>
        <w:numPr>
          <w:ilvl w:val="0"/>
          <w:numId w:val="4"/>
        </w:numPr>
        <w:rPr>
          <w:rFonts w:ascii="Arial" w:hAnsi="Arial" w:cs="Arial"/>
        </w:rPr>
      </w:pPr>
      <w:r w:rsidRPr="00434136">
        <w:rPr>
          <w:rFonts w:ascii="Arial" w:hAnsi="Arial" w:cs="Arial"/>
          <w:b/>
          <w:bCs/>
        </w:rPr>
        <w:t>Regular communication and information sharing</w:t>
      </w:r>
      <w:r w:rsidRPr="00434136">
        <w:rPr>
          <w:rFonts w:ascii="Arial" w:hAnsi="Arial" w:cs="Arial"/>
        </w:rPr>
        <w:t xml:space="preserve"> – through meetings, telephone updates, or shared electronic care records to keep all team members informed of Mrs Mann’s progress.</w:t>
      </w:r>
    </w:p>
    <w:p w14:paraId="54EA38CE" w14:textId="77777777" w:rsidR="00434136" w:rsidRPr="00434136" w:rsidRDefault="00434136" w:rsidP="00434136">
      <w:pPr>
        <w:numPr>
          <w:ilvl w:val="0"/>
          <w:numId w:val="4"/>
        </w:numPr>
        <w:rPr>
          <w:rFonts w:ascii="Arial" w:hAnsi="Arial" w:cs="Arial"/>
        </w:rPr>
      </w:pPr>
      <w:r w:rsidRPr="00434136">
        <w:rPr>
          <w:rFonts w:ascii="Arial" w:hAnsi="Arial" w:cs="Arial"/>
          <w:b/>
          <w:bCs/>
        </w:rPr>
        <w:t>Defining roles and responsibilities</w:t>
      </w:r>
      <w:r w:rsidRPr="00434136">
        <w:rPr>
          <w:rFonts w:ascii="Arial" w:hAnsi="Arial" w:cs="Arial"/>
        </w:rPr>
        <w:t xml:space="preserve"> – ensuring each professional understands their contribution and preventing gaps or duplication in care.</w:t>
      </w:r>
    </w:p>
    <w:p w14:paraId="38921386" w14:textId="77777777" w:rsidR="00434136" w:rsidRPr="00434136" w:rsidRDefault="00434136" w:rsidP="00434136">
      <w:pPr>
        <w:numPr>
          <w:ilvl w:val="0"/>
          <w:numId w:val="4"/>
        </w:numPr>
        <w:rPr>
          <w:rFonts w:ascii="Arial" w:hAnsi="Arial" w:cs="Arial"/>
        </w:rPr>
      </w:pPr>
      <w:r w:rsidRPr="00434136">
        <w:rPr>
          <w:rFonts w:ascii="Arial" w:hAnsi="Arial" w:cs="Arial"/>
          <w:b/>
          <w:bCs/>
        </w:rPr>
        <w:t>Person-centred care planning</w:t>
      </w:r>
      <w:r w:rsidRPr="00434136">
        <w:rPr>
          <w:rFonts w:ascii="Arial" w:hAnsi="Arial" w:cs="Arial"/>
        </w:rPr>
        <w:t xml:space="preserve"> – involving Mrs Mann and her family in decisions to promote engagement and shared understanding.</w:t>
      </w:r>
    </w:p>
    <w:p w14:paraId="5703C99B" w14:textId="77777777" w:rsidR="00434136" w:rsidRPr="00434136" w:rsidRDefault="00434136" w:rsidP="00434136">
      <w:pPr>
        <w:numPr>
          <w:ilvl w:val="0"/>
          <w:numId w:val="4"/>
        </w:numPr>
        <w:rPr>
          <w:rFonts w:ascii="Arial" w:hAnsi="Arial" w:cs="Arial"/>
        </w:rPr>
      </w:pPr>
      <w:r w:rsidRPr="00434136">
        <w:rPr>
          <w:rFonts w:ascii="Arial" w:hAnsi="Arial" w:cs="Arial"/>
          <w:b/>
          <w:bCs/>
        </w:rPr>
        <w:t>Structured documentation and handover protocols</w:t>
      </w:r>
      <w:r w:rsidRPr="00434136">
        <w:rPr>
          <w:rFonts w:ascii="Arial" w:hAnsi="Arial" w:cs="Arial"/>
        </w:rPr>
        <w:t xml:space="preserve"> – supporting continuity across professionals and shifts.</w:t>
      </w:r>
    </w:p>
    <w:p w14:paraId="65F99EAF" w14:textId="50EC5154" w:rsidR="00434136" w:rsidRPr="00434136" w:rsidRDefault="00434136" w:rsidP="00434136">
      <w:pPr>
        <w:numPr>
          <w:ilvl w:val="0"/>
          <w:numId w:val="4"/>
        </w:numPr>
        <w:rPr>
          <w:rFonts w:ascii="Arial" w:hAnsi="Arial" w:cs="Arial"/>
        </w:rPr>
      </w:pPr>
      <w:r w:rsidRPr="00434136">
        <w:rPr>
          <w:rFonts w:ascii="Arial" w:hAnsi="Arial" w:cs="Arial"/>
          <w:b/>
          <w:bCs/>
        </w:rPr>
        <w:t>Building professional relationships</w:t>
      </w:r>
      <w:r w:rsidRPr="00434136">
        <w:rPr>
          <w:rFonts w:ascii="Arial" w:hAnsi="Arial" w:cs="Arial"/>
        </w:rPr>
        <w:t xml:space="preserve"> – fostering trust, respect, and open dialogue enhances collaboration and problem-solving.</w:t>
      </w:r>
    </w:p>
    <w:p w14:paraId="34497EF5" w14:textId="77777777" w:rsidR="00434136" w:rsidRPr="00434136" w:rsidRDefault="00434136" w:rsidP="00434136">
      <w:pPr>
        <w:rPr>
          <w:rFonts w:ascii="Arial" w:hAnsi="Arial" w:cs="Arial"/>
          <w:b/>
          <w:bCs/>
        </w:rPr>
      </w:pPr>
      <w:r w:rsidRPr="00434136">
        <w:rPr>
          <w:rFonts w:ascii="Arial" w:hAnsi="Arial" w:cs="Arial"/>
          <w:b/>
          <w:bCs/>
        </w:rPr>
        <w:t>Strategies for Overcoming Challenges</w:t>
      </w:r>
    </w:p>
    <w:p w14:paraId="02985F9D" w14:textId="77777777" w:rsidR="00434136" w:rsidRPr="00434136" w:rsidRDefault="00434136" w:rsidP="00434136">
      <w:pPr>
        <w:rPr>
          <w:rFonts w:ascii="Arial" w:hAnsi="Arial" w:cs="Arial"/>
        </w:rPr>
      </w:pPr>
      <w:r w:rsidRPr="00434136">
        <w:rPr>
          <w:rFonts w:ascii="Arial" w:hAnsi="Arial" w:cs="Arial"/>
        </w:rPr>
        <w:t>Multi-agency working may face challenges, including:</w:t>
      </w:r>
    </w:p>
    <w:p w14:paraId="2A98BF03" w14:textId="77777777" w:rsidR="00434136" w:rsidRPr="00434136" w:rsidRDefault="00434136" w:rsidP="00434136">
      <w:pPr>
        <w:numPr>
          <w:ilvl w:val="0"/>
          <w:numId w:val="5"/>
        </w:numPr>
        <w:rPr>
          <w:rFonts w:ascii="Arial" w:hAnsi="Arial" w:cs="Arial"/>
        </w:rPr>
      </w:pPr>
      <w:r w:rsidRPr="00434136">
        <w:rPr>
          <w:rFonts w:ascii="Arial" w:hAnsi="Arial" w:cs="Arial"/>
          <w:b/>
          <w:bCs/>
        </w:rPr>
        <w:t>Communication barriers</w:t>
      </w:r>
      <w:r w:rsidRPr="00434136">
        <w:rPr>
          <w:rFonts w:ascii="Arial" w:hAnsi="Arial" w:cs="Arial"/>
        </w:rPr>
        <w:t xml:space="preserve"> – differences in professional terminology or missed messages can compromise care. Using clear language and standardised reporting tools reduces this risk.</w:t>
      </w:r>
    </w:p>
    <w:p w14:paraId="40E499AE" w14:textId="77777777" w:rsidR="00434136" w:rsidRPr="00434136" w:rsidRDefault="00434136" w:rsidP="00434136">
      <w:pPr>
        <w:numPr>
          <w:ilvl w:val="0"/>
          <w:numId w:val="5"/>
        </w:numPr>
        <w:rPr>
          <w:rFonts w:ascii="Arial" w:hAnsi="Arial" w:cs="Arial"/>
        </w:rPr>
      </w:pPr>
      <w:r w:rsidRPr="00434136">
        <w:rPr>
          <w:rFonts w:ascii="Arial" w:hAnsi="Arial" w:cs="Arial"/>
          <w:b/>
          <w:bCs/>
        </w:rPr>
        <w:t>Conflicting priorities or approaches</w:t>
      </w:r>
      <w:r w:rsidRPr="00434136">
        <w:rPr>
          <w:rFonts w:ascii="Arial" w:hAnsi="Arial" w:cs="Arial"/>
        </w:rPr>
        <w:t xml:space="preserve"> – differing opinions on care delivery can be resolved through structured meetings and joint care planning.</w:t>
      </w:r>
    </w:p>
    <w:p w14:paraId="1CE86C8C" w14:textId="77777777" w:rsidR="00434136" w:rsidRPr="00434136" w:rsidRDefault="00434136" w:rsidP="00434136">
      <w:pPr>
        <w:numPr>
          <w:ilvl w:val="0"/>
          <w:numId w:val="5"/>
        </w:numPr>
        <w:rPr>
          <w:rFonts w:ascii="Arial" w:hAnsi="Arial" w:cs="Arial"/>
        </w:rPr>
      </w:pPr>
      <w:r w:rsidRPr="00434136">
        <w:rPr>
          <w:rFonts w:ascii="Arial" w:hAnsi="Arial" w:cs="Arial"/>
          <w:b/>
          <w:bCs/>
        </w:rPr>
        <w:t>Time pressures and workload</w:t>
      </w:r>
      <w:r w:rsidRPr="00434136">
        <w:rPr>
          <w:rFonts w:ascii="Arial" w:hAnsi="Arial" w:cs="Arial"/>
        </w:rPr>
        <w:t xml:space="preserve"> – efficient use of electronic systems and concise handovers ensures timely information sharing.</w:t>
      </w:r>
    </w:p>
    <w:p w14:paraId="1B990383" w14:textId="77777777" w:rsidR="00434136" w:rsidRPr="00434136" w:rsidRDefault="00434136" w:rsidP="00434136">
      <w:pPr>
        <w:numPr>
          <w:ilvl w:val="0"/>
          <w:numId w:val="5"/>
        </w:numPr>
        <w:rPr>
          <w:rFonts w:ascii="Arial" w:hAnsi="Arial" w:cs="Arial"/>
        </w:rPr>
      </w:pPr>
      <w:r w:rsidRPr="00434136">
        <w:rPr>
          <w:rFonts w:ascii="Arial" w:hAnsi="Arial" w:cs="Arial"/>
          <w:b/>
          <w:bCs/>
        </w:rPr>
        <w:t>Language and cultural barriers</w:t>
      </w:r>
      <w:r w:rsidRPr="00434136">
        <w:rPr>
          <w:rFonts w:ascii="Arial" w:hAnsi="Arial" w:cs="Arial"/>
        </w:rPr>
        <w:t xml:space="preserve"> – professional interpreters and translated materials ensure Mrs Mann understands her care plan, supporting informed decision-making and engagement.</w:t>
      </w:r>
    </w:p>
    <w:p w14:paraId="5B41358A" w14:textId="77777777" w:rsidR="00434136" w:rsidRDefault="00434136">
      <w:pPr>
        <w:rPr>
          <w:rFonts w:ascii="Arial" w:hAnsi="Arial" w:cs="Arial"/>
        </w:rPr>
      </w:pPr>
    </w:p>
    <w:p w14:paraId="799BF943" w14:textId="14920FE2" w:rsidR="00AC6EB7" w:rsidRPr="00AC6EB7" w:rsidRDefault="00AC6EB7" w:rsidP="00AC6EB7">
      <w:pPr>
        <w:pStyle w:val="ListParagraph"/>
        <w:numPr>
          <w:ilvl w:val="0"/>
          <w:numId w:val="6"/>
        </w:numPr>
        <w:rPr>
          <w:rFonts w:ascii="Arial" w:hAnsi="Arial" w:cs="Arial"/>
          <w:b/>
          <w:bCs/>
        </w:rPr>
      </w:pPr>
      <w:r w:rsidRPr="00AC6EB7">
        <w:rPr>
          <w:rFonts w:ascii="Arial" w:hAnsi="Arial" w:cs="Arial"/>
          <w:b/>
          <w:bCs/>
        </w:rPr>
        <w:t>Conclusion</w:t>
      </w:r>
      <w:r w:rsidRPr="00AC6EB7">
        <w:rPr>
          <w:rFonts w:ascii="Arial" w:hAnsi="Arial" w:cs="Arial"/>
        </w:rPr>
        <w:br/>
        <w:t>Mrs Mann’s case underscores the critical importance of effective communication, accurate administration, and collaborative working in providing safe, high-quality, and person-centred care. Her limited English proficiency and reliance on family members for interpretation highlight the risks associated with informal translation, including miscommunication, breaches of confidentiality, and challenges in obtaining informed consent. Ensuring access to professional interpreters and translated materials is essential to promote autonomy, dignity, and informed decision-making, in line with the Equality Act 2010.</w:t>
      </w:r>
    </w:p>
    <w:p w14:paraId="6FB66B16" w14:textId="77777777" w:rsidR="00AC6EB7" w:rsidRPr="00AC6EB7" w:rsidRDefault="00AC6EB7" w:rsidP="00AC6EB7">
      <w:pPr>
        <w:rPr>
          <w:rFonts w:ascii="Arial" w:hAnsi="Arial" w:cs="Arial"/>
        </w:rPr>
      </w:pPr>
      <w:r w:rsidRPr="00AC6EB7">
        <w:rPr>
          <w:rFonts w:ascii="Arial" w:hAnsi="Arial" w:cs="Arial"/>
        </w:rPr>
        <w:t>Additionally, the recent inconsistencies in documentation and delayed medication adjustment demonstrate how poor administrative practices can directly compromise patient safety and rehabilitation outcomes. Accurate, up-to-date, and accessible records are fundamental for continuity of care, interprofessional communication, and compliance with legal and professional standards such as the NMC Code, HCPC guidance, and the Data Protection Act 2018.</w:t>
      </w:r>
    </w:p>
    <w:p w14:paraId="44370CA0" w14:textId="77777777" w:rsidR="00AC6EB7" w:rsidRDefault="00AC6EB7" w:rsidP="00AC6EB7">
      <w:pPr>
        <w:rPr>
          <w:rFonts w:ascii="Arial" w:hAnsi="Arial" w:cs="Arial"/>
        </w:rPr>
      </w:pPr>
      <w:r w:rsidRPr="00AC6EB7">
        <w:rPr>
          <w:rFonts w:ascii="Arial" w:hAnsi="Arial" w:cs="Arial"/>
        </w:rPr>
        <w:t>Finally, Mrs Mann’s care involves multiple professionals, including her GP, physiotherapist, and domiciliary care workers, making collaboration essential. Clear role definitions, regular communication, structured handovers, and joint care planning ensure coordinated and responsive support while mitigating risks of errors and delays. By addressing communication barriers, improving administrative practices, and fostering effective multidisciplinary collaboration, care providers can enhance patient safety, support recovery, and promote Mrs Mann’s overall wellbeing.</w:t>
      </w:r>
    </w:p>
    <w:p w14:paraId="1B657487" w14:textId="2480D06D" w:rsidR="003A000F" w:rsidRPr="00BD2305" w:rsidRDefault="00132383" w:rsidP="00BD2305">
      <w:pPr>
        <w:pStyle w:val="ListParagraph"/>
        <w:numPr>
          <w:ilvl w:val="0"/>
          <w:numId w:val="6"/>
        </w:numPr>
        <w:rPr>
          <w:rFonts w:ascii="Arial" w:hAnsi="Arial" w:cs="Arial"/>
          <w:b/>
          <w:bCs/>
        </w:rPr>
      </w:pPr>
      <w:r w:rsidRPr="00132383">
        <w:rPr>
          <w:rFonts w:ascii="Arial" w:hAnsi="Arial" w:cs="Arial"/>
          <w:b/>
          <w:bCs/>
        </w:rPr>
        <w:t>Reference</w:t>
      </w:r>
    </w:p>
    <w:p w14:paraId="4D906D85" w14:textId="6E171DE2" w:rsidR="00132383" w:rsidRPr="00132383" w:rsidRDefault="00132383" w:rsidP="00132383">
      <w:pPr>
        <w:rPr>
          <w:rFonts w:ascii="Arial" w:hAnsi="Arial" w:cs="Arial"/>
          <w:b/>
          <w:bCs/>
        </w:rPr>
      </w:pPr>
      <w:r w:rsidRPr="00132383">
        <w:rPr>
          <w:rFonts w:ascii="Arial" w:hAnsi="Arial" w:cs="Arial"/>
          <w:b/>
          <w:bCs/>
        </w:rPr>
        <w:t xml:space="preserve"> NHS England, 2020. </w:t>
      </w:r>
      <w:r w:rsidRPr="00132383">
        <w:rPr>
          <w:rFonts w:ascii="Arial" w:hAnsi="Arial" w:cs="Arial"/>
          <w:b/>
          <w:bCs/>
          <w:i/>
          <w:iCs/>
        </w:rPr>
        <w:t>Accessible Information Standard.</w:t>
      </w:r>
      <w:r w:rsidRPr="00132383">
        <w:rPr>
          <w:rFonts w:ascii="Arial" w:hAnsi="Arial" w:cs="Arial"/>
          <w:b/>
          <w:bCs/>
        </w:rPr>
        <w:t xml:space="preserve"> [online] Available at: </w:t>
      </w:r>
      <w:hyperlink r:id="rId10" w:tgtFrame="_new" w:history="1">
        <w:r w:rsidRPr="00132383">
          <w:rPr>
            <w:rStyle w:val="Hyperlink"/>
            <w:rFonts w:ascii="Arial" w:hAnsi="Arial" w:cs="Arial"/>
            <w:b/>
            <w:bCs/>
          </w:rPr>
          <w:t>https://www.england.nhs.uk/accessible-information-standard/</w:t>
        </w:r>
      </w:hyperlink>
      <w:r w:rsidRPr="00132383">
        <w:rPr>
          <w:rFonts w:ascii="Arial" w:hAnsi="Arial" w:cs="Arial"/>
          <w:b/>
          <w:bCs/>
        </w:rPr>
        <w:t xml:space="preserve"> </w:t>
      </w:r>
    </w:p>
    <w:p w14:paraId="38C656E4" w14:textId="07E25327" w:rsidR="00132383" w:rsidRPr="00132383" w:rsidRDefault="00132383" w:rsidP="00132383">
      <w:pPr>
        <w:rPr>
          <w:rFonts w:ascii="Arial" w:hAnsi="Arial" w:cs="Arial"/>
          <w:b/>
          <w:bCs/>
        </w:rPr>
      </w:pPr>
      <w:r w:rsidRPr="00132383">
        <w:rPr>
          <w:rFonts w:ascii="Arial" w:hAnsi="Arial" w:cs="Arial"/>
          <w:b/>
          <w:bCs/>
        </w:rPr>
        <w:t xml:space="preserve"> UK Government, 2010. </w:t>
      </w:r>
      <w:r w:rsidRPr="00132383">
        <w:rPr>
          <w:rFonts w:ascii="Arial" w:hAnsi="Arial" w:cs="Arial"/>
          <w:b/>
          <w:bCs/>
          <w:i/>
          <w:iCs/>
        </w:rPr>
        <w:t>Equality Act 2010: guidance.</w:t>
      </w:r>
      <w:r w:rsidRPr="00132383">
        <w:rPr>
          <w:rFonts w:ascii="Arial" w:hAnsi="Arial" w:cs="Arial"/>
          <w:b/>
          <w:bCs/>
        </w:rPr>
        <w:t xml:space="preserve"> [online] Available at: </w:t>
      </w:r>
      <w:hyperlink r:id="rId11" w:tgtFrame="_new" w:history="1">
        <w:r w:rsidRPr="00132383">
          <w:rPr>
            <w:rStyle w:val="Hyperlink"/>
            <w:rFonts w:ascii="Arial" w:hAnsi="Arial" w:cs="Arial"/>
            <w:b/>
            <w:bCs/>
          </w:rPr>
          <w:t>https://www.gov.uk/guidance/equality-act-2010-guidance</w:t>
        </w:r>
      </w:hyperlink>
    </w:p>
    <w:p w14:paraId="2C003EEC" w14:textId="0DE6E620" w:rsidR="00132383" w:rsidRPr="00132383" w:rsidRDefault="00132383" w:rsidP="00132383">
      <w:pPr>
        <w:rPr>
          <w:rFonts w:ascii="Arial" w:hAnsi="Arial" w:cs="Arial"/>
          <w:b/>
          <w:bCs/>
        </w:rPr>
      </w:pPr>
      <w:r w:rsidRPr="00132383">
        <w:rPr>
          <w:rFonts w:ascii="Arial" w:hAnsi="Arial" w:cs="Arial"/>
          <w:b/>
          <w:bCs/>
        </w:rPr>
        <w:t xml:space="preserve"> UK Government, 2013. </w:t>
      </w:r>
      <w:r w:rsidRPr="00132383">
        <w:rPr>
          <w:rFonts w:ascii="Arial" w:hAnsi="Arial" w:cs="Arial"/>
          <w:b/>
          <w:bCs/>
          <w:i/>
          <w:iCs/>
        </w:rPr>
        <w:t>The Caldicott Principles.</w:t>
      </w:r>
      <w:r w:rsidRPr="00132383">
        <w:rPr>
          <w:rFonts w:ascii="Arial" w:hAnsi="Arial" w:cs="Arial"/>
          <w:b/>
          <w:bCs/>
        </w:rPr>
        <w:t xml:space="preserve"> [online] Available at: </w:t>
      </w:r>
      <w:hyperlink r:id="rId12" w:tgtFrame="_new" w:history="1">
        <w:r w:rsidRPr="00132383">
          <w:rPr>
            <w:rStyle w:val="Hyperlink"/>
            <w:rFonts w:ascii="Arial" w:hAnsi="Arial" w:cs="Arial"/>
            <w:b/>
            <w:bCs/>
          </w:rPr>
          <w:t>https://www.gov.uk/government/publications/the-caldicott-principles</w:t>
        </w:r>
      </w:hyperlink>
    </w:p>
    <w:p w14:paraId="081E4FC5" w14:textId="77777777" w:rsidR="00BD2305" w:rsidRDefault="00132383" w:rsidP="00132383">
      <w:pPr>
        <w:rPr>
          <w:rFonts w:ascii="Arial" w:hAnsi="Arial" w:cs="Arial"/>
          <w:b/>
          <w:bCs/>
        </w:rPr>
      </w:pPr>
      <w:r w:rsidRPr="00132383">
        <w:rPr>
          <w:rFonts w:ascii="Arial" w:hAnsi="Arial" w:cs="Arial"/>
          <w:b/>
          <w:bCs/>
        </w:rPr>
        <w:t xml:space="preserve">Flores, G., 2022. </w:t>
      </w:r>
      <w:r w:rsidRPr="00132383">
        <w:rPr>
          <w:rFonts w:ascii="Arial" w:hAnsi="Arial" w:cs="Arial"/>
          <w:b/>
          <w:bCs/>
          <w:i/>
          <w:iCs/>
        </w:rPr>
        <w:t>Health care interpreter use in an inpatient rehabilitation setting.</w:t>
      </w:r>
      <w:r w:rsidRPr="00132383">
        <w:rPr>
          <w:rFonts w:ascii="Arial" w:hAnsi="Arial" w:cs="Arial"/>
          <w:b/>
          <w:bCs/>
        </w:rPr>
        <w:t xml:space="preserve"> [online] PubMed. Available at: </w:t>
      </w:r>
      <w:hyperlink r:id="rId13" w:tgtFrame="_new" w:history="1">
        <w:r w:rsidRPr="00132383">
          <w:rPr>
            <w:rStyle w:val="Hyperlink"/>
            <w:rFonts w:ascii="Arial" w:hAnsi="Arial" w:cs="Arial"/>
            <w:b/>
            <w:bCs/>
          </w:rPr>
          <w:t>https://pubmed.ncbi.nlm.nih.gov/35705483/</w:t>
        </w:r>
      </w:hyperlink>
    </w:p>
    <w:p w14:paraId="1E15759B" w14:textId="0FBAB0D3" w:rsidR="00132383" w:rsidRPr="00132383" w:rsidRDefault="00132383" w:rsidP="00132383">
      <w:pPr>
        <w:rPr>
          <w:rFonts w:ascii="Arial" w:hAnsi="Arial" w:cs="Arial"/>
          <w:b/>
          <w:bCs/>
        </w:rPr>
      </w:pPr>
      <w:r w:rsidRPr="00132383">
        <w:rPr>
          <w:rFonts w:ascii="Arial" w:hAnsi="Arial" w:cs="Arial"/>
          <w:b/>
          <w:bCs/>
        </w:rPr>
        <w:t xml:space="preserve"> </w:t>
      </w:r>
      <w:proofErr w:type="spellStart"/>
      <w:r w:rsidRPr="00132383">
        <w:rPr>
          <w:rFonts w:ascii="Arial" w:hAnsi="Arial" w:cs="Arial"/>
          <w:b/>
          <w:bCs/>
        </w:rPr>
        <w:t>Karliner</w:t>
      </w:r>
      <w:proofErr w:type="spellEnd"/>
      <w:r w:rsidRPr="00132383">
        <w:rPr>
          <w:rFonts w:ascii="Arial" w:hAnsi="Arial" w:cs="Arial"/>
          <w:b/>
          <w:bCs/>
        </w:rPr>
        <w:t xml:space="preserve">, L.S., Jacobs, E.A., Chen, A.H. and Mutha, S., 2007. </w:t>
      </w:r>
      <w:r w:rsidRPr="00132383">
        <w:rPr>
          <w:rFonts w:ascii="Arial" w:hAnsi="Arial" w:cs="Arial"/>
          <w:b/>
          <w:bCs/>
          <w:i/>
          <w:iCs/>
        </w:rPr>
        <w:t>Interpreter services and effect on healthcare: A systematic review.</w:t>
      </w:r>
      <w:r w:rsidRPr="00132383">
        <w:rPr>
          <w:rFonts w:ascii="Arial" w:hAnsi="Arial" w:cs="Arial"/>
          <w:b/>
          <w:bCs/>
        </w:rPr>
        <w:t xml:space="preserve"> [online] ScienceDirect. Available at: </w:t>
      </w:r>
      <w:hyperlink r:id="rId14" w:tgtFrame="_new" w:history="1">
        <w:r w:rsidRPr="00132383">
          <w:rPr>
            <w:rStyle w:val="Hyperlink"/>
            <w:rFonts w:ascii="Arial" w:hAnsi="Arial" w:cs="Arial"/>
            <w:b/>
            <w:bCs/>
          </w:rPr>
          <w:t>https://www.sciencedirect.com/science/article/pii/S2666623523000120</w:t>
        </w:r>
      </w:hyperlink>
    </w:p>
    <w:p w14:paraId="20F1A3B3" w14:textId="7CC8AA3B" w:rsidR="00132383" w:rsidRPr="00132383" w:rsidRDefault="00BD2305">
      <w:pPr>
        <w:rPr>
          <w:rFonts w:ascii="Arial" w:hAnsi="Arial" w:cs="Arial"/>
          <w:b/>
          <w:bCs/>
        </w:rPr>
        <w:sectPr w:rsidR="00132383" w:rsidRPr="00132383" w:rsidSect="003A000F">
          <w:footerReference w:type="default" r:id="rId15"/>
          <w:pgSz w:w="11906" w:h="16838"/>
          <w:pgMar w:top="1440" w:right="1440" w:bottom="1440" w:left="1440" w:header="708" w:footer="708" w:gutter="0"/>
          <w:cols w:space="708"/>
          <w:docGrid w:linePitch="360"/>
        </w:sectPr>
      </w:pPr>
      <w:r w:rsidRPr="00132383">
        <w:rPr>
          <w:rFonts w:ascii="Arial" w:hAnsi="Arial" w:cs="Arial"/>
          <w:b/>
          <w:bCs/>
        </w:rPr>
        <w:t xml:space="preserve"> NHS</w:t>
      </w:r>
      <w:r w:rsidR="00132383" w:rsidRPr="00132383">
        <w:rPr>
          <w:rFonts w:ascii="Arial" w:hAnsi="Arial" w:cs="Arial"/>
          <w:b/>
          <w:bCs/>
        </w:rPr>
        <w:t xml:space="preserve"> England, 2021. </w:t>
      </w:r>
      <w:r w:rsidR="00132383" w:rsidRPr="00132383">
        <w:rPr>
          <w:rFonts w:ascii="Arial" w:hAnsi="Arial" w:cs="Arial"/>
          <w:b/>
          <w:bCs/>
          <w:i/>
          <w:iCs/>
        </w:rPr>
        <w:t>Consent to using and sharing patient information.</w:t>
      </w:r>
      <w:r w:rsidR="00132383" w:rsidRPr="00132383">
        <w:rPr>
          <w:rFonts w:ascii="Arial" w:hAnsi="Arial" w:cs="Arial"/>
          <w:b/>
          <w:bCs/>
        </w:rPr>
        <w:t xml:space="preserve"> [online] Available at: </w:t>
      </w:r>
      <w:hyperlink r:id="rId16" w:tgtFrame="_new" w:history="1">
        <w:r w:rsidR="00132383" w:rsidRPr="00132383">
          <w:rPr>
            <w:rStyle w:val="Hyperlink"/>
            <w:rFonts w:ascii="Arial" w:hAnsi="Arial" w:cs="Arial"/>
            <w:b/>
            <w:bCs/>
          </w:rPr>
          <w:t>https://www.england.nhs.uk/long-read/consent-to-using-and-sharing-patient-information/</w:t>
        </w:r>
      </w:hyperlink>
    </w:p>
    <w:p w14:paraId="4D25E980" w14:textId="1F4DE1EA" w:rsidR="00BD2305" w:rsidRPr="00BD2305" w:rsidRDefault="00BD2305" w:rsidP="00BD2305">
      <w:pPr>
        <w:tabs>
          <w:tab w:val="left" w:pos="2910"/>
        </w:tabs>
        <w:rPr>
          <w:rFonts w:ascii="Arial" w:hAnsi="Arial" w:cs="Arial"/>
          <w:sz w:val="28"/>
          <w:szCs w:val="28"/>
        </w:rPr>
      </w:pPr>
    </w:p>
    <w:sectPr w:rsidR="00BD2305" w:rsidRPr="00BD230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C2BD4" w14:textId="77777777" w:rsidR="00056EB1" w:rsidRDefault="00056EB1" w:rsidP="00BE6BE0">
      <w:pPr>
        <w:spacing w:after="0" w:line="240" w:lineRule="auto"/>
      </w:pPr>
      <w:r>
        <w:separator/>
      </w:r>
    </w:p>
  </w:endnote>
  <w:endnote w:type="continuationSeparator" w:id="0">
    <w:p w14:paraId="22A9D271" w14:textId="77777777" w:rsidR="00056EB1" w:rsidRDefault="00056EB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1278A" w14:textId="77777777" w:rsidR="00056EB1" w:rsidRDefault="00056EB1" w:rsidP="00BE6BE0">
      <w:pPr>
        <w:spacing w:after="0" w:line="240" w:lineRule="auto"/>
      </w:pPr>
      <w:r>
        <w:separator/>
      </w:r>
    </w:p>
  </w:footnote>
  <w:footnote w:type="continuationSeparator" w:id="0">
    <w:p w14:paraId="0F4731C0" w14:textId="77777777" w:rsidR="00056EB1" w:rsidRDefault="00056EB1" w:rsidP="00BE6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C2483"/>
    <w:multiLevelType w:val="multilevel"/>
    <w:tmpl w:val="BDE48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136A7"/>
    <w:multiLevelType w:val="hybridMultilevel"/>
    <w:tmpl w:val="D4AC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6561C"/>
    <w:multiLevelType w:val="multilevel"/>
    <w:tmpl w:val="50F05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984D5A"/>
    <w:multiLevelType w:val="multilevel"/>
    <w:tmpl w:val="8CF8A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DB6324"/>
    <w:multiLevelType w:val="multilevel"/>
    <w:tmpl w:val="2FEC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A90D3C"/>
    <w:multiLevelType w:val="multilevel"/>
    <w:tmpl w:val="DFFC8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0270765">
    <w:abstractNumId w:val="5"/>
  </w:num>
  <w:num w:numId="2" w16cid:durableId="1744327932">
    <w:abstractNumId w:val="2"/>
  </w:num>
  <w:num w:numId="3" w16cid:durableId="1590578419">
    <w:abstractNumId w:val="0"/>
  </w:num>
  <w:num w:numId="4" w16cid:durableId="1936595059">
    <w:abstractNumId w:val="4"/>
  </w:num>
  <w:num w:numId="5" w16cid:durableId="1364668717">
    <w:abstractNumId w:val="3"/>
  </w:num>
  <w:num w:numId="6" w16cid:durableId="809906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revisionView w:inkAnnotations="0"/>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4DF0"/>
    <w:rsid w:val="000464A0"/>
    <w:rsid w:val="00056EB1"/>
    <w:rsid w:val="00132383"/>
    <w:rsid w:val="00256BC3"/>
    <w:rsid w:val="002767BF"/>
    <w:rsid w:val="003A000F"/>
    <w:rsid w:val="00434136"/>
    <w:rsid w:val="00447AAD"/>
    <w:rsid w:val="005B7705"/>
    <w:rsid w:val="005D3940"/>
    <w:rsid w:val="005E51C6"/>
    <w:rsid w:val="006A6816"/>
    <w:rsid w:val="006F7E4E"/>
    <w:rsid w:val="007F3CCF"/>
    <w:rsid w:val="00804A7F"/>
    <w:rsid w:val="00822570"/>
    <w:rsid w:val="0083150A"/>
    <w:rsid w:val="00833470"/>
    <w:rsid w:val="008D5158"/>
    <w:rsid w:val="009040D0"/>
    <w:rsid w:val="00925D5E"/>
    <w:rsid w:val="009E257B"/>
    <w:rsid w:val="00A23257"/>
    <w:rsid w:val="00A6165E"/>
    <w:rsid w:val="00A70D9A"/>
    <w:rsid w:val="00A82690"/>
    <w:rsid w:val="00AC6EB7"/>
    <w:rsid w:val="00B14056"/>
    <w:rsid w:val="00B642EF"/>
    <w:rsid w:val="00BD2305"/>
    <w:rsid w:val="00BE6BE0"/>
    <w:rsid w:val="00C10AF9"/>
    <w:rsid w:val="00C83A82"/>
    <w:rsid w:val="00D04874"/>
    <w:rsid w:val="00D16DC3"/>
    <w:rsid w:val="00DB7C61"/>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E51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2Char">
    <w:name w:val="Heading 2 Char"/>
    <w:basedOn w:val="DefaultParagraphFont"/>
    <w:link w:val="Heading2"/>
    <w:uiPriority w:val="9"/>
    <w:semiHidden/>
    <w:rsid w:val="005E51C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C6EB7"/>
    <w:pPr>
      <w:ind w:left="720"/>
      <w:contextualSpacing/>
    </w:pPr>
  </w:style>
  <w:style w:type="character" w:styleId="Hyperlink">
    <w:name w:val="Hyperlink"/>
    <w:basedOn w:val="DefaultParagraphFont"/>
    <w:uiPriority w:val="99"/>
    <w:unhideWhenUsed/>
    <w:rsid w:val="00132383"/>
    <w:rPr>
      <w:color w:val="0563C1" w:themeColor="hyperlink"/>
      <w:u w:val="single"/>
    </w:rPr>
  </w:style>
  <w:style w:type="character" w:styleId="UnresolvedMention">
    <w:name w:val="Unresolved Mention"/>
    <w:basedOn w:val="DefaultParagraphFont"/>
    <w:uiPriority w:val="99"/>
    <w:semiHidden/>
    <w:unhideWhenUsed/>
    <w:rsid w:val="00132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med.ncbi.nlm.nih.gov/35705483/?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the-caldicott-principles?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gland.nhs.uk/long-read/consent-to-using-and-sharing-patient-information/?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equality-act-2010-guidance?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ngland.nhs.uk/accessible-information-standard/?utm_source=chatgp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ciencedirect.com/science/article/pii/S2666623523000120?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2074</Words>
  <Characters>11822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sabbir ahmed</cp:lastModifiedBy>
  <cp:revision>2</cp:revision>
  <dcterms:created xsi:type="dcterms:W3CDTF">2025-12-18T22:17:00Z</dcterms:created>
  <dcterms:modified xsi:type="dcterms:W3CDTF">2025-12-18T22:17:00Z</dcterms:modified>
</cp:coreProperties>
</file>