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spacing w:line="360" w:lineRule="auto"/>
        <w:jc w:val="both"/>
        <w:rPr>
          <w:b/>
          <w:sz w:val="24"/>
          <w:szCs w:val="24"/>
          <w:lang w:val="en-GB"/>
        </w:rPr>
      </w:pPr>
    </w:p>
    <w:p>
      <w:pPr>
        <w:spacing w:line="360" w:lineRule="auto"/>
        <w:jc w:val="both"/>
        <w:rPr>
          <w:b/>
          <w:sz w:val="24"/>
          <w:szCs w:val="24"/>
          <w:lang w:val="en-GB"/>
        </w:rPr>
      </w:pPr>
    </w:p>
    <w:p>
      <w:pPr>
        <w:spacing w:line="360" w:lineRule="auto"/>
        <w:jc w:val="both"/>
        <w:rPr>
          <w:b/>
          <w:sz w:val="24"/>
          <w:szCs w:val="24"/>
          <w:lang w:val="en-GB"/>
        </w:rPr>
      </w:pPr>
    </w:p>
    <w:p>
      <w:pPr>
        <w:spacing w:line="360" w:lineRule="auto"/>
        <w:jc w:val="both"/>
        <w:rPr>
          <w:b/>
          <w:sz w:val="24"/>
          <w:szCs w:val="24"/>
          <w:lang w:val="en-GB"/>
        </w:rPr>
      </w:pPr>
    </w:p>
    <w:p>
      <w:pPr>
        <w:spacing w:line="360" w:lineRule="auto"/>
        <w:jc w:val="both"/>
        <w:rPr>
          <w:b/>
          <w:sz w:val="24"/>
          <w:szCs w:val="24"/>
          <w:lang w:val="en-GB"/>
        </w:rPr>
      </w:pPr>
    </w:p>
    <w:p>
      <w:pPr>
        <w:spacing w:line="360" w:lineRule="auto"/>
        <w:jc w:val="center"/>
        <w:rPr>
          <w:b/>
          <w:sz w:val="32"/>
          <w:szCs w:val="32"/>
          <w:lang w:val="en-GB"/>
        </w:rPr>
      </w:pPr>
      <w:r>
        <w:rPr>
          <w:b/>
          <w:sz w:val="32"/>
          <w:szCs w:val="32"/>
          <w:lang w:val="en-GB"/>
        </w:rPr>
        <w:t>BMSW4013</w:t>
      </w:r>
    </w:p>
    <w:p>
      <w:pPr>
        <w:spacing w:line="360" w:lineRule="auto"/>
        <w:jc w:val="both"/>
        <w:rPr>
          <w:b/>
          <w:sz w:val="24"/>
          <w:szCs w:val="24"/>
          <w:lang w:val="en-GB"/>
        </w:rPr>
      </w:pPr>
    </w:p>
    <w:p>
      <w:pPr>
        <w:spacing w:line="360" w:lineRule="auto"/>
        <w:jc w:val="center"/>
        <w:rPr>
          <w:b/>
          <w:sz w:val="32"/>
          <w:szCs w:val="32"/>
          <w:lang w:val="en-GB"/>
        </w:rPr>
      </w:pPr>
      <w:r>
        <w:rPr>
          <w:b/>
          <w:sz w:val="32"/>
          <w:szCs w:val="32"/>
          <w:lang w:val="en-GB"/>
        </w:rPr>
        <w:t>Academic Skills for the Digital Era</w:t>
      </w:r>
    </w:p>
    <w:p>
      <w:pPr>
        <w:spacing w:line="360" w:lineRule="auto"/>
        <w:jc w:val="center"/>
        <w:rPr>
          <w:b/>
          <w:bCs/>
          <w:color w:val="000000"/>
          <w:sz w:val="32"/>
          <w:szCs w:val="32"/>
          <w:lang w:val="en-GB"/>
        </w:rPr>
      </w:pPr>
      <w:r>
        <w:rPr>
          <w:b/>
          <w:bCs/>
          <w:color w:val="000000"/>
          <w:sz w:val="32"/>
          <w:szCs w:val="32"/>
          <w:lang w:val="en-GB"/>
        </w:rPr>
        <w:t>Reflective Essay</w:t>
      </w:r>
    </w:p>
    <w:p>
      <w:pPr>
        <w:spacing w:line="360" w:lineRule="auto"/>
        <w:jc w:val="center"/>
        <w:rPr>
          <w:b/>
          <w:bCs/>
          <w:color w:val="000000"/>
          <w:sz w:val="32"/>
          <w:szCs w:val="32"/>
          <w:lang w:val="en-GB"/>
        </w:rPr>
      </w:pPr>
      <w:r>
        <w:rPr>
          <w:b/>
          <w:bCs/>
          <w:color w:val="000000"/>
          <w:sz w:val="32"/>
          <w:szCs w:val="32"/>
          <w:lang w:val="en-GB"/>
        </w:rPr>
        <w:t>NAME : DUSAN HORVATH , STDUENT ID :2009988</w:t>
      </w:r>
    </w:p>
    <w:p>
      <w:pPr>
        <w:spacing w:line="360" w:lineRule="auto"/>
        <w:jc w:val="center"/>
        <w:rPr>
          <w:bCs/>
          <w:sz w:val="24"/>
          <w:szCs w:val="24"/>
          <w:lang w:val="en-GB"/>
        </w:rPr>
      </w:pPr>
    </w:p>
    <w:p>
      <w:pPr>
        <w:spacing w:line="360" w:lineRule="auto"/>
        <w:jc w:val="center"/>
        <w:rPr>
          <w:bCs/>
          <w:sz w:val="24"/>
          <w:szCs w:val="24"/>
          <w:lang w:val="en-GB"/>
        </w:rPr>
      </w:pPr>
      <w:r>
        <w:rPr>
          <w:bCs/>
          <w:sz w:val="24"/>
          <w:szCs w:val="24"/>
          <w:lang w:val="en-GB"/>
        </w:rPr>
        <w:t>Reflective Essay on the Development of Academic and Digital Skills</w:t>
      </w:r>
    </w:p>
    <w:p>
      <w:pPr>
        <w:spacing w:line="360" w:lineRule="auto"/>
        <w:rPr>
          <w:b/>
          <w:sz w:val="32"/>
          <w:szCs w:val="32"/>
          <w:lang w:val="en-GB"/>
        </w:rPr>
      </w:pPr>
      <w:r>
        <w:rPr>
          <w:b/>
          <w:sz w:val="32"/>
          <w:szCs w:val="32"/>
          <w:lang w:val="en-GB"/>
        </w:rPr>
        <w:br w:type="page"/>
      </w:r>
    </w:p>
    <w:p>
      <w:pPr>
        <w:pStyle w:val="TOCHeading"/>
        <w:spacing w:line="360" w:lineRule="auto"/>
        <w:jc w:val="center"/>
        <w:rPr>
          <w:rFonts w:ascii="Arial" w:cs="Arial" w:hAnsi="Arial"/>
          <w:b/>
          <w:color w:val="000000" w:themeColor="text1"/>
          <w:sz w:val="28"/>
          <w:szCs w:val="24"/>
          <w:lang w:val="en-GB"/>
        </w:rPr>
      </w:pPr>
      <w:r>
        <w:rPr>
          <w:rFonts w:ascii="Arial" w:cs="Arial" w:hAnsi="Arial"/>
          <w:b/>
          <w:color w:val="000000" w:themeColor="text1"/>
          <w:sz w:val="28"/>
          <w:szCs w:val="24"/>
          <w:lang w:val="en-GB"/>
        </w:rPr>
        <w:t>Table of Contents</w:t>
      </w:r>
    </w:p>
    <w:p>
      <w:pPr>
        <w:pStyle w:val="Toc1"/>
        <w:tabs>
          <w:tab w:val="right" w:leader="dot" w:pos="9350"/>
        </w:tabs>
        <w:spacing w:line="360" w:lineRule="auto"/>
        <w:rPr>
          <w:sz w:val="24"/>
          <w:szCs w:val="24"/>
          <w:lang w:val="en-GB"/>
        </w:rPr>
      </w:pPr>
      <w:r>
        <w:fldChar w:fldCharType="begin"/>
      </w:r>
      <w:r>
        <w:instrText xml:space="preserve"> TOC \o "1-3" \h \z \u </w:instrText>
      </w:r>
      <w:r>
        <w:fldChar w:fldCharType="separate"/>
      </w:r>
      <w:r>
        <w:fldChar w:fldCharType="begin"/>
      </w:r>
      <w:r>
        <w:instrText xml:space="preserve">HYPERLINK \l "_Toc202612287" </w:instrText>
      </w:r>
      <w:r>
        <w:fldChar w:fldCharType="separate"/>
      </w:r>
      <w:r>
        <w:rPr>
          <w:rStyle w:val="Hyperlink"/>
          <w:sz w:val="24"/>
          <w:szCs w:val="24"/>
          <w:lang w:val="en-GB"/>
        </w:rPr>
        <w:t>1. Description</w:t>
      </w:r>
      <w:r>
        <w:rPr>
          <w:sz w:val="24"/>
          <w:szCs w:val="24"/>
          <w:lang w:val="en-GB"/>
        </w:rPr>
        <w:tab/>
      </w:r>
      <w:r>
        <w:fldChar w:fldCharType="begin"/>
      </w:r>
      <w:r>
        <w:instrText xml:space="preserve"> PAGEREF _Toc202612287 \h </w:instrText>
      </w:r>
      <w:r>
        <w:fldChar w:fldCharType="separate"/>
      </w:r>
      <w:r>
        <w:rPr>
          <w:sz w:val="24"/>
          <w:szCs w:val="24"/>
          <w:lang w:val="en-GB"/>
        </w:rPr>
        <w:t>3</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"_Toc202612288" </w:instrText>
      </w:r>
      <w:r>
        <w:fldChar w:fldCharType="separate"/>
      </w:r>
      <w:r>
        <w:rPr>
          <w:rStyle w:val="Hyperlink"/>
          <w:sz w:val="24"/>
          <w:szCs w:val="24"/>
          <w:lang w:val="en-GB"/>
        </w:rPr>
        <w:t>2. Feelings</w:t>
      </w:r>
      <w:r>
        <w:rPr>
          <w:sz w:val="24"/>
          <w:szCs w:val="24"/>
          <w:lang w:val="en-GB"/>
        </w:rPr>
        <w:tab/>
      </w:r>
      <w:r>
        <w:fldChar w:fldCharType="begin"/>
      </w:r>
      <w:r>
        <w:instrText xml:space="preserve"> PAGEREF _Toc202612288 \h </w:instrText>
      </w:r>
      <w:r>
        <w:fldChar w:fldCharType="separate"/>
      </w:r>
      <w:r>
        <w:rPr>
          <w:sz w:val="24"/>
          <w:szCs w:val="24"/>
          <w:lang w:val="en-GB"/>
        </w:rPr>
        <w:t>3</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"_Toc202612289" </w:instrText>
      </w:r>
      <w:r>
        <w:fldChar w:fldCharType="separate"/>
      </w:r>
      <w:r>
        <w:rPr>
          <w:rStyle w:val="Hyperlink"/>
          <w:sz w:val="24"/>
          <w:szCs w:val="24"/>
          <w:lang w:val="en-GB"/>
        </w:rPr>
        <w:t>3. Evaluation</w:t>
      </w:r>
      <w:r>
        <w:rPr>
          <w:sz w:val="24"/>
          <w:szCs w:val="24"/>
          <w:lang w:val="en-GB"/>
        </w:rPr>
        <w:tab/>
      </w:r>
      <w:r>
        <w:fldChar w:fldCharType="begin"/>
      </w:r>
      <w:r>
        <w:instrText xml:space="preserve"> PAGEREF _Toc202612289 \h </w:instrText>
      </w:r>
      <w:r>
        <w:fldChar w:fldCharType="separate"/>
      </w:r>
      <w:r>
        <w:rPr>
          <w:sz w:val="24"/>
          <w:szCs w:val="24"/>
          <w:lang w:val="en-GB"/>
        </w:rPr>
        <w:t>4</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"_Toc202612290" </w:instrText>
      </w:r>
      <w:r>
        <w:fldChar w:fldCharType="separate"/>
      </w:r>
      <w:r>
        <w:rPr>
          <w:rStyle w:val="Hyperlink"/>
          <w:sz w:val="24"/>
          <w:szCs w:val="24"/>
          <w:lang w:val="en-GB"/>
        </w:rPr>
        <w:t>4. Analysis</w:t>
      </w:r>
      <w:r>
        <w:rPr>
          <w:sz w:val="24"/>
          <w:szCs w:val="24"/>
          <w:lang w:val="en-GB"/>
        </w:rPr>
        <w:tab/>
      </w:r>
      <w:r>
        <w:fldChar w:fldCharType="begin"/>
      </w:r>
      <w:r>
        <w:instrText xml:space="preserve"> PAGEREF _Toc202612290 \h </w:instrText>
      </w:r>
      <w:r>
        <w:fldChar w:fldCharType="separate"/>
      </w:r>
      <w:r>
        <w:rPr>
          <w:sz w:val="24"/>
          <w:szCs w:val="24"/>
          <w:lang w:val="en-GB"/>
        </w:rPr>
        <w:t>5</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"_Toc202612291" </w:instrText>
      </w:r>
      <w:r>
        <w:fldChar w:fldCharType="separate"/>
      </w:r>
      <w:r>
        <w:rPr>
          <w:rStyle w:val="Hyperlink"/>
          <w:sz w:val="24"/>
          <w:szCs w:val="24"/>
          <w:lang w:val="en-GB"/>
        </w:rPr>
        <w:t>5. Conclusion</w:t>
      </w:r>
      <w:r>
        <w:rPr>
          <w:sz w:val="24"/>
          <w:szCs w:val="24"/>
          <w:lang w:val="en-GB"/>
        </w:rPr>
        <w:tab/>
      </w:r>
      <w:r>
        <w:fldChar w:fldCharType="begin"/>
      </w:r>
      <w:r>
        <w:instrText xml:space="preserve"> PAGEREF _Toc202612291 \h </w:instrText>
      </w:r>
      <w:r>
        <w:fldChar w:fldCharType="separate"/>
      </w:r>
      <w:r>
        <w:rPr>
          <w:sz w:val="24"/>
          <w:szCs w:val="24"/>
          <w:lang w:val="en-GB"/>
        </w:rPr>
        <w:t>5</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"_Toc202612292" </w:instrText>
      </w:r>
      <w:r>
        <w:fldChar w:fldCharType="separate"/>
      </w:r>
      <w:r>
        <w:rPr>
          <w:rStyle w:val="Hyperlink"/>
          <w:sz w:val="24"/>
          <w:szCs w:val="24"/>
          <w:lang w:val="en-GB"/>
        </w:rPr>
        <w:t>6. Action Plan</w:t>
      </w:r>
      <w:r>
        <w:rPr>
          <w:sz w:val="24"/>
          <w:szCs w:val="24"/>
          <w:lang w:val="en-GB"/>
        </w:rPr>
        <w:tab/>
      </w:r>
      <w:r>
        <w:fldChar w:fldCharType="begin"/>
      </w:r>
      <w:r>
        <w:instrText xml:space="preserve"> PAGEREF _Toc202612292 \h </w:instrText>
      </w:r>
      <w:r>
        <w:fldChar w:fldCharType="separate"/>
      </w:r>
      <w:r>
        <w:rPr>
          <w:sz w:val="24"/>
          <w:szCs w:val="24"/>
          <w:lang w:val="en-GB"/>
        </w:rPr>
        <w:t>6</w:t>
      </w:r>
      <w:r>
        <w:fldChar w:fldCharType="end"/>
      </w:r>
      <w:r>
        <w:fldChar w:fldCharType="end"/>
      </w:r>
    </w:p>
    <w:p>
      <w:pPr>
        <w:pStyle w:val="Toc1"/>
        <w:tabs>
          <w:tab w:val="right" w:leader="dot" w:pos="9350"/>
        </w:tabs>
        <w:spacing w:line="360" w:lineRule="auto"/>
        <w:rPr>
          <w:sz w:val="24"/>
          <w:szCs w:val="24"/>
          <w:lang w:val="en-GB"/>
        </w:rPr>
      </w:pPr>
      <w:r>
        <w:fldChar w:fldCharType="begin"/>
      </w:r>
      <w:r>
        <w:instrText xml:space="preserve">HYPERLINK \l "_Toc202612293" </w:instrText>
      </w:r>
      <w:r>
        <w:fldChar w:fldCharType="separate"/>
      </w:r>
      <w:r>
        <w:rPr>
          <w:rStyle w:val="Hyperlink"/>
          <w:sz w:val="24"/>
          <w:szCs w:val="24"/>
          <w:lang w:val="en-GB"/>
        </w:rPr>
        <w:t>References</w:t>
      </w:r>
      <w:r>
        <w:rPr>
          <w:sz w:val="24"/>
          <w:szCs w:val="24"/>
          <w:lang w:val="en-GB"/>
        </w:rPr>
        <w:tab/>
      </w:r>
      <w:r>
        <w:fldChar w:fldCharType="begin"/>
      </w:r>
      <w:r>
        <w:instrText xml:space="preserve"> PAGEREF _Toc202612293 \h </w:instrText>
      </w:r>
      <w:r>
        <w:fldChar w:fldCharType="separate"/>
      </w:r>
      <w:r>
        <w:rPr>
          <w:sz w:val="24"/>
          <w:szCs w:val="24"/>
          <w:lang w:val="en-GB"/>
        </w:rPr>
        <w:t>8</w:t>
      </w:r>
      <w:r>
        <w:fldChar w:fldCharType="end"/>
      </w:r>
      <w:r>
        <w:fldChar w:fldCharType="end"/>
      </w:r>
    </w:p>
    <w:p>
      <w:pPr>
        <w:spacing w:line="360" w:lineRule="auto"/>
        <w:rPr>
          <w:lang w:val="en-GB"/>
        </w:rPr>
      </w:pPr>
      <w:r>
        <w:fldChar w:fldCharType="end"/>
      </w:r>
    </w:p>
    <w:p>
      <w:pPr>
        <w:spacing w:line="360" w:lineRule="auto"/>
        <w:jc w:val="center"/>
        <w:rPr>
          <w:b/>
          <w:sz w:val="32"/>
          <w:szCs w:val="32"/>
          <w:lang w:val="en-GB"/>
        </w:rPr>
      </w:pPr>
    </w:p>
    <w:p>
      <w:pPr>
        <w:spacing w:line="360" w:lineRule="auto"/>
        <w:rPr>
          <w:b/>
          <w:sz w:val="24"/>
          <w:szCs w:val="24"/>
          <w:lang w:val="en-GB"/>
        </w:rPr>
      </w:pPr>
      <w:r>
        <w:rPr>
          <w:b/>
          <w:sz w:val="24"/>
          <w:szCs w:val="24"/>
          <w:lang w:val="en-GB"/>
        </w:rPr>
        <w:br w:type="page"/>
      </w:r>
    </w:p>
    <w:p>
      <w:pPr>
        <w:pStyle w:val="Heading1"/>
        <w:rPr>
          <w:lang w:val="en-GB"/>
        </w:rPr>
      </w:pPr>
      <w:bookmarkStart w:id="0" w:name="_Toc202612287"/>
      <w:r>
        <w:rPr>
          <w:lang w:val="en-GB"/>
        </w:rPr>
        <w:t>1. Description</w:t>
      </w:r>
      <w:bookmarkEnd w:id="0"/>
    </w:p>
    <w:p>
      <w:pPr>
        <w:spacing w:line="360" w:lineRule="auto"/>
        <w:jc w:val="both"/>
        <w:rPr>
          <w:b/>
          <w:sz w:val="24"/>
          <w:szCs w:val="24"/>
          <w:lang w:val="en-GB"/>
        </w:rPr>
      </w:pPr>
      <w:r>
        <w:rPr>
          <w:sz w:val="24"/>
          <w:szCs w:val="24"/>
          <w:lang w:val="en-GB"/>
        </w:rPr>
        <w:t>Throughout my academic project, I have worked on researching whether AI tools ensure the overall academic writing or AI tools hinder academic writing. At first, I actively participated in the group task by taking the responsibility of gathering significant information related to the study topic, including finding literature sources to develop critical arguments on the topic. I have attended the workshop on critical thinking and reflection with Harvard referencing, which has helped me to develop key arguments critically by following the Harvard referencing style. I have struggled with the part of developing a critical argument on whether AI tools engage academic writing or hinder the writing (</w:t>
      </w:r>
      <w:r>
        <w:rPr>
          <w:color w:val="222222"/>
          <w:sz w:val="24"/>
          <w:szCs w:val="24"/>
          <w:highlight w:val="white"/>
          <w:lang w:val="en-GB"/>
        </w:rPr>
        <w:t>Weerakoon, 2023)</w:t>
      </w:r>
      <w:r>
        <w:rPr>
          <w:sz w:val="24"/>
          <w:szCs w:val="24"/>
          <w:lang w:val="en-GB"/>
        </w:rPr>
        <w:t>. I have faced trouble in giving justification behind the topic of selecting that AI enhances overall academic writing rather than hinders the process. The writing demands the relevant justification with an argument point of view, which puts me in a struggle. In this first assignment, I have worked with educators, including classmates, which has developed a collaborative working skill by making sense of AI tools (</w:t>
      </w:r>
      <w:r>
        <w:rPr>
          <w:color w:val="222222"/>
          <w:sz w:val="24"/>
          <w:szCs w:val="24"/>
          <w:highlight w:val="white"/>
          <w:lang w:val="en-GB"/>
        </w:rPr>
        <w:t xml:space="preserve">Alt, Raichel and </w:t>
      </w:r>
      <w:r>
        <w:rPr>
          <w:color w:val="222222"/>
          <w:sz w:val="24"/>
          <w:szCs w:val="24"/>
          <w:highlight w:val="white"/>
          <w:lang w:val="en-GB"/>
        </w:rPr>
        <w:t>Naamati</w:t>
      </w:r>
      <w:r>
        <w:rPr>
          <w:color w:val="222222"/>
          <w:sz w:val="24"/>
          <w:szCs w:val="24"/>
          <w:highlight w:val="white"/>
          <w:lang w:val="en-GB"/>
        </w:rPr>
        <w:t>-Schneider, 2022)</w:t>
      </w:r>
      <w:r>
        <w:rPr>
          <w:sz w:val="24"/>
          <w:szCs w:val="24"/>
          <w:lang w:val="en-GB"/>
        </w:rPr>
        <w:t xml:space="preserve">. The involvement in the workshop has guided me to develop academic writing skills like critical thinking, researching, reflective writing, presentation, referencing, literature skills and cognitive skills. Over the completion of this project, I have focused on conducting research from existing studies in finding relevant literature and set a project plan to evaluate data and follow the guidelines of completing an academic project. </w:t>
      </w:r>
    </w:p>
    <w:p>
      <w:pPr>
        <w:pStyle w:val="Heading1"/>
        <w:rPr>
          <w:lang w:val="en-GB"/>
        </w:rPr>
      </w:pPr>
      <w:bookmarkStart w:id="1" w:name="_Toc202612288"/>
      <w:r>
        <w:rPr>
          <w:lang w:val="en-GB"/>
        </w:rPr>
        <w:t>2. Feelings</w:t>
      </w:r>
      <w:bookmarkEnd w:id="1"/>
      <w:r>
        <w:rPr>
          <w:lang w:val="en-GB"/>
        </w:rPr>
        <w:t xml:space="preserve"> </w:t>
      </w:r>
    </w:p>
    <w:p>
      <w:pPr>
        <w:spacing w:line="360" w:lineRule="auto"/>
        <w:jc w:val="both"/>
        <w:rPr>
          <w:b/>
          <w:sz w:val="24"/>
          <w:szCs w:val="24"/>
          <w:lang w:val="en-GB"/>
        </w:rPr>
      </w:pPr>
      <w:r>
        <w:rPr>
          <w:sz w:val="24"/>
          <w:szCs w:val="24"/>
          <w:lang w:val="en-GB"/>
        </w:rPr>
        <w:t xml:space="preserve">At the initial phase of proceeding with this assignment, I felt anxious due to having a low practical sense of applying research and referencing skills in the project. I felt anxious about using the Harvard referencing system in the assignment, which was overcome by considering the digital guide of the library. The overall academic skill has been developed over the consideration of the digital guide of the library, which has helped in enhancing my confidence in using the Harvard referencing skills. My self-confidence was lower at the initial phase, but it has been boosted throughout following the guidelines as well as considering the tutorials while ensuring collaborative work with classmates. We have had discussions with classmates, which led to developing confidence in proceeding with the project </w:t>
      </w:r>
      <w:r>
        <w:rPr>
          <w:color w:val="222222"/>
          <w:sz w:val="24"/>
          <w:szCs w:val="24"/>
          <w:highlight w:val="white"/>
          <w:lang w:val="en-GB"/>
        </w:rPr>
        <w:t>(</w:t>
      </w:r>
      <w:r>
        <w:rPr>
          <w:color w:val="222222"/>
          <w:sz w:val="24"/>
          <w:szCs w:val="24"/>
          <w:highlight w:val="white"/>
          <w:lang w:val="en-GB"/>
        </w:rPr>
        <w:t>Biletska</w:t>
      </w:r>
      <w:r>
        <w:rPr>
          <w:color w:val="222222"/>
          <w:sz w:val="24"/>
          <w:szCs w:val="24"/>
          <w:highlight w:val="white"/>
          <w:lang w:val="en-GB"/>
        </w:rPr>
        <w:t xml:space="preserve"> </w:t>
      </w:r>
      <w:r>
        <w:rPr>
          <w:i/>
          <w:color w:val="222222"/>
          <w:sz w:val="24"/>
          <w:szCs w:val="24"/>
          <w:highlight w:val="white"/>
          <w:lang w:val="en-GB"/>
        </w:rPr>
        <w:t>et al</w:t>
      </w:r>
      <w:r>
        <w:rPr>
          <w:color w:val="222222"/>
          <w:sz w:val="24"/>
          <w:szCs w:val="24"/>
          <w:highlight w:val="white"/>
          <w:lang w:val="en-GB"/>
        </w:rPr>
        <w:t>., 2021)</w:t>
      </w:r>
      <w:r>
        <w:rPr>
          <w:sz w:val="24"/>
          <w:szCs w:val="24"/>
          <w:lang w:val="en-GB"/>
        </w:rPr>
        <w:t xml:space="preserve">. After researching the topic from literary sources, I felt less </w:t>
      </w:r>
      <w:r>
        <w:rPr>
          <w:sz w:val="24"/>
          <w:szCs w:val="24"/>
          <w:lang w:val="en-GB"/>
        </w:rPr>
        <w:t xml:space="preserve">confident due to having only a theoretical sense rather than practical skill. Over the process of getting myself into research work, the key confidence in using different literary sources as well as collecting data with developing findings has developed </w:t>
      </w:r>
      <w:r>
        <w:rPr>
          <w:color w:val="222222"/>
          <w:sz w:val="24"/>
          <w:szCs w:val="24"/>
          <w:highlight w:val="white"/>
          <w:lang w:val="en-GB"/>
        </w:rPr>
        <w:t xml:space="preserve">(Costa, Castaño-Muñoz and </w:t>
      </w:r>
      <w:r>
        <w:rPr>
          <w:color w:val="222222"/>
          <w:sz w:val="24"/>
          <w:szCs w:val="24"/>
          <w:highlight w:val="white"/>
          <w:lang w:val="en-GB"/>
        </w:rPr>
        <w:t>Kampylis</w:t>
      </w:r>
      <w:r>
        <w:rPr>
          <w:color w:val="222222"/>
          <w:sz w:val="24"/>
          <w:szCs w:val="24"/>
          <w:highlight w:val="white"/>
          <w:lang w:val="en-GB"/>
        </w:rPr>
        <w:t>, 2021)</w:t>
      </w:r>
      <w:r>
        <w:rPr>
          <w:sz w:val="24"/>
          <w:szCs w:val="24"/>
          <w:lang w:val="en-GB"/>
        </w:rPr>
        <w:t xml:space="preserve">. Involvement in the academic workshop has guided me to develop note-taking skills with referencing, where I have used the appropriate citations along with leveraging a concise writing format </w:t>
      </w:r>
      <w:r>
        <w:rPr>
          <w:color w:val="222222"/>
          <w:sz w:val="24"/>
          <w:szCs w:val="24"/>
          <w:highlight w:val="white"/>
          <w:lang w:val="en-GB"/>
        </w:rPr>
        <w:t>(</w:t>
      </w:r>
      <w:r>
        <w:rPr>
          <w:color w:val="222222"/>
          <w:sz w:val="24"/>
          <w:szCs w:val="24"/>
          <w:highlight w:val="white"/>
          <w:lang w:val="en-GB"/>
        </w:rPr>
        <w:t>Tzafilkou</w:t>
      </w:r>
      <w:r>
        <w:rPr>
          <w:color w:val="222222"/>
          <w:sz w:val="24"/>
          <w:szCs w:val="24"/>
          <w:highlight w:val="white"/>
          <w:lang w:val="en-GB"/>
        </w:rPr>
        <w:t xml:space="preserve">, </w:t>
      </w:r>
      <w:r>
        <w:rPr>
          <w:color w:val="222222"/>
          <w:sz w:val="24"/>
          <w:szCs w:val="24"/>
          <w:highlight w:val="white"/>
          <w:lang w:val="en-GB"/>
        </w:rPr>
        <w:t>Perifanou</w:t>
      </w:r>
      <w:r>
        <w:rPr>
          <w:color w:val="222222"/>
          <w:sz w:val="24"/>
          <w:szCs w:val="24"/>
          <w:highlight w:val="white"/>
          <w:lang w:val="en-GB"/>
        </w:rPr>
        <w:t xml:space="preserve"> and Economides, 2023)</w:t>
      </w:r>
      <w:r>
        <w:rPr>
          <w:sz w:val="24"/>
          <w:szCs w:val="24"/>
          <w:lang w:val="en-GB"/>
        </w:rPr>
        <w:t xml:space="preserve">. These kinds of activities have raised confidence in using referencing correctly with ensuring the writing skill as well as paraphrasing skill and self-confidence. It needs to be mentioned that the consideration of library-based digital guides remains efficient enough at the point of raising my confidence as it has provided me with knowledge regarding useful academic skills, with the way to boost these skills. </w:t>
      </w:r>
    </w:p>
    <w:p>
      <w:pPr>
        <w:pStyle w:val="Heading1"/>
        <w:rPr>
          <w:lang w:val="en-GB"/>
        </w:rPr>
      </w:pPr>
      <w:bookmarkStart w:id="2" w:name="_Toc202612289"/>
      <w:r>
        <w:rPr>
          <w:lang w:val="en-GB"/>
        </w:rPr>
        <w:t>3. Evaluation</w:t>
      </w:r>
      <w:bookmarkEnd w:id="2"/>
      <w:r>
        <w:rPr>
          <w:lang w:val="en-GB"/>
        </w:rPr>
        <w:t xml:space="preserve"> </w:t>
      </w:r>
    </w:p>
    <w:p>
      <w:pPr>
        <w:spacing w:line="360" w:lineRule="auto"/>
        <w:jc w:val="both"/>
        <w:rPr>
          <w:b/>
          <w:sz w:val="24"/>
          <w:szCs w:val="24"/>
          <w:lang w:val="en-GB"/>
        </w:rPr>
      </w:pPr>
      <w:r>
        <w:rPr>
          <w:sz w:val="24"/>
          <w:szCs w:val="24"/>
          <w:lang w:val="en-GB"/>
        </w:rPr>
        <w:t xml:space="preserve">According to the entire experience of being involved in a workshop and completing assignments, such positive and negative aspects have been realised. It needs to be highlighted that the part of implementing critical thinking skills has gone well, as it has provided me with an opportunity to explore critical writing abilities. It has allowed me to consider multiple perspectives in setting argumentative writing. Another useful thing that has gone well indicates the ability of note-taking with the involvement in the academic writing-based workshop. It has guided me about useful academic writing skills as well as digital skills, which have developed my sense of digital communication with the usefulness of AI </w:t>
      </w:r>
      <w:r>
        <w:rPr>
          <w:color w:val="222222"/>
          <w:sz w:val="24"/>
          <w:szCs w:val="24"/>
          <w:highlight w:val="white"/>
          <w:lang w:val="en-GB"/>
        </w:rPr>
        <w:t>(</w:t>
      </w:r>
      <w:r>
        <w:rPr>
          <w:color w:val="222222"/>
          <w:sz w:val="24"/>
          <w:szCs w:val="24"/>
          <w:highlight w:val="white"/>
          <w:lang w:val="en-GB"/>
        </w:rPr>
        <w:t>Inamorato</w:t>
      </w:r>
      <w:r>
        <w:rPr>
          <w:color w:val="222222"/>
          <w:sz w:val="24"/>
          <w:szCs w:val="24"/>
          <w:highlight w:val="white"/>
          <w:lang w:val="en-GB"/>
        </w:rPr>
        <w:t xml:space="preserve"> dos Santos </w:t>
      </w:r>
      <w:r>
        <w:rPr>
          <w:i/>
          <w:color w:val="222222"/>
          <w:sz w:val="24"/>
          <w:szCs w:val="24"/>
          <w:highlight w:val="white"/>
          <w:lang w:val="en-GB"/>
        </w:rPr>
        <w:t>et al</w:t>
      </w:r>
      <w:r>
        <w:rPr>
          <w:color w:val="222222"/>
          <w:sz w:val="24"/>
          <w:szCs w:val="24"/>
          <w:highlight w:val="white"/>
          <w:lang w:val="en-GB"/>
        </w:rPr>
        <w:t>., 2023)</w:t>
      </w:r>
      <w:r>
        <w:rPr>
          <w:sz w:val="24"/>
          <w:szCs w:val="24"/>
          <w:lang w:val="en-GB"/>
        </w:rPr>
        <w:t xml:space="preserve">. However, the part of making justification behind the argument remains difficult and it has made me realize my weakness, like the skill of making justification. It is noted that the overall use of critical thinking skills has helped in completing the assignment successfully, with the conclusion at the end of the study. Moreover, the part of attending workshops on academic writing, along with conveying multiple ideas, has gone well, as it has influenced the development of academic skills. Such things did not go well, indicating that my sense of time management remains poor, as I have followed a study planner to meet the deadline of the assignment </w:t>
      </w:r>
      <w:r>
        <w:rPr>
          <w:color w:val="222222"/>
          <w:sz w:val="24"/>
          <w:szCs w:val="24"/>
          <w:highlight w:val="white"/>
          <w:lang w:val="en-GB"/>
        </w:rPr>
        <w:t>(</w:t>
      </w:r>
      <w:r>
        <w:rPr>
          <w:color w:val="222222"/>
          <w:sz w:val="24"/>
          <w:szCs w:val="24"/>
          <w:highlight w:val="white"/>
          <w:lang w:val="en-GB"/>
        </w:rPr>
        <w:t>Luştrea</w:t>
      </w:r>
      <w:r>
        <w:rPr>
          <w:color w:val="222222"/>
          <w:sz w:val="24"/>
          <w:szCs w:val="24"/>
          <w:highlight w:val="white"/>
          <w:lang w:val="en-GB"/>
        </w:rPr>
        <w:t xml:space="preserve"> </w:t>
      </w:r>
      <w:r>
        <w:rPr>
          <w:i/>
          <w:color w:val="222222"/>
          <w:sz w:val="24"/>
          <w:szCs w:val="24"/>
          <w:highlight w:val="white"/>
          <w:lang w:val="en-GB"/>
        </w:rPr>
        <w:t>et al.</w:t>
      </w:r>
      <w:r>
        <w:rPr>
          <w:color w:val="222222"/>
          <w:sz w:val="24"/>
          <w:szCs w:val="24"/>
          <w:highlight w:val="white"/>
          <w:lang w:val="en-GB"/>
        </w:rPr>
        <w:t>, 2024)</w:t>
      </w:r>
      <w:r>
        <w:rPr>
          <w:sz w:val="24"/>
          <w:szCs w:val="24"/>
          <w:lang w:val="en-GB"/>
        </w:rPr>
        <w:t xml:space="preserve">. I felt trouble in working with multiple tasks at a time due to poor time management skills, which led to the delay in submission of the presentation. It has been realized that consideration of feedback from such peers has </w:t>
      </w:r>
      <w:r>
        <w:rPr>
          <w:sz w:val="24"/>
          <w:szCs w:val="24"/>
          <w:lang w:val="en-GB"/>
        </w:rPr>
        <w:t xml:space="preserve">made me realize the weak areas. It has created a sense of the usefulness of self-directed learning in creating argumentation points of view independently. </w:t>
      </w:r>
    </w:p>
    <w:p>
      <w:pPr>
        <w:pStyle w:val="Heading1"/>
        <w:rPr>
          <w:lang w:val="en-GB"/>
        </w:rPr>
      </w:pPr>
      <w:bookmarkStart w:id="3" w:name="_Toc202612290"/>
      <w:r>
        <w:rPr>
          <w:lang w:val="en-GB"/>
        </w:rPr>
        <w:t>4. Analysis</w:t>
      </w:r>
      <w:bookmarkEnd w:id="3"/>
      <w:r>
        <w:rPr>
          <w:lang w:val="en-GB"/>
        </w:rPr>
        <w:t xml:space="preserve"> </w:t>
      </w:r>
    </w:p>
    <w:p>
      <w:pPr>
        <w:spacing w:line="360" w:lineRule="auto"/>
        <w:jc w:val="both"/>
        <w:rPr>
          <w:sz w:val="24"/>
          <w:szCs w:val="24"/>
          <w:lang w:val="en-GB"/>
        </w:rPr>
      </w:pPr>
      <w:r>
        <w:rPr>
          <w:sz w:val="24"/>
          <w:szCs w:val="24"/>
          <w:lang w:val="en-GB"/>
        </w:rPr>
        <w:t xml:space="preserve">Moreover, it is </w:t>
      </w:r>
      <w:r>
        <w:rPr>
          <w:sz w:val="24"/>
          <w:szCs w:val="24"/>
          <w:lang w:val="en-GB"/>
        </w:rPr>
        <w:t>analysed</w:t>
      </w:r>
      <w:r>
        <w:rPr>
          <w:sz w:val="24"/>
          <w:szCs w:val="24"/>
          <w:lang w:val="en-GB"/>
        </w:rPr>
        <w:t xml:space="preserve"> as per the evaluation of the overall experience that overall involvement in the workshop, with completion of the assignment, has helped me in enhancing note-taking with academic writing and critical thinking skills. However, it is noted that I have realised a gap in using digital tools due to my low proficiency in using digital tools in the development of a presentation. I have faced multiple issues, like struggling with using digital tools, with their key software, which remains necessary for the completion of the assignment. However, I have also faced issues in navigating such online platforms with key resources because of low digital competency (</w:t>
      </w:r>
      <w:r>
        <w:rPr>
          <w:color w:val="222222"/>
          <w:sz w:val="24"/>
          <w:szCs w:val="24"/>
          <w:highlight w:val="white"/>
          <w:lang w:val="en-GB"/>
        </w:rPr>
        <w:t xml:space="preserve">Kwiatkowska and </w:t>
      </w:r>
      <w:r>
        <w:rPr>
          <w:color w:val="222222"/>
          <w:sz w:val="24"/>
          <w:szCs w:val="24"/>
          <w:highlight w:val="white"/>
          <w:lang w:val="en-GB"/>
        </w:rPr>
        <w:t>Wiśniewska</w:t>
      </w:r>
      <w:r>
        <w:rPr>
          <w:color w:val="222222"/>
          <w:sz w:val="24"/>
          <w:szCs w:val="24"/>
          <w:highlight w:val="white"/>
          <w:lang w:val="en-GB"/>
        </w:rPr>
        <w:t>-Nogaj, 2022)</w:t>
      </w:r>
      <w:r>
        <w:rPr>
          <w:sz w:val="24"/>
          <w:szCs w:val="24"/>
          <w:lang w:val="en-GB"/>
        </w:rPr>
        <w:t xml:space="preserve">. These kinds of inabilities have made me realize the limited capacity of using digital features and making data analysis. I have focused on overcoming these challenges by spending more time on the use of digital tools for the completion of assignments. Furthermore, the inability of digital tools has impacted the reduction of the overall work quality. I also get stressed in working with the new digital tools, which are necessary for completing the assignment successfully. Furthermore, it needs to be mentioned that the overall session has helped me in learning about digital skills that are useful enough to boost academic productivity </w:t>
      </w:r>
      <w:r>
        <w:rPr>
          <w:color w:val="222222"/>
          <w:sz w:val="24"/>
          <w:szCs w:val="24"/>
          <w:highlight w:val="white"/>
          <w:lang w:val="en-GB"/>
        </w:rPr>
        <w:t>(</w:t>
      </w:r>
      <w:r>
        <w:rPr>
          <w:color w:val="222222"/>
          <w:sz w:val="24"/>
          <w:szCs w:val="24"/>
          <w:highlight w:val="white"/>
          <w:lang w:val="en-GB"/>
        </w:rPr>
        <w:t>Oreshkina</w:t>
      </w:r>
      <w:r>
        <w:rPr>
          <w:color w:val="222222"/>
          <w:sz w:val="24"/>
          <w:szCs w:val="24"/>
          <w:highlight w:val="white"/>
          <w:lang w:val="en-GB"/>
        </w:rPr>
        <w:t xml:space="preserve"> </w:t>
      </w:r>
      <w:r>
        <w:rPr>
          <w:i/>
          <w:color w:val="222222"/>
          <w:sz w:val="24"/>
          <w:szCs w:val="24"/>
          <w:highlight w:val="white"/>
          <w:lang w:val="en-GB"/>
        </w:rPr>
        <w:t>et al</w:t>
      </w:r>
      <w:r>
        <w:rPr>
          <w:color w:val="222222"/>
          <w:sz w:val="24"/>
          <w:szCs w:val="24"/>
          <w:highlight w:val="white"/>
          <w:lang w:val="en-GB"/>
        </w:rPr>
        <w:t>., 2021)</w:t>
      </w:r>
      <w:r>
        <w:rPr>
          <w:sz w:val="24"/>
          <w:szCs w:val="24"/>
          <w:lang w:val="en-GB"/>
        </w:rPr>
        <w:t xml:space="preserve">. I have realised that my involvement in raising support and adding resources for the development of digital literacy has impacted the overall outcome. I have used the value of practice with keeping patience in continuous learning about digital skills, which led to managing the challenges as well as completing the assignment successfully. I also considered such key practices in developing digital skills, like studying from online tutorials as well as attending workshops using digital library resources for the betterment of digital skills </w:t>
      </w:r>
      <w:r>
        <w:rPr>
          <w:color w:val="222222"/>
          <w:sz w:val="24"/>
          <w:szCs w:val="24"/>
          <w:highlight w:val="white"/>
          <w:lang w:val="en-GB"/>
        </w:rPr>
        <w:t>(Indah</w:t>
      </w:r>
      <w:r>
        <w:rPr>
          <w:i/>
          <w:color w:val="222222"/>
          <w:sz w:val="24"/>
          <w:szCs w:val="24"/>
          <w:highlight w:val="white"/>
          <w:lang w:val="en-GB"/>
        </w:rPr>
        <w:t xml:space="preserve"> et al.,</w:t>
      </w:r>
      <w:r>
        <w:rPr>
          <w:color w:val="222222"/>
          <w:sz w:val="24"/>
          <w:szCs w:val="24"/>
          <w:highlight w:val="white"/>
          <w:lang w:val="en-GB"/>
        </w:rPr>
        <w:t xml:space="preserve"> 2022)</w:t>
      </w:r>
      <w:r>
        <w:rPr>
          <w:sz w:val="24"/>
          <w:szCs w:val="24"/>
          <w:lang w:val="en-GB"/>
        </w:rPr>
        <w:t xml:space="preserve">. I also considered the key guidance of instructors with peers in working on developing a digital experience. Furthermore, major practice of implementing digital tools with key software has helped in developing the self-confidence of leveraging digital tools. </w:t>
      </w:r>
    </w:p>
    <w:p>
      <w:pPr>
        <w:pStyle w:val="Heading1"/>
        <w:rPr>
          <w:lang w:val="en-GB"/>
        </w:rPr>
      </w:pPr>
      <w:bookmarkStart w:id="4" w:name="_Toc202612291"/>
      <w:r>
        <w:rPr>
          <w:lang w:val="en-GB"/>
        </w:rPr>
        <w:t>5. Conclusion</w:t>
      </w:r>
      <w:bookmarkEnd w:id="4"/>
      <w:r>
        <w:rPr>
          <w:lang w:val="en-GB"/>
        </w:rPr>
        <w:t xml:space="preserve"> </w:t>
      </w:r>
    </w:p>
    <w:p>
      <w:pPr>
        <w:spacing w:line="360" w:lineRule="auto"/>
        <w:jc w:val="both"/>
        <w:rPr>
          <w:b/>
          <w:sz w:val="24"/>
          <w:szCs w:val="24"/>
          <w:lang w:val="en-GB"/>
        </w:rPr>
      </w:pPr>
      <w:r>
        <w:rPr>
          <w:sz w:val="24"/>
          <w:szCs w:val="24"/>
          <w:lang w:val="en-GB"/>
        </w:rPr>
        <w:t xml:space="preserve">Moreover, the entire reflection on the key experience of completing assignments after attending the workshop indicates I have developed note-taking expertise with developing </w:t>
      </w:r>
      <w:r>
        <w:rPr>
          <w:sz w:val="24"/>
          <w:szCs w:val="24"/>
          <w:lang w:val="en-GB"/>
        </w:rPr>
        <w:t xml:space="preserve">key ability of using referencing by adding useful citations. I have taken help from my tutors, which has helped me in developing self-confidence and determining key areas that need improvement for the completion of the assignment successfully. Furthermore, I have used digital tools, </w:t>
      </w:r>
      <w:r>
        <w:rPr>
          <w:sz w:val="24"/>
          <w:szCs w:val="24"/>
          <w:lang w:val="en-GB"/>
        </w:rPr>
        <w:t>Canvas</w:t>
      </w:r>
      <w:r>
        <w:rPr>
          <w:sz w:val="24"/>
          <w:szCs w:val="24"/>
          <w:lang w:val="en-GB"/>
        </w:rPr>
        <w:t xml:space="preserve"> in designing the assignment as well as Google Analytics, which remain useful towards enhancing overall study value. Furthermore, the consideration of help from tutors has guided me in using a concise writing format and using critical points of view. It is stead that asking for help from a tutor has remained effective in developing self-confidence in applying theoretical sense into the practical field. Furthermore, I have realized such weak areas throughout leveraging myself into the process indicate a lack of time management, with the ability to give justification behind argumentative writing. Moreover, I have focused on using the workshop knowledge in practice in creating argumentative writing, along with developing useful findings. It is highlighted that the overall workshop and completion of the assignment have cultivated my academic skills. I have also used a study group for discussing key practices of learning, with the key steps of completing assignments critically. </w:t>
      </w:r>
    </w:p>
    <w:p>
      <w:pPr>
        <w:pStyle w:val="Heading1"/>
        <w:rPr>
          <w:lang w:val="en-GB"/>
        </w:rPr>
      </w:pPr>
      <w:bookmarkStart w:id="5" w:name="_Toc202612292"/>
      <w:r>
        <w:rPr>
          <w:lang w:val="en-GB"/>
        </w:rPr>
        <w:t>6. Action Plan</w:t>
      </w:r>
      <w:bookmarkEnd w:id="5"/>
    </w:p>
    <w:p>
      <w:pPr>
        <w:spacing w:line="360" w:lineRule="auto"/>
        <w:jc w:val="both"/>
        <w:rPr>
          <w:b/>
          <w:sz w:val="24"/>
          <w:szCs w:val="24"/>
          <w:lang w:val="en-GB"/>
        </w:rPr>
      </w:pPr>
      <w:r>
        <w:rPr>
          <w:sz w:val="24"/>
          <w:szCs w:val="24"/>
          <w:lang w:val="en-GB"/>
        </w:rPr>
        <w:t xml:space="preserve">As per the determination of my weakness areas throughout involving myself in the completion of assignments and cultivating academic skills, I need to take an action plan. I would work on the development of time management skills, along with developing critical thinking. I would prefer to practice these skills throughout setting SMART objectives. </w:t>
      </w:r>
    </w:p>
    <w:p>
      <w:pPr>
        <w:spacing w:line="360" w:lineRule="auto"/>
        <w:jc w:val="both"/>
        <w:rPr>
          <w:b/>
          <w:sz w:val="24"/>
          <w:szCs w:val="24"/>
          <w:lang w:val="en-GB"/>
        </w:rPr>
      </w:pPr>
      <w:r>
        <w:rPr>
          <w:b/>
          <w:sz w:val="24"/>
          <w:szCs w:val="24"/>
          <w:lang w:val="en-GB"/>
        </w:rPr>
        <w:t>SMART Action Plan</w:t>
      </w:r>
    </w:p>
    <w:p>
      <w:pPr>
        <w:spacing w:line="360" w:lineRule="auto"/>
        <w:jc w:val="both"/>
        <w:rPr>
          <w:sz w:val="24"/>
          <w:szCs w:val="24"/>
          <w:lang w:val="en-GB"/>
        </w:rPr>
      </w:pPr>
      <w:r>
        <w:rPr>
          <w:b/>
          <w:sz w:val="24"/>
          <w:szCs w:val="24"/>
          <w:lang w:val="en-GB"/>
        </w:rPr>
        <w:t xml:space="preserve">Specific - </w:t>
      </w:r>
      <w:r>
        <w:rPr>
          <w:sz w:val="24"/>
          <w:szCs w:val="24"/>
          <w:lang w:val="en-GB"/>
        </w:rPr>
        <w:t>Cultivate effective time management skills for prioritising such tasks, with meeting deadlines</w:t>
      </w:r>
    </w:p>
    <w:p>
      <w:pPr>
        <w:spacing w:line="360" w:lineRule="auto"/>
        <w:jc w:val="both"/>
        <w:rPr>
          <w:sz w:val="24"/>
          <w:szCs w:val="24"/>
          <w:lang w:val="en-GB"/>
        </w:rPr>
      </w:pPr>
      <w:r>
        <w:rPr>
          <w:sz w:val="24"/>
          <w:szCs w:val="24"/>
          <w:lang w:val="en-GB"/>
        </w:rPr>
        <w:t xml:space="preserve">Developing critical thinking skills for writing critically after evaluating information with making decisions </w:t>
      </w:r>
    </w:p>
    <w:p>
      <w:pPr>
        <w:spacing w:line="360" w:lineRule="auto"/>
        <w:jc w:val="both"/>
        <w:rPr>
          <w:b/>
          <w:sz w:val="24"/>
          <w:szCs w:val="24"/>
          <w:lang w:val="en-GB"/>
        </w:rPr>
      </w:pPr>
      <w:r>
        <w:rPr>
          <w:b/>
          <w:sz w:val="24"/>
          <w:szCs w:val="24"/>
          <w:lang w:val="en-GB"/>
        </w:rPr>
        <w:t xml:space="preserve">Measurable- </w:t>
      </w:r>
      <w:r>
        <w:rPr>
          <w:sz w:val="24"/>
          <w:szCs w:val="24"/>
          <w:lang w:val="en-GB"/>
        </w:rPr>
        <w:t xml:space="preserve">Tracking the involvement in the task with implementing critical thinking skills by 25 percent, with completing work on time by 30 percent </w:t>
      </w:r>
    </w:p>
    <w:p>
      <w:pPr>
        <w:spacing w:line="360" w:lineRule="auto"/>
        <w:jc w:val="both"/>
        <w:rPr>
          <w:b/>
          <w:sz w:val="24"/>
          <w:szCs w:val="24"/>
          <w:lang w:val="en-GB"/>
        </w:rPr>
      </w:pPr>
      <w:r>
        <w:rPr>
          <w:b/>
          <w:sz w:val="24"/>
          <w:szCs w:val="24"/>
          <w:lang w:val="en-GB"/>
        </w:rPr>
        <w:t xml:space="preserve">Achievable- </w:t>
      </w:r>
      <w:r>
        <w:rPr>
          <w:sz w:val="24"/>
          <w:szCs w:val="24"/>
          <w:lang w:val="en-GB"/>
        </w:rPr>
        <w:t xml:space="preserve">Ensuring flexibility at work by prioritize tasks and considering time-management tools with involving myself into analysis of case studies and </w:t>
      </w:r>
      <w:r>
        <w:rPr>
          <w:sz w:val="24"/>
          <w:szCs w:val="24"/>
          <w:lang w:val="en-GB"/>
        </w:rPr>
        <w:t>participating</w:t>
      </w:r>
      <w:r>
        <w:rPr>
          <w:sz w:val="24"/>
          <w:szCs w:val="24"/>
          <w:lang w:val="en-GB"/>
        </w:rPr>
        <w:t xml:space="preserve"> into debate program </w:t>
      </w:r>
    </w:p>
    <w:p>
      <w:pPr>
        <w:spacing w:line="360" w:lineRule="auto"/>
        <w:jc w:val="both"/>
        <w:rPr>
          <w:sz w:val="24"/>
          <w:szCs w:val="24"/>
          <w:lang w:val="en-GB"/>
        </w:rPr>
      </w:pPr>
      <w:r>
        <w:rPr>
          <w:b/>
          <w:sz w:val="24"/>
          <w:szCs w:val="24"/>
          <w:lang w:val="en-GB"/>
        </w:rPr>
        <w:t>Relevant–</w:t>
      </w:r>
      <w:r>
        <w:rPr>
          <w:sz w:val="24"/>
          <w:szCs w:val="24"/>
          <w:lang w:val="en-GB"/>
        </w:rPr>
        <w:t xml:space="preserve">To enhance overall time management with critical thinking expertise for developing productivity with managing </w:t>
      </w:r>
      <w:r>
        <w:rPr>
          <w:sz w:val="24"/>
          <w:szCs w:val="24"/>
          <w:lang w:val="en-GB"/>
        </w:rPr>
        <w:t>stress</w:t>
      </w:r>
      <w:r>
        <w:rPr>
          <w:sz w:val="24"/>
          <w:szCs w:val="24"/>
          <w:lang w:val="en-GB"/>
        </w:rPr>
        <w:t xml:space="preserve"> as well as deriving academic with professional success</w:t>
      </w:r>
    </w:p>
    <w:p>
      <w:pPr>
        <w:spacing w:line="360" w:lineRule="auto"/>
        <w:jc w:val="both"/>
        <w:rPr>
          <w:sz w:val="24"/>
          <w:szCs w:val="24"/>
          <w:lang w:val="en-GB"/>
        </w:rPr>
      </w:pPr>
      <w:r>
        <w:rPr>
          <w:b/>
          <w:sz w:val="24"/>
          <w:szCs w:val="24"/>
          <w:lang w:val="en-GB"/>
        </w:rPr>
        <w:t xml:space="preserve">Time-bound - </w:t>
      </w:r>
      <w:r>
        <w:rPr>
          <w:sz w:val="24"/>
          <w:szCs w:val="24"/>
          <w:lang w:val="en-GB"/>
        </w:rPr>
        <w:t xml:space="preserve">To execute the plan and </w:t>
      </w:r>
      <w:r>
        <w:rPr>
          <w:sz w:val="24"/>
          <w:szCs w:val="24"/>
          <w:lang w:val="en-GB"/>
        </w:rPr>
        <w:t>successful completion of skill of</w:t>
      </w:r>
      <w:r>
        <w:rPr>
          <w:sz w:val="24"/>
          <w:szCs w:val="24"/>
          <w:lang w:val="en-GB"/>
        </w:rPr>
        <w:t xml:space="preserve"> development within 6 months </w:t>
      </w:r>
    </w:p>
    <w:p>
      <w:pPr>
        <w:spacing w:line="360" w:lineRule="auto"/>
        <w:rPr>
          <w:b/>
          <w:sz w:val="24"/>
          <w:szCs w:val="24"/>
          <w:lang w:val="en-GB"/>
        </w:rPr>
      </w:pPr>
      <w:r>
        <w:rPr>
          <w:b/>
          <w:sz w:val="24"/>
          <w:szCs w:val="24"/>
          <w:lang w:val="en-GB"/>
        </w:rPr>
        <w:br w:type="page"/>
      </w:r>
    </w:p>
    <w:p>
      <w:pPr>
        <w:pStyle w:val="Heading1"/>
        <w:rPr>
          <w:lang w:val="en-GB"/>
        </w:rPr>
      </w:pPr>
      <w:bookmarkStart w:id="6" w:name="_Toc202612293"/>
      <w:r>
        <w:rPr>
          <w:lang w:val="en-GB"/>
        </w:rPr>
        <w:t>References</w:t>
      </w:r>
      <w:bookmarkEnd w:id="6"/>
    </w:p>
    <w:p>
      <w:pPr>
        <w:spacing w:line="360" w:lineRule="auto"/>
        <w:jc w:val="both"/>
        <w:rPr>
          <w:sz w:val="24"/>
          <w:szCs w:val="24"/>
          <w:lang w:val="en-GB"/>
        </w:rPr>
      </w:pPr>
      <w:r>
        <w:rPr>
          <w:sz w:val="24"/>
          <w:szCs w:val="24"/>
          <w:lang w:val="en-GB"/>
        </w:rPr>
        <w:t xml:space="preserve">Alt, D., Raichel, N. and </w:t>
      </w:r>
      <w:r>
        <w:rPr>
          <w:sz w:val="24"/>
          <w:szCs w:val="24"/>
          <w:lang w:val="en-GB"/>
        </w:rPr>
        <w:t>Naamati</w:t>
      </w:r>
      <w:r>
        <w:rPr>
          <w:sz w:val="24"/>
          <w:szCs w:val="24"/>
          <w:lang w:val="en-GB"/>
        </w:rPr>
        <w:t>-Schneider, L., 2022. Higher education students’ reflective journal writing and lifelong learning skills: Insights from an exploratory sequential study. Frontiers in psychology, 12, p.707168.</w:t>
      </w:r>
    </w:p>
    <w:p>
      <w:pPr>
        <w:spacing w:line="360" w:lineRule="auto"/>
        <w:jc w:val="both"/>
        <w:rPr>
          <w:sz w:val="24"/>
          <w:szCs w:val="24"/>
          <w:lang w:val="en-GB"/>
        </w:rPr>
      </w:pPr>
      <w:r>
        <w:rPr>
          <w:sz w:val="24"/>
          <w:szCs w:val="24"/>
          <w:lang w:val="en-GB"/>
        </w:rPr>
        <w:t>Biletska</w:t>
      </w:r>
      <w:r>
        <w:rPr>
          <w:sz w:val="24"/>
          <w:szCs w:val="24"/>
          <w:lang w:val="en-GB"/>
        </w:rPr>
        <w:t xml:space="preserve">, I.O., </w:t>
      </w:r>
      <w:r>
        <w:rPr>
          <w:sz w:val="24"/>
          <w:szCs w:val="24"/>
          <w:lang w:val="en-GB"/>
        </w:rPr>
        <w:t>Paladieva</w:t>
      </w:r>
      <w:r>
        <w:rPr>
          <w:sz w:val="24"/>
          <w:szCs w:val="24"/>
          <w:lang w:val="en-GB"/>
        </w:rPr>
        <w:t xml:space="preserve">, A.F., </w:t>
      </w:r>
      <w:r>
        <w:rPr>
          <w:sz w:val="24"/>
          <w:szCs w:val="24"/>
          <w:lang w:val="en-GB"/>
        </w:rPr>
        <w:t>Avchinnikova</w:t>
      </w:r>
      <w:r>
        <w:rPr>
          <w:sz w:val="24"/>
          <w:szCs w:val="24"/>
          <w:lang w:val="en-GB"/>
        </w:rPr>
        <w:t>, H.D. and Kazak, Y.Y., 2021. The use of modern technologies by foreign language teachers: developing digital skills. Linguistics and Culture Review, pp.16-27.</w:t>
      </w:r>
    </w:p>
    <w:p>
      <w:pPr>
        <w:spacing w:line="360" w:lineRule="auto"/>
        <w:jc w:val="both"/>
        <w:rPr>
          <w:sz w:val="24"/>
          <w:szCs w:val="24"/>
          <w:lang w:val="en-GB"/>
        </w:rPr>
      </w:pPr>
      <w:r>
        <w:rPr>
          <w:sz w:val="24"/>
          <w:szCs w:val="24"/>
          <w:lang w:val="en-GB"/>
        </w:rPr>
        <w:t xml:space="preserve">Costa, P., Castaño-Muñoz, J. and </w:t>
      </w:r>
      <w:r>
        <w:rPr>
          <w:sz w:val="24"/>
          <w:szCs w:val="24"/>
          <w:lang w:val="en-GB"/>
        </w:rPr>
        <w:t>Kampylis</w:t>
      </w:r>
      <w:r>
        <w:rPr>
          <w:sz w:val="24"/>
          <w:szCs w:val="24"/>
          <w:lang w:val="en-GB"/>
        </w:rPr>
        <w:t>, P., 2021. Capturing schools' digital capacity: Psychometric analyses of the SELFIE self-reflection tool. Computers &amp; Education, 162, p.104080.</w:t>
      </w:r>
    </w:p>
    <w:p>
      <w:pPr>
        <w:spacing w:line="360" w:lineRule="auto"/>
        <w:jc w:val="both"/>
        <w:rPr>
          <w:sz w:val="24"/>
          <w:szCs w:val="24"/>
          <w:lang w:val="en-GB"/>
        </w:rPr>
      </w:pPr>
      <w:r>
        <w:rPr>
          <w:sz w:val="24"/>
          <w:szCs w:val="24"/>
          <w:lang w:val="en-GB"/>
        </w:rPr>
        <w:t>Inamorato</w:t>
      </w:r>
      <w:r>
        <w:rPr>
          <w:sz w:val="24"/>
          <w:szCs w:val="24"/>
          <w:lang w:val="en-GB"/>
        </w:rPr>
        <w:t xml:space="preserve"> dos Santos, A., </w:t>
      </w:r>
      <w:r>
        <w:rPr>
          <w:sz w:val="24"/>
          <w:szCs w:val="24"/>
          <w:lang w:val="en-GB"/>
        </w:rPr>
        <w:t>Chinkes</w:t>
      </w:r>
      <w:r>
        <w:rPr>
          <w:sz w:val="24"/>
          <w:szCs w:val="24"/>
          <w:lang w:val="en-GB"/>
        </w:rPr>
        <w:t xml:space="preserve">, E., Carvalho, M.A., Solórzano, C.M. and Marroni, L.S., 2023. The digital competence of academics in higher education: is the glass half empty or half </w:t>
      </w:r>
      <w:r>
        <w:rPr>
          <w:sz w:val="24"/>
          <w:szCs w:val="24"/>
          <w:lang w:val="en-GB"/>
        </w:rPr>
        <w:t>full?.</w:t>
      </w:r>
      <w:r>
        <w:rPr>
          <w:sz w:val="24"/>
          <w:szCs w:val="24"/>
          <w:lang w:val="en-GB"/>
        </w:rPr>
        <w:t xml:space="preserve"> International journal of educational technology in higher education, 20(1), p.9.</w:t>
      </w:r>
    </w:p>
    <w:p>
      <w:pPr>
        <w:spacing w:line="360" w:lineRule="auto"/>
        <w:jc w:val="both"/>
        <w:rPr>
          <w:sz w:val="24"/>
          <w:szCs w:val="24"/>
          <w:lang w:val="en-GB"/>
        </w:rPr>
      </w:pPr>
      <w:r>
        <w:rPr>
          <w:sz w:val="24"/>
          <w:szCs w:val="24"/>
          <w:lang w:val="en-GB"/>
        </w:rPr>
        <w:t xml:space="preserve">Indah, R.N., </w:t>
      </w:r>
      <w:r>
        <w:rPr>
          <w:sz w:val="24"/>
          <w:szCs w:val="24"/>
          <w:lang w:val="en-GB"/>
        </w:rPr>
        <w:t>Toyyibah</w:t>
      </w:r>
      <w:r>
        <w:rPr>
          <w:sz w:val="24"/>
          <w:szCs w:val="24"/>
          <w:lang w:val="en-GB"/>
        </w:rPr>
        <w:t xml:space="preserve">, T., </w:t>
      </w:r>
      <w:r>
        <w:rPr>
          <w:sz w:val="24"/>
          <w:szCs w:val="24"/>
          <w:lang w:val="en-GB"/>
        </w:rPr>
        <w:t>Budhiningrum</w:t>
      </w:r>
      <w:r>
        <w:rPr>
          <w:sz w:val="24"/>
          <w:szCs w:val="24"/>
          <w:lang w:val="en-GB"/>
        </w:rPr>
        <w:t>, A.S. and Afifi, N., 2022. The research competence, critical thinking skills and digital literacy of Indonesian EFL students. Journal of Language Teaching and Research, 13(2), pp.315-324.</w:t>
      </w:r>
    </w:p>
    <w:p>
      <w:pPr>
        <w:spacing w:line="360" w:lineRule="auto"/>
        <w:jc w:val="both"/>
        <w:rPr>
          <w:sz w:val="24"/>
          <w:szCs w:val="24"/>
          <w:lang w:val="en-GB"/>
        </w:rPr>
      </w:pPr>
      <w:r>
        <w:rPr>
          <w:sz w:val="24"/>
          <w:szCs w:val="24"/>
          <w:lang w:val="en-GB"/>
        </w:rPr>
        <w:t xml:space="preserve">Kwiatkowska, W. and </w:t>
      </w:r>
      <w:r>
        <w:rPr>
          <w:sz w:val="24"/>
          <w:szCs w:val="24"/>
          <w:lang w:val="en-GB"/>
        </w:rPr>
        <w:t>Wiśniewska</w:t>
      </w:r>
      <w:r>
        <w:rPr>
          <w:sz w:val="24"/>
          <w:szCs w:val="24"/>
          <w:lang w:val="en-GB"/>
        </w:rPr>
        <w:t>-Nogaj, L., 2022. Digital skills and online collaborative learning: The study report. Electronic Journal of e-Learning, 20(5), pp.510-522.</w:t>
      </w:r>
    </w:p>
    <w:p>
      <w:pPr>
        <w:spacing w:line="360" w:lineRule="auto"/>
        <w:jc w:val="both"/>
        <w:rPr>
          <w:sz w:val="24"/>
          <w:szCs w:val="24"/>
          <w:lang w:val="en-GB"/>
        </w:rPr>
      </w:pPr>
      <w:r>
        <w:rPr>
          <w:sz w:val="24"/>
          <w:szCs w:val="24"/>
          <w:lang w:val="en-GB"/>
        </w:rPr>
        <w:t>Luştrea</w:t>
      </w:r>
      <w:r>
        <w:rPr>
          <w:sz w:val="24"/>
          <w:szCs w:val="24"/>
          <w:lang w:val="en-GB"/>
        </w:rPr>
        <w:t xml:space="preserve">, A., Dincă, M., Berge, T., </w:t>
      </w:r>
      <w:r>
        <w:rPr>
          <w:sz w:val="24"/>
          <w:szCs w:val="24"/>
          <w:lang w:val="en-GB"/>
        </w:rPr>
        <w:t>Oniţiu</w:t>
      </w:r>
      <w:r>
        <w:rPr>
          <w:sz w:val="24"/>
          <w:szCs w:val="24"/>
          <w:lang w:val="en-GB"/>
        </w:rPr>
        <w:t xml:space="preserve">, A., Thomassen, M., </w:t>
      </w:r>
      <w:r>
        <w:rPr>
          <w:sz w:val="24"/>
          <w:szCs w:val="24"/>
          <w:lang w:val="en-GB"/>
        </w:rPr>
        <w:t>Craşovan</w:t>
      </w:r>
      <w:r>
        <w:rPr>
          <w:sz w:val="24"/>
          <w:szCs w:val="24"/>
          <w:lang w:val="en-GB"/>
        </w:rPr>
        <w:t xml:space="preserve">, M. and </w:t>
      </w:r>
      <w:r>
        <w:rPr>
          <w:sz w:val="24"/>
          <w:szCs w:val="24"/>
          <w:lang w:val="en-GB"/>
        </w:rPr>
        <w:t>Lucheş</w:t>
      </w:r>
      <w:r>
        <w:rPr>
          <w:sz w:val="24"/>
          <w:szCs w:val="24"/>
          <w:lang w:val="en-GB"/>
        </w:rPr>
        <w:t>, D., 2024. The Digital Reflective Journal: A Self-Assessment Tool for Higher Education Students. In Digital Assessment in Higher Education: Navigating and Researching Challenges and Opportunities (pp. 259-283). Singapore: Springer Nature Singapore.</w:t>
      </w:r>
    </w:p>
    <w:p>
      <w:pPr>
        <w:spacing w:line="360" w:lineRule="auto"/>
        <w:jc w:val="both"/>
        <w:rPr>
          <w:sz w:val="24"/>
          <w:szCs w:val="24"/>
          <w:lang w:val="en-GB"/>
        </w:rPr>
      </w:pPr>
      <w:r>
        <w:rPr>
          <w:sz w:val="24"/>
          <w:szCs w:val="24"/>
          <w:lang w:val="en-GB"/>
        </w:rPr>
        <w:t>Oreshkina</w:t>
      </w:r>
      <w:r>
        <w:rPr>
          <w:sz w:val="24"/>
          <w:szCs w:val="24"/>
          <w:lang w:val="en-GB"/>
        </w:rPr>
        <w:t xml:space="preserve">, A.K., Lukashenko, D.V., Samokhin, I.S. and Sergeeva, M.G., 2021. Digital educational environment as a factor of developing teacher’s professional reflection. </w:t>
      </w:r>
      <w:r>
        <w:rPr>
          <w:sz w:val="24"/>
          <w:szCs w:val="24"/>
          <w:lang w:val="en-GB"/>
        </w:rPr>
        <w:t>Revista</w:t>
      </w:r>
      <w:r>
        <w:rPr>
          <w:sz w:val="24"/>
          <w:szCs w:val="24"/>
          <w:lang w:val="en-GB"/>
        </w:rPr>
        <w:t xml:space="preserve"> Tempos e </w:t>
      </w:r>
      <w:r>
        <w:rPr>
          <w:sz w:val="24"/>
          <w:szCs w:val="24"/>
          <w:lang w:val="en-GB"/>
        </w:rPr>
        <w:t>Espaços</w:t>
      </w:r>
      <w:r>
        <w:rPr>
          <w:sz w:val="24"/>
          <w:szCs w:val="24"/>
          <w:lang w:val="en-GB"/>
        </w:rPr>
        <w:t xml:space="preserve"> </w:t>
      </w:r>
      <w:r>
        <w:rPr>
          <w:sz w:val="24"/>
          <w:szCs w:val="24"/>
          <w:lang w:val="en-GB"/>
        </w:rPr>
        <w:t>em</w:t>
      </w:r>
      <w:r>
        <w:rPr>
          <w:sz w:val="24"/>
          <w:szCs w:val="24"/>
          <w:lang w:val="en-GB"/>
        </w:rPr>
        <w:t xml:space="preserve"> </w:t>
      </w:r>
      <w:r>
        <w:rPr>
          <w:sz w:val="24"/>
          <w:szCs w:val="24"/>
          <w:lang w:val="en-GB"/>
        </w:rPr>
        <w:t>Educação</w:t>
      </w:r>
      <w:r>
        <w:rPr>
          <w:sz w:val="24"/>
          <w:szCs w:val="24"/>
          <w:lang w:val="en-GB"/>
        </w:rPr>
        <w:t>, 14(33), pp.e16166-e16166.</w:t>
      </w:r>
    </w:p>
    <w:p>
      <w:pPr>
        <w:spacing w:line="360" w:lineRule="auto"/>
        <w:jc w:val="both"/>
        <w:rPr>
          <w:sz w:val="24"/>
          <w:szCs w:val="24"/>
          <w:lang w:val="en-GB"/>
        </w:rPr>
      </w:pPr>
      <w:r>
        <w:rPr>
          <w:sz w:val="24"/>
          <w:szCs w:val="24"/>
          <w:lang w:val="en-GB"/>
        </w:rPr>
        <w:t>Tzafilkou</w:t>
      </w:r>
      <w:r>
        <w:rPr>
          <w:sz w:val="24"/>
          <w:szCs w:val="24"/>
          <w:lang w:val="en-GB"/>
        </w:rPr>
        <w:t xml:space="preserve">, K., </w:t>
      </w:r>
      <w:r>
        <w:rPr>
          <w:sz w:val="24"/>
          <w:szCs w:val="24"/>
          <w:lang w:val="en-GB"/>
        </w:rPr>
        <w:t>Perifanou</w:t>
      </w:r>
      <w:r>
        <w:rPr>
          <w:sz w:val="24"/>
          <w:szCs w:val="24"/>
          <w:lang w:val="en-GB"/>
        </w:rPr>
        <w:t>, M. and Economides, A.A., 2023. Assessing teachers’ digital competence in primary and secondary education: Applying a new instrument to integrate pedagogical and professional elements for digital education. Education and Information Technologies, 28(12), pp.16017-16040.</w:t>
      </w:r>
    </w:p>
    <w:p>
      <w:pPr>
        <w:spacing w:line="360" w:lineRule="auto"/>
        <w:jc w:val="both"/>
        <w:rPr>
          <w:sz w:val="24"/>
          <w:szCs w:val="24"/>
          <w:lang w:val="en-GB"/>
        </w:rPr>
      </w:pPr>
      <w:r>
        <w:rPr>
          <w:sz w:val="24"/>
          <w:szCs w:val="24"/>
          <w:lang w:val="en-GB"/>
        </w:rPr>
        <w:t>Weerakoon, C., 2023. Exploring the synergy of digital competence and photo-driven reflection: A pilot study on reflective thinking skill development in business education. Cogent Education, 10(2), p.2282304.</w:t>
      </w:r>
    </w:p>
    <w:p>
      <w:pPr>
        <w:spacing w:line="360" w:lineRule="auto"/>
        <w:jc w:val="both"/>
        <w:rPr>
          <w:sz w:val="24"/>
          <w:szCs w:val="24"/>
          <w:lang w:val="en-GB"/>
        </w:rPr>
      </w:pPr>
      <w:r>
        <w:rPr>
          <w:sz w:val="24"/>
          <w:szCs w:val="24"/>
          <w:lang w:val="en-GB"/>
        </w:rPr>
        <w:t> </w:t>
      </w:r>
    </w:p>
    <w:sectPr>
      <w:footerReference w:type="default" r:id="rId10"/>
      <w:pgSz w:w="12240" w:h="15840"/>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fldChar w:fldCharType="begin"/>
    </w:r>
    <w:r>
      <w:instrText xml:space="preserve"> PAGE   \* MERGEFORMAT </w:instrText>
    </w:r>
    <w:r>
      <w:fldChar w:fldCharType="separate"/>
    </w:r>
    <w:r>
      <w:t>5</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E05"/>
    <w:rsid w:val="00014E05"/>
    <w:rsid w:val="00020A4D"/>
    <w:rsid w:val="0004253D"/>
    <w:rsid w:val="000D0487"/>
    <w:rsid w:val="000E7F8B"/>
    <w:rsid w:val="0021223E"/>
    <w:rsid w:val="003D5744"/>
    <w:rsid w:val="003F298D"/>
    <w:rsid w:val="004926E5"/>
    <w:rsid w:val="00572D2E"/>
    <w:rsid w:val="005A5A33"/>
    <w:rsid w:val="00626987"/>
    <w:rsid w:val="00642B3B"/>
    <w:rsid w:val="006658D2"/>
    <w:rsid w:val="0084365D"/>
    <w:rsid w:val="008E7958"/>
    <w:rsid w:val="00996A36"/>
    <w:rsid w:val="00A84820"/>
    <w:rsid w:val="00AE75F7"/>
    <w:rsid w:val="00B84FEF"/>
    <w:rsid w:val="00C64B76"/>
    <w:rsid w:val="00CB4993"/>
    <w:rsid w:val="00E254D6"/>
    <w:rsid w:val="00F50D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16DA6"/>
  <w15:docId w15:val="{54DABBA9-FF81-4257-864A-A8FEC770CC8C}"/>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AU" w:bidi="ar-SA" w:eastAsia="en-IN"/>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style>
  <w:style w:type="paragraph" w:styleId="Heading1">
    <w:name w:val="Heading 1"/>
    <w:basedOn w:val="Normal"/>
    <w:next w:val="Normal"/>
    <w:uiPriority w:val="99"/>
    <w:pPr>
      <w:spacing w:line="360" w:lineRule="auto"/>
      <w:jc w:val="both"/>
    </w:pPr>
    <w:rPr>
      <w:b/>
      <w:sz w:val="28"/>
      <w:szCs w:val="24"/>
    </w:rPr>
  </w:style>
  <w:style w:type="paragraph" w:styleId="Heading2">
    <w:name w:val="Heading 2"/>
    <w:basedOn w:val="Normal"/>
    <w:next w:val="Normal"/>
    <w:uiPriority w:val="99"/>
    <w:pPr>
      <w:keepNext w:val="on"/>
      <w:keepLines w:val="on"/>
      <w:spacing w:before="360" w:after="120"/>
    </w:pPr>
    <w:rPr>
      <w:sz w:val="32"/>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 w:val="24"/>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Normal"/>
    <w:uiPriority w:val="99"/>
    <w:tblPr>
      <w:tblCellMar>
        <w:top w:w="0" w:type="dxa"/>
        <w:left w:w="0" w:type="dxa"/>
        <w:bottom w:w="0" w:type="dxa"/>
        <w:right w:w="0" w:type="dxa"/>
      </w:tblCellMar>
    </w:tblPr>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keepNext w:val="on"/>
      <w:keepLines w:val="on"/>
      <w:spacing w:before="240" w:line="259" w:lineRule="auto"/>
      <w:jc w:val="left"/>
    </w:pPr>
    <w:rPr>
      <w:rFonts w:asciiTheme="majorHAnsi" w:cstheme="majorBidi" w:eastAsiaTheme="majorEastAsia" w:hAnsiTheme="majorHAnsi"/>
      <w:b w:val="off"/>
      <w:color w:val="376091" w:themeColor="accent1" w:themeShade="bf"/>
      <w:sz w:val="32"/>
      <w:szCs w:val="32"/>
      <w:lang w:val="en-US" w:eastAsia="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49229">
      <w:bodyDiv w:val="1"/>
      <w:marLeft w:val="0"/>
      <w:marRight w:val="0"/>
      <w:marTop w:val="0"/>
      <w:marBottom w:val="0"/>
      <w:divBdr>
        <w:top w:val="none" w:sz="0" w:space="0" w:color="auto"/>
        <w:left w:val="none" w:sz="0" w:space="0" w:color="auto"/>
        <w:bottom w:val="none" w:sz="0" w:space="0" w:color="auto"/>
        <w:right w:val="none" w:sz="0" w:space="0" w:color="auto"/>
      </w:divBdr>
      <w:divsChild>
        <w:div w:id="676345436">
          <w:marLeft w:val="1112"/>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0"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E044E-B1AF-4198-AB9B-D7D5F3E50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1987</Words>
  <Characters>11332</Characters>
  <Application>Microsoft Office Word</Application>
  <DocSecurity>0</DocSecurity>
  <Lines>94</Lines>
  <Paragraphs>26</Paragraphs>
  <ScaleCrop>false</ScaleCrop>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Dusan Horvath</dc:creator>
  <cp:lastModifiedBy>Author</cp:lastModifiedBy>
</cp:coreProperties>
</file>