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632333" w14:paraId="68CAA39D" w14:textId="77777777" w:rsidTr="005D3F07">
        <w:tc>
          <w:tcPr>
            <w:tcW w:w="10368" w:type="dxa"/>
          </w:tcPr>
          <w:p w14:paraId="02F8EE88" w14:textId="73E3BA2A" w:rsidR="00986B43" w:rsidRPr="00632333"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632333">
              <w:rPr>
                <w:rFonts w:ascii="Times New Roman" w:hAnsi="Times New Roman" w:cs="Times New Roman"/>
                <w:b/>
                <w:color w:val="auto"/>
                <w:sz w:val="40"/>
                <w:szCs w:val="40"/>
              </w:rPr>
              <w:t>Learner’s name:</w:t>
            </w:r>
            <w:r w:rsidR="00247265" w:rsidRPr="00632333">
              <w:rPr>
                <w:rFonts w:ascii="Times New Roman" w:hAnsi="Times New Roman" w:cs="Times New Roman"/>
                <w:b/>
                <w:color w:val="auto"/>
                <w:sz w:val="40"/>
                <w:szCs w:val="40"/>
              </w:rPr>
              <w:t xml:space="preserve"> </w:t>
            </w:r>
            <w:r w:rsidR="00632333">
              <w:rPr>
                <w:rFonts w:ascii="Times New Roman" w:hAnsi="Times New Roman" w:cs="Times New Roman"/>
                <w:b/>
                <w:color w:val="auto"/>
                <w:sz w:val="40"/>
                <w:szCs w:val="40"/>
              </w:rPr>
              <w:t>Louise Davies</w:t>
            </w:r>
          </w:p>
          <w:p w14:paraId="0B6CD0DB" w14:textId="689515B5" w:rsidR="009C337F" w:rsidRPr="00632333" w:rsidRDefault="009C337F" w:rsidP="005D3F07">
            <w:pPr>
              <w:overflowPunct/>
              <w:autoSpaceDE/>
              <w:autoSpaceDN/>
              <w:adjustRightInd/>
              <w:ind w:right="-957"/>
              <w:textAlignment w:val="auto"/>
              <w:rPr>
                <w:rFonts w:ascii="Times New Roman" w:hAnsi="Times New Roman" w:cs="Times New Roman"/>
                <w:b/>
                <w:color w:val="auto"/>
                <w:sz w:val="40"/>
                <w:szCs w:val="40"/>
              </w:rPr>
            </w:pPr>
          </w:p>
          <w:p w14:paraId="3A6EAAC7" w14:textId="596F9433" w:rsidR="009C337F" w:rsidRPr="00632333" w:rsidRDefault="009C337F" w:rsidP="005D3F07">
            <w:pPr>
              <w:overflowPunct/>
              <w:autoSpaceDE/>
              <w:autoSpaceDN/>
              <w:adjustRightInd/>
              <w:ind w:right="-957"/>
              <w:textAlignment w:val="auto"/>
              <w:rPr>
                <w:rFonts w:ascii="Times New Roman" w:hAnsi="Times New Roman" w:cs="Times New Roman"/>
                <w:b/>
                <w:color w:val="auto"/>
                <w:sz w:val="40"/>
                <w:szCs w:val="40"/>
              </w:rPr>
            </w:pPr>
            <w:r w:rsidRPr="00632333">
              <w:rPr>
                <w:rFonts w:ascii="Times New Roman" w:hAnsi="Times New Roman" w:cs="Times New Roman"/>
                <w:b/>
                <w:color w:val="auto"/>
                <w:sz w:val="40"/>
                <w:szCs w:val="40"/>
              </w:rPr>
              <w:t>Email address:</w:t>
            </w:r>
            <w:r w:rsidR="00632333">
              <w:rPr>
                <w:rFonts w:ascii="Times New Roman" w:hAnsi="Times New Roman" w:cs="Times New Roman"/>
                <w:b/>
                <w:color w:val="auto"/>
                <w:sz w:val="40"/>
                <w:szCs w:val="40"/>
              </w:rPr>
              <w:t xml:space="preserve"> </w:t>
            </w:r>
            <w:r w:rsidR="00632333" w:rsidRPr="00632333">
              <w:rPr>
                <w:rFonts w:ascii="Times New Roman" w:hAnsi="Times New Roman" w:cs="Times New Roman"/>
                <w:b/>
                <w:color w:val="auto"/>
                <w:sz w:val="40"/>
                <w:szCs w:val="40"/>
              </w:rPr>
              <w:t>Louisedavies@carmarthenshire.gov.uk</w:t>
            </w:r>
          </w:p>
          <w:p w14:paraId="22E38809" w14:textId="77777777" w:rsidR="00986B43" w:rsidRPr="00632333" w:rsidRDefault="00986B43" w:rsidP="005D3F07">
            <w:pPr>
              <w:overflowPunct/>
              <w:autoSpaceDE/>
              <w:autoSpaceDN/>
              <w:adjustRightInd/>
              <w:ind w:right="-957"/>
              <w:textAlignment w:val="auto"/>
              <w:rPr>
                <w:rFonts w:ascii="Times New Roman" w:hAnsi="Times New Roman" w:cs="Times New Roman"/>
                <w:b/>
                <w:color w:val="auto"/>
                <w:sz w:val="40"/>
                <w:szCs w:val="40"/>
              </w:rPr>
            </w:pPr>
          </w:p>
          <w:p w14:paraId="7AAF6185" w14:textId="77777777" w:rsidR="00632333" w:rsidRPr="00632333"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632333">
              <w:rPr>
                <w:rFonts w:ascii="Times New Roman" w:hAnsi="Times New Roman" w:cs="Times New Roman"/>
                <w:b/>
                <w:color w:val="auto"/>
                <w:sz w:val="40"/>
                <w:szCs w:val="40"/>
              </w:rPr>
              <w:t>Learner’s University Registration</w:t>
            </w:r>
            <w:r w:rsidR="00F927A1" w:rsidRPr="00632333">
              <w:rPr>
                <w:rFonts w:ascii="Times New Roman" w:hAnsi="Times New Roman" w:cs="Times New Roman"/>
                <w:b/>
                <w:color w:val="auto"/>
                <w:sz w:val="40"/>
                <w:szCs w:val="40"/>
              </w:rPr>
              <w:t xml:space="preserve"> Number:</w:t>
            </w:r>
            <w:r w:rsidR="00632333" w:rsidRPr="00632333">
              <w:rPr>
                <w:rFonts w:ascii="Times New Roman" w:hAnsi="Times New Roman" w:cs="Times New Roman"/>
                <w:b/>
                <w:color w:val="auto"/>
                <w:sz w:val="40"/>
                <w:szCs w:val="40"/>
              </w:rPr>
              <w:t xml:space="preserve"> </w:t>
            </w:r>
          </w:p>
          <w:p w14:paraId="0DE696B2" w14:textId="251D9379" w:rsidR="00F927A1" w:rsidRPr="00632333" w:rsidRDefault="00632333" w:rsidP="005D3F07">
            <w:pPr>
              <w:overflowPunct/>
              <w:autoSpaceDE/>
              <w:autoSpaceDN/>
              <w:adjustRightInd/>
              <w:ind w:right="-957"/>
              <w:textAlignment w:val="auto"/>
              <w:rPr>
                <w:rFonts w:ascii="Times New Roman" w:hAnsi="Times New Roman" w:cs="Times New Roman"/>
                <w:b/>
                <w:color w:val="auto"/>
                <w:sz w:val="40"/>
                <w:szCs w:val="40"/>
              </w:rPr>
            </w:pPr>
            <w:r w:rsidRPr="00632333">
              <w:rPr>
                <w:rFonts w:ascii="Times New Roman" w:hAnsi="Times New Roman" w:cs="Times New Roman"/>
                <w:b/>
                <w:color w:val="auto"/>
                <w:sz w:val="40"/>
                <w:szCs w:val="40"/>
              </w:rPr>
              <w:t>1303263</w:t>
            </w:r>
          </w:p>
          <w:p w14:paraId="622FD17A" w14:textId="77777777" w:rsidR="0085230E" w:rsidRPr="00632333"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5F84129B" w14:textId="31C56729" w:rsidR="0085230E" w:rsidRPr="00632333" w:rsidRDefault="00706BB5" w:rsidP="005D3F07">
            <w:pPr>
              <w:overflowPunct/>
              <w:autoSpaceDE/>
              <w:autoSpaceDN/>
              <w:adjustRightInd/>
              <w:ind w:right="-957"/>
              <w:textAlignment w:val="auto"/>
              <w:rPr>
                <w:rFonts w:ascii="Times New Roman" w:hAnsi="Times New Roman" w:cs="Times New Roman"/>
                <w:b/>
                <w:color w:val="auto"/>
                <w:sz w:val="40"/>
                <w:szCs w:val="40"/>
              </w:rPr>
            </w:pPr>
            <w:r w:rsidRPr="00632333">
              <w:rPr>
                <w:rFonts w:ascii="Times New Roman" w:hAnsi="Times New Roman" w:cs="Times New Roman"/>
                <w:b/>
                <w:color w:val="auto"/>
                <w:sz w:val="40"/>
                <w:szCs w:val="40"/>
              </w:rPr>
              <w:t>Cohort: 1</w:t>
            </w:r>
            <w:r w:rsidR="000F1A97" w:rsidRPr="00632333">
              <w:rPr>
                <w:rFonts w:ascii="Times New Roman" w:hAnsi="Times New Roman" w:cs="Times New Roman"/>
                <w:b/>
                <w:color w:val="auto"/>
                <w:sz w:val="40"/>
                <w:szCs w:val="40"/>
              </w:rPr>
              <w:t>8</w:t>
            </w:r>
            <w:r w:rsidR="00AE6231" w:rsidRPr="00632333">
              <w:rPr>
                <w:rFonts w:ascii="Times New Roman" w:hAnsi="Times New Roman" w:cs="Times New Roman"/>
                <w:b/>
                <w:color w:val="auto"/>
                <w:sz w:val="40"/>
                <w:szCs w:val="40"/>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C159BD" w:rsidRDefault="000A584A">
            <w:pPr>
              <w:jc w:val="both"/>
              <w:rPr>
                <w:b/>
                <w:bCs/>
              </w:rPr>
            </w:pPr>
            <w:r w:rsidRPr="00C159BD">
              <w:rPr>
                <w:b/>
                <w:bCs/>
              </w:rPr>
              <w:t xml:space="preserve">Complete a critically reflective case study </w:t>
            </w:r>
            <w:r w:rsidR="00D0503D" w:rsidRPr="00C159BD">
              <w:rPr>
                <w:b/>
                <w:bCs/>
              </w:rPr>
              <w:t>based</w:t>
            </w:r>
            <w:r w:rsidRPr="00C159BD">
              <w:rPr>
                <w:b/>
                <w:bCs/>
              </w:rPr>
              <w:t xml:space="preserve"> on</w:t>
            </w:r>
            <w:r w:rsidR="00696A88" w:rsidRPr="00C159BD">
              <w:rPr>
                <w:b/>
                <w:bCs/>
              </w:rPr>
              <w:t xml:space="preserve"> </w:t>
            </w:r>
            <w:r w:rsidR="00411EF7" w:rsidRPr="00C159BD">
              <w:rPr>
                <w:b/>
                <w:bCs/>
              </w:rPr>
              <w:t>an assessment</w:t>
            </w:r>
            <w:r w:rsidR="007F312E" w:rsidRPr="00C159BD">
              <w:rPr>
                <w:b/>
                <w:bCs/>
              </w:rPr>
              <w:t xml:space="preserve"> </w:t>
            </w:r>
            <w:r w:rsidR="007C5ABE" w:rsidRPr="00C159BD">
              <w:rPr>
                <w:b/>
                <w:bCs/>
              </w:rPr>
              <w:t xml:space="preserve">that you have </w:t>
            </w:r>
            <w:r w:rsidRPr="00C159BD">
              <w:rPr>
                <w:b/>
                <w:bCs/>
              </w:rPr>
              <w:t xml:space="preserve">undertaken with </w:t>
            </w:r>
            <w:r w:rsidR="00D0503D" w:rsidRPr="00C159BD">
              <w:rPr>
                <w:b/>
                <w:bCs/>
              </w:rPr>
              <w:t>others, in</w:t>
            </w:r>
            <w:r w:rsidR="0002440E" w:rsidRPr="00C159BD">
              <w:rPr>
                <w:b/>
                <w:bCs/>
              </w:rPr>
              <w:t xml:space="preserve"> your own area of work</w:t>
            </w:r>
            <w:r w:rsidR="00D0503D" w:rsidRPr="00C159BD">
              <w:rPr>
                <w:b/>
                <w:bCs/>
              </w:rPr>
              <w:t xml:space="preserve">, </w:t>
            </w:r>
            <w:r w:rsidR="00587923" w:rsidRPr="00C159BD">
              <w:rPr>
                <w:b/>
                <w:bCs/>
              </w:rPr>
              <w:t>c</w:t>
            </w:r>
            <w:r w:rsidR="008B28E7" w:rsidRPr="00C159BD">
              <w:rPr>
                <w:b/>
                <w:bCs/>
              </w:rPr>
              <w:t>oncerning the safeguarding of either an adult or a child</w:t>
            </w:r>
            <w:r w:rsidRPr="00C159BD">
              <w:rPr>
                <w:b/>
                <w:bCs/>
              </w:rPr>
              <w:t xml:space="preserve">. </w:t>
            </w:r>
            <w:r w:rsidR="00216563" w:rsidRPr="00C159BD">
              <w:rPr>
                <w:b/>
                <w:bCs/>
              </w:rPr>
              <w:t xml:space="preserve">You must demonstrate how </w:t>
            </w:r>
            <w:r w:rsidR="00F34C86" w:rsidRPr="00C159BD">
              <w:rPr>
                <w:b/>
                <w:bCs/>
              </w:rPr>
              <w:t xml:space="preserve">the case relates to or could relate to safeguarding </w:t>
            </w:r>
            <w:r w:rsidR="00216563" w:rsidRPr="00C159BD">
              <w:rPr>
                <w:b/>
                <w:bCs/>
              </w:rPr>
              <w:t>legislation, policies</w:t>
            </w:r>
            <w:r w:rsidR="00F34C86" w:rsidRPr="00C159BD">
              <w:rPr>
                <w:b/>
                <w:bCs/>
              </w:rPr>
              <w:t>, strategies and procedures</w:t>
            </w:r>
            <w:r w:rsidR="7AAB400D" w:rsidRPr="00C159BD">
              <w:rPr>
                <w:b/>
                <w:bCs/>
              </w:rPr>
              <w:t xml:space="preserve"> </w:t>
            </w:r>
            <w:r w:rsidR="623F2A43" w:rsidRPr="00C159BD">
              <w:rPr>
                <w:b/>
                <w:bCs/>
              </w:rPr>
              <w:t>(</w:t>
            </w:r>
            <w:r w:rsidR="7AAB400D" w:rsidRPr="00C159BD">
              <w:rPr>
                <w:b/>
                <w:bCs/>
              </w:rPr>
              <w:t>i</w:t>
            </w:r>
            <w:r w:rsidR="623F2A43" w:rsidRPr="00C159BD">
              <w:rPr>
                <w:b/>
                <w:bCs/>
              </w:rPr>
              <w:t xml:space="preserve">ncluding </w:t>
            </w:r>
            <w:r w:rsidR="322513AD" w:rsidRPr="00C159BD">
              <w:rPr>
                <w:b/>
                <w:bCs/>
              </w:rPr>
              <w:t>d</w:t>
            </w:r>
            <w:r w:rsidR="7E97696C" w:rsidRPr="00C159BD">
              <w:rPr>
                <w:b/>
                <w:bCs/>
              </w:rPr>
              <w:t xml:space="preserve">emonstrating an understanding of </w:t>
            </w:r>
            <w:r w:rsidR="623F2A43" w:rsidRPr="00C159BD">
              <w:rPr>
                <w:b/>
                <w:bCs/>
              </w:rPr>
              <w:t>the</w:t>
            </w:r>
            <w:r w:rsidR="350F702B" w:rsidRPr="00C159BD">
              <w:rPr>
                <w:b/>
                <w:bCs/>
              </w:rPr>
              <w:t xml:space="preserve"> </w:t>
            </w:r>
            <w:r w:rsidR="3B2446CA" w:rsidRPr="00C159BD">
              <w:rPr>
                <w:rFonts w:eastAsia="Arial"/>
                <w:b/>
                <w:bCs/>
                <w:color w:val="000000" w:themeColor="text1"/>
              </w:rPr>
              <w:t xml:space="preserve">interface </w:t>
            </w:r>
            <w:r w:rsidR="534A9052" w:rsidRPr="00C159BD">
              <w:rPr>
                <w:rFonts w:eastAsia="Arial"/>
                <w:b/>
                <w:bCs/>
                <w:color w:val="000000" w:themeColor="text1"/>
              </w:rPr>
              <w:t>between social services provision in Wales with the United Kingdom, the European Union</w:t>
            </w:r>
            <w:r w:rsidR="007A628F" w:rsidRPr="00C159BD">
              <w:rPr>
                <w:rFonts w:eastAsia="Arial"/>
                <w:b/>
                <w:bCs/>
                <w:color w:val="000000" w:themeColor="text1"/>
              </w:rPr>
              <w:t xml:space="preserve"> (EU)</w:t>
            </w:r>
            <w:r w:rsidR="534A9052" w:rsidRPr="00C159BD">
              <w:rPr>
                <w:rFonts w:eastAsia="Arial"/>
                <w:b/>
                <w:bCs/>
                <w:color w:val="000000" w:themeColor="text1"/>
              </w:rPr>
              <w:t xml:space="preserve"> and outside the EU</w:t>
            </w:r>
            <w:r w:rsidR="623F2A43" w:rsidRPr="00C159BD">
              <w:rPr>
                <w:rFonts w:eastAsia="Arial"/>
                <w:b/>
                <w:bCs/>
                <w:color w:val="000000" w:themeColor="text1"/>
              </w:rPr>
              <w:t>)</w:t>
            </w:r>
            <w:r w:rsidR="00411EF7" w:rsidRPr="00C159BD">
              <w:rPr>
                <w:b/>
                <w:bCs/>
              </w:rPr>
              <w:t>.</w:t>
            </w:r>
            <w:r w:rsidR="00354B6D" w:rsidRPr="00C159BD">
              <w:rPr>
                <w:b/>
                <w:bCs/>
              </w:rPr>
              <w:t xml:space="preserve"> </w:t>
            </w:r>
            <w:r w:rsidR="102A3950" w:rsidRPr="00C159BD">
              <w:rPr>
                <w:b/>
                <w:bCs/>
              </w:rPr>
              <w:t>You</w:t>
            </w:r>
            <w:r w:rsidR="00354B6D" w:rsidRPr="00C159BD">
              <w:rPr>
                <w:b/>
                <w:bCs/>
              </w:rPr>
              <w:t xml:space="preserve"> must</w:t>
            </w:r>
            <w:r w:rsidR="00411EF7" w:rsidRPr="00C159BD">
              <w:rPr>
                <w:b/>
                <w:bCs/>
              </w:rPr>
              <w:t xml:space="preserve"> </w:t>
            </w:r>
            <w:r w:rsidR="00354B6D" w:rsidRPr="00C159BD">
              <w:rPr>
                <w:b/>
                <w:bCs/>
              </w:rPr>
              <w:t>demonstrate your understanding of</w:t>
            </w:r>
            <w:r w:rsidR="00F34C86" w:rsidRPr="00C159BD">
              <w:rPr>
                <w:b/>
                <w:bCs/>
              </w:rPr>
              <w:t xml:space="preserve"> </w:t>
            </w:r>
            <w:r w:rsidR="00411EF7" w:rsidRPr="00C159BD">
              <w:rPr>
                <w:b/>
                <w:bCs/>
              </w:rPr>
              <w:t xml:space="preserve">the </w:t>
            </w:r>
            <w:r w:rsidR="00216563" w:rsidRPr="00C159BD">
              <w:rPr>
                <w:b/>
                <w:bCs/>
              </w:rPr>
              <w:t xml:space="preserve">integration of </w:t>
            </w:r>
            <w:r w:rsidR="6A854C79" w:rsidRPr="00C159BD">
              <w:rPr>
                <w:b/>
                <w:bCs/>
              </w:rPr>
              <w:t>analysis in asses</w:t>
            </w:r>
            <w:r w:rsidR="0F77E214" w:rsidRPr="00C159BD">
              <w:rPr>
                <w:b/>
                <w:bCs/>
              </w:rPr>
              <w:t>sment, collabo</w:t>
            </w:r>
            <w:r w:rsidR="6A854C79" w:rsidRPr="00C159BD">
              <w:rPr>
                <w:b/>
                <w:bCs/>
              </w:rPr>
              <w:t>rative work</w:t>
            </w:r>
            <w:r w:rsidR="0F77E214" w:rsidRPr="00C159BD">
              <w:rPr>
                <w:b/>
                <w:bCs/>
              </w:rPr>
              <w:t>ing</w:t>
            </w:r>
            <w:r w:rsidR="6A854C79" w:rsidRPr="00C159BD">
              <w:rPr>
                <w:b/>
                <w:bCs/>
              </w:rPr>
              <w:t xml:space="preserve"> a</w:t>
            </w:r>
            <w:r w:rsidR="0F77E214" w:rsidRPr="00C159BD">
              <w:rPr>
                <w:b/>
                <w:bCs/>
              </w:rPr>
              <w:t xml:space="preserve">nd </w:t>
            </w:r>
            <w:r w:rsidR="6A854C79" w:rsidRPr="00C159BD">
              <w:rPr>
                <w:b/>
                <w:bCs/>
              </w:rPr>
              <w:t>professional</w:t>
            </w:r>
            <w:r w:rsidR="00F34C86" w:rsidRPr="00C159BD">
              <w:rPr>
                <w:b/>
                <w:bCs/>
              </w:rPr>
              <w:t xml:space="preserve"> </w:t>
            </w:r>
            <w:r w:rsidR="00216563" w:rsidRPr="00C159BD">
              <w:rPr>
                <w:b/>
                <w:bCs/>
              </w:rPr>
              <w:t>judgements</w:t>
            </w:r>
            <w:r w:rsidR="0F77E214" w:rsidRPr="00C159BD">
              <w:rPr>
                <w:b/>
                <w:bCs/>
              </w:rPr>
              <w:t xml:space="preserve"> in increasingly complex situations </w:t>
            </w:r>
            <w:r w:rsidR="00E5498A" w:rsidRPr="00C159BD">
              <w:rPr>
                <w:b/>
                <w:bCs/>
              </w:rPr>
              <w:t>and</w:t>
            </w:r>
            <w:r w:rsidR="1D6670C0" w:rsidRPr="00C159BD">
              <w:rPr>
                <w:b/>
                <w:bCs/>
              </w:rPr>
              <w:t xml:space="preserve"> </w:t>
            </w:r>
            <w:r w:rsidR="39C47EB7" w:rsidRPr="00C159BD">
              <w:rPr>
                <w:b/>
                <w:bCs/>
              </w:rPr>
              <w:t>the</w:t>
            </w:r>
            <w:r w:rsidR="25F327FB" w:rsidRPr="00C159BD">
              <w:rPr>
                <w:b/>
                <w:bCs/>
              </w:rPr>
              <w:t xml:space="preserve"> </w:t>
            </w:r>
            <w:r w:rsidR="00F34C86" w:rsidRPr="00C159BD">
              <w:rPr>
                <w:b/>
                <w:bCs/>
              </w:rPr>
              <w:t>use of social work theories</w:t>
            </w:r>
            <w:r w:rsidR="756EEE2D" w:rsidRPr="00C159BD">
              <w:rPr>
                <w:b/>
                <w:bCs/>
              </w:rPr>
              <w:t>.</w:t>
            </w:r>
            <w:r w:rsidR="00216563" w:rsidRPr="00C159BD">
              <w:rPr>
                <w:b/>
                <w:bCs/>
              </w:rPr>
              <w:t xml:space="preserve"> </w:t>
            </w:r>
            <w:r w:rsidR="756EEE2D" w:rsidRPr="00C159BD">
              <w:rPr>
                <w:b/>
                <w:bCs/>
              </w:rPr>
              <w:t>You</w:t>
            </w:r>
            <w:r w:rsidR="00216563" w:rsidRPr="00C159BD">
              <w:rPr>
                <w:b/>
                <w:bCs/>
              </w:rPr>
              <w:t xml:space="preserve"> </w:t>
            </w:r>
            <w:r w:rsidR="00E5498A" w:rsidRPr="00C159BD">
              <w:rPr>
                <w:b/>
                <w:bCs/>
              </w:rPr>
              <w:t xml:space="preserve">must </w:t>
            </w:r>
            <w:r w:rsidR="00F030D4" w:rsidRPr="00C159BD">
              <w:rPr>
                <w:b/>
                <w:bCs/>
              </w:rPr>
              <w:t>refer to</w:t>
            </w:r>
            <w:r w:rsidR="00216563" w:rsidRPr="00C159BD">
              <w:rPr>
                <w:b/>
                <w:bCs/>
              </w:rPr>
              <w:t xml:space="preserve"> </w:t>
            </w:r>
            <w:r w:rsidR="00F34C86" w:rsidRPr="00C159BD">
              <w:rPr>
                <w:b/>
                <w:bCs/>
              </w:rPr>
              <w:t>the specific dimensions of working in Wales</w:t>
            </w:r>
            <w:r w:rsidR="00411EF7" w:rsidRPr="00C159BD">
              <w:rPr>
                <w:b/>
                <w:bCs/>
              </w:rPr>
              <w:t xml:space="preserve">. </w:t>
            </w:r>
          </w:p>
          <w:p w14:paraId="701D8D4D" w14:textId="38C2B218" w:rsidR="00D3203C" w:rsidRDefault="00D3203C" w:rsidP="00FF7EBB">
            <w:pPr>
              <w:jc w:val="both"/>
              <w:rPr>
                <w:i/>
                <w:sz w:val="24"/>
                <w:szCs w:val="24"/>
              </w:rPr>
            </w:pPr>
          </w:p>
          <w:p w14:paraId="66A51936" w14:textId="05C6BFEB"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 xml:space="preserve">This case study reflects on my involvement in a safeguarding assessment concerning two siblings, aged </w:t>
            </w:r>
            <w:r>
              <w:rPr>
                <w:color w:val="auto"/>
                <w:sz w:val="21"/>
                <w:szCs w:val="21"/>
              </w:rPr>
              <w:t>eight</w:t>
            </w:r>
            <w:r w:rsidRPr="00C159BD">
              <w:rPr>
                <w:color w:val="auto"/>
                <w:sz w:val="21"/>
                <w:szCs w:val="21"/>
              </w:rPr>
              <w:t xml:space="preserve"> and </w:t>
            </w:r>
            <w:r>
              <w:rPr>
                <w:color w:val="auto"/>
                <w:sz w:val="21"/>
                <w:szCs w:val="21"/>
              </w:rPr>
              <w:t>five</w:t>
            </w:r>
            <w:r w:rsidRPr="00C159BD">
              <w:rPr>
                <w:color w:val="auto"/>
                <w:sz w:val="21"/>
                <w:szCs w:val="21"/>
              </w:rPr>
              <w:t>, who became subject to Section 47 enquiries due to concerns about emotional harm linked to domestic abuse, coercive and controlling behaviour, and ongoing parental conflict. Although there were no concerns regarding physical abuse, professionals were increasingly concerned about the impact that living in a home characterised by conflict, instability and uncertainty was having on the children's emotional wellbeing and development (NSPCC, 2024a; NSPCC, 2024b).</w:t>
            </w:r>
          </w:p>
          <w:p w14:paraId="66C5271F"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I chose this case because it highlighted the impact of emotional harm on children's wellbeing and challenged me to understand the children's lived experiences beyond presenting concerns. The assessment required me to balance children's safety, parental rights and multi-agency safeguarding responsibilities whilst analysing cumulative risks within the family.</w:t>
            </w:r>
          </w:p>
          <w:p w14:paraId="347ACFCA"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 xml:space="preserve">This reflection explores how social work theory, legislation, policy, supervision, multi-agency working and professional judgement informed my practice. Particular attention is given to the Welsh context, including the principles of the Social Services and Well-being (Wales) Act 2014 and the </w:t>
            </w:r>
            <w:r w:rsidRPr="00C159BD">
              <w:rPr>
                <w:i/>
                <w:iCs/>
                <w:color w:val="auto"/>
                <w:sz w:val="21"/>
                <w:szCs w:val="21"/>
              </w:rPr>
              <w:t>More Than Just Words</w:t>
            </w:r>
            <w:r w:rsidRPr="00C159BD">
              <w:rPr>
                <w:color w:val="auto"/>
                <w:sz w:val="21"/>
                <w:szCs w:val="21"/>
              </w:rPr>
              <w:t xml:space="preserve"> framework, which promote wellbeing, voice and control, prevention, co-production and equitable access to Welsh language services (Welsh Government, 2014; Welsh Government, 2022a). It also considers the importance of hearing and responding to children's views, wishes and feelings in line with child-centred practice and children's rights (United Nations, 1989; Welsh Government, 2021; NSPCC, 2024c).</w:t>
            </w:r>
          </w:p>
          <w:p w14:paraId="66825810"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 xml:space="preserve">The reflection is structured using Rolfe, Freshwater and Jasper's (2001) </w:t>
            </w:r>
            <w:r w:rsidRPr="00C159BD">
              <w:rPr>
                <w:i/>
                <w:iCs/>
                <w:color w:val="auto"/>
                <w:sz w:val="21"/>
                <w:szCs w:val="21"/>
              </w:rPr>
              <w:t>What? So What? Now What?</w:t>
            </w:r>
            <w:r w:rsidRPr="00C159BD">
              <w:rPr>
                <w:color w:val="auto"/>
                <w:sz w:val="21"/>
                <w:szCs w:val="21"/>
              </w:rPr>
              <w:t xml:space="preserve"> model to critically evaluate my practice and identify learning for future work. To protect confidentiality and comply with the Social Care Wales Code of Professional Practice (Social Care Wales, 2026), all identifying details have been anonymised. Family members are referred to as Individual 1 (older child), </w:t>
            </w:r>
            <w:r w:rsidRPr="00C159BD">
              <w:rPr>
                <w:color w:val="auto"/>
                <w:sz w:val="21"/>
                <w:szCs w:val="21"/>
              </w:rPr>
              <w:lastRenderedPageBreak/>
              <w:t>Individual 2 (younger child), Individual 3 (mother) and Individual 4 (mother's partner), whilst the local authority is referred to as X Local Authority.</w:t>
            </w:r>
          </w:p>
          <w:p w14:paraId="31795C4B"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The referral came from Individual 1's school, where staff had become increasingly concerned about changes in his behaviour and emotional presentation. School staff reported that both children had become increasingly anxious and withdrawn, with Individual 1 displaying heightened concern for Individual 2's wellbeing. Whilst these concerns did not indicate significant harm in isolation, they raised questions regarding the children's emotional wellbeing and warranted further exploration. The school's response reflected the principles of prevention and early intervention promoted within the Social Services and Well-being (Wales) Act 2014 (Welsh Government, 2014).</w:t>
            </w:r>
          </w:p>
          <w:p w14:paraId="17D6741A"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A strategy discussion was subsequently held involving Social Services, Education, Health and Police. Information shared during the meeting identified a history of domestic abuse incidents involving Individual 3 and Individual 4, including concerns regarding coercive and controlling behaviour. Agencies agreed that repeated exposure to conflict and coercive behaviour was placing the children at risk of significant emotional harm. As a result, Section 47 enquiries were initiated under the Children Act 1989.</w:t>
            </w:r>
          </w:p>
          <w:p w14:paraId="1930CE88"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Reflecting on the strategy discussion, I recognised the importance of collaborative working in safeguarding practice. No single agency possessed a complete understanding of the family's circumstances. Through information sharing, a broader picture of the children's experiences emerged. This reinforced my understanding that effective safeguarding relies on integrating information from multiple sources to understand a child's lived experience and reflects the partnership principles embedded within Welsh legislation (Welsh Government, 2014).</w:t>
            </w:r>
          </w:p>
          <w:p w14:paraId="006FFD05"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My role within the safeguarding enquiry was to complete direct work with both children, assess their wishes and feelings, and contribute to the overall assessment of risk. This reflected the principles of voice and control, ensuring that the children's views and experiences informed assessment and decision-making (Welsh Government, 2014). Prior to meeting the children, I contacted the children's mother to explain the purpose of the assessment and seek consent for the children to be spoken with in school. Whilst consent was provided, I remained mindful that safeguarding responsibilities under Section 47 permit enquiries to proceed without consent where there is reasonable cause to suspect significant harm.</w:t>
            </w:r>
          </w:p>
          <w:p w14:paraId="634A527A"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 xml:space="preserve">As both children attended a Welsh-medium school, I explored language preferences in line with the Active Offer and </w:t>
            </w:r>
            <w:r w:rsidRPr="00C159BD">
              <w:rPr>
                <w:i/>
                <w:iCs/>
                <w:color w:val="auto"/>
                <w:sz w:val="21"/>
                <w:szCs w:val="21"/>
              </w:rPr>
              <w:t>More Than Just Words</w:t>
            </w:r>
            <w:r w:rsidRPr="00C159BD">
              <w:rPr>
                <w:color w:val="auto"/>
                <w:sz w:val="21"/>
                <w:szCs w:val="21"/>
              </w:rPr>
              <w:t xml:space="preserve"> (Welsh Government, 2022a). Individual 3 advised that English was predominantly spoken at home, although both children were confident communicating in Welsh. This demonstrated the importance of recognising language as an aspect of identity, participation and wellbeing rather than simply a communication preference.</w:t>
            </w:r>
          </w:p>
          <w:p w14:paraId="354AEBDD"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When meeting Individual 1, it became clear that he was anxious about speaking with professionals. To promote a sense of safety and control, he was offered the choice of having a trusted teacher present. As rapport developed, Individual 1 described arguments at home and explained that he regularly comforted Individual 2 following incidents of conflict. I became increasingly concerned that he had adopted responsibilities beyond those expected of a child of his age.</w:t>
            </w:r>
          </w:p>
          <w:p w14:paraId="16473E8D"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lastRenderedPageBreak/>
              <w:t>Individual 2 engaged more effectively through play and creative activities than direct questioning. Using drawing activities and Signs of Safety tools, he described feeling frightened by arguments and withdrawing to his bedroom until they ended. Through these activities, I gained valuable insight into his emotional experiences and perceptions of safety within the family home. This was consistent with Article 12 of the United Nations Convention on the Rights of the Child, which emphasises children's rights to express their views in matters affecting them (United Nations, 1989).</w:t>
            </w:r>
          </w:p>
          <w:p w14:paraId="463762B7"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Alongside direct work with the children, I met with Individual 3 and Individual 4. Individual 3 acknowledged difficulties within the relationship and described occasions where she felt isolated and controlled. In contrast, Individual 4 minimised concerns and questioned whether the children were being affected. These differing perspectives highlighted the complexity of the assessment and reinforced the need to analyse information from a range of sources rather than relying on individual accounts alone.</w:t>
            </w:r>
          </w:p>
          <w:p w14:paraId="55D2E8DC"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Reflecting on this assessment, I believe the most significant learning was recognising how emotional harm can affect children even in the absence of physical abuse. Through direct work with both children, it became clear that their experiences extended beyond witnessing arguments. Both demonstrated signs of anxiety, emotional distress and heightened awareness of adult issues. This reinforced my understanding that emotional harm can be as damaging as physical abuse and can have significant consequences for children's wellbeing, development and future relationships (NSPCC, 2024a; NSPCC, 2024b).</w:t>
            </w:r>
          </w:p>
          <w:p w14:paraId="173C2CB8" w14:textId="70321F7F"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 xml:space="preserve">Attachment Theory (Bowlby, 1969) helped me understand the children's emotional responses. Children depend on caregivers to provide safety, stability and reassurance. Individual 1's repeated </w:t>
            </w:r>
            <w:r w:rsidR="00F10972" w:rsidRPr="00C159BD">
              <w:rPr>
                <w:color w:val="auto"/>
                <w:sz w:val="21"/>
                <w:szCs w:val="21"/>
              </w:rPr>
              <w:t>reference</w:t>
            </w:r>
            <w:r w:rsidRPr="00C159BD">
              <w:rPr>
                <w:color w:val="auto"/>
                <w:sz w:val="21"/>
                <w:szCs w:val="21"/>
              </w:rPr>
              <w:t xml:space="preserve"> to checking on and comforting his younger sibling suggested that he had adopted responsibilities beyond those expected of a child his age. Rather than feeling protected, he appeared to be attempting to protect others. Viewed through an attachment lens, this behaviour may have been his way of creating a sense of safety and predictability within an emotionally challenging environment.</w:t>
            </w:r>
          </w:p>
          <w:p w14:paraId="7A8C5ECA"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However, Attachment Theory alone did not fully explain the wider factors affecting the children. Bronfenbrenner's Ecological Systems Theory (1979) provided a broader perspective by highlighting how the children's wellbeing was influenced by interconnected systems, including family, school and wider support networks. This helped identify both risks and protective factors, including support from school and extended family, reinforcing the importance of a strengths-based assessment alongside consideration of harm (Social Care Wales, 2024).</w:t>
            </w:r>
          </w:p>
          <w:p w14:paraId="761D6450"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A systemic perspective highlighted how family relationships, communication patterns and ongoing conflict interacted to influence the children's wellbeing. This helped me move beyond focusing on individual behaviours and towards understanding the wider family system that contributed to the children's experiences.</w:t>
            </w:r>
          </w:p>
          <w:p w14:paraId="609E57DB"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 xml:space="preserve">One of the most challenging aspects of the assessment was determining the extent of emotional harm. Unlike physical abuse, emotional harm often develops gradually and can be difficult to evidence. Whilst both children displayed signs of anxiety and distress, I remained mindful that these presentations could be influenced by a range of factors. It was therefore essential that my analysis remained evidence-informed and that I avoided assumptions. Munro (2019) highlights the importance of recognising cognitive </w:t>
            </w:r>
            <w:r w:rsidRPr="00C159BD">
              <w:rPr>
                <w:color w:val="auto"/>
                <w:sz w:val="21"/>
                <w:szCs w:val="21"/>
              </w:rPr>
              <w:lastRenderedPageBreak/>
              <w:t>biases within safeguarding practice. I actively sought evidence that both supported and challenged my hypotheses to ensure the assessment remained balanced.</w:t>
            </w:r>
          </w:p>
          <w:p w14:paraId="359D6412"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Professional curiosity was crucial throughout the assessment. Whilst Individual 3 engaged positively with professionals, there were occasions where the emotional impact of conflict on the children appeared to be minimised by adults. Direct work with both children, alongside information provided by school staff and partner agencies, enabled me to triangulate information and develop a more accurate assessment of risk. This reinforced my understanding that professional curiosity involves respectfully exploring inconsistencies, testing assumptions and maintaining a focus on the child's lived experience.</w:t>
            </w:r>
          </w:p>
          <w:p w14:paraId="7214D583"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Effective safeguarding relies upon collaborative working because no single professional holds all relevant information regarding a child's circumstances. Information provided by Education, Police and Health professionals significantly enhanced my understanding of the children's experiences. The assessment highlighted the value of multi-agency communication, information sharing and respectful professional challenge. Welsh safeguarding guidance emphasises collaborative working and joint decision-making to protect children effectively (Welsh Government, 2022b).</w:t>
            </w:r>
          </w:p>
          <w:p w14:paraId="244FEDAA"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The assessment also highlighted the importance of understanding safeguarding practice within the Welsh context. Although the Section 47 enquiry proceeded under the Children Act 1989, safeguarding responsibilities in Wales are also informed by Part 7 of the Social Services and Well-being (Wales) Act 2014, which places duties on relevant partners to safeguard and promote the wellbeing of children and adults at risk. The wider intervention was strongly influenced by the principles of wellbeing, voice and control, prevention and co-production (Welsh Government, 2014).</w:t>
            </w:r>
          </w:p>
          <w:p w14:paraId="295D5BF7"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The United Nations Convention on the Rights of the Child (1989) informed my practice throughout the assessment. Articles 3, 12 and 19 were particularly relevant, emphasising children's rights to have their best interests prioritised, to express their views and to be protected from harm. These principles reinforced the importance of ensuring that the children's voices remained central to assessment and planning (United Nations, 1989; Welsh Government, 2021).</w:t>
            </w:r>
          </w:p>
          <w:p w14:paraId="7D9DD7F6" w14:textId="4DEF3935" w:rsidR="00C159BD" w:rsidRPr="00C159BD" w:rsidRDefault="00C159BD" w:rsidP="00C159BD">
            <w:pPr>
              <w:overflowPunct/>
              <w:autoSpaceDE/>
              <w:autoSpaceDN/>
              <w:adjustRightInd/>
              <w:spacing w:line="300" w:lineRule="atLeast"/>
              <w:textAlignment w:val="auto"/>
              <w:rPr>
                <w:rFonts w:ascii="Segoe UI" w:hAnsi="Segoe UI" w:cs="Segoe UI"/>
                <w:color w:val="auto"/>
                <w:sz w:val="21"/>
                <w:szCs w:val="21"/>
              </w:rPr>
            </w:pPr>
            <w:r w:rsidRPr="00C159BD">
              <w:rPr>
                <w:color w:val="auto"/>
                <w:sz w:val="21"/>
                <w:szCs w:val="21"/>
              </w:rPr>
              <w:t>Safeguarding practice is further supported by the Wales Safeguarding Procedures (Wales Safeguarding Procedures Project Board, 2019), which provide a national framework for agencies responding to concerns regarding abuse or neglect. The procedures informed decision-making throughout the Section 47 enquiry by guiding information sharing, strategy discussions, assessment and risk management. At a regional level, safeguarding practice is overseen by CYSUR. This case reinforced the importance of understanding both national procedures and regional safeguarding frameworks</w:t>
            </w:r>
            <w:r w:rsidRPr="00C159BD">
              <w:rPr>
                <w:rFonts w:ascii="Segoe UI" w:hAnsi="Segoe UI" w:cs="Segoe UI"/>
                <w:color w:val="auto"/>
                <w:sz w:val="21"/>
                <w:szCs w:val="21"/>
              </w:rPr>
              <w:t xml:space="preserve"> (CYSUR Regional Safeguarding Board, n.d.)</w:t>
            </w:r>
          </w:p>
          <w:p w14:paraId="2B72F247"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 xml:space="preserve">Working within Wales also required consideration of language, culture and identity. In line with the Active Offer and </w:t>
            </w:r>
            <w:r w:rsidRPr="00C159BD">
              <w:rPr>
                <w:i/>
                <w:iCs/>
                <w:color w:val="auto"/>
                <w:sz w:val="21"/>
                <w:szCs w:val="21"/>
              </w:rPr>
              <w:t>More Than Just Words</w:t>
            </w:r>
            <w:r w:rsidRPr="00C159BD">
              <w:rPr>
                <w:color w:val="auto"/>
                <w:sz w:val="21"/>
                <w:szCs w:val="21"/>
              </w:rPr>
              <w:t xml:space="preserve"> (Welsh Government, 2022a), language preferences were explored rather than assumed. Although the family identified English as their preferred language, both children attended a Welsh-medium school. This reinforced the importance of recognising language as an aspect of identity, participation and wellbeing.</w:t>
            </w:r>
          </w:p>
          <w:p w14:paraId="73C555A5"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 xml:space="preserve">Reflecting further on the Welsh context, I was mindful that domestic abuse remains a significant issue affecting children and families across Wales. Welsh Government policy emphasises prevention, early </w:t>
            </w:r>
            <w:r w:rsidRPr="00C159BD">
              <w:rPr>
                <w:color w:val="auto"/>
                <w:sz w:val="21"/>
                <w:szCs w:val="21"/>
              </w:rPr>
              <w:lastRenderedPageBreak/>
              <w:t>intervention and multi-agency responses to reduce the impact of domestic abuse and adverse childhood experiences on children's wellbeing. Considering this broader context helped me understand that the concerns within this family reflected wider societal issues that can affect children's emotional health, development and sense of safety. This reinforced the importance of preventative and strengths-based interventions and aligned with the wellbeing and prevention principles of the Social Services and Well-being (Wales) Act 2014.</w:t>
            </w:r>
          </w:p>
          <w:p w14:paraId="7473A28F"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The case also presented ethical tensions. I was required to balance respect for family autonomy with my statutory duty to safeguard the children. Whilst Individual 3 demonstrated engagement with services, concerns remained regarding the impact of ongoing conflict upon the children. Reflecting on this tension reinforced the complexity of safeguarding practice and highlighted the need to balance parental rights with children's rights to safety, protection and wellbeing.</w:t>
            </w:r>
          </w:p>
          <w:p w14:paraId="13303F77"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Supervision played a central role in supporting analysis and professional judgement. It provided a safe space to challenge assumptions, reflect upon uncertainty and explore alternative interpretations of information. Through discussions with my manager, I became increasingly aware of the family's strengths, including parental engagement, support from extended family and positive school relationships. This enabled me to produce a more balanced assessment that considered resilience alongside vulnerability.</w:t>
            </w:r>
          </w:p>
          <w:p w14:paraId="3CFF60EB"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Risk assessment remained dynamic throughout the intervention. As new information emerged from children, family members and partner agencies, my understanding of risk evolved. Consistent with Munro's (2019) recommendations, effective safeguarding required continuous analysis and review rather than reliance on isolated incidents. By considering the interaction between domestic abuse, emotional harm, parentification and protective factors, I developed a more holistic understanding of both immediate and longer-term risks.</w:t>
            </w:r>
          </w:p>
          <w:p w14:paraId="2C35E30D"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Ultimately, my professional judgement developed through a process of information gathering, analysis, supervision and reflection. Whilst safeguarding concerns were evident, significant protective factors were also present. After considering both risk and resilience, I concluded that risks could be managed through a family-led safety plan supported by ongoing universal services and professional oversight.</w:t>
            </w:r>
          </w:p>
          <w:p w14:paraId="2A542EBC"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 xml:space="preserve">This assessment significantly influenced my development as a practitioner and enhanced my understanding of safeguarding children experiencing emotional harm. One of the most significant lessons was the importance of understanding </w:t>
            </w:r>
            <w:proofErr w:type="gramStart"/>
            <w:r w:rsidRPr="00C159BD">
              <w:rPr>
                <w:color w:val="auto"/>
                <w:sz w:val="21"/>
                <w:szCs w:val="21"/>
              </w:rPr>
              <w:t>children's</w:t>
            </w:r>
            <w:proofErr w:type="gramEnd"/>
            <w:r w:rsidRPr="00C159BD">
              <w:rPr>
                <w:color w:val="auto"/>
                <w:sz w:val="21"/>
                <w:szCs w:val="21"/>
              </w:rPr>
              <w:t xml:space="preserve"> lived experiences rather than focusing solely on presenting concerns. It was through speaking directly with both children that I gained a deeper understanding of the emotional impact the situation was having on them. In future, I will continue to prioritise direct work with children and ensure their voices remain central throughout assessment, planning and intervention.</w:t>
            </w:r>
          </w:p>
          <w:p w14:paraId="7A91A0EF"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 xml:space="preserve">This case strengthened my understanding of professional curiosity, reflective practice and analytical decision-making. Whilst the family engaged positively with services, I recognised the importance of respectfully exploring inconsistencies and ensuring assessments remain focused on </w:t>
            </w:r>
            <w:proofErr w:type="gramStart"/>
            <w:r w:rsidRPr="00C159BD">
              <w:rPr>
                <w:color w:val="auto"/>
                <w:sz w:val="21"/>
                <w:szCs w:val="21"/>
              </w:rPr>
              <w:t>children's</w:t>
            </w:r>
            <w:proofErr w:type="gramEnd"/>
            <w:r w:rsidRPr="00C159BD">
              <w:rPr>
                <w:color w:val="auto"/>
                <w:sz w:val="21"/>
                <w:szCs w:val="21"/>
              </w:rPr>
              <w:t xml:space="preserve"> lived </w:t>
            </w:r>
            <w:r w:rsidRPr="00C159BD">
              <w:rPr>
                <w:color w:val="auto"/>
                <w:sz w:val="21"/>
                <w:szCs w:val="21"/>
              </w:rPr>
              <w:lastRenderedPageBreak/>
              <w:t>experiences. I learned that engagement should not be confused with safety and that effective safeguarding requires ongoing analysis and professional challenge.</w:t>
            </w:r>
          </w:p>
          <w:p w14:paraId="3FD7EB55"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Supervision played a significant role in supporting reflection, challenging assumptions and maintaining a balanced understanding of both risks and protective factors. It also increased my awareness of how emotions, values and experiences can influence professional judgement. Moving forward, I intend to continue developing my analytical skills, trauma-informed practice and understanding of emotional harm through supervision, training and reflective practice.</w:t>
            </w:r>
          </w:p>
          <w:p w14:paraId="596BF51E"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The assessment further increased my awareness of the ethical tensions inherent within safeguarding practice. Balancing parental rights with children's rights was not always straightforward. Future practice will continue to involve balancing protection with participation and ensuring that interventions remain proportionate, transparent and grounded in human rights principles.</w:t>
            </w:r>
          </w:p>
          <w:p w14:paraId="1DA7668D"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Working within Wales strengthened my understanding of the importance of language, identity and culture in social work practice. The assessment reinforced that the Active Offer is about more than language alone; it represents a commitment to inclusion, participation and ensuring individuals can access services in their preferred language without having to request it (Welsh Government, 2022a).</w:t>
            </w:r>
          </w:p>
          <w:p w14:paraId="3A160338"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The assessment also strengthened my understanding of rights-based practice within Wales. The emphasis placed upon voice and control, participation and co-production encouraged me to consider how children and families can be meaningfully involved in decisions affecting them (Welsh Government, 2014).</w:t>
            </w:r>
          </w:p>
          <w:p w14:paraId="79864692"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Positive communication with school staff, police officers and health professionals was crucial in developing a comprehensive understanding of the children's circumstances. Going forward, I will continue to value collaborative working whilst recognising the importance of respectful challenge where professional opinions differ. This reflects the principles underpinning the Wales Safeguarding Procedures (Wales Safeguarding Procedures Project Board, 2019).</w:t>
            </w:r>
          </w:p>
          <w:p w14:paraId="2F4E36F7"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Finally, throughout the assessment, accurate and analytical recording was essential in supporting decision-making. Information obtained from children, family members and partner agencies was recorded contemporaneously and analysed to identify patterns, risks and protective factors. Clear recording ensured that professional decisions were evidence-based, transparent and defensible, whilst supporting accountability and multi-agency communication in line with the Social Care Wales Code of Professional Practice (Social Care Wales, 2026).</w:t>
            </w:r>
          </w:p>
          <w:p w14:paraId="0EF865DA"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 xml:space="preserve">This case study has critically reflected on my involvement in a safeguarding assessment concerning two children experiencing emotional harm </w:t>
            </w:r>
            <w:proofErr w:type="gramStart"/>
            <w:r w:rsidRPr="00C159BD">
              <w:rPr>
                <w:color w:val="auto"/>
                <w:sz w:val="21"/>
                <w:szCs w:val="21"/>
              </w:rPr>
              <w:t>as a result of</w:t>
            </w:r>
            <w:proofErr w:type="gramEnd"/>
            <w:r w:rsidRPr="00C159BD">
              <w:rPr>
                <w:color w:val="auto"/>
                <w:sz w:val="21"/>
                <w:szCs w:val="21"/>
              </w:rPr>
              <w:t xml:space="preserve"> domestic abuse, coercive and controlling behaviour, and ongoing parental conflict. Using Rolfe, Freshwater and Jasper's (2001) reflective framework, I explored how legislation, policy, social work theory, professional judgement, supervision and multi-agency working informed my assessment and intervention within a complex safeguarding context.</w:t>
            </w:r>
          </w:p>
          <w:p w14:paraId="6A682001"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 xml:space="preserve">The assessment highlighted the significant impact that emotional harm can have on children's wellbeing, even in the absence of physical abuse (NSPCC, 2024b). Direct work with both children provided valuable </w:t>
            </w:r>
            <w:r w:rsidRPr="00C159BD">
              <w:rPr>
                <w:color w:val="auto"/>
                <w:sz w:val="21"/>
                <w:szCs w:val="21"/>
              </w:rPr>
              <w:lastRenderedPageBreak/>
              <w:t>insight into their lived experiences and reinforced the importance of ensuring that children's wishes, feelings and experiences remain central to safeguarding assessment and decision-making.</w:t>
            </w:r>
          </w:p>
          <w:p w14:paraId="37A0AEF7"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The case demonstrated the value of integrating Attachment Theory, Ecological Systems Theory and Systemic Theory to develop a holistic understanding of risk, resilience and family functioning. It also reinforced the importance of collaborative working, information sharing and professional judgement in achieving effective safeguarding outcomes.</w:t>
            </w:r>
          </w:p>
          <w:p w14:paraId="2A650316"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 xml:space="preserve">The assessment further highlighted the distinctive context of social work practice in Wales. The principles of wellbeing, voice and control, prevention and co-production contained within the Social Services and Well-being (Wales) Act 2014 informed my approach, alongside the Active Offer, </w:t>
            </w:r>
            <w:r w:rsidRPr="00C159BD">
              <w:rPr>
                <w:i/>
                <w:iCs/>
                <w:color w:val="auto"/>
                <w:sz w:val="21"/>
                <w:szCs w:val="21"/>
              </w:rPr>
              <w:t>More Than Just Words</w:t>
            </w:r>
            <w:r w:rsidRPr="00C159BD">
              <w:rPr>
                <w:color w:val="auto"/>
                <w:sz w:val="21"/>
                <w:szCs w:val="21"/>
              </w:rPr>
              <w:t>, the Wales Safeguarding Procedures and regional safeguarding arrangements through CYSUR.</w:t>
            </w:r>
          </w:p>
          <w:p w14:paraId="0034362B" w14:textId="77777777" w:rsidR="00C159BD" w:rsidRPr="00C159BD" w:rsidRDefault="00C159BD" w:rsidP="00C159BD">
            <w:pPr>
              <w:overflowPunct/>
              <w:autoSpaceDE/>
              <w:autoSpaceDN/>
              <w:adjustRightInd/>
              <w:spacing w:before="100" w:beforeAutospacing="1" w:after="100" w:afterAutospacing="1" w:line="300" w:lineRule="atLeast"/>
              <w:textAlignment w:val="auto"/>
              <w:rPr>
                <w:color w:val="auto"/>
                <w:sz w:val="21"/>
                <w:szCs w:val="21"/>
              </w:rPr>
            </w:pPr>
            <w:r w:rsidRPr="00C159BD">
              <w:rPr>
                <w:color w:val="auto"/>
                <w:sz w:val="21"/>
                <w:szCs w:val="21"/>
              </w:rPr>
              <w:t>Collaborative working, professional judgement and effective information sharing were central to the assessment process. Integrating theory, legislation, supervision and multi-agency information enabled a balanced understanding of risk and resilience and informed proportionate decision-making. Overall, this experience strengthened my confidence in undertaking complex safeguarding assessments and reinforced the importance of remaining reflective, child-centred and evidence-informed when promoting positive outcomes for children and families.</w:t>
            </w:r>
          </w:p>
          <w:p w14:paraId="6E0EB48F" w14:textId="77777777" w:rsidR="00C159BD" w:rsidRPr="00C159BD" w:rsidRDefault="00C159BD" w:rsidP="00C159BD">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C159BD">
              <w:rPr>
                <w:rFonts w:ascii="Segoe UI" w:hAnsi="Segoe UI" w:cs="Segoe UI"/>
                <w:b/>
                <w:bCs/>
                <w:color w:val="auto"/>
                <w:sz w:val="21"/>
                <w:szCs w:val="21"/>
              </w:rPr>
              <w:t>Approximate Word Count: 4,400</w:t>
            </w:r>
          </w:p>
          <w:p w14:paraId="54F174AB" w14:textId="77777777" w:rsidR="00632333" w:rsidRDefault="00632333" w:rsidP="00632333">
            <w:pPr>
              <w:overflowPunct/>
              <w:autoSpaceDE/>
              <w:autoSpaceDN/>
              <w:adjustRightInd/>
              <w:spacing w:before="100" w:beforeAutospacing="1" w:after="100" w:afterAutospacing="1" w:line="300" w:lineRule="atLeast"/>
              <w:textAlignment w:val="auto"/>
              <w:rPr>
                <w:rFonts w:eastAsia="Aptos"/>
                <w:b/>
                <w:bCs/>
                <w:color w:val="auto"/>
                <w:kern w:val="2"/>
                <w:sz w:val="24"/>
                <w:szCs w:val="24"/>
                <w:lang w:eastAsia="en-US"/>
                <w14:ligatures w14:val="standardContextual"/>
              </w:rPr>
            </w:pPr>
          </w:p>
          <w:p w14:paraId="628CA723" w14:textId="77777777" w:rsidR="00632333" w:rsidRDefault="00632333" w:rsidP="00632333">
            <w:pPr>
              <w:overflowPunct/>
              <w:autoSpaceDE/>
              <w:autoSpaceDN/>
              <w:adjustRightInd/>
              <w:spacing w:before="100" w:beforeAutospacing="1" w:after="100" w:afterAutospacing="1" w:line="300" w:lineRule="atLeast"/>
              <w:textAlignment w:val="auto"/>
              <w:rPr>
                <w:rFonts w:eastAsia="Aptos"/>
                <w:b/>
                <w:bCs/>
                <w:color w:val="auto"/>
                <w:kern w:val="2"/>
                <w:sz w:val="24"/>
                <w:szCs w:val="24"/>
                <w:lang w:eastAsia="en-US"/>
                <w14:ligatures w14:val="standardContextual"/>
              </w:rPr>
            </w:pPr>
          </w:p>
          <w:p w14:paraId="72A85D1D" w14:textId="77777777" w:rsidR="00632333" w:rsidRDefault="00632333" w:rsidP="00632333">
            <w:pPr>
              <w:overflowPunct/>
              <w:autoSpaceDE/>
              <w:autoSpaceDN/>
              <w:adjustRightInd/>
              <w:spacing w:before="100" w:beforeAutospacing="1" w:after="100" w:afterAutospacing="1" w:line="300" w:lineRule="atLeast"/>
              <w:textAlignment w:val="auto"/>
              <w:rPr>
                <w:rFonts w:eastAsia="Aptos"/>
                <w:b/>
                <w:bCs/>
                <w:color w:val="auto"/>
                <w:kern w:val="2"/>
                <w:sz w:val="24"/>
                <w:szCs w:val="24"/>
                <w:lang w:eastAsia="en-US"/>
                <w14:ligatures w14:val="standardContextual"/>
              </w:rPr>
            </w:pPr>
          </w:p>
          <w:p w14:paraId="39E45B75" w14:textId="77777777" w:rsidR="00632333" w:rsidRDefault="00632333" w:rsidP="00632333">
            <w:pPr>
              <w:overflowPunct/>
              <w:autoSpaceDE/>
              <w:autoSpaceDN/>
              <w:adjustRightInd/>
              <w:spacing w:before="100" w:beforeAutospacing="1" w:after="100" w:afterAutospacing="1" w:line="300" w:lineRule="atLeast"/>
              <w:textAlignment w:val="auto"/>
              <w:rPr>
                <w:rFonts w:eastAsia="Aptos"/>
                <w:b/>
                <w:bCs/>
                <w:color w:val="auto"/>
                <w:kern w:val="2"/>
                <w:sz w:val="24"/>
                <w:szCs w:val="24"/>
                <w:lang w:eastAsia="en-US"/>
                <w14:ligatures w14:val="standardContextual"/>
              </w:rPr>
            </w:pPr>
          </w:p>
          <w:p w14:paraId="1C999141" w14:textId="77777777" w:rsidR="007B07EC" w:rsidRDefault="007B07EC" w:rsidP="00632333">
            <w:pPr>
              <w:overflowPunct/>
              <w:autoSpaceDE/>
              <w:autoSpaceDN/>
              <w:adjustRightInd/>
              <w:spacing w:before="100" w:beforeAutospacing="1" w:after="100" w:afterAutospacing="1" w:line="300" w:lineRule="atLeast"/>
              <w:textAlignment w:val="auto"/>
              <w:rPr>
                <w:rFonts w:eastAsia="Aptos"/>
                <w:b/>
                <w:bCs/>
                <w:color w:val="auto"/>
                <w:kern w:val="2"/>
                <w:sz w:val="24"/>
                <w:szCs w:val="24"/>
                <w:lang w:eastAsia="en-US"/>
                <w14:ligatures w14:val="standardContextual"/>
              </w:rPr>
            </w:pPr>
          </w:p>
          <w:p w14:paraId="32D3B5AC" w14:textId="77777777" w:rsidR="00C715B0" w:rsidRDefault="00C715B0" w:rsidP="00632333">
            <w:pPr>
              <w:overflowPunct/>
              <w:autoSpaceDE/>
              <w:autoSpaceDN/>
              <w:adjustRightInd/>
              <w:spacing w:before="100" w:beforeAutospacing="1" w:after="100" w:afterAutospacing="1" w:line="300" w:lineRule="atLeast"/>
              <w:textAlignment w:val="auto"/>
              <w:rPr>
                <w:rFonts w:eastAsia="Aptos"/>
                <w:b/>
                <w:bCs/>
                <w:color w:val="auto"/>
                <w:kern w:val="2"/>
                <w:sz w:val="24"/>
                <w:szCs w:val="24"/>
                <w:lang w:eastAsia="en-US"/>
                <w14:ligatures w14:val="standardContextual"/>
              </w:rPr>
            </w:pPr>
          </w:p>
          <w:p w14:paraId="72E3E885" w14:textId="77777777" w:rsidR="00C715B0" w:rsidRDefault="00C715B0" w:rsidP="00632333">
            <w:pPr>
              <w:overflowPunct/>
              <w:autoSpaceDE/>
              <w:autoSpaceDN/>
              <w:adjustRightInd/>
              <w:spacing w:before="100" w:beforeAutospacing="1" w:after="100" w:afterAutospacing="1" w:line="300" w:lineRule="atLeast"/>
              <w:textAlignment w:val="auto"/>
              <w:rPr>
                <w:rFonts w:eastAsia="Aptos"/>
                <w:b/>
                <w:bCs/>
                <w:color w:val="auto"/>
                <w:kern w:val="2"/>
                <w:sz w:val="24"/>
                <w:szCs w:val="24"/>
                <w:lang w:eastAsia="en-US"/>
                <w14:ligatures w14:val="standardContextual"/>
              </w:rPr>
            </w:pPr>
          </w:p>
          <w:p w14:paraId="68E95AF5" w14:textId="77777777" w:rsidR="00C715B0" w:rsidRDefault="00C715B0" w:rsidP="00632333">
            <w:pPr>
              <w:overflowPunct/>
              <w:autoSpaceDE/>
              <w:autoSpaceDN/>
              <w:adjustRightInd/>
              <w:spacing w:before="100" w:beforeAutospacing="1" w:after="100" w:afterAutospacing="1" w:line="300" w:lineRule="atLeast"/>
              <w:textAlignment w:val="auto"/>
              <w:rPr>
                <w:rFonts w:eastAsia="Aptos"/>
                <w:b/>
                <w:bCs/>
                <w:color w:val="auto"/>
                <w:kern w:val="2"/>
                <w:sz w:val="24"/>
                <w:szCs w:val="24"/>
                <w:lang w:eastAsia="en-US"/>
                <w14:ligatures w14:val="standardContextual"/>
              </w:rPr>
            </w:pPr>
          </w:p>
          <w:p w14:paraId="279F22F5" w14:textId="77777777" w:rsidR="00C715B0" w:rsidRDefault="00C715B0" w:rsidP="00632333">
            <w:pPr>
              <w:overflowPunct/>
              <w:autoSpaceDE/>
              <w:autoSpaceDN/>
              <w:adjustRightInd/>
              <w:spacing w:before="100" w:beforeAutospacing="1" w:after="100" w:afterAutospacing="1" w:line="300" w:lineRule="atLeast"/>
              <w:textAlignment w:val="auto"/>
              <w:rPr>
                <w:rFonts w:eastAsia="Aptos"/>
                <w:b/>
                <w:bCs/>
                <w:color w:val="auto"/>
                <w:kern w:val="2"/>
                <w:sz w:val="24"/>
                <w:szCs w:val="24"/>
                <w:lang w:eastAsia="en-US"/>
                <w14:ligatures w14:val="standardContextual"/>
              </w:rPr>
            </w:pPr>
          </w:p>
          <w:p w14:paraId="5BB1B583" w14:textId="77777777" w:rsidR="00F10972" w:rsidRDefault="00F10972" w:rsidP="00632333">
            <w:pPr>
              <w:overflowPunct/>
              <w:autoSpaceDE/>
              <w:autoSpaceDN/>
              <w:adjustRightInd/>
              <w:spacing w:before="100" w:beforeAutospacing="1" w:after="100" w:afterAutospacing="1" w:line="300" w:lineRule="atLeast"/>
              <w:textAlignment w:val="auto"/>
              <w:rPr>
                <w:rFonts w:eastAsia="Aptos"/>
                <w:b/>
                <w:bCs/>
                <w:color w:val="auto"/>
                <w:kern w:val="2"/>
                <w:sz w:val="24"/>
                <w:szCs w:val="24"/>
                <w:lang w:eastAsia="en-US"/>
                <w14:ligatures w14:val="standardContextual"/>
              </w:rPr>
            </w:pPr>
          </w:p>
          <w:p w14:paraId="4A613742" w14:textId="77777777" w:rsidR="00C715B0" w:rsidRDefault="00C715B0" w:rsidP="00632333">
            <w:pPr>
              <w:overflowPunct/>
              <w:autoSpaceDE/>
              <w:autoSpaceDN/>
              <w:adjustRightInd/>
              <w:spacing w:before="100" w:beforeAutospacing="1" w:after="100" w:afterAutospacing="1" w:line="300" w:lineRule="atLeast"/>
              <w:textAlignment w:val="auto"/>
              <w:rPr>
                <w:rFonts w:eastAsia="Aptos"/>
                <w:b/>
                <w:bCs/>
                <w:color w:val="auto"/>
                <w:kern w:val="2"/>
                <w:sz w:val="24"/>
                <w:szCs w:val="24"/>
                <w:lang w:eastAsia="en-US"/>
                <w14:ligatures w14:val="standardContextual"/>
              </w:rPr>
            </w:pPr>
          </w:p>
          <w:p w14:paraId="0660A7A1" w14:textId="77777777" w:rsidR="00C715B0" w:rsidRDefault="00C715B0" w:rsidP="00632333">
            <w:pPr>
              <w:overflowPunct/>
              <w:autoSpaceDE/>
              <w:autoSpaceDN/>
              <w:adjustRightInd/>
              <w:spacing w:before="100" w:beforeAutospacing="1" w:after="100" w:afterAutospacing="1" w:line="300" w:lineRule="atLeast"/>
              <w:textAlignment w:val="auto"/>
              <w:rPr>
                <w:rFonts w:eastAsia="Aptos"/>
                <w:b/>
                <w:bCs/>
                <w:color w:val="auto"/>
                <w:kern w:val="2"/>
                <w:sz w:val="24"/>
                <w:szCs w:val="24"/>
                <w:lang w:eastAsia="en-US"/>
                <w14:ligatures w14:val="standardContextual"/>
              </w:rPr>
            </w:pPr>
          </w:p>
          <w:p w14:paraId="47F21B6A" w14:textId="6B83AE53" w:rsidR="007A628F" w:rsidRPr="008B28E7" w:rsidRDefault="007A628F" w:rsidP="003300E8">
            <w:pPr>
              <w:overflowPunct/>
              <w:autoSpaceDE/>
              <w:autoSpaceDN/>
              <w:adjustRightInd/>
              <w:spacing w:before="100" w:beforeAutospacing="1" w:after="100" w:afterAutospacing="1" w:line="300" w:lineRule="atLeast"/>
              <w:textAlignment w:val="auto"/>
              <w:rPr>
                <w:sz w:val="24"/>
                <w:szCs w:val="24"/>
              </w:rPr>
            </w:pPr>
          </w:p>
        </w:tc>
      </w:tr>
    </w:tbl>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16780"/>
    <w:rsid w:val="00017CFB"/>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3CEC"/>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094A"/>
    <w:rsid w:val="001D229F"/>
    <w:rsid w:val="001E0050"/>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15F2"/>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315"/>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0E8"/>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71C8"/>
    <w:rsid w:val="003F1233"/>
    <w:rsid w:val="003F67A4"/>
    <w:rsid w:val="00400786"/>
    <w:rsid w:val="00401FDA"/>
    <w:rsid w:val="004028A3"/>
    <w:rsid w:val="004046F0"/>
    <w:rsid w:val="0040668F"/>
    <w:rsid w:val="00411EF7"/>
    <w:rsid w:val="00412677"/>
    <w:rsid w:val="0042301A"/>
    <w:rsid w:val="00425160"/>
    <w:rsid w:val="00430DE3"/>
    <w:rsid w:val="004348AE"/>
    <w:rsid w:val="004376C0"/>
    <w:rsid w:val="00437B65"/>
    <w:rsid w:val="0044223A"/>
    <w:rsid w:val="00450B67"/>
    <w:rsid w:val="00451851"/>
    <w:rsid w:val="0045189A"/>
    <w:rsid w:val="00452AD9"/>
    <w:rsid w:val="00453343"/>
    <w:rsid w:val="004538C3"/>
    <w:rsid w:val="004608B9"/>
    <w:rsid w:val="00463B55"/>
    <w:rsid w:val="00465947"/>
    <w:rsid w:val="004667B1"/>
    <w:rsid w:val="00467269"/>
    <w:rsid w:val="00467F66"/>
    <w:rsid w:val="00470461"/>
    <w:rsid w:val="00470BB1"/>
    <w:rsid w:val="00473153"/>
    <w:rsid w:val="0047350F"/>
    <w:rsid w:val="004743AF"/>
    <w:rsid w:val="00477DD3"/>
    <w:rsid w:val="00482C17"/>
    <w:rsid w:val="00484CE3"/>
    <w:rsid w:val="004911B4"/>
    <w:rsid w:val="0049196A"/>
    <w:rsid w:val="004923DA"/>
    <w:rsid w:val="00492EEB"/>
    <w:rsid w:val="00493434"/>
    <w:rsid w:val="004968E2"/>
    <w:rsid w:val="004A2A49"/>
    <w:rsid w:val="004A3271"/>
    <w:rsid w:val="004A5A64"/>
    <w:rsid w:val="004A7FED"/>
    <w:rsid w:val="004B5553"/>
    <w:rsid w:val="004B600B"/>
    <w:rsid w:val="004B6822"/>
    <w:rsid w:val="004B69F6"/>
    <w:rsid w:val="004C2D3A"/>
    <w:rsid w:val="004D03C4"/>
    <w:rsid w:val="004D0BF1"/>
    <w:rsid w:val="004D0F4E"/>
    <w:rsid w:val="004D246B"/>
    <w:rsid w:val="004D3278"/>
    <w:rsid w:val="004D35A4"/>
    <w:rsid w:val="004D445F"/>
    <w:rsid w:val="004E087B"/>
    <w:rsid w:val="004E393F"/>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615"/>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0B90"/>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333"/>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76F3"/>
    <w:rsid w:val="007710AD"/>
    <w:rsid w:val="00772924"/>
    <w:rsid w:val="0078112D"/>
    <w:rsid w:val="007872F2"/>
    <w:rsid w:val="007873F9"/>
    <w:rsid w:val="007908E0"/>
    <w:rsid w:val="00793EB3"/>
    <w:rsid w:val="00794205"/>
    <w:rsid w:val="0079422A"/>
    <w:rsid w:val="007A1F6A"/>
    <w:rsid w:val="007A628F"/>
    <w:rsid w:val="007B07EC"/>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3043"/>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18E0"/>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09F0"/>
    <w:rsid w:val="009544C0"/>
    <w:rsid w:val="00954FA4"/>
    <w:rsid w:val="00956AE9"/>
    <w:rsid w:val="00956DBA"/>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4A40"/>
    <w:rsid w:val="009B7136"/>
    <w:rsid w:val="009C1E55"/>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334"/>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1C2D"/>
    <w:rsid w:val="00A85039"/>
    <w:rsid w:val="00A906AA"/>
    <w:rsid w:val="00A94C5E"/>
    <w:rsid w:val="00AA252C"/>
    <w:rsid w:val="00AA666E"/>
    <w:rsid w:val="00AA7960"/>
    <w:rsid w:val="00AB5518"/>
    <w:rsid w:val="00AC3A0E"/>
    <w:rsid w:val="00AC4A04"/>
    <w:rsid w:val="00AC5679"/>
    <w:rsid w:val="00AC7E9E"/>
    <w:rsid w:val="00AD336F"/>
    <w:rsid w:val="00AE134C"/>
    <w:rsid w:val="00AE1868"/>
    <w:rsid w:val="00AE2564"/>
    <w:rsid w:val="00AE301F"/>
    <w:rsid w:val="00AE3302"/>
    <w:rsid w:val="00AE5BA6"/>
    <w:rsid w:val="00AE6231"/>
    <w:rsid w:val="00AE6ED6"/>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A16"/>
    <w:rsid w:val="00B31C91"/>
    <w:rsid w:val="00B3747F"/>
    <w:rsid w:val="00B42E76"/>
    <w:rsid w:val="00B43194"/>
    <w:rsid w:val="00B436BF"/>
    <w:rsid w:val="00B4376E"/>
    <w:rsid w:val="00B47734"/>
    <w:rsid w:val="00B50FBA"/>
    <w:rsid w:val="00B558EB"/>
    <w:rsid w:val="00B57231"/>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1F8F"/>
    <w:rsid w:val="00C01D14"/>
    <w:rsid w:val="00C01D97"/>
    <w:rsid w:val="00C025B4"/>
    <w:rsid w:val="00C029EC"/>
    <w:rsid w:val="00C147A2"/>
    <w:rsid w:val="00C159BD"/>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68C"/>
    <w:rsid w:val="00C63CAB"/>
    <w:rsid w:val="00C63D00"/>
    <w:rsid w:val="00C6441B"/>
    <w:rsid w:val="00C65921"/>
    <w:rsid w:val="00C7108B"/>
    <w:rsid w:val="00C715B0"/>
    <w:rsid w:val="00C75883"/>
    <w:rsid w:val="00C77FA5"/>
    <w:rsid w:val="00C8089F"/>
    <w:rsid w:val="00C835FE"/>
    <w:rsid w:val="00C836CC"/>
    <w:rsid w:val="00C852D6"/>
    <w:rsid w:val="00C87A74"/>
    <w:rsid w:val="00C92C71"/>
    <w:rsid w:val="00C93F8F"/>
    <w:rsid w:val="00CA03B6"/>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053B"/>
    <w:rsid w:val="00DB2767"/>
    <w:rsid w:val="00DC1B10"/>
    <w:rsid w:val="00DC2924"/>
    <w:rsid w:val="00DC4729"/>
    <w:rsid w:val="00DD31C5"/>
    <w:rsid w:val="00DD5020"/>
    <w:rsid w:val="00DD63BE"/>
    <w:rsid w:val="00DE4296"/>
    <w:rsid w:val="00DF2469"/>
    <w:rsid w:val="00DF7899"/>
    <w:rsid w:val="00E0524C"/>
    <w:rsid w:val="00E1425D"/>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3337"/>
    <w:rsid w:val="00ED5D03"/>
    <w:rsid w:val="00EE01ED"/>
    <w:rsid w:val="00EE1AC1"/>
    <w:rsid w:val="00EE39D6"/>
    <w:rsid w:val="00EE52AD"/>
    <w:rsid w:val="00EE5BC3"/>
    <w:rsid w:val="00EE6FAB"/>
    <w:rsid w:val="00EF328C"/>
    <w:rsid w:val="00EF5732"/>
    <w:rsid w:val="00EF68BB"/>
    <w:rsid w:val="00F01F92"/>
    <w:rsid w:val="00F030D4"/>
    <w:rsid w:val="00F04053"/>
    <w:rsid w:val="00F06573"/>
    <w:rsid w:val="00F076D2"/>
    <w:rsid w:val="00F10972"/>
    <w:rsid w:val="00F10A08"/>
    <w:rsid w:val="00F15354"/>
    <w:rsid w:val="00F15EA5"/>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1DD"/>
    <w:rsid w:val="00F66272"/>
    <w:rsid w:val="00F709C0"/>
    <w:rsid w:val="00F81FEC"/>
    <w:rsid w:val="00F85CD2"/>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3E71C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3E71C8"/>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4028A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3041</Words>
  <Characters>19428</Characters>
  <Application>Microsoft Office Word</Application>
  <DocSecurity>0</DocSecurity>
  <Lines>161</Lines>
  <Paragraphs>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 Louise Davies</cp:lastModifiedBy>
  <cp:revision>2</cp:revision>
  <cp:lastPrinted>2020-02-11T19:20:00Z</cp:lastPrinted>
  <dcterms:created xsi:type="dcterms:W3CDTF">2026-10-06T17:27:00Z</dcterms:created>
  <dcterms:modified xsi:type="dcterms:W3CDTF">2026-10-06T17:27:00Z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