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5.xml" ContentType="application/vnd.openxmlformats-officedocument.themeOverrid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theme/themeOverride6.xml" ContentType="application/vnd.openxmlformats-officedocument.themeOverride+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body>
    <w:p w:rsidR="00A5635E" w:rsidRDefault="00F7104B" w:rsidP="00730D58">
      <w:pPr>
        <w:pStyle w:val="Frspaiere"/>
        <w:jc w:val="center"/>
        <w:rPr>
          <w:rFonts w:ascii="Times New Roman" w:hAnsi="Times New Roman" w:cs="Times New Roman"/>
          <w:b/>
          <w:color w:val="333333"/>
          <w:sz w:val="56"/>
          <w:szCs w:val="56"/>
          <w:shd w:val="clear" w:color="auto" w:fill="FFFFFF"/>
        </w:rPr>
      </w:pPr>
      <w:r>
        <w:rPr>
          <w:rFonts w:ascii="Times New Roman" w:hAnsi="Times New Roman" w:cs="Times New Roman"/>
          <w:b/>
          <w:color w:val="333333"/>
          <w:sz w:val="56"/>
          <w:szCs w:val="56"/>
          <w:shd w:val="clear" w:color="auto" w:fill="FFFFFF"/>
        </w:rPr>
        <w:t xml:space="preserve">Name: Ema-Roxana Matei </w:t>
      </w:r>
    </w:p>
    <w:p w:rsidR="00F7104B" w:rsidRDefault="00F7104B" w:rsidP="00730D58">
      <w:pPr>
        <w:pStyle w:val="Frspaiere"/>
        <w:jc w:val="center"/>
        <w:rPr>
          <w:rFonts w:ascii="Times New Roman" w:hAnsi="Times New Roman" w:cs="Times New Roman"/>
          <w:b/>
          <w:color w:val="333333"/>
          <w:sz w:val="56"/>
          <w:szCs w:val="56"/>
          <w:shd w:val="clear" w:color="auto" w:fill="FFFFFF"/>
        </w:rPr>
      </w:pPr>
      <w:r>
        <w:rPr>
          <w:rFonts w:ascii="Times New Roman" w:hAnsi="Times New Roman" w:cs="Times New Roman"/>
          <w:b/>
          <w:color w:val="333333"/>
          <w:sz w:val="56"/>
          <w:szCs w:val="56"/>
          <w:shd w:val="clear" w:color="auto" w:fill="FFFFFF"/>
        </w:rPr>
        <w:t>Lecturer: Dr David Jenki</w:t>
      </w:r>
      <w:r w:rsidR="00017996">
        <w:rPr>
          <w:rFonts w:ascii="Times New Roman" w:hAnsi="Times New Roman" w:cs="Times New Roman"/>
          <w:b/>
          <w:color w:val="333333"/>
          <w:sz w:val="56"/>
          <w:szCs w:val="56"/>
          <w:shd w:val="clear" w:color="auto" w:fill="FFFFFF"/>
        </w:rPr>
        <w:t>ns</w:t>
      </w:r>
    </w:p>
    <w:p w:rsidR="00017996" w:rsidRDefault="00017996" w:rsidP="00730D58">
      <w:pPr>
        <w:pStyle w:val="Frspaiere"/>
        <w:jc w:val="center"/>
        <w:rPr>
          <w:rFonts w:ascii="Times New Roman" w:hAnsi="Times New Roman" w:cs="Times New Roman"/>
          <w:b/>
          <w:color w:val="333333"/>
          <w:sz w:val="56"/>
          <w:szCs w:val="56"/>
          <w:shd w:val="clear" w:color="auto" w:fill="FFFFFF"/>
        </w:rPr>
      </w:pPr>
      <w:r>
        <w:rPr>
          <w:rFonts w:ascii="Times New Roman" w:hAnsi="Times New Roman" w:cs="Times New Roman"/>
          <w:b/>
          <w:color w:val="333333"/>
          <w:sz w:val="56"/>
          <w:szCs w:val="56"/>
          <w:shd w:val="clear" w:color="auto" w:fill="FFFFFF"/>
        </w:rPr>
        <w:t>Student ID: 1816275</w:t>
      </w:r>
    </w:p>
    <w:p w:rsidR="00A5635E" w:rsidRDefault="00A5635E" w:rsidP="00730D58">
      <w:pPr>
        <w:pStyle w:val="Frspaiere"/>
        <w:jc w:val="center"/>
        <w:rPr>
          <w:rFonts w:ascii="Times New Roman" w:hAnsi="Times New Roman" w:cs="Times New Roman"/>
          <w:b/>
          <w:color w:val="333333"/>
          <w:sz w:val="56"/>
          <w:szCs w:val="56"/>
          <w:shd w:val="clear" w:color="auto" w:fill="FFFFFF"/>
        </w:rPr>
      </w:pPr>
    </w:p>
    <w:p w:rsidR="00A5635E" w:rsidRDefault="00A5635E" w:rsidP="00730D58">
      <w:pPr>
        <w:pStyle w:val="Frspaiere"/>
        <w:jc w:val="center"/>
        <w:rPr>
          <w:rFonts w:ascii="Times New Roman" w:hAnsi="Times New Roman" w:cs="Times New Roman"/>
          <w:b/>
          <w:color w:val="333333"/>
          <w:sz w:val="56"/>
          <w:szCs w:val="56"/>
          <w:shd w:val="clear" w:color="auto" w:fill="FFFFFF"/>
        </w:rPr>
      </w:pPr>
    </w:p>
    <w:p w:rsidR="00F947C3" w:rsidRDefault="00F947C3">
      <w:pPr>
        <w:pStyle w:val="Frspaiere"/>
        <w:jc w:val="right"/>
        <w:rPr>
          <w:rFonts w:ascii="Times New Roman" w:hAnsi="Times New Roman" w:cs="Times New Roman"/>
          <w:b/>
          <w:color w:val="333333"/>
          <w:sz w:val="80"/>
          <w:szCs w:val="80"/>
          <w:shd w:val="clear" w:color="auto" w:fill="FFFFFF"/>
        </w:rPr>
      </w:pPr>
    </w:p>
    <w:p w:rsidR="00F947C3" w:rsidRDefault="00F947C3">
      <w:pPr>
        <w:pStyle w:val="Frspaiere"/>
        <w:jc w:val="right"/>
        <w:rPr>
          <w:rFonts w:ascii="Times New Roman" w:hAnsi="Times New Roman" w:cs="Times New Roman"/>
          <w:b/>
          <w:color w:val="333333"/>
          <w:sz w:val="80"/>
          <w:szCs w:val="80"/>
          <w:shd w:val="clear" w:color="auto" w:fill="FFFFFF"/>
        </w:rPr>
      </w:pPr>
    </w:p>
    <w:p w:rsidR="00CD58DD" w:rsidRDefault="005D3853">
      <w:pPr>
        <w:jc w:val="center"/>
        <w:rPr>
          <w:rFonts w:ascii="Times" w:hAnsi="Times" w:cs="Times"/>
          <w:b/>
          <w:bCs/>
          <w:sz w:val="72"/>
          <w:szCs w:val="72"/>
        </w:rPr>
      </w:pPr>
      <w:r>
        <w:rPr>
          <w:rFonts w:ascii="Times" w:hAnsi="Times" w:cs="Times"/>
          <w:b/>
          <w:bCs/>
          <w:sz w:val="72"/>
          <w:szCs w:val="72"/>
        </w:rPr>
        <w:t>I</w:t>
      </w:r>
      <w:r w:rsidRPr="005D3853">
        <w:rPr>
          <w:rFonts w:ascii="Times" w:hAnsi="Times" w:cs="Times"/>
          <w:b/>
          <w:bCs/>
          <w:sz w:val="72"/>
          <w:szCs w:val="72"/>
        </w:rPr>
        <w:t>nternational hotel management</w:t>
      </w:r>
    </w:p>
    <w:p w:rsidR="002240A4" w:rsidRDefault="002240A4">
      <w:pPr>
        <w:pStyle w:val="Titlucuprins"/>
      </w:pPr>
      <w:r>
        <w:br w:type="page"/>
      </w:r>
      <w:r>
        <w:lastRenderedPageBreak/>
        <w:t>Contents</w:t>
      </w:r>
    </w:p>
    <w:p w:rsidR="002240A4" w:rsidRDefault="002240A4">
      <w:pPr>
        <w:pStyle w:val="Cuprins1"/>
        <w:tabs>
          <w:tab w:val="right" w:leader="dot" w:pos="9350"/>
        </w:tabs>
        <w:rPr>
          <w:noProof/>
        </w:rPr>
      </w:pPr>
      <w:r>
        <w:fldChar w:fldCharType="begin"/>
      </w:r>
      <w:r>
        <w:instrText xml:space="preserve"> TOC \o "1-3" \h \z \u </w:instrText>
      </w:r>
      <w:r>
        <w:fldChar w:fldCharType="separate"/>
      </w:r>
      <w:hyperlink w:anchor="_Toc44690800" w:history="1">
        <w:r w:rsidRPr="00501B9C">
          <w:rPr>
            <w:rStyle w:val="Hyperlink"/>
            <w:noProof/>
          </w:rPr>
          <w:t>INTRODUCTION</w:t>
        </w:r>
        <w:r>
          <w:rPr>
            <w:noProof/>
            <w:webHidden/>
          </w:rPr>
          <w:tab/>
        </w:r>
        <w:r>
          <w:rPr>
            <w:noProof/>
            <w:webHidden/>
          </w:rPr>
          <w:fldChar w:fldCharType="begin"/>
        </w:r>
        <w:r>
          <w:rPr>
            <w:noProof/>
            <w:webHidden/>
          </w:rPr>
          <w:instrText xml:space="preserve"> PAGEREF _Toc44690800 \h </w:instrText>
        </w:r>
        <w:r>
          <w:rPr>
            <w:noProof/>
            <w:webHidden/>
          </w:rPr>
        </w:r>
        <w:r>
          <w:rPr>
            <w:noProof/>
            <w:webHidden/>
          </w:rPr>
          <w:fldChar w:fldCharType="separate"/>
        </w:r>
        <w:r>
          <w:rPr>
            <w:noProof/>
            <w:webHidden/>
          </w:rPr>
          <w:t>1</w:t>
        </w:r>
        <w:r>
          <w:rPr>
            <w:noProof/>
            <w:webHidden/>
          </w:rPr>
          <w:fldChar w:fldCharType="end"/>
        </w:r>
      </w:hyperlink>
    </w:p>
    <w:p w:rsidR="002240A4" w:rsidRDefault="002240A4">
      <w:pPr>
        <w:pStyle w:val="Cuprins1"/>
        <w:tabs>
          <w:tab w:val="right" w:leader="dot" w:pos="9350"/>
        </w:tabs>
        <w:rPr>
          <w:noProof/>
        </w:rPr>
      </w:pPr>
      <w:hyperlink w:anchor="_Toc44690801" w:history="1">
        <w:r w:rsidRPr="00501B9C">
          <w:rPr>
            <w:rStyle w:val="Hyperlink"/>
            <w:noProof/>
          </w:rPr>
          <w:t>MAIN BODY</w:t>
        </w:r>
        <w:r>
          <w:rPr>
            <w:noProof/>
            <w:webHidden/>
          </w:rPr>
          <w:tab/>
        </w:r>
        <w:r>
          <w:rPr>
            <w:noProof/>
            <w:webHidden/>
          </w:rPr>
          <w:fldChar w:fldCharType="begin"/>
        </w:r>
        <w:r>
          <w:rPr>
            <w:noProof/>
            <w:webHidden/>
          </w:rPr>
          <w:instrText xml:space="preserve"> PAGEREF _Toc44690801 \h </w:instrText>
        </w:r>
        <w:r>
          <w:rPr>
            <w:noProof/>
            <w:webHidden/>
          </w:rPr>
        </w:r>
        <w:r>
          <w:rPr>
            <w:noProof/>
            <w:webHidden/>
          </w:rPr>
          <w:fldChar w:fldCharType="separate"/>
        </w:r>
        <w:r>
          <w:rPr>
            <w:noProof/>
            <w:webHidden/>
          </w:rPr>
          <w:t>1</w:t>
        </w:r>
        <w:r>
          <w:rPr>
            <w:noProof/>
            <w:webHidden/>
          </w:rPr>
          <w:fldChar w:fldCharType="end"/>
        </w:r>
      </w:hyperlink>
    </w:p>
    <w:p w:rsidR="002240A4" w:rsidRDefault="002240A4">
      <w:pPr>
        <w:pStyle w:val="Cuprins2"/>
        <w:tabs>
          <w:tab w:val="right" w:leader="dot" w:pos="9350"/>
        </w:tabs>
        <w:rPr>
          <w:noProof/>
        </w:rPr>
      </w:pPr>
      <w:hyperlink w:anchor="_Toc44690802" w:history="1">
        <w:r w:rsidRPr="00501B9C">
          <w:rPr>
            <w:rStyle w:val="Hyperlink"/>
            <w:noProof/>
          </w:rPr>
          <w:t>a) Calculating and analysing financial ratios</w:t>
        </w:r>
        <w:r>
          <w:rPr>
            <w:noProof/>
            <w:webHidden/>
          </w:rPr>
          <w:tab/>
        </w:r>
        <w:r>
          <w:rPr>
            <w:noProof/>
            <w:webHidden/>
          </w:rPr>
          <w:fldChar w:fldCharType="begin"/>
        </w:r>
        <w:r>
          <w:rPr>
            <w:noProof/>
            <w:webHidden/>
          </w:rPr>
          <w:instrText xml:space="preserve"> PAGEREF _Toc44690802 \h </w:instrText>
        </w:r>
        <w:r>
          <w:rPr>
            <w:noProof/>
            <w:webHidden/>
          </w:rPr>
        </w:r>
        <w:r>
          <w:rPr>
            <w:noProof/>
            <w:webHidden/>
          </w:rPr>
          <w:fldChar w:fldCharType="separate"/>
        </w:r>
        <w:r>
          <w:rPr>
            <w:noProof/>
            <w:webHidden/>
          </w:rPr>
          <w:t>1</w:t>
        </w:r>
        <w:r>
          <w:rPr>
            <w:noProof/>
            <w:webHidden/>
          </w:rPr>
          <w:fldChar w:fldCharType="end"/>
        </w:r>
      </w:hyperlink>
    </w:p>
    <w:p w:rsidR="002240A4" w:rsidRDefault="002240A4">
      <w:pPr>
        <w:pStyle w:val="Cuprins2"/>
        <w:tabs>
          <w:tab w:val="right" w:leader="dot" w:pos="9350"/>
        </w:tabs>
        <w:rPr>
          <w:noProof/>
        </w:rPr>
      </w:pPr>
      <w:hyperlink w:anchor="_Toc44690803" w:history="1">
        <w:r w:rsidRPr="00501B9C">
          <w:rPr>
            <w:rStyle w:val="Hyperlink"/>
            <w:noProof/>
          </w:rPr>
          <w:t>b) Discussing why an understanding of ratios and their fluctuations is essential for Hotel management</w:t>
        </w:r>
        <w:r>
          <w:rPr>
            <w:noProof/>
            <w:webHidden/>
          </w:rPr>
          <w:tab/>
        </w:r>
        <w:r>
          <w:rPr>
            <w:noProof/>
            <w:webHidden/>
          </w:rPr>
          <w:fldChar w:fldCharType="begin"/>
        </w:r>
        <w:r>
          <w:rPr>
            <w:noProof/>
            <w:webHidden/>
          </w:rPr>
          <w:instrText xml:space="preserve"> PAGEREF _Toc44690803 \h </w:instrText>
        </w:r>
        <w:r>
          <w:rPr>
            <w:noProof/>
            <w:webHidden/>
          </w:rPr>
        </w:r>
        <w:r>
          <w:rPr>
            <w:noProof/>
            <w:webHidden/>
          </w:rPr>
          <w:fldChar w:fldCharType="separate"/>
        </w:r>
        <w:r>
          <w:rPr>
            <w:noProof/>
            <w:webHidden/>
          </w:rPr>
          <w:t>7</w:t>
        </w:r>
        <w:r>
          <w:rPr>
            <w:noProof/>
            <w:webHidden/>
          </w:rPr>
          <w:fldChar w:fldCharType="end"/>
        </w:r>
      </w:hyperlink>
    </w:p>
    <w:p w:rsidR="002240A4" w:rsidRDefault="002240A4">
      <w:pPr>
        <w:pStyle w:val="Cuprins2"/>
        <w:tabs>
          <w:tab w:val="right" w:leader="dot" w:pos="9350"/>
        </w:tabs>
        <w:rPr>
          <w:noProof/>
        </w:rPr>
      </w:pPr>
      <w:hyperlink w:anchor="_Toc44690804" w:history="1">
        <w:r w:rsidRPr="00501B9C">
          <w:rPr>
            <w:rStyle w:val="Hyperlink"/>
            <w:noProof/>
          </w:rPr>
          <w:t>c) Benefits and limitations of ratio analysis in decision making within hotel and tourism industry</w:t>
        </w:r>
        <w:r>
          <w:rPr>
            <w:noProof/>
            <w:webHidden/>
          </w:rPr>
          <w:tab/>
        </w:r>
        <w:r>
          <w:rPr>
            <w:noProof/>
            <w:webHidden/>
          </w:rPr>
          <w:fldChar w:fldCharType="begin"/>
        </w:r>
        <w:r>
          <w:rPr>
            <w:noProof/>
            <w:webHidden/>
          </w:rPr>
          <w:instrText xml:space="preserve"> PAGEREF _Toc44690804 \h </w:instrText>
        </w:r>
        <w:r>
          <w:rPr>
            <w:noProof/>
            <w:webHidden/>
          </w:rPr>
        </w:r>
        <w:r>
          <w:rPr>
            <w:noProof/>
            <w:webHidden/>
          </w:rPr>
          <w:fldChar w:fldCharType="separate"/>
        </w:r>
        <w:r>
          <w:rPr>
            <w:noProof/>
            <w:webHidden/>
          </w:rPr>
          <w:t>8</w:t>
        </w:r>
        <w:r>
          <w:rPr>
            <w:noProof/>
            <w:webHidden/>
          </w:rPr>
          <w:fldChar w:fldCharType="end"/>
        </w:r>
      </w:hyperlink>
    </w:p>
    <w:p w:rsidR="002240A4" w:rsidRDefault="002240A4">
      <w:pPr>
        <w:pStyle w:val="Cuprins1"/>
        <w:tabs>
          <w:tab w:val="right" w:leader="dot" w:pos="9350"/>
        </w:tabs>
        <w:rPr>
          <w:noProof/>
        </w:rPr>
      </w:pPr>
      <w:hyperlink w:anchor="_Toc44690805" w:history="1">
        <w:r w:rsidRPr="00501B9C">
          <w:rPr>
            <w:rStyle w:val="Hyperlink"/>
            <w:noProof/>
          </w:rPr>
          <w:t>CONCLUSION</w:t>
        </w:r>
        <w:r>
          <w:rPr>
            <w:noProof/>
            <w:webHidden/>
          </w:rPr>
          <w:tab/>
        </w:r>
        <w:r>
          <w:rPr>
            <w:noProof/>
            <w:webHidden/>
          </w:rPr>
          <w:fldChar w:fldCharType="begin"/>
        </w:r>
        <w:r>
          <w:rPr>
            <w:noProof/>
            <w:webHidden/>
          </w:rPr>
          <w:instrText xml:space="preserve"> PAGEREF _Toc44690805 \h </w:instrText>
        </w:r>
        <w:r>
          <w:rPr>
            <w:noProof/>
            <w:webHidden/>
          </w:rPr>
        </w:r>
        <w:r>
          <w:rPr>
            <w:noProof/>
            <w:webHidden/>
          </w:rPr>
          <w:fldChar w:fldCharType="separate"/>
        </w:r>
        <w:r>
          <w:rPr>
            <w:noProof/>
            <w:webHidden/>
          </w:rPr>
          <w:t>9</w:t>
        </w:r>
        <w:r>
          <w:rPr>
            <w:noProof/>
            <w:webHidden/>
          </w:rPr>
          <w:fldChar w:fldCharType="end"/>
        </w:r>
      </w:hyperlink>
    </w:p>
    <w:p w:rsidR="002240A4" w:rsidRDefault="002240A4">
      <w:pPr>
        <w:pStyle w:val="Cuprins1"/>
        <w:tabs>
          <w:tab w:val="right" w:leader="dot" w:pos="9350"/>
        </w:tabs>
        <w:rPr>
          <w:noProof/>
        </w:rPr>
      </w:pPr>
      <w:hyperlink w:anchor="_Toc44690806" w:history="1">
        <w:r w:rsidRPr="00501B9C">
          <w:rPr>
            <w:rStyle w:val="Hyperlink"/>
            <w:noProof/>
          </w:rPr>
          <w:t>REFERENCES</w:t>
        </w:r>
        <w:r>
          <w:rPr>
            <w:noProof/>
            <w:webHidden/>
          </w:rPr>
          <w:tab/>
        </w:r>
        <w:r>
          <w:rPr>
            <w:noProof/>
            <w:webHidden/>
          </w:rPr>
          <w:fldChar w:fldCharType="begin"/>
        </w:r>
        <w:r>
          <w:rPr>
            <w:noProof/>
            <w:webHidden/>
          </w:rPr>
          <w:instrText xml:space="preserve"> PAGEREF _Toc44690806 \h </w:instrText>
        </w:r>
        <w:r>
          <w:rPr>
            <w:noProof/>
            <w:webHidden/>
          </w:rPr>
        </w:r>
        <w:r>
          <w:rPr>
            <w:noProof/>
            <w:webHidden/>
          </w:rPr>
          <w:fldChar w:fldCharType="separate"/>
        </w:r>
        <w:r>
          <w:rPr>
            <w:noProof/>
            <w:webHidden/>
          </w:rPr>
          <w:t>10</w:t>
        </w:r>
        <w:r>
          <w:rPr>
            <w:noProof/>
            <w:webHidden/>
          </w:rPr>
          <w:fldChar w:fldCharType="end"/>
        </w:r>
      </w:hyperlink>
    </w:p>
    <w:p w:rsidR="002240A4" w:rsidRDefault="002240A4">
      <w:r>
        <w:rPr>
          <w:b/>
          <w:bCs/>
          <w:noProof/>
        </w:rPr>
        <w:fldChar w:fldCharType="end"/>
      </w:r>
    </w:p>
    <w:p w:rsidR="00CD58DD" w:rsidRDefault="00CD58DD">
      <w:pPr>
        <w:pStyle w:val="Titlu1"/>
        <w:numPr>
          <w:ilvl w:val="0"/>
          <w:numId w:val="0"/>
        </w:numPr>
        <w:jc w:val="center"/>
        <w:rPr>
          <w:rFonts w:ascii="Times" w:hAnsi="Times" w:cs="Times"/>
          <w:sz w:val="88"/>
          <w:szCs w:val="88"/>
        </w:rPr>
      </w:pPr>
    </w:p>
    <w:p w:rsidR="00CD58DD" w:rsidRDefault="00CD58DD">
      <w:pPr>
        <w:pStyle w:val="Titlu1"/>
        <w:numPr>
          <w:ilvl w:val="0"/>
          <w:numId w:val="0"/>
        </w:numPr>
        <w:jc w:val="center"/>
        <w:rPr>
          <w:rFonts w:ascii="Times" w:hAnsi="Times" w:cs="Times"/>
          <w:sz w:val="88"/>
          <w:szCs w:val="88"/>
        </w:rPr>
      </w:pPr>
    </w:p>
    <w:p w:rsidR="00CD58DD" w:rsidRDefault="00CD58DD">
      <w:pPr>
        <w:pStyle w:val="Titlu1"/>
        <w:numPr>
          <w:ilvl w:val="0"/>
          <w:numId w:val="0"/>
        </w:numPr>
        <w:jc w:val="center"/>
        <w:rPr>
          <w:rFonts w:ascii="Times" w:hAnsi="Times" w:cs="Times"/>
        </w:rPr>
      </w:pPr>
    </w:p>
    <w:p w:rsidR="00CD58DD" w:rsidRDefault="00CD58DD">
      <w:pPr>
        <w:spacing w:before="113"/>
        <w:jc w:val="center"/>
        <w:rPr>
          <w:rFonts w:ascii="Times" w:hAnsi="Times" w:cs="Times"/>
          <w:sz w:val="88"/>
          <w:szCs w:val="88"/>
        </w:rPr>
      </w:pPr>
    </w:p>
    <w:p w:rsidR="00CD58DD" w:rsidRDefault="00CD58DD">
      <w:pPr>
        <w:rPr>
          <w:rFonts w:ascii="Times" w:hAnsi="Times" w:cs="Times"/>
        </w:rPr>
      </w:pPr>
    </w:p>
    <w:p w:rsidR="00CD58DD" w:rsidRDefault="00CD58DD">
      <w:pPr>
        <w:sectPr w:rsidR="00CD58DD">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600" w:charSpace="32768"/>
        </w:sectPr>
      </w:pPr>
    </w:p>
    <w:p w:rsidR="00825AEB" w:rsidRDefault="00825AEB" w:rsidP="00825AEB">
      <w:pPr>
        <w:pStyle w:val="Titlu1"/>
      </w:pPr>
      <w:bookmarkStart w:id="0" w:name="_Toc44690800"/>
      <w:r>
        <w:lastRenderedPageBreak/>
        <w:t>INTRODUCTION</w:t>
      </w:r>
      <w:bookmarkEnd w:id="0"/>
    </w:p>
    <w:p w:rsidR="00E25A28" w:rsidRDefault="005D3853" w:rsidP="00800212">
      <w:r>
        <w:t>Financial management is a procedure of managing the financial performance and position of an organisation</w:t>
      </w:r>
      <w:r w:rsidR="00800212">
        <w:t xml:space="preserve"> </w:t>
      </w:r>
      <w:r w:rsidR="00800212">
        <w:rPr>
          <w:szCs w:val="24"/>
          <w:lang w:val="en-IN"/>
        </w:rPr>
        <w:t>(Ahrendsen and Katchova, 2012)</w:t>
      </w:r>
      <w:r>
        <w:t>. T</w:t>
      </w:r>
      <w:r w:rsidR="00715776">
        <w:t xml:space="preserve">his procedure is the combination of various activities including procuring and utilization of funds, recording and transacting financial records and many more. The main aim of this report is to build an understanding about the financial management in hotel and tourism industry. For this purpose, the organisation which has been given is operating in hotel industry and named as Gatsby Grange. This organisation is a small chain of Boutique within the region of United Kingdom and Northern Ireland. </w:t>
      </w:r>
    </w:p>
    <w:p w:rsidR="00715776" w:rsidRDefault="00715776" w:rsidP="00800212">
      <w:r>
        <w:t xml:space="preserve">In this report, the financial ratios of Gatsby Grange will be calculated by using their financial statements. </w:t>
      </w:r>
      <w:r w:rsidR="00B20AE8">
        <w:t>This report will include an analysis of ratios and their fluctuations in order to understand why they are important for hotel management. Lastly in this report, benefits and limitations of ratio analysis will be identified and analysed that impact the decision making of hotel and tourism industry</w:t>
      </w:r>
      <w:r w:rsidR="00800212">
        <w:rPr>
          <w:szCs w:val="24"/>
          <w:lang w:val="en-IN"/>
        </w:rPr>
        <w:t xml:space="preserve"> (Kansal, Joshi and Batra, 2014)</w:t>
      </w:r>
      <w:r w:rsidR="00B20AE8">
        <w:t xml:space="preserve">.    </w:t>
      </w:r>
    </w:p>
    <w:p w:rsidR="004712E4" w:rsidRDefault="004712E4" w:rsidP="004712E4">
      <w:pPr>
        <w:pStyle w:val="Titlu1"/>
      </w:pPr>
      <w:bookmarkStart w:id="1" w:name="_Toc44690801"/>
      <w:r>
        <w:t>MAIN BODY</w:t>
      </w:r>
      <w:bookmarkEnd w:id="1"/>
    </w:p>
    <w:p w:rsidR="003955F8" w:rsidRDefault="005D3853" w:rsidP="005D3853">
      <w:pPr>
        <w:pStyle w:val="Titlu2"/>
      </w:pPr>
      <w:bookmarkStart w:id="2" w:name="_Toc44690802"/>
      <w:r>
        <w:t>a) Calculating and analysing financial ratios</w:t>
      </w:r>
      <w:bookmarkEnd w:id="2"/>
      <w:r>
        <w:t xml:space="preserve"> </w:t>
      </w:r>
    </w:p>
    <w:p w:rsidR="005D3853" w:rsidRDefault="00283BAC" w:rsidP="00800212">
      <w:r>
        <w:t>Ratio analysis is a financial technique to identify the true financial performance and position of a business organisation</w:t>
      </w:r>
      <w:r w:rsidR="00800212">
        <w:rPr>
          <w:szCs w:val="24"/>
          <w:lang w:val="en-IN"/>
        </w:rPr>
        <w:t xml:space="preserve"> (Mathuva, 2015)</w:t>
      </w:r>
      <w:r>
        <w:t xml:space="preserve">. These ratios are calculated using the financial statements of a company which are income statement, balance sheet and cash flow statement. </w:t>
      </w:r>
      <w:r w:rsidR="001C34E6">
        <w:t xml:space="preserve">In the present case of Gatsby Grange, the ration analysis has been conducted for three ratio families which are profitability, liquidity and gearing. </w:t>
      </w:r>
    </w:p>
    <w:p w:rsidR="001C34E6" w:rsidRDefault="001C34E6" w:rsidP="001C34E6">
      <w:pPr>
        <w:ind w:firstLine="576"/>
        <w:rPr>
          <w:b/>
        </w:rPr>
      </w:pPr>
      <w:r w:rsidRPr="001C34E6">
        <w:rPr>
          <w:b/>
        </w:rPr>
        <w:t xml:space="preserve">Profitability ratios </w:t>
      </w:r>
    </w:p>
    <w:p w:rsidR="001C34E6" w:rsidRPr="009F0B8A" w:rsidRDefault="009F0B8A" w:rsidP="00800212">
      <w:r>
        <w:t>This family for the ratios is associated with the profit making ability of an organisation</w:t>
      </w:r>
      <w:r w:rsidR="00800212">
        <w:rPr>
          <w:szCs w:val="24"/>
          <w:lang w:val="en-IN"/>
        </w:rPr>
        <w:t xml:space="preserve"> (Olson and Groves, 2012)</w:t>
      </w:r>
      <w:r>
        <w:t xml:space="preserve">. The ratios of profitability are the metrics which helps in analyse the relative income of an organisation against the revenue, costs and assets. </w:t>
      </w:r>
      <w:r w:rsidR="00223162">
        <w:t xml:space="preserve">Ratios which are selected to compute profitability of Gatsby Grange are net and gross margin. </w:t>
      </w:r>
    </w:p>
    <w:p w:rsidR="001C34E6" w:rsidRPr="00827508" w:rsidRDefault="001C34E6" w:rsidP="00827508">
      <w:r>
        <w:t xml:space="preserve">Net profit margin </w:t>
      </w:r>
    </w:p>
    <w:tbl>
      <w:tblPr>
        <w:tblW w:w="8177" w:type="dxa"/>
        <w:tblInd w:w="108" w:type="dxa"/>
        <w:tblLook w:val="04A0" w:firstRow="1" w:lastRow="0" w:firstColumn="1" w:lastColumn="0" w:noHBand="0" w:noVBand="1"/>
      </w:tblPr>
      <w:tblGrid>
        <w:gridCol w:w="2160"/>
        <w:gridCol w:w="3330"/>
        <w:gridCol w:w="2687"/>
      </w:tblGrid>
      <w:tr w:rsidR="00827508" w:rsidRPr="00827508" w:rsidTr="009F0B8A">
        <w:trPr>
          <w:trHeight w:val="422"/>
        </w:trPr>
        <w:tc>
          <w:tcPr>
            <w:tcW w:w="8177" w:type="dxa"/>
            <w:gridSpan w:val="3"/>
            <w:tcBorders>
              <w:top w:val="single" w:sz="4" w:space="0" w:color="auto"/>
              <w:left w:val="single" w:sz="4" w:space="0" w:color="auto"/>
              <w:bottom w:val="single" w:sz="4" w:space="0" w:color="auto"/>
              <w:right w:val="single" w:sz="4" w:space="0" w:color="auto"/>
            </w:tcBorders>
            <w:shd w:val="clear" w:color="auto" w:fill="CCCCFF"/>
            <w:noWrap/>
            <w:vAlign w:val="bottom"/>
            <w:hideMark/>
          </w:tcPr>
          <w:p w:rsidR="00827508" w:rsidRPr="00827508" w:rsidRDefault="00827508" w:rsidP="00DE552E">
            <w:pPr>
              <w:jc w:val="center"/>
            </w:pPr>
            <w:r w:rsidRPr="00827508">
              <w:t>Net profit margin</w:t>
            </w:r>
          </w:p>
        </w:tc>
      </w:tr>
      <w:tr w:rsidR="00827508" w:rsidRPr="00827508" w:rsidTr="009F0B8A">
        <w:trPr>
          <w:trHeight w:val="440"/>
        </w:trPr>
        <w:tc>
          <w:tcPr>
            <w:tcW w:w="2160" w:type="dxa"/>
            <w:tcBorders>
              <w:top w:val="nil"/>
              <w:left w:val="single" w:sz="4" w:space="0" w:color="auto"/>
              <w:bottom w:val="single" w:sz="4" w:space="0" w:color="auto"/>
              <w:right w:val="single" w:sz="4" w:space="0" w:color="auto"/>
            </w:tcBorders>
            <w:shd w:val="clear" w:color="auto" w:fill="auto"/>
            <w:noWrap/>
            <w:vAlign w:val="bottom"/>
            <w:hideMark/>
          </w:tcPr>
          <w:p w:rsidR="00827508" w:rsidRPr="00827508" w:rsidRDefault="00827508" w:rsidP="00827508">
            <w:r w:rsidRPr="00827508">
              <w:t xml:space="preserve">Formula </w:t>
            </w:r>
          </w:p>
        </w:tc>
        <w:tc>
          <w:tcPr>
            <w:tcW w:w="6017" w:type="dxa"/>
            <w:gridSpan w:val="2"/>
            <w:tcBorders>
              <w:top w:val="single" w:sz="4" w:space="0" w:color="auto"/>
              <w:left w:val="nil"/>
              <w:bottom w:val="single" w:sz="4" w:space="0" w:color="auto"/>
              <w:right w:val="single" w:sz="4" w:space="0" w:color="auto"/>
            </w:tcBorders>
            <w:shd w:val="clear" w:color="auto" w:fill="auto"/>
            <w:noWrap/>
            <w:vAlign w:val="bottom"/>
            <w:hideMark/>
          </w:tcPr>
          <w:p w:rsidR="00827508" w:rsidRPr="00827508" w:rsidRDefault="00827508" w:rsidP="00827508">
            <w:r w:rsidRPr="00827508">
              <w:t>Net income / net sales * 100</w:t>
            </w:r>
          </w:p>
        </w:tc>
      </w:tr>
      <w:tr w:rsidR="009F0B8A" w:rsidRPr="00827508" w:rsidTr="009F0B8A">
        <w:trPr>
          <w:trHeight w:val="440"/>
        </w:trPr>
        <w:tc>
          <w:tcPr>
            <w:tcW w:w="2160" w:type="dxa"/>
            <w:tcBorders>
              <w:top w:val="nil"/>
              <w:left w:val="single" w:sz="4" w:space="0" w:color="auto"/>
              <w:bottom w:val="single" w:sz="4" w:space="0" w:color="auto"/>
              <w:right w:val="single" w:sz="4" w:space="0" w:color="auto"/>
            </w:tcBorders>
            <w:shd w:val="clear" w:color="auto" w:fill="auto"/>
            <w:noWrap/>
            <w:vAlign w:val="bottom"/>
            <w:hideMark/>
          </w:tcPr>
          <w:p w:rsidR="00827508" w:rsidRPr="00827508" w:rsidRDefault="00827508" w:rsidP="00827508">
            <w:r w:rsidRPr="00827508">
              <w:t> </w:t>
            </w:r>
          </w:p>
        </w:tc>
        <w:tc>
          <w:tcPr>
            <w:tcW w:w="3330" w:type="dxa"/>
            <w:tcBorders>
              <w:top w:val="nil"/>
              <w:left w:val="nil"/>
              <w:bottom w:val="single" w:sz="4" w:space="0" w:color="auto"/>
              <w:right w:val="single" w:sz="4" w:space="0" w:color="auto"/>
            </w:tcBorders>
            <w:shd w:val="clear" w:color="auto" w:fill="auto"/>
            <w:noWrap/>
            <w:vAlign w:val="bottom"/>
            <w:hideMark/>
          </w:tcPr>
          <w:p w:rsidR="00827508" w:rsidRPr="00827508" w:rsidRDefault="00827508" w:rsidP="00827508">
            <w:r w:rsidRPr="00827508">
              <w:t>2018</w:t>
            </w:r>
          </w:p>
        </w:tc>
        <w:tc>
          <w:tcPr>
            <w:tcW w:w="2687" w:type="dxa"/>
            <w:tcBorders>
              <w:top w:val="nil"/>
              <w:left w:val="nil"/>
              <w:bottom w:val="single" w:sz="4" w:space="0" w:color="auto"/>
              <w:right w:val="single" w:sz="4" w:space="0" w:color="auto"/>
            </w:tcBorders>
            <w:shd w:val="clear" w:color="auto" w:fill="auto"/>
            <w:noWrap/>
            <w:vAlign w:val="bottom"/>
            <w:hideMark/>
          </w:tcPr>
          <w:p w:rsidR="00827508" w:rsidRPr="00827508" w:rsidRDefault="00827508" w:rsidP="00827508">
            <w:r w:rsidRPr="00827508">
              <w:t>2019</w:t>
            </w:r>
          </w:p>
        </w:tc>
      </w:tr>
      <w:tr w:rsidR="009F0B8A" w:rsidRPr="00827508" w:rsidTr="009F0B8A">
        <w:trPr>
          <w:trHeight w:val="440"/>
        </w:trPr>
        <w:tc>
          <w:tcPr>
            <w:tcW w:w="2160" w:type="dxa"/>
            <w:tcBorders>
              <w:top w:val="nil"/>
              <w:left w:val="single" w:sz="4" w:space="0" w:color="auto"/>
              <w:bottom w:val="single" w:sz="4" w:space="0" w:color="auto"/>
              <w:right w:val="single" w:sz="4" w:space="0" w:color="auto"/>
            </w:tcBorders>
            <w:shd w:val="clear" w:color="auto" w:fill="auto"/>
            <w:noWrap/>
            <w:vAlign w:val="bottom"/>
            <w:hideMark/>
          </w:tcPr>
          <w:p w:rsidR="00827508" w:rsidRPr="00827508" w:rsidRDefault="00827508" w:rsidP="00827508">
            <w:r w:rsidRPr="00827508">
              <w:lastRenderedPageBreak/>
              <w:t>Net income</w:t>
            </w:r>
          </w:p>
        </w:tc>
        <w:tc>
          <w:tcPr>
            <w:tcW w:w="3330" w:type="dxa"/>
            <w:tcBorders>
              <w:top w:val="nil"/>
              <w:left w:val="nil"/>
              <w:bottom w:val="single" w:sz="4" w:space="0" w:color="auto"/>
              <w:right w:val="single" w:sz="4" w:space="0" w:color="auto"/>
            </w:tcBorders>
            <w:shd w:val="clear" w:color="auto" w:fill="auto"/>
            <w:noWrap/>
            <w:vAlign w:val="bottom"/>
            <w:hideMark/>
          </w:tcPr>
          <w:p w:rsidR="00827508" w:rsidRPr="00827508" w:rsidRDefault="00827508" w:rsidP="00827508">
            <w:r w:rsidRPr="00827508">
              <w:t>4008</w:t>
            </w:r>
          </w:p>
        </w:tc>
        <w:tc>
          <w:tcPr>
            <w:tcW w:w="2687" w:type="dxa"/>
            <w:tcBorders>
              <w:top w:val="nil"/>
              <w:left w:val="nil"/>
              <w:bottom w:val="single" w:sz="4" w:space="0" w:color="auto"/>
              <w:right w:val="single" w:sz="4" w:space="0" w:color="auto"/>
            </w:tcBorders>
            <w:shd w:val="clear" w:color="auto" w:fill="auto"/>
            <w:noWrap/>
            <w:vAlign w:val="bottom"/>
            <w:hideMark/>
          </w:tcPr>
          <w:p w:rsidR="00827508" w:rsidRPr="00827508" w:rsidRDefault="00827508" w:rsidP="00827508">
            <w:r w:rsidRPr="00827508">
              <w:t>4073</w:t>
            </w:r>
          </w:p>
        </w:tc>
      </w:tr>
      <w:tr w:rsidR="009F0B8A" w:rsidRPr="00827508" w:rsidTr="009F0B8A">
        <w:trPr>
          <w:trHeight w:val="530"/>
        </w:trPr>
        <w:tc>
          <w:tcPr>
            <w:tcW w:w="2160" w:type="dxa"/>
            <w:tcBorders>
              <w:top w:val="nil"/>
              <w:left w:val="single" w:sz="4" w:space="0" w:color="auto"/>
              <w:bottom w:val="single" w:sz="4" w:space="0" w:color="auto"/>
              <w:right w:val="single" w:sz="4" w:space="0" w:color="auto"/>
            </w:tcBorders>
            <w:shd w:val="clear" w:color="auto" w:fill="auto"/>
            <w:noWrap/>
            <w:vAlign w:val="bottom"/>
            <w:hideMark/>
          </w:tcPr>
          <w:p w:rsidR="00827508" w:rsidRPr="00827508" w:rsidRDefault="00827508" w:rsidP="00827508">
            <w:r w:rsidRPr="00827508">
              <w:t>Net sales</w:t>
            </w:r>
          </w:p>
        </w:tc>
        <w:tc>
          <w:tcPr>
            <w:tcW w:w="3330" w:type="dxa"/>
            <w:tcBorders>
              <w:top w:val="nil"/>
              <w:left w:val="nil"/>
              <w:bottom w:val="single" w:sz="4" w:space="0" w:color="auto"/>
              <w:right w:val="single" w:sz="4" w:space="0" w:color="auto"/>
            </w:tcBorders>
            <w:shd w:val="clear" w:color="auto" w:fill="auto"/>
            <w:noWrap/>
            <w:vAlign w:val="bottom"/>
            <w:hideMark/>
          </w:tcPr>
          <w:p w:rsidR="00827508" w:rsidRPr="00827508" w:rsidRDefault="00827508" w:rsidP="00827508">
            <w:r w:rsidRPr="00827508">
              <w:t>5500</w:t>
            </w:r>
          </w:p>
        </w:tc>
        <w:tc>
          <w:tcPr>
            <w:tcW w:w="2687" w:type="dxa"/>
            <w:tcBorders>
              <w:top w:val="nil"/>
              <w:left w:val="nil"/>
              <w:bottom w:val="single" w:sz="4" w:space="0" w:color="auto"/>
              <w:right w:val="single" w:sz="4" w:space="0" w:color="auto"/>
            </w:tcBorders>
            <w:shd w:val="clear" w:color="auto" w:fill="auto"/>
            <w:noWrap/>
            <w:vAlign w:val="bottom"/>
            <w:hideMark/>
          </w:tcPr>
          <w:p w:rsidR="00827508" w:rsidRPr="00827508" w:rsidRDefault="00827508" w:rsidP="00827508">
            <w:r w:rsidRPr="00827508">
              <w:t>6000</w:t>
            </w:r>
          </w:p>
        </w:tc>
      </w:tr>
      <w:tr w:rsidR="009F0B8A" w:rsidRPr="00827508" w:rsidTr="009F0B8A">
        <w:trPr>
          <w:trHeight w:val="440"/>
        </w:trPr>
        <w:tc>
          <w:tcPr>
            <w:tcW w:w="2160" w:type="dxa"/>
            <w:tcBorders>
              <w:top w:val="nil"/>
              <w:left w:val="single" w:sz="4" w:space="0" w:color="auto"/>
              <w:bottom w:val="single" w:sz="4" w:space="0" w:color="auto"/>
              <w:right w:val="single" w:sz="4" w:space="0" w:color="auto"/>
            </w:tcBorders>
            <w:shd w:val="clear" w:color="auto" w:fill="auto"/>
            <w:noWrap/>
            <w:vAlign w:val="bottom"/>
            <w:hideMark/>
          </w:tcPr>
          <w:p w:rsidR="00827508" w:rsidRPr="00827508" w:rsidRDefault="00827508" w:rsidP="00827508">
            <w:r w:rsidRPr="00827508">
              <w:t>Calculation</w:t>
            </w:r>
          </w:p>
        </w:tc>
        <w:tc>
          <w:tcPr>
            <w:tcW w:w="3330" w:type="dxa"/>
            <w:tcBorders>
              <w:top w:val="nil"/>
              <w:left w:val="nil"/>
              <w:bottom w:val="single" w:sz="4" w:space="0" w:color="auto"/>
              <w:right w:val="single" w:sz="4" w:space="0" w:color="auto"/>
            </w:tcBorders>
            <w:shd w:val="clear" w:color="auto" w:fill="auto"/>
            <w:noWrap/>
            <w:vAlign w:val="bottom"/>
            <w:hideMark/>
          </w:tcPr>
          <w:p w:rsidR="00827508" w:rsidRPr="00827508" w:rsidRDefault="00827508" w:rsidP="00827508">
            <w:r w:rsidRPr="00827508">
              <w:t>4008 / 5500 * 100</w:t>
            </w:r>
          </w:p>
        </w:tc>
        <w:tc>
          <w:tcPr>
            <w:tcW w:w="2687" w:type="dxa"/>
            <w:tcBorders>
              <w:top w:val="nil"/>
              <w:left w:val="nil"/>
              <w:bottom w:val="single" w:sz="4" w:space="0" w:color="auto"/>
              <w:right w:val="single" w:sz="4" w:space="0" w:color="auto"/>
            </w:tcBorders>
            <w:shd w:val="clear" w:color="auto" w:fill="auto"/>
            <w:noWrap/>
            <w:vAlign w:val="bottom"/>
            <w:hideMark/>
          </w:tcPr>
          <w:p w:rsidR="00827508" w:rsidRPr="00827508" w:rsidRDefault="00827508" w:rsidP="00827508">
            <w:r w:rsidRPr="00827508">
              <w:t>4073 / 6000 * 100</w:t>
            </w:r>
          </w:p>
        </w:tc>
      </w:tr>
      <w:tr w:rsidR="009F0B8A" w:rsidRPr="00827508" w:rsidTr="009F0B8A">
        <w:trPr>
          <w:trHeight w:val="350"/>
        </w:trPr>
        <w:tc>
          <w:tcPr>
            <w:tcW w:w="2160" w:type="dxa"/>
            <w:tcBorders>
              <w:top w:val="nil"/>
              <w:left w:val="single" w:sz="4" w:space="0" w:color="auto"/>
              <w:bottom w:val="single" w:sz="4" w:space="0" w:color="auto"/>
              <w:right w:val="single" w:sz="4" w:space="0" w:color="auto"/>
            </w:tcBorders>
            <w:shd w:val="clear" w:color="auto" w:fill="auto"/>
            <w:noWrap/>
            <w:vAlign w:val="bottom"/>
            <w:hideMark/>
          </w:tcPr>
          <w:p w:rsidR="00827508" w:rsidRPr="00827508" w:rsidRDefault="00827508" w:rsidP="00827508">
            <w:r w:rsidRPr="00827508">
              <w:t>Result</w:t>
            </w:r>
          </w:p>
        </w:tc>
        <w:tc>
          <w:tcPr>
            <w:tcW w:w="3330" w:type="dxa"/>
            <w:tcBorders>
              <w:top w:val="nil"/>
              <w:left w:val="nil"/>
              <w:bottom w:val="single" w:sz="4" w:space="0" w:color="auto"/>
              <w:right w:val="single" w:sz="4" w:space="0" w:color="auto"/>
            </w:tcBorders>
            <w:shd w:val="clear" w:color="auto" w:fill="auto"/>
            <w:noWrap/>
            <w:vAlign w:val="bottom"/>
            <w:hideMark/>
          </w:tcPr>
          <w:p w:rsidR="00827508" w:rsidRPr="00827508" w:rsidRDefault="00827508" w:rsidP="00827508">
            <w:r w:rsidRPr="00827508">
              <w:t>72.87%</w:t>
            </w:r>
          </w:p>
        </w:tc>
        <w:tc>
          <w:tcPr>
            <w:tcW w:w="2687" w:type="dxa"/>
            <w:tcBorders>
              <w:top w:val="nil"/>
              <w:left w:val="nil"/>
              <w:bottom w:val="single" w:sz="4" w:space="0" w:color="auto"/>
              <w:right w:val="single" w:sz="4" w:space="0" w:color="auto"/>
            </w:tcBorders>
            <w:shd w:val="clear" w:color="auto" w:fill="auto"/>
            <w:noWrap/>
            <w:vAlign w:val="bottom"/>
            <w:hideMark/>
          </w:tcPr>
          <w:p w:rsidR="00827508" w:rsidRPr="00827508" w:rsidRDefault="00827508" w:rsidP="00827508">
            <w:r w:rsidRPr="00827508">
              <w:t>67.88%</w:t>
            </w:r>
          </w:p>
        </w:tc>
      </w:tr>
    </w:tbl>
    <w:p w:rsidR="001C34E6" w:rsidRDefault="00F06958" w:rsidP="00827508">
      <w:pPr>
        <w:rPr>
          <w:noProof/>
          <w:lang w:val="en-US" w:eastAsia="en-US"/>
        </w:rPr>
      </w:pPr>
      <w:r w:rsidRPr="00827508">
        <w:rPr>
          <w:noProof/>
          <w:lang w:val="en-US" w:eastAsia="en-US"/>
        </w:rPr>
        <w:drawing>
          <wp:inline distT="0" distB="0" distL="0" distR="0">
            <wp:extent cx="4853305" cy="2895600"/>
            <wp:effectExtent l="0" t="0" r="0" b="0"/>
            <wp:docPr id="9" name="Chart 1"/>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223162" w:rsidRDefault="00223162" w:rsidP="00827508">
      <w:r>
        <w:rPr>
          <w:noProof/>
          <w:lang w:val="en-US" w:eastAsia="en-US"/>
        </w:rPr>
        <w:tab/>
        <w:t xml:space="preserve">The above tabular and graphical analysis shows that the ability of </w:t>
      </w:r>
      <w:r>
        <w:t>Gatsby Grange</w:t>
      </w:r>
      <w:r>
        <w:rPr>
          <w:noProof/>
          <w:lang w:val="en-US" w:eastAsia="en-US"/>
        </w:rPr>
        <w:t xml:space="preserve"> to earn net profit against their revenue is quite high as the net profit margin of this company was 72.87% in 2018 and 67.88% in 2019. Even after having high capability of earning profits, the trend of this ratio is degrading which means the capbilities of </w:t>
      </w:r>
      <w:r>
        <w:t>Gatsby Grange</w:t>
      </w:r>
      <w:r>
        <w:rPr>
          <w:noProof/>
          <w:lang w:val="en-US" w:eastAsia="en-US"/>
        </w:rPr>
        <w:t xml:space="preserve"> are continously decresaing. </w:t>
      </w:r>
    </w:p>
    <w:p w:rsidR="001C34E6" w:rsidRPr="00827508" w:rsidRDefault="001C34E6" w:rsidP="00827508">
      <w:r>
        <w:t>Gross profit margin</w:t>
      </w:r>
    </w:p>
    <w:tbl>
      <w:tblPr>
        <w:tblW w:w="9632" w:type="dxa"/>
        <w:tblInd w:w="108" w:type="dxa"/>
        <w:tblLook w:val="04A0" w:firstRow="1" w:lastRow="0" w:firstColumn="1" w:lastColumn="0" w:noHBand="0" w:noVBand="1"/>
      </w:tblPr>
      <w:tblGrid>
        <w:gridCol w:w="3420"/>
        <w:gridCol w:w="3150"/>
        <w:gridCol w:w="3062"/>
      </w:tblGrid>
      <w:tr w:rsidR="00827508" w:rsidRPr="00827508" w:rsidTr="009F0B8A">
        <w:trPr>
          <w:trHeight w:val="315"/>
        </w:trPr>
        <w:tc>
          <w:tcPr>
            <w:tcW w:w="9632" w:type="dxa"/>
            <w:gridSpan w:val="3"/>
            <w:tcBorders>
              <w:top w:val="single" w:sz="4" w:space="0" w:color="auto"/>
              <w:left w:val="single" w:sz="4" w:space="0" w:color="auto"/>
              <w:bottom w:val="single" w:sz="4" w:space="0" w:color="auto"/>
              <w:right w:val="single" w:sz="4" w:space="0" w:color="auto"/>
            </w:tcBorders>
            <w:shd w:val="clear" w:color="auto" w:fill="CCCCFF"/>
            <w:noWrap/>
            <w:vAlign w:val="bottom"/>
            <w:hideMark/>
          </w:tcPr>
          <w:p w:rsidR="00827508" w:rsidRPr="00827508" w:rsidRDefault="00827508" w:rsidP="00DE552E">
            <w:pPr>
              <w:jc w:val="center"/>
            </w:pPr>
            <w:r w:rsidRPr="00827508">
              <w:t>Gross profit margin</w:t>
            </w:r>
          </w:p>
        </w:tc>
      </w:tr>
      <w:tr w:rsidR="00827508" w:rsidRPr="00827508" w:rsidTr="00827508">
        <w:trPr>
          <w:trHeight w:val="315"/>
        </w:trPr>
        <w:tc>
          <w:tcPr>
            <w:tcW w:w="3420" w:type="dxa"/>
            <w:tcBorders>
              <w:top w:val="nil"/>
              <w:left w:val="single" w:sz="4" w:space="0" w:color="auto"/>
              <w:bottom w:val="single" w:sz="4" w:space="0" w:color="auto"/>
              <w:right w:val="single" w:sz="4" w:space="0" w:color="auto"/>
            </w:tcBorders>
            <w:shd w:val="clear" w:color="auto" w:fill="auto"/>
            <w:noWrap/>
            <w:vAlign w:val="bottom"/>
            <w:hideMark/>
          </w:tcPr>
          <w:p w:rsidR="00827508" w:rsidRPr="00827508" w:rsidRDefault="00827508" w:rsidP="00827508">
            <w:r w:rsidRPr="00827508">
              <w:t xml:space="preserve">Formula </w:t>
            </w:r>
          </w:p>
        </w:tc>
        <w:tc>
          <w:tcPr>
            <w:tcW w:w="6212" w:type="dxa"/>
            <w:gridSpan w:val="2"/>
            <w:tcBorders>
              <w:top w:val="single" w:sz="4" w:space="0" w:color="auto"/>
              <w:left w:val="nil"/>
              <w:bottom w:val="single" w:sz="4" w:space="0" w:color="auto"/>
              <w:right w:val="single" w:sz="4" w:space="0" w:color="auto"/>
            </w:tcBorders>
            <w:shd w:val="clear" w:color="auto" w:fill="auto"/>
            <w:noWrap/>
            <w:vAlign w:val="bottom"/>
            <w:hideMark/>
          </w:tcPr>
          <w:p w:rsidR="00827508" w:rsidRPr="00827508" w:rsidRDefault="00827508" w:rsidP="00827508">
            <w:r>
              <w:t>G</w:t>
            </w:r>
            <w:r w:rsidRPr="00827508">
              <w:t>ross income / net sales * 100</w:t>
            </w:r>
          </w:p>
        </w:tc>
      </w:tr>
      <w:tr w:rsidR="00827508" w:rsidRPr="00827508" w:rsidTr="00827508">
        <w:trPr>
          <w:trHeight w:val="315"/>
        </w:trPr>
        <w:tc>
          <w:tcPr>
            <w:tcW w:w="3420" w:type="dxa"/>
            <w:tcBorders>
              <w:top w:val="nil"/>
              <w:left w:val="single" w:sz="4" w:space="0" w:color="auto"/>
              <w:bottom w:val="single" w:sz="4" w:space="0" w:color="auto"/>
              <w:right w:val="single" w:sz="4" w:space="0" w:color="auto"/>
            </w:tcBorders>
            <w:shd w:val="clear" w:color="auto" w:fill="auto"/>
            <w:noWrap/>
            <w:vAlign w:val="bottom"/>
            <w:hideMark/>
          </w:tcPr>
          <w:p w:rsidR="00827508" w:rsidRPr="00827508" w:rsidRDefault="00827508" w:rsidP="00827508">
            <w:r w:rsidRPr="00827508">
              <w:t> </w:t>
            </w:r>
          </w:p>
        </w:tc>
        <w:tc>
          <w:tcPr>
            <w:tcW w:w="3150" w:type="dxa"/>
            <w:tcBorders>
              <w:top w:val="nil"/>
              <w:left w:val="nil"/>
              <w:bottom w:val="single" w:sz="4" w:space="0" w:color="auto"/>
              <w:right w:val="single" w:sz="4" w:space="0" w:color="auto"/>
            </w:tcBorders>
            <w:shd w:val="clear" w:color="auto" w:fill="auto"/>
            <w:noWrap/>
            <w:vAlign w:val="bottom"/>
            <w:hideMark/>
          </w:tcPr>
          <w:p w:rsidR="00827508" w:rsidRPr="00827508" w:rsidRDefault="00827508" w:rsidP="00827508">
            <w:r w:rsidRPr="00827508">
              <w:t>2018</w:t>
            </w:r>
          </w:p>
        </w:tc>
        <w:tc>
          <w:tcPr>
            <w:tcW w:w="3062" w:type="dxa"/>
            <w:tcBorders>
              <w:top w:val="nil"/>
              <w:left w:val="nil"/>
              <w:bottom w:val="single" w:sz="4" w:space="0" w:color="auto"/>
              <w:right w:val="single" w:sz="4" w:space="0" w:color="auto"/>
            </w:tcBorders>
            <w:shd w:val="clear" w:color="auto" w:fill="auto"/>
            <w:noWrap/>
            <w:vAlign w:val="bottom"/>
            <w:hideMark/>
          </w:tcPr>
          <w:p w:rsidR="00827508" w:rsidRPr="00827508" w:rsidRDefault="00827508" w:rsidP="00827508">
            <w:r w:rsidRPr="00827508">
              <w:t>2019</w:t>
            </w:r>
          </w:p>
        </w:tc>
      </w:tr>
      <w:tr w:rsidR="00827508" w:rsidRPr="00827508" w:rsidTr="00827508">
        <w:trPr>
          <w:trHeight w:val="315"/>
        </w:trPr>
        <w:tc>
          <w:tcPr>
            <w:tcW w:w="3420" w:type="dxa"/>
            <w:tcBorders>
              <w:top w:val="nil"/>
              <w:left w:val="single" w:sz="4" w:space="0" w:color="auto"/>
              <w:bottom w:val="single" w:sz="4" w:space="0" w:color="auto"/>
              <w:right w:val="single" w:sz="4" w:space="0" w:color="auto"/>
            </w:tcBorders>
            <w:shd w:val="clear" w:color="auto" w:fill="auto"/>
            <w:noWrap/>
            <w:vAlign w:val="bottom"/>
            <w:hideMark/>
          </w:tcPr>
          <w:p w:rsidR="00827508" w:rsidRPr="00827508" w:rsidRDefault="00827508" w:rsidP="00827508">
            <w:r w:rsidRPr="00827508">
              <w:t>Gross income</w:t>
            </w:r>
          </w:p>
        </w:tc>
        <w:tc>
          <w:tcPr>
            <w:tcW w:w="3150" w:type="dxa"/>
            <w:tcBorders>
              <w:top w:val="nil"/>
              <w:left w:val="nil"/>
              <w:bottom w:val="single" w:sz="4" w:space="0" w:color="auto"/>
              <w:right w:val="single" w:sz="4" w:space="0" w:color="auto"/>
            </w:tcBorders>
            <w:shd w:val="clear" w:color="auto" w:fill="auto"/>
            <w:noWrap/>
            <w:vAlign w:val="bottom"/>
            <w:hideMark/>
          </w:tcPr>
          <w:p w:rsidR="00827508" w:rsidRPr="00827508" w:rsidRDefault="00827508" w:rsidP="00827508">
            <w:r w:rsidRPr="00827508">
              <w:t>5050</w:t>
            </w:r>
          </w:p>
        </w:tc>
        <w:tc>
          <w:tcPr>
            <w:tcW w:w="3062" w:type="dxa"/>
            <w:tcBorders>
              <w:top w:val="nil"/>
              <w:left w:val="nil"/>
              <w:bottom w:val="single" w:sz="4" w:space="0" w:color="auto"/>
              <w:right w:val="single" w:sz="4" w:space="0" w:color="auto"/>
            </w:tcBorders>
            <w:shd w:val="clear" w:color="auto" w:fill="auto"/>
            <w:noWrap/>
            <w:vAlign w:val="bottom"/>
            <w:hideMark/>
          </w:tcPr>
          <w:p w:rsidR="00827508" w:rsidRPr="00827508" w:rsidRDefault="00827508" w:rsidP="00827508">
            <w:r w:rsidRPr="00827508">
              <w:t>5150</w:t>
            </w:r>
          </w:p>
        </w:tc>
      </w:tr>
      <w:tr w:rsidR="00827508" w:rsidRPr="00827508" w:rsidTr="00827508">
        <w:trPr>
          <w:trHeight w:val="315"/>
        </w:trPr>
        <w:tc>
          <w:tcPr>
            <w:tcW w:w="3420" w:type="dxa"/>
            <w:tcBorders>
              <w:top w:val="nil"/>
              <w:left w:val="single" w:sz="4" w:space="0" w:color="auto"/>
              <w:bottom w:val="single" w:sz="4" w:space="0" w:color="auto"/>
              <w:right w:val="single" w:sz="4" w:space="0" w:color="auto"/>
            </w:tcBorders>
            <w:shd w:val="clear" w:color="auto" w:fill="auto"/>
            <w:noWrap/>
            <w:vAlign w:val="bottom"/>
            <w:hideMark/>
          </w:tcPr>
          <w:p w:rsidR="00827508" w:rsidRPr="00827508" w:rsidRDefault="00827508" w:rsidP="00827508">
            <w:r w:rsidRPr="00827508">
              <w:t>Net sales</w:t>
            </w:r>
          </w:p>
        </w:tc>
        <w:tc>
          <w:tcPr>
            <w:tcW w:w="3150" w:type="dxa"/>
            <w:tcBorders>
              <w:top w:val="nil"/>
              <w:left w:val="nil"/>
              <w:bottom w:val="single" w:sz="4" w:space="0" w:color="auto"/>
              <w:right w:val="single" w:sz="4" w:space="0" w:color="auto"/>
            </w:tcBorders>
            <w:shd w:val="clear" w:color="auto" w:fill="auto"/>
            <w:noWrap/>
            <w:vAlign w:val="bottom"/>
            <w:hideMark/>
          </w:tcPr>
          <w:p w:rsidR="00827508" w:rsidRPr="00827508" w:rsidRDefault="00827508" w:rsidP="00827508">
            <w:r w:rsidRPr="00827508">
              <w:t>5500</w:t>
            </w:r>
          </w:p>
        </w:tc>
        <w:tc>
          <w:tcPr>
            <w:tcW w:w="3062" w:type="dxa"/>
            <w:tcBorders>
              <w:top w:val="nil"/>
              <w:left w:val="nil"/>
              <w:bottom w:val="single" w:sz="4" w:space="0" w:color="auto"/>
              <w:right w:val="single" w:sz="4" w:space="0" w:color="auto"/>
            </w:tcBorders>
            <w:shd w:val="clear" w:color="auto" w:fill="auto"/>
            <w:noWrap/>
            <w:vAlign w:val="bottom"/>
            <w:hideMark/>
          </w:tcPr>
          <w:p w:rsidR="00827508" w:rsidRPr="00827508" w:rsidRDefault="00827508" w:rsidP="00827508">
            <w:r w:rsidRPr="00827508">
              <w:t>6000</w:t>
            </w:r>
          </w:p>
        </w:tc>
      </w:tr>
      <w:tr w:rsidR="00827508" w:rsidRPr="00827508" w:rsidTr="00827508">
        <w:trPr>
          <w:trHeight w:val="315"/>
        </w:trPr>
        <w:tc>
          <w:tcPr>
            <w:tcW w:w="3420" w:type="dxa"/>
            <w:tcBorders>
              <w:top w:val="nil"/>
              <w:left w:val="single" w:sz="4" w:space="0" w:color="auto"/>
              <w:bottom w:val="single" w:sz="4" w:space="0" w:color="auto"/>
              <w:right w:val="single" w:sz="4" w:space="0" w:color="auto"/>
            </w:tcBorders>
            <w:shd w:val="clear" w:color="auto" w:fill="auto"/>
            <w:noWrap/>
            <w:vAlign w:val="bottom"/>
            <w:hideMark/>
          </w:tcPr>
          <w:p w:rsidR="00827508" w:rsidRPr="00827508" w:rsidRDefault="00827508" w:rsidP="00827508">
            <w:r w:rsidRPr="00827508">
              <w:t>Calculation</w:t>
            </w:r>
          </w:p>
        </w:tc>
        <w:tc>
          <w:tcPr>
            <w:tcW w:w="3150" w:type="dxa"/>
            <w:tcBorders>
              <w:top w:val="nil"/>
              <w:left w:val="nil"/>
              <w:bottom w:val="single" w:sz="4" w:space="0" w:color="auto"/>
              <w:right w:val="single" w:sz="4" w:space="0" w:color="auto"/>
            </w:tcBorders>
            <w:shd w:val="clear" w:color="auto" w:fill="auto"/>
            <w:noWrap/>
            <w:vAlign w:val="bottom"/>
            <w:hideMark/>
          </w:tcPr>
          <w:p w:rsidR="00827508" w:rsidRPr="00827508" w:rsidRDefault="00827508" w:rsidP="00827508">
            <w:r w:rsidRPr="00827508">
              <w:t>5050 / 5500 * 100</w:t>
            </w:r>
          </w:p>
        </w:tc>
        <w:tc>
          <w:tcPr>
            <w:tcW w:w="3062" w:type="dxa"/>
            <w:tcBorders>
              <w:top w:val="nil"/>
              <w:left w:val="nil"/>
              <w:bottom w:val="single" w:sz="4" w:space="0" w:color="auto"/>
              <w:right w:val="single" w:sz="4" w:space="0" w:color="auto"/>
            </w:tcBorders>
            <w:shd w:val="clear" w:color="auto" w:fill="auto"/>
            <w:noWrap/>
            <w:vAlign w:val="bottom"/>
            <w:hideMark/>
          </w:tcPr>
          <w:p w:rsidR="00827508" w:rsidRPr="00827508" w:rsidRDefault="00827508" w:rsidP="00827508">
            <w:r w:rsidRPr="00827508">
              <w:t>5150 / 6000 * 100</w:t>
            </w:r>
          </w:p>
        </w:tc>
      </w:tr>
      <w:tr w:rsidR="00827508" w:rsidRPr="00827508" w:rsidTr="00827508">
        <w:trPr>
          <w:trHeight w:val="315"/>
        </w:trPr>
        <w:tc>
          <w:tcPr>
            <w:tcW w:w="3420" w:type="dxa"/>
            <w:tcBorders>
              <w:top w:val="nil"/>
              <w:left w:val="single" w:sz="4" w:space="0" w:color="auto"/>
              <w:bottom w:val="single" w:sz="4" w:space="0" w:color="auto"/>
              <w:right w:val="single" w:sz="4" w:space="0" w:color="auto"/>
            </w:tcBorders>
            <w:shd w:val="clear" w:color="auto" w:fill="auto"/>
            <w:noWrap/>
            <w:vAlign w:val="bottom"/>
            <w:hideMark/>
          </w:tcPr>
          <w:p w:rsidR="00827508" w:rsidRPr="00827508" w:rsidRDefault="00827508" w:rsidP="00827508">
            <w:r w:rsidRPr="00827508">
              <w:t>Result</w:t>
            </w:r>
          </w:p>
        </w:tc>
        <w:tc>
          <w:tcPr>
            <w:tcW w:w="3150" w:type="dxa"/>
            <w:tcBorders>
              <w:top w:val="nil"/>
              <w:left w:val="nil"/>
              <w:bottom w:val="single" w:sz="4" w:space="0" w:color="auto"/>
              <w:right w:val="single" w:sz="4" w:space="0" w:color="auto"/>
            </w:tcBorders>
            <w:shd w:val="clear" w:color="auto" w:fill="auto"/>
            <w:noWrap/>
            <w:vAlign w:val="bottom"/>
            <w:hideMark/>
          </w:tcPr>
          <w:p w:rsidR="00827508" w:rsidRPr="00827508" w:rsidRDefault="00827508" w:rsidP="00827508">
            <w:r w:rsidRPr="00827508">
              <w:t>91.82%</w:t>
            </w:r>
          </w:p>
        </w:tc>
        <w:tc>
          <w:tcPr>
            <w:tcW w:w="3062" w:type="dxa"/>
            <w:tcBorders>
              <w:top w:val="nil"/>
              <w:left w:val="nil"/>
              <w:bottom w:val="single" w:sz="4" w:space="0" w:color="auto"/>
              <w:right w:val="single" w:sz="4" w:space="0" w:color="auto"/>
            </w:tcBorders>
            <w:shd w:val="clear" w:color="auto" w:fill="auto"/>
            <w:noWrap/>
            <w:vAlign w:val="bottom"/>
            <w:hideMark/>
          </w:tcPr>
          <w:p w:rsidR="00827508" w:rsidRPr="00827508" w:rsidRDefault="00827508" w:rsidP="00827508">
            <w:r w:rsidRPr="00827508">
              <w:t>85.83%</w:t>
            </w:r>
          </w:p>
        </w:tc>
      </w:tr>
    </w:tbl>
    <w:p w:rsidR="00827508" w:rsidRDefault="00F06958" w:rsidP="00827508">
      <w:pPr>
        <w:rPr>
          <w:noProof/>
          <w:lang w:val="en-US" w:eastAsia="en-US"/>
        </w:rPr>
      </w:pPr>
      <w:r w:rsidRPr="00827508">
        <w:rPr>
          <w:noProof/>
          <w:lang w:val="en-US" w:eastAsia="en-US"/>
        </w:rPr>
        <w:lastRenderedPageBreak/>
        <w:drawing>
          <wp:inline distT="0" distB="0" distL="0" distR="0">
            <wp:extent cx="4572000" cy="2743200"/>
            <wp:effectExtent l="0" t="0" r="0" b="0"/>
            <wp:docPr id="8" name="Chart 1"/>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4C6C6D" w:rsidRDefault="004C6C6D" w:rsidP="004C6C6D">
      <w:r>
        <w:rPr>
          <w:noProof/>
          <w:lang w:val="en-US" w:eastAsia="en-US"/>
        </w:rPr>
        <w:t xml:space="preserve">Similar to net profit margin, the gross profit margin of this company is also showing decresing trend of profit as the gross profit margin in 2018 is calculated as 91.82% and in 2019, it was calculated as 85.83%. This margin of gross profit is higher than the net profit which implies the extend to which </w:t>
      </w:r>
      <w:r>
        <w:t xml:space="preserve">Gatsby Grange is able to control its cost of sales, it is not that able to control its operating costs. </w:t>
      </w:r>
    </w:p>
    <w:p w:rsidR="004C6C6D" w:rsidRPr="00827508" w:rsidRDefault="004C6C6D" w:rsidP="00623E20">
      <w:r>
        <w:t xml:space="preserve">So, it can be said that profit making ability of this company is higher according to the averages of company but this ability is degrading over years.  </w:t>
      </w:r>
    </w:p>
    <w:p w:rsidR="001C34E6" w:rsidRDefault="001C34E6" w:rsidP="001C34E6">
      <w:pPr>
        <w:ind w:firstLine="576"/>
        <w:rPr>
          <w:b/>
        </w:rPr>
      </w:pPr>
      <w:r w:rsidRPr="001C34E6">
        <w:rPr>
          <w:b/>
        </w:rPr>
        <w:t>Liquidity ratios</w:t>
      </w:r>
    </w:p>
    <w:p w:rsidR="004C6C6D" w:rsidRPr="003D3FE3" w:rsidRDefault="003D3FE3" w:rsidP="00800212">
      <w:r>
        <w:t>This family of ratios includes metrics which helps in analysing the ability of an organisation to pay off its debts by its earnings and capital</w:t>
      </w:r>
      <w:r w:rsidR="00800212">
        <w:rPr>
          <w:szCs w:val="24"/>
          <w:lang w:val="en-IN"/>
        </w:rPr>
        <w:t xml:space="preserve"> (Ramesh, Berger and Loo, 2012)</w:t>
      </w:r>
      <w:r>
        <w:t>. Liquidity is a concept which represents the liquid asset of an organisation that can be used in order to pay off emergency debts at any point of time such assets are inventory. The metrics of liquidity ratio which are being used for Gatsby Grange</w:t>
      </w:r>
      <w:r w:rsidR="00DE552E">
        <w:t xml:space="preserve"> are current and quick ratio</w:t>
      </w:r>
      <w:r w:rsidR="002240A4">
        <w:t xml:space="preserve"> </w:t>
      </w:r>
      <w:r w:rsidR="002240A4">
        <w:rPr>
          <w:color w:val="222222"/>
          <w:szCs w:val="24"/>
        </w:rPr>
        <w:t>(Schroeder, Clark and Cathey, 2019)</w:t>
      </w:r>
      <w:r w:rsidR="00DE552E">
        <w:t xml:space="preserve">. </w:t>
      </w:r>
    </w:p>
    <w:p w:rsidR="001C34E6" w:rsidRPr="009F0B8A" w:rsidRDefault="001C34E6" w:rsidP="009F0B8A">
      <w:r>
        <w:t>Current ratio</w:t>
      </w:r>
    </w:p>
    <w:tbl>
      <w:tblPr>
        <w:tblW w:w="8565" w:type="dxa"/>
        <w:tblInd w:w="108" w:type="dxa"/>
        <w:tblLook w:val="04A0" w:firstRow="1" w:lastRow="0" w:firstColumn="1" w:lastColumn="0" w:noHBand="0" w:noVBand="1"/>
      </w:tblPr>
      <w:tblGrid>
        <w:gridCol w:w="4050"/>
        <w:gridCol w:w="2250"/>
        <w:gridCol w:w="2265"/>
      </w:tblGrid>
      <w:tr w:rsidR="009F0B8A" w:rsidRPr="009F0B8A" w:rsidTr="009F0B8A">
        <w:trPr>
          <w:trHeight w:val="316"/>
        </w:trPr>
        <w:tc>
          <w:tcPr>
            <w:tcW w:w="8565" w:type="dxa"/>
            <w:gridSpan w:val="3"/>
            <w:tcBorders>
              <w:top w:val="single" w:sz="4" w:space="0" w:color="auto"/>
              <w:left w:val="single" w:sz="4" w:space="0" w:color="auto"/>
              <w:bottom w:val="single" w:sz="4" w:space="0" w:color="auto"/>
              <w:right w:val="single" w:sz="4" w:space="0" w:color="000000"/>
            </w:tcBorders>
            <w:shd w:val="clear" w:color="auto" w:fill="CCCCFF"/>
            <w:noWrap/>
            <w:vAlign w:val="bottom"/>
            <w:hideMark/>
          </w:tcPr>
          <w:p w:rsidR="00827508" w:rsidRPr="009F0B8A" w:rsidRDefault="00827508" w:rsidP="00DE552E">
            <w:pPr>
              <w:jc w:val="center"/>
            </w:pPr>
            <w:r w:rsidRPr="009F0B8A">
              <w:t>Current ratio</w:t>
            </w:r>
          </w:p>
        </w:tc>
      </w:tr>
      <w:tr w:rsidR="009F0B8A" w:rsidRPr="009F0B8A" w:rsidTr="00827508">
        <w:trPr>
          <w:trHeight w:val="316"/>
        </w:trPr>
        <w:tc>
          <w:tcPr>
            <w:tcW w:w="4050" w:type="dxa"/>
            <w:tcBorders>
              <w:top w:val="nil"/>
              <w:left w:val="single" w:sz="4" w:space="0" w:color="auto"/>
              <w:bottom w:val="single" w:sz="4" w:space="0" w:color="auto"/>
              <w:right w:val="single" w:sz="4" w:space="0" w:color="auto"/>
            </w:tcBorders>
            <w:shd w:val="clear" w:color="auto" w:fill="auto"/>
            <w:noWrap/>
            <w:vAlign w:val="bottom"/>
            <w:hideMark/>
          </w:tcPr>
          <w:p w:rsidR="00827508" w:rsidRPr="009F0B8A" w:rsidRDefault="00827508" w:rsidP="009F0B8A">
            <w:r w:rsidRPr="009F0B8A">
              <w:t xml:space="preserve">Formula </w:t>
            </w:r>
          </w:p>
        </w:tc>
        <w:tc>
          <w:tcPr>
            <w:tcW w:w="4515" w:type="dxa"/>
            <w:gridSpan w:val="2"/>
            <w:tcBorders>
              <w:top w:val="single" w:sz="4" w:space="0" w:color="auto"/>
              <w:left w:val="nil"/>
              <w:bottom w:val="single" w:sz="4" w:space="0" w:color="auto"/>
              <w:right w:val="single" w:sz="4" w:space="0" w:color="auto"/>
            </w:tcBorders>
            <w:shd w:val="clear" w:color="auto" w:fill="auto"/>
            <w:noWrap/>
            <w:vAlign w:val="bottom"/>
            <w:hideMark/>
          </w:tcPr>
          <w:p w:rsidR="00827508" w:rsidRPr="009F0B8A" w:rsidRDefault="00827508" w:rsidP="009F0B8A">
            <w:r w:rsidRPr="009F0B8A">
              <w:t>Current assets / Current liabilities * 100</w:t>
            </w:r>
          </w:p>
        </w:tc>
      </w:tr>
      <w:tr w:rsidR="009F0B8A" w:rsidRPr="009F0B8A" w:rsidTr="00827508">
        <w:trPr>
          <w:trHeight w:val="316"/>
        </w:trPr>
        <w:tc>
          <w:tcPr>
            <w:tcW w:w="4050" w:type="dxa"/>
            <w:tcBorders>
              <w:top w:val="nil"/>
              <w:left w:val="single" w:sz="4" w:space="0" w:color="auto"/>
              <w:bottom w:val="single" w:sz="4" w:space="0" w:color="auto"/>
              <w:right w:val="single" w:sz="4" w:space="0" w:color="auto"/>
            </w:tcBorders>
            <w:shd w:val="clear" w:color="auto" w:fill="auto"/>
            <w:noWrap/>
            <w:vAlign w:val="bottom"/>
            <w:hideMark/>
          </w:tcPr>
          <w:p w:rsidR="00827508" w:rsidRPr="009F0B8A" w:rsidRDefault="00827508" w:rsidP="009F0B8A">
            <w:r w:rsidRPr="009F0B8A">
              <w:t> </w:t>
            </w:r>
          </w:p>
        </w:tc>
        <w:tc>
          <w:tcPr>
            <w:tcW w:w="2250" w:type="dxa"/>
            <w:tcBorders>
              <w:top w:val="nil"/>
              <w:left w:val="nil"/>
              <w:bottom w:val="single" w:sz="4" w:space="0" w:color="auto"/>
              <w:right w:val="single" w:sz="4" w:space="0" w:color="auto"/>
            </w:tcBorders>
            <w:shd w:val="clear" w:color="auto" w:fill="auto"/>
            <w:noWrap/>
            <w:vAlign w:val="bottom"/>
            <w:hideMark/>
          </w:tcPr>
          <w:p w:rsidR="00827508" w:rsidRPr="009F0B8A" w:rsidRDefault="00827508" w:rsidP="009F0B8A">
            <w:r w:rsidRPr="009F0B8A">
              <w:t>2018</w:t>
            </w:r>
          </w:p>
        </w:tc>
        <w:tc>
          <w:tcPr>
            <w:tcW w:w="2265" w:type="dxa"/>
            <w:tcBorders>
              <w:top w:val="nil"/>
              <w:left w:val="nil"/>
              <w:bottom w:val="single" w:sz="4" w:space="0" w:color="auto"/>
              <w:right w:val="single" w:sz="4" w:space="0" w:color="auto"/>
            </w:tcBorders>
            <w:shd w:val="clear" w:color="auto" w:fill="auto"/>
            <w:noWrap/>
            <w:vAlign w:val="bottom"/>
            <w:hideMark/>
          </w:tcPr>
          <w:p w:rsidR="00827508" w:rsidRPr="009F0B8A" w:rsidRDefault="00827508" w:rsidP="009F0B8A">
            <w:r w:rsidRPr="009F0B8A">
              <w:t>2019</w:t>
            </w:r>
          </w:p>
        </w:tc>
      </w:tr>
      <w:tr w:rsidR="009F0B8A" w:rsidRPr="009F0B8A" w:rsidTr="00827508">
        <w:trPr>
          <w:trHeight w:val="316"/>
        </w:trPr>
        <w:tc>
          <w:tcPr>
            <w:tcW w:w="4050" w:type="dxa"/>
            <w:tcBorders>
              <w:top w:val="nil"/>
              <w:left w:val="single" w:sz="4" w:space="0" w:color="auto"/>
              <w:bottom w:val="single" w:sz="4" w:space="0" w:color="auto"/>
              <w:right w:val="single" w:sz="4" w:space="0" w:color="auto"/>
            </w:tcBorders>
            <w:shd w:val="clear" w:color="auto" w:fill="auto"/>
            <w:noWrap/>
            <w:vAlign w:val="bottom"/>
            <w:hideMark/>
          </w:tcPr>
          <w:p w:rsidR="00827508" w:rsidRPr="009F0B8A" w:rsidRDefault="00827508" w:rsidP="009F0B8A">
            <w:r w:rsidRPr="009F0B8A">
              <w:t>Current assets</w:t>
            </w:r>
          </w:p>
        </w:tc>
        <w:tc>
          <w:tcPr>
            <w:tcW w:w="2250" w:type="dxa"/>
            <w:tcBorders>
              <w:top w:val="nil"/>
              <w:left w:val="nil"/>
              <w:bottom w:val="single" w:sz="4" w:space="0" w:color="auto"/>
              <w:right w:val="single" w:sz="4" w:space="0" w:color="auto"/>
            </w:tcBorders>
            <w:shd w:val="clear" w:color="auto" w:fill="auto"/>
            <w:noWrap/>
            <w:vAlign w:val="bottom"/>
            <w:hideMark/>
          </w:tcPr>
          <w:p w:rsidR="00827508" w:rsidRPr="009F0B8A" w:rsidRDefault="00827508" w:rsidP="009F0B8A">
            <w:r w:rsidRPr="009F0B8A">
              <w:t>3065</w:t>
            </w:r>
          </w:p>
        </w:tc>
        <w:tc>
          <w:tcPr>
            <w:tcW w:w="2265" w:type="dxa"/>
            <w:tcBorders>
              <w:top w:val="nil"/>
              <w:left w:val="nil"/>
              <w:bottom w:val="single" w:sz="4" w:space="0" w:color="auto"/>
              <w:right w:val="single" w:sz="4" w:space="0" w:color="auto"/>
            </w:tcBorders>
            <w:shd w:val="clear" w:color="auto" w:fill="auto"/>
            <w:noWrap/>
            <w:vAlign w:val="bottom"/>
            <w:hideMark/>
          </w:tcPr>
          <w:p w:rsidR="00827508" w:rsidRPr="009F0B8A" w:rsidRDefault="00827508" w:rsidP="009F0B8A">
            <w:r w:rsidRPr="009F0B8A">
              <w:t>3240</w:t>
            </w:r>
          </w:p>
        </w:tc>
      </w:tr>
      <w:tr w:rsidR="009F0B8A" w:rsidRPr="009F0B8A" w:rsidTr="00827508">
        <w:trPr>
          <w:trHeight w:val="316"/>
        </w:trPr>
        <w:tc>
          <w:tcPr>
            <w:tcW w:w="4050" w:type="dxa"/>
            <w:tcBorders>
              <w:top w:val="nil"/>
              <w:left w:val="single" w:sz="4" w:space="0" w:color="auto"/>
              <w:bottom w:val="single" w:sz="4" w:space="0" w:color="auto"/>
              <w:right w:val="single" w:sz="4" w:space="0" w:color="auto"/>
            </w:tcBorders>
            <w:shd w:val="clear" w:color="auto" w:fill="auto"/>
            <w:noWrap/>
            <w:vAlign w:val="bottom"/>
            <w:hideMark/>
          </w:tcPr>
          <w:p w:rsidR="00827508" w:rsidRPr="009F0B8A" w:rsidRDefault="00827508" w:rsidP="009F0B8A">
            <w:r w:rsidRPr="009F0B8A">
              <w:t>Current liabilities</w:t>
            </w:r>
          </w:p>
        </w:tc>
        <w:tc>
          <w:tcPr>
            <w:tcW w:w="2250" w:type="dxa"/>
            <w:tcBorders>
              <w:top w:val="nil"/>
              <w:left w:val="nil"/>
              <w:bottom w:val="single" w:sz="4" w:space="0" w:color="auto"/>
              <w:right w:val="single" w:sz="4" w:space="0" w:color="auto"/>
            </w:tcBorders>
            <w:shd w:val="clear" w:color="auto" w:fill="auto"/>
            <w:noWrap/>
            <w:vAlign w:val="bottom"/>
            <w:hideMark/>
          </w:tcPr>
          <w:p w:rsidR="00827508" w:rsidRPr="009F0B8A" w:rsidRDefault="00827508" w:rsidP="009F0B8A">
            <w:r w:rsidRPr="009F0B8A">
              <w:t>1339</w:t>
            </w:r>
          </w:p>
        </w:tc>
        <w:tc>
          <w:tcPr>
            <w:tcW w:w="2265" w:type="dxa"/>
            <w:tcBorders>
              <w:top w:val="nil"/>
              <w:left w:val="nil"/>
              <w:bottom w:val="single" w:sz="4" w:space="0" w:color="auto"/>
              <w:right w:val="single" w:sz="4" w:space="0" w:color="auto"/>
            </w:tcBorders>
            <w:shd w:val="clear" w:color="auto" w:fill="auto"/>
            <w:noWrap/>
            <w:vAlign w:val="bottom"/>
            <w:hideMark/>
          </w:tcPr>
          <w:p w:rsidR="00827508" w:rsidRPr="009F0B8A" w:rsidRDefault="00827508" w:rsidP="009F0B8A">
            <w:r w:rsidRPr="009F0B8A">
              <w:t>1616</w:t>
            </w:r>
          </w:p>
        </w:tc>
      </w:tr>
      <w:tr w:rsidR="009F0B8A" w:rsidRPr="009F0B8A" w:rsidTr="00827508">
        <w:trPr>
          <w:trHeight w:val="316"/>
        </w:trPr>
        <w:tc>
          <w:tcPr>
            <w:tcW w:w="4050" w:type="dxa"/>
            <w:tcBorders>
              <w:top w:val="nil"/>
              <w:left w:val="single" w:sz="4" w:space="0" w:color="auto"/>
              <w:bottom w:val="single" w:sz="4" w:space="0" w:color="auto"/>
              <w:right w:val="single" w:sz="4" w:space="0" w:color="auto"/>
            </w:tcBorders>
            <w:shd w:val="clear" w:color="auto" w:fill="auto"/>
            <w:noWrap/>
            <w:vAlign w:val="bottom"/>
            <w:hideMark/>
          </w:tcPr>
          <w:p w:rsidR="00827508" w:rsidRPr="009F0B8A" w:rsidRDefault="00827508" w:rsidP="009F0B8A">
            <w:r w:rsidRPr="009F0B8A">
              <w:t>Calculation</w:t>
            </w:r>
          </w:p>
        </w:tc>
        <w:tc>
          <w:tcPr>
            <w:tcW w:w="2250" w:type="dxa"/>
            <w:tcBorders>
              <w:top w:val="nil"/>
              <w:left w:val="nil"/>
              <w:bottom w:val="single" w:sz="4" w:space="0" w:color="auto"/>
              <w:right w:val="single" w:sz="4" w:space="0" w:color="auto"/>
            </w:tcBorders>
            <w:shd w:val="clear" w:color="auto" w:fill="auto"/>
            <w:noWrap/>
            <w:vAlign w:val="bottom"/>
            <w:hideMark/>
          </w:tcPr>
          <w:p w:rsidR="00827508" w:rsidRPr="009F0B8A" w:rsidRDefault="00827508" w:rsidP="009F0B8A">
            <w:r w:rsidRPr="009F0B8A">
              <w:t>3065 / 1339</w:t>
            </w:r>
          </w:p>
        </w:tc>
        <w:tc>
          <w:tcPr>
            <w:tcW w:w="2265" w:type="dxa"/>
            <w:tcBorders>
              <w:top w:val="nil"/>
              <w:left w:val="nil"/>
              <w:bottom w:val="single" w:sz="4" w:space="0" w:color="auto"/>
              <w:right w:val="single" w:sz="4" w:space="0" w:color="auto"/>
            </w:tcBorders>
            <w:shd w:val="clear" w:color="auto" w:fill="auto"/>
            <w:noWrap/>
            <w:vAlign w:val="bottom"/>
            <w:hideMark/>
          </w:tcPr>
          <w:p w:rsidR="00827508" w:rsidRPr="009F0B8A" w:rsidRDefault="00827508" w:rsidP="009F0B8A">
            <w:r w:rsidRPr="009F0B8A">
              <w:t>3240 / 1616</w:t>
            </w:r>
          </w:p>
        </w:tc>
      </w:tr>
      <w:tr w:rsidR="009F0B8A" w:rsidRPr="009F0B8A" w:rsidTr="00827508">
        <w:trPr>
          <w:trHeight w:val="316"/>
        </w:trPr>
        <w:tc>
          <w:tcPr>
            <w:tcW w:w="4050" w:type="dxa"/>
            <w:tcBorders>
              <w:top w:val="nil"/>
              <w:left w:val="single" w:sz="4" w:space="0" w:color="auto"/>
              <w:bottom w:val="single" w:sz="4" w:space="0" w:color="auto"/>
              <w:right w:val="single" w:sz="4" w:space="0" w:color="auto"/>
            </w:tcBorders>
            <w:shd w:val="clear" w:color="auto" w:fill="auto"/>
            <w:noWrap/>
            <w:vAlign w:val="bottom"/>
            <w:hideMark/>
          </w:tcPr>
          <w:p w:rsidR="00827508" w:rsidRPr="009F0B8A" w:rsidRDefault="00827508" w:rsidP="009F0B8A">
            <w:r w:rsidRPr="009F0B8A">
              <w:lastRenderedPageBreak/>
              <w:t>Result</w:t>
            </w:r>
          </w:p>
        </w:tc>
        <w:tc>
          <w:tcPr>
            <w:tcW w:w="2250" w:type="dxa"/>
            <w:tcBorders>
              <w:top w:val="nil"/>
              <w:left w:val="nil"/>
              <w:bottom w:val="single" w:sz="4" w:space="0" w:color="auto"/>
              <w:right w:val="single" w:sz="4" w:space="0" w:color="auto"/>
            </w:tcBorders>
            <w:shd w:val="clear" w:color="auto" w:fill="auto"/>
            <w:noWrap/>
            <w:vAlign w:val="bottom"/>
            <w:hideMark/>
          </w:tcPr>
          <w:p w:rsidR="00827508" w:rsidRPr="009F0B8A" w:rsidRDefault="00827508" w:rsidP="009F0B8A">
            <w:r w:rsidRPr="009F0B8A">
              <w:t>2.289021658</w:t>
            </w:r>
          </w:p>
        </w:tc>
        <w:tc>
          <w:tcPr>
            <w:tcW w:w="2265" w:type="dxa"/>
            <w:tcBorders>
              <w:top w:val="nil"/>
              <w:left w:val="nil"/>
              <w:bottom w:val="single" w:sz="4" w:space="0" w:color="auto"/>
              <w:right w:val="single" w:sz="4" w:space="0" w:color="auto"/>
            </w:tcBorders>
            <w:shd w:val="clear" w:color="auto" w:fill="auto"/>
            <w:noWrap/>
            <w:vAlign w:val="bottom"/>
            <w:hideMark/>
          </w:tcPr>
          <w:p w:rsidR="00827508" w:rsidRPr="009F0B8A" w:rsidRDefault="00827508" w:rsidP="009F0B8A">
            <w:r w:rsidRPr="009F0B8A">
              <w:t>2.004950495</w:t>
            </w:r>
          </w:p>
        </w:tc>
      </w:tr>
    </w:tbl>
    <w:p w:rsidR="00827508" w:rsidRDefault="00F06958" w:rsidP="00827508">
      <w:pPr>
        <w:rPr>
          <w:noProof/>
          <w:lang w:val="en-US" w:eastAsia="en-US"/>
        </w:rPr>
      </w:pPr>
      <w:r w:rsidRPr="00827508">
        <w:rPr>
          <w:noProof/>
          <w:lang w:val="en-US" w:eastAsia="en-US"/>
        </w:rPr>
        <w:drawing>
          <wp:inline distT="0" distB="0" distL="0" distR="0">
            <wp:extent cx="4572000" cy="2743200"/>
            <wp:effectExtent l="0" t="0" r="0" b="0"/>
            <wp:docPr id="7" name="Chart 1"/>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DE552E" w:rsidRPr="00827508" w:rsidRDefault="00DE552E" w:rsidP="00623E20">
      <w:r>
        <w:rPr>
          <w:noProof/>
          <w:lang w:val="en-US" w:eastAsia="en-US"/>
        </w:rPr>
        <w:t xml:space="preserve">Above tabular analysis is representing the formula of current ratio which is the remainder between the current assets and current liabilities. </w:t>
      </w:r>
      <w:r w:rsidR="002F6346">
        <w:rPr>
          <w:noProof/>
          <w:lang w:val="en-US" w:eastAsia="en-US"/>
        </w:rPr>
        <w:t xml:space="preserve">The above graph shows that the trend of current ratio is decresaing as the ratio of </w:t>
      </w:r>
      <w:r w:rsidR="002F6346">
        <w:t>Gatsby Grange has changed from 2.28: 1 to 2.00: 1 in just one year. According to the ideal ratio of the industry, in both the years, the current ratio of this company is sufficient but a decreasing ratio is not a good sign</w:t>
      </w:r>
      <w:r w:rsidR="002240A4">
        <w:rPr>
          <w:color w:val="222222"/>
          <w:szCs w:val="24"/>
        </w:rPr>
        <w:t xml:space="preserve"> (Revelli and Viviani, 2015)</w:t>
      </w:r>
      <w:r w:rsidR="002F6346">
        <w:t xml:space="preserve">. </w:t>
      </w:r>
    </w:p>
    <w:p w:rsidR="001C34E6" w:rsidRPr="00827508" w:rsidRDefault="001C34E6" w:rsidP="00827508">
      <w:r>
        <w:t>Quick ratio</w:t>
      </w:r>
    </w:p>
    <w:tbl>
      <w:tblPr>
        <w:tblW w:w="8858" w:type="dxa"/>
        <w:tblInd w:w="108" w:type="dxa"/>
        <w:tblLook w:val="04A0" w:firstRow="1" w:lastRow="0" w:firstColumn="1" w:lastColumn="0" w:noHBand="0" w:noVBand="1"/>
      </w:tblPr>
      <w:tblGrid>
        <w:gridCol w:w="4140"/>
        <w:gridCol w:w="2340"/>
        <w:gridCol w:w="2378"/>
      </w:tblGrid>
      <w:tr w:rsidR="00827508" w:rsidRPr="00827508" w:rsidTr="009F0B8A">
        <w:trPr>
          <w:trHeight w:val="293"/>
        </w:trPr>
        <w:tc>
          <w:tcPr>
            <w:tcW w:w="8858" w:type="dxa"/>
            <w:gridSpan w:val="3"/>
            <w:tcBorders>
              <w:top w:val="single" w:sz="4" w:space="0" w:color="auto"/>
              <w:left w:val="single" w:sz="4" w:space="0" w:color="auto"/>
              <w:bottom w:val="single" w:sz="4" w:space="0" w:color="auto"/>
              <w:right w:val="single" w:sz="4" w:space="0" w:color="auto"/>
            </w:tcBorders>
            <w:shd w:val="clear" w:color="auto" w:fill="CCCCFF"/>
            <w:noWrap/>
            <w:vAlign w:val="bottom"/>
            <w:hideMark/>
          </w:tcPr>
          <w:p w:rsidR="00827508" w:rsidRPr="00827508" w:rsidRDefault="00827508" w:rsidP="00DE552E">
            <w:pPr>
              <w:jc w:val="center"/>
            </w:pPr>
            <w:r w:rsidRPr="00827508">
              <w:t>Quick ratio</w:t>
            </w:r>
          </w:p>
        </w:tc>
      </w:tr>
      <w:tr w:rsidR="00827508" w:rsidRPr="00827508" w:rsidTr="00827508">
        <w:trPr>
          <w:trHeight w:val="293"/>
        </w:trPr>
        <w:tc>
          <w:tcPr>
            <w:tcW w:w="4140" w:type="dxa"/>
            <w:tcBorders>
              <w:top w:val="nil"/>
              <w:left w:val="single" w:sz="4" w:space="0" w:color="auto"/>
              <w:bottom w:val="single" w:sz="4" w:space="0" w:color="auto"/>
              <w:right w:val="single" w:sz="4" w:space="0" w:color="auto"/>
            </w:tcBorders>
            <w:shd w:val="clear" w:color="auto" w:fill="auto"/>
            <w:noWrap/>
            <w:vAlign w:val="bottom"/>
            <w:hideMark/>
          </w:tcPr>
          <w:p w:rsidR="00827508" w:rsidRPr="00827508" w:rsidRDefault="00827508" w:rsidP="00827508">
            <w:r w:rsidRPr="00827508">
              <w:t xml:space="preserve">Formula </w:t>
            </w:r>
          </w:p>
        </w:tc>
        <w:tc>
          <w:tcPr>
            <w:tcW w:w="4718" w:type="dxa"/>
            <w:gridSpan w:val="2"/>
            <w:tcBorders>
              <w:top w:val="single" w:sz="4" w:space="0" w:color="auto"/>
              <w:left w:val="nil"/>
              <w:bottom w:val="single" w:sz="4" w:space="0" w:color="auto"/>
              <w:right w:val="single" w:sz="4" w:space="0" w:color="auto"/>
            </w:tcBorders>
            <w:shd w:val="clear" w:color="auto" w:fill="auto"/>
            <w:noWrap/>
            <w:vAlign w:val="bottom"/>
            <w:hideMark/>
          </w:tcPr>
          <w:p w:rsidR="00827508" w:rsidRPr="00827508" w:rsidRDefault="00827508" w:rsidP="00827508">
            <w:r w:rsidRPr="00827508">
              <w:t>Quick assets / Current liabilities * 100</w:t>
            </w:r>
          </w:p>
        </w:tc>
      </w:tr>
      <w:tr w:rsidR="00827508" w:rsidRPr="00827508" w:rsidTr="00827508">
        <w:trPr>
          <w:trHeight w:val="293"/>
        </w:trPr>
        <w:tc>
          <w:tcPr>
            <w:tcW w:w="4140" w:type="dxa"/>
            <w:tcBorders>
              <w:top w:val="nil"/>
              <w:left w:val="single" w:sz="4" w:space="0" w:color="auto"/>
              <w:bottom w:val="single" w:sz="4" w:space="0" w:color="auto"/>
              <w:right w:val="single" w:sz="4" w:space="0" w:color="auto"/>
            </w:tcBorders>
            <w:shd w:val="clear" w:color="auto" w:fill="auto"/>
            <w:noWrap/>
            <w:vAlign w:val="bottom"/>
            <w:hideMark/>
          </w:tcPr>
          <w:p w:rsidR="00827508" w:rsidRPr="00827508" w:rsidRDefault="00827508" w:rsidP="00827508">
            <w:r w:rsidRPr="00827508">
              <w:t> </w:t>
            </w:r>
          </w:p>
        </w:tc>
        <w:tc>
          <w:tcPr>
            <w:tcW w:w="2340" w:type="dxa"/>
            <w:tcBorders>
              <w:top w:val="nil"/>
              <w:left w:val="nil"/>
              <w:bottom w:val="single" w:sz="4" w:space="0" w:color="auto"/>
              <w:right w:val="single" w:sz="4" w:space="0" w:color="auto"/>
            </w:tcBorders>
            <w:shd w:val="clear" w:color="auto" w:fill="auto"/>
            <w:noWrap/>
            <w:vAlign w:val="bottom"/>
            <w:hideMark/>
          </w:tcPr>
          <w:p w:rsidR="00827508" w:rsidRPr="00827508" w:rsidRDefault="00827508" w:rsidP="00827508">
            <w:r w:rsidRPr="00827508">
              <w:t>2018</w:t>
            </w:r>
          </w:p>
        </w:tc>
        <w:tc>
          <w:tcPr>
            <w:tcW w:w="2378" w:type="dxa"/>
            <w:tcBorders>
              <w:top w:val="nil"/>
              <w:left w:val="nil"/>
              <w:bottom w:val="single" w:sz="4" w:space="0" w:color="auto"/>
              <w:right w:val="single" w:sz="4" w:space="0" w:color="auto"/>
            </w:tcBorders>
            <w:shd w:val="clear" w:color="auto" w:fill="auto"/>
            <w:noWrap/>
            <w:vAlign w:val="bottom"/>
            <w:hideMark/>
          </w:tcPr>
          <w:p w:rsidR="00827508" w:rsidRPr="00827508" w:rsidRDefault="00827508" w:rsidP="00827508">
            <w:r w:rsidRPr="00827508">
              <w:t>2019</w:t>
            </w:r>
          </w:p>
        </w:tc>
      </w:tr>
      <w:tr w:rsidR="00827508" w:rsidRPr="00827508" w:rsidTr="00827508">
        <w:trPr>
          <w:trHeight w:val="586"/>
        </w:trPr>
        <w:tc>
          <w:tcPr>
            <w:tcW w:w="4140" w:type="dxa"/>
            <w:tcBorders>
              <w:top w:val="nil"/>
              <w:left w:val="single" w:sz="4" w:space="0" w:color="auto"/>
              <w:bottom w:val="single" w:sz="4" w:space="0" w:color="auto"/>
              <w:right w:val="single" w:sz="4" w:space="0" w:color="auto"/>
            </w:tcBorders>
            <w:shd w:val="clear" w:color="auto" w:fill="auto"/>
            <w:vAlign w:val="bottom"/>
            <w:hideMark/>
          </w:tcPr>
          <w:p w:rsidR="00827508" w:rsidRPr="00827508" w:rsidRDefault="00827508" w:rsidP="00827508">
            <w:r w:rsidRPr="00827508">
              <w:t>Quick assets (Current assets - Inventory)</w:t>
            </w:r>
          </w:p>
        </w:tc>
        <w:tc>
          <w:tcPr>
            <w:tcW w:w="2340" w:type="dxa"/>
            <w:tcBorders>
              <w:top w:val="nil"/>
              <w:left w:val="nil"/>
              <w:bottom w:val="single" w:sz="4" w:space="0" w:color="auto"/>
              <w:right w:val="single" w:sz="4" w:space="0" w:color="auto"/>
            </w:tcBorders>
            <w:shd w:val="clear" w:color="auto" w:fill="auto"/>
            <w:noWrap/>
            <w:vAlign w:val="bottom"/>
            <w:hideMark/>
          </w:tcPr>
          <w:p w:rsidR="00827508" w:rsidRPr="00827508" w:rsidRDefault="00827508" w:rsidP="00827508">
            <w:r w:rsidRPr="00827508">
              <w:t>(3065 - 1450) = 1615</w:t>
            </w:r>
          </w:p>
        </w:tc>
        <w:tc>
          <w:tcPr>
            <w:tcW w:w="2378" w:type="dxa"/>
            <w:tcBorders>
              <w:top w:val="nil"/>
              <w:left w:val="nil"/>
              <w:bottom w:val="single" w:sz="4" w:space="0" w:color="auto"/>
              <w:right w:val="single" w:sz="4" w:space="0" w:color="auto"/>
            </w:tcBorders>
            <w:shd w:val="clear" w:color="auto" w:fill="auto"/>
            <w:noWrap/>
            <w:vAlign w:val="bottom"/>
            <w:hideMark/>
          </w:tcPr>
          <w:p w:rsidR="00827508" w:rsidRPr="00827508" w:rsidRDefault="00827508" w:rsidP="00827508">
            <w:r w:rsidRPr="00827508">
              <w:t>(3240 - 1420) = 1820</w:t>
            </w:r>
          </w:p>
        </w:tc>
      </w:tr>
      <w:tr w:rsidR="00827508" w:rsidRPr="00827508" w:rsidTr="00827508">
        <w:trPr>
          <w:trHeight w:val="293"/>
        </w:trPr>
        <w:tc>
          <w:tcPr>
            <w:tcW w:w="4140" w:type="dxa"/>
            <w:tcBorders>
              <w:top w:val="nil"/>
              <w:left w:val="single" w:sz="4" w:space="0" w:color="auto"/>
              <w:bottom w:val="single" w:sz="4" w:space="0" w:color="auto"/>
              <w:right w:val="single" w:sz="4" w:space="0" w:color="auto"/>
            </w:tcBorders>
            <w:shd w:val="clear" w:color="auto" w:fill="auto"/>
            <w:noWrap/>
            <w:vAlign w:val="bottom"/>
            <w:hideMark/>
          </w:tcPr>
          <w:p w:rsidR="00827508" w:rsidRPr="00827508" w:rsidRDefault="00827508" w:rsidP="00827508">
            <w:r w:rsidRPr="00827508">
              <w:t>Current liabilities</w:t>
            </w:r>
          </w:p>
        </w:tc>
        <w:tc>
          <w:tcPr>
            <w:tcW w:w="2340" w:type="dxa"/>
            <w:tcBorders>
              <w:top w:val="nil"/>
              <w:left w:val="nil"/>
              <w:bottom w:val="single" w:sz="4" w:space="0" w:color="auto"/>
              <w:right w:val="single" w:sz="4" w:space="0" w:color="auto"/>
            </w:tcBorders>
            <w:shd w:val="clear" w:color="auto" w:fill="auto"/>
            <w:noWrap/>
            <w:vAlign w:val="bottom"/>
            <w:hideMark/>
          </w:tcPr>
          <w:p w:rsidR="00827508" w:rsidRPr="00827508" w:rsidRDefault="00827508" w:rsidP="00827508">
            <w:r w:rsidRPr="00827508">
              <w:t>1339</w:t>
            </w:r>
          </w:p>
        </w:tc>
        <w:tc>
          <w:tcPr>
            <w:tcW w:w="2378" w:type="dxa"/>
            <w:tcBorders>
              <w:top w:val="nil"/>
              <w:left w:val="nil"/>
              <w:bottom w:val="single" w:sz="4" w:space="0" w:color="auto"/>
              <w:right w:val="single" w:sz="4" w:space="0" w:color="auto"/>
            </w:tcBorders>
            <w:shd w:val="clear" w:color="auto" w:fill="auto"/>
            <w:noWrap/>
            <w:vAlign w:val="bottom"/>
            <w:hideMark/>
          </w:tcPr>
          <w:p w:rsidR="00827508" w:rsidRPr="00827508" w:rsidRDefault="00827508" w:rsidP="00827508">
            <w:r w:rsidRPr="00827508">
              <w:t>1616</w:t>
            </w:r>
          </w:p>
        </w:tc>
      </w:tr>
      <w:tr w:rsidR="00827508" w:rsidRPr="00827508" w:rsidTr="00827508">
        <w:trPr>
          <w:trHeight w:val="293"/>
        </w:trPr>
        <w:tc>
          <w:tcPr>
            <w:tcW w:w="4140" w:type="dxa"/>
            <w:tcBorders>
              <w:top w:val="nil"/>
              <w:left w:val="single" w:sz="4" w:space="0" w:color="auto"/>
              <w:bottom w:val="single" w:sz="4" w:space="0" w:color="auto"/>
              <w:right w:val="single" w:sz="4" w:space="0" w:color="auto"/>
            </w:tcBorders>
            <w:shd w:val="clear" w:color="auto" w:fill="auto"/>
            <w:noWrap/>
            <w:vAlign w:val="bottom"/>
            <w:hideMark/>
          </w:tcPr>
          <w:p w:rsidR="00827508" w:rsidRPr="00827508" w:rsidRDefault="00827508" w:rsidP="00827508">
            <w:r w:rsidRPr="00827508">
              <w:t>Calculation</w:t>
            </w:r>
          </w:p>
        </w:tc>
        <w:tc>
          <w:tcPr>
            <w:tcW w:w="2340" w:type="dxa"/>
            <w:tcBorders>
              <w:top w:val="nil"/>
              <w:left w:val="nil"/>
              <w:bottom w:val="single" w:sz="4" w:space="0" w:color="auto"/>
              <w:right w:val="single" w:sz="4" w:space="0" w:color="auto"/>
            </w:tcBorders>
            <w:shd w:val="clear" w:color="auto" w:fill="auto"/>
            <w:noWrap/>
            <w:vAlign w:val="bottom"/>
            <w:hideMark/>
          </w:tcPr>
          <w:p w:rsidR="00827508" w:rsidRPr="00827508" w:rsidRDefault="00827508" w:rsidP="00827508">
            <w:r w:rsidRPr="00827508">
              <w:t>1615 / 1339</w:t>
            </w:r>
          </w:p>
        </w:tc>
        <w:tc>
          <w:tcPr>
            <w:tcW w:w="2378" w:type="dxa"/>
            <w:tcBorders>
              <w:top w:val="nil"/>
              <w:left w:val="nil"/>
              <w:bottom w:val="single" w:sz="4" w:space="0" w:color="auto"/>
              <w:right w:val="single" w:sz="4" w:space="0" w:color="auto"/>
            </w:tcBorders>
            <w:shd w:val="clear" w:color="auto" w:fill="auto"/>
            <w:noWrap/>
            <w:vAlign w:val="bottom"/>
            <w:hideMark/>
          </w:tcPr>
          <w:p w:rsidR="00827508" w:rsidRPr="00827508" w:rsidRDefault="00827508" w:rsidP="00827508">
            <w:r w:rsidRPr="00827508">
              <w:t>1820 / 1616</w:t>
            </w:r>
          </w:p>
        </w:tc>
      </w:tr>
      <w:tr w:rsidR="00827508" w:rsidRPr="00827508" w:rsidTr="00827508">
        <w:trPr>
          <w:trHeight w:val="293"/>
        </w:trPr>
        <w:tc>
          <w:tcPr>
            <w:tcW w:w="4140" w:type="dxa"/>
            <w:tcBorders>
              <w:top w:val="nil"/>
              <w:left w:val="single" w:sz="4" w:space="0" w:color="auto"/>
              <w:bottom w:val="single" w:sz="4" w:space="0" w:color="auto"/>
              <w:right w:val="single" w:sz="4" w:space="0" w:color="auto"/>
            </w:tcBorders>
            <w:shd w:val="clear" w:color="auto" w:fill="auto"/>
            <w:noWrap/>
            <w:vAlign w:val="bottom"/>
            <w:hideMark/>
          </w:tcPr>
          <w:p w:rsidR="00827508" w:rsidRPr="00827508" w:rsidRDefault="00827508" w:rsidP="00827508">
            <w:r w:rsidRPr="00827508">
              <w:t>Result</w:t>
            </w:r>
          </w:p>
        </w:tc>
        <w:tc>
          <w:tcPr>
            <w:tcW w:w="2340" w:type="dxa"/>
            <w:tcBorders>
              <w:top w:val="nil"/>
              <w:left w:val="nil"/>
              <w:bottom w:val="single" w:sz="4" w:space="0" w:color="auto"/>
              <w:right w:val="single" w:sz="4" w:space="0" w:color="auto"/>
            </w:tcBorders>
            <w:shd w:val="clear" w:color="auto" w:fill="auto"/>
            <w:noWrap/>
            <w:vAlign w:val="bottom"/>
            <w:hideMark/>
          </w:tcPr>
          <w:p w:rsidR="00827508" w:rsidRPr="00827508" w:rsidRDefault="00827508" w:rsidP="00827508">
            <w:r w:rsidRPr="00827508">
              <w:t>1.206123973</w:t>
            </w:r>
          </w:p>
        </w:tc>
        <w:tc>
          <w:tcPr>
            <w:tcW w:w="2378" w:type="dxa"/>
            <w:tcBorders>
              <w:top w:val="nil"/>
              <w:left w:val="nil"/>
              <w:bottom w:val="single" w:sz="4" w:space="0" w:color="auto"/>
              <w:right w:val="single" w:sz="4" w:space="0" w:color="auto"/>
            </w:tcBorders>
            <w:shd w:val="clear" w:color="auto" w:fill="auto"/>
            <w:noWrap/>
            <w:vAlign w:val="bottom"/>
            <w:hideMark/>
          </w:tcPr>
          <w:p w:rsidR="00827508" w:rsidRPr="00827508" w:rsidRDefault="00827508" w:rsidP="00827508">
            <w:r w:rsidRPr="00827508">
              <w:t>1.126237624</w:t>
            </w:r>
          </w:p>
        </w:tc>
      </w:tr>
    </w:tbl>
    <w:p w:rsidR="00827508" w:rsidRDefault="00827508" w:rsidP="001C34E6">
      <w:pPr>
        <w:ind w:firstLine="576"/>
      </w:pPr>
    </w:p>
    <w:p w:rsidR="00827508" w:rsidRDefault="00F06958" w:rsidP="00827508">
      <w:pPr>
        <w:rPr>
          <w:noProof/>
          <w:lang w:val="en-US" w:eastAsia="en-US"/>
        </w:rPr>
      </w:pPr>
      <w:r w:rsidRPr="00827508">
        <w:rPr>
          <w:noProof/>
          <w:lang w:val="en-US" w:eastAsia="en-US"/>
        </w:rPr>
        <w:lastRenderedPageBreak/>
        <w:drawing>
          <wp:inline distT="0" distB="0" distL="0" distR="0">
            <wp:extent cx="4572000" cy="2743200"/>
            <wp:effectExtent l="0" t="0" r="0" b="0"/>
            <wp:docPr id="4" name="Chart 1"/>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rsidR="005F0DF0" w:rsidRDefault="005F0DF0" w:rsidP="005F0DF0">
      <w:r>
        <w:rPr>
          <w:noProof/>
          <w:lang w:val="en-US" w:eastAsia="en-US"/>
        </w:rPr>
        <w:t>Quick ratio only is slight different from current ratio and this ratio is of time period</w:t>
      </w:r>
      <w:r w:rsidR="00623E20">
        <w:rPr>
          <w:szCs w:val="24"/>
          <w:lang w:val="en-IN"/>
        </w:rPr>
        <w:t xml:space="preserve"> (Rehman, 2013)</w:t>
      </w:r>
      <w:r>
        <w:rPr>
          <w:noProof/>
          <w:lang w:val="en-US" w:eastAsia="en-US"/>
        </w:rPr>
        <w:t>. Current ratio represents the assets which can be sold within an year for paying off debts and quick ratio is the ratio that represents the assets which can be sold within a month</w:t>
      </w:r>
      <w:r w:rsidR="002240A4">
        <w:rPr>
          <w:noProof/>
          <w:lang w:val="en-US" w:eastAsia="en-US"/>
        </w:rPr>
        <w:t xml:space="preserve"> </w:t>
      </w:r>
      <w:r w:rsidR="002240A4">
        <w:rPr>
          <w:color w:val="222222"/>
          <w:szCs w:val="24"/>
        </w:rPr>
        <w:t>(Da Gbadji, Gailly and Schwienbacher, 2015)</w:t>
      </w:r>
      <w:r>
        <w:rPr>
          <w:noProof/>
          <w:lang w:val="en-US" w:eastAsia="en-US"/>
        </w:rPr>
        <w:t xml:space="preserve">. The ideal quick ratio in hotel industry is 1:1 and the quick ratio of </w:t>
      </w:r>
      <w:r>
        <w:t>Gatsby Grange in both the years are sufficient but similar to the current ratio; a degrading quick ratio is not a good indicator</w:t>
      </w:r>
      <w:r w:rsidR="002240A4">
        <w:rPr>
          <w:color w:val="222222"/>
          <w:szCs w:val="24"/>
        </w:rPr>
        <w:t xml:space="preserve"> (Hudson, 2017)</w:t>
      </w:r>
      <w:r>
        <w:t xml:space="preserve">. </w:t>
      </w:r>
    </w:p>
    <w:p w:rsidR="001C34E6" w:rsidRDefault="001C34E6" w:rsidP="001C34E6">
      <w:pPr>
        <w:ind w:firstLine="576"/>
        <w:rPr>
          <w:b/>
        </w:rPr>
      </w:pPr>
      <w:r w:rsidRPr="001C34E6">
        <w:rPr>
          <w:b/>
        </w:rPr>
        <w:t>Gearing ratios</w:t>
      </w:r>
    </w:p>
    <w:p w:rsidR="004358B8" w:rsidRPr="004358B8" w:rsidRDefault="004358B8" w:rsidP="00623E20">
      <w:r>
        <w:t>This is the third and last ratio family which has been considered for analysis of Gatsby Grange</w:t>
      </w:r>
      <w:r w:rsidR="00623E20">
        <w:rPr>
          <w:szCs w:val="24"/>
          <w:lang w:val="en-IN"/>
        </w:rPr>
        <w:t xml:space="preserve"> (Singh, Kumar and Colombage, 2017)</w:t>
      </w:r>
      <w:r>
        <w:t>. Gearing ratios are the financial metrics that helps in comparing the shareholder’s equity from the debts of the company. These ratios are calculated with the aim of identifying the leverage of the company</w:t>
      </w:r>
      <w:r w:rsidR="00623E20">
        <w:rPr>
          <w:szCs w:val="24"/>
          <w:lang w:val="en-IN"/>
        </w:rPr>
        <w:t xml:space="preserve"> (</w:t>
      </w:r>
      <w:r w:rsidR="00623E20">
        <w:rPr>
          <w:color w:val="222222"/>
        </w:rPr>
        <w:t>Camilleri, 2015)</w:t>
      </w:r>
      <w:r>
        <w:t xml:space="preserve">. The ratios of gearing selected for Gatsby Grange are dent equity and equity ratio. </w:t>
      </w:r>
    </w:p>
    <w:p w:rsidR="001C34E6" w:rsidRPr="00827508" w:rsidRDefault="004358B8" w:rsidP="00827508">
      <w:r>
        <w:t xml:space="preserve"> </w:t>
      </w:r>
      <w:r w:rsidR="001C34E6">
        <w:t>Debt equity ratio</w:t>
      </w:r>
    </w:p>
    <w:tbl>
      <w:tblPr>
        <w:tblW w:w="9292" w:type="dxa"/>
        <w:tblInd w:w="108" w:type="dxa"/>
        <w:tblLook w:val="04A0" w:firstRow="1" w:lastRow="0" w:firstColumn="1" w:lastColumn="0" w:noHBand="0" w:noVBand="1"/>
      </w:tblPr>
      <w:tblGrid>
        <w:gridCol w:w="2070"/>
        <w:gridCol w:w="3690"/>
        <w:gridCol w:w="3532"/>
      </w:tblGrid>
      <w:tr w:rsidR="00827508" w:rsidRPr="00827508" w:rsidTr="009F0B8A">
        <w:trPr>
          <w:trHeight w:val="304"/>
        </w:trPr>
        <w:tc>
          <w:tcPr>
            <w:tcW w:w="9292" w:type="dxa"/>
            <w:gridSpan w:val="3"/>
            <w:tcBorders>
              <w:top w:val="single" w:sz="4" w:space="0" w:color="auto"/>
              <w:left w:val="single" w:sz="4" w:space="0" w:color="auto"/>
              <w:bottom w:val="single" w:sz="4" w:space="0" w:color="auto"/>
              <w:right w:val="single" w:sz="4" w:space="0" w:color="000000"/>
            </w:tcBorders>
            <w:shd w:val="clear" w:color="auto" w:fill="CCCCFF"/>
            <w:noWrap/>
            <w:vAlign w:val="bottom"/>
            <w:hideMark/>
          </w:tcPr>
          <w:p w:rsidR="00827508" w:rsidRPr="00827508" w:rsidRDefault="00827508" w:rsidP="004358B8">
            <w:pPr>
              <w:jc w:val="center"/>
            </w:pPr>
            <w:r w:rsidRPr="00827508">
              <w:t>Debt equity ratio</w:t>
            </w:r>
          </w:p>
        </w:tc>
      </w:tr>
      <w:tr w:rsidR="00827508" w:rsidRPr="00827508" w:rsidTr="00827508">
        <w:trPr>
          <w:trHeight w:val="580"/>
        </w:trPr>
        <w:tc>
          <w:tcPr>
            <w:tcW w:w="2070" w:type="dxa"/>
            <w:tcBorders>
              <w:top w:val="nil"/>
              <w:left w:val="single" w:sz="4" w:space="0" w:color="auto"/>
              <w:bottom w:val="single" w:sz="4" w:space="0" w:color="auto"/>
              <w:right w:val="single" w:sz="4" w:space="0" w:color="auto"/>
            </w:tcBorders>
            <w:shd w:val="clear" w:color="auto" w:fill="auto"/>
            <w:noWrap/>
            <w:vAlign w:val="bottom"/>
            <w:hideMark/>
          </w:tcPr>
          <w:p w:rsidR="00827508" w:rsidRPr="00827508" w:rsidRDefault="00827508" w:rsidP="00827508">
            <w:r w:rsidRPr="00827508">
              <w:t xml:space="preserve">Formula </w:t>
            </w:r>
          </w:p>
        </w:tc>
        <w:tc>
          <w:tcPr>
            <w:tcW w:w="7222" w:type="dxa"/>
            <w:gridSpan w:val="2"/>
            <w:tcBorders>
              <w:top w:val="single" w:sz="4" w:space="0" w:color="auto"/>
              <w:left w:val="nil"/>
              <w:bottom w:val="single" w:sz="4" w:space="0" w:color="auto"/>
              <w:right w:val="single" w:sz="4" w:space="0" w:color="000000"/>
            </w:tcBorders>
            <w:shd w:val="clear" w:color="auto" w:fill="auto"/>
            <w:vAlign w:val="bottom"/>
            <w:hideMark/>
          </w:tcPr>
          <w:p w:rsidR="00827508" w:rsidRPr="00827508" w:rsidRDefault="00827508" w:rsidP="00827508">
            <w:r w:rsidRPr="00827508">
              <w:t>Debt (short term + long term debt +  other fixed payment) / Equity (Shareholder's equity)</w:t>
            </w:r>
          </w:p>
        </w:tc>
      </w:tr>
      <w:tr w:rsidR="00827508" w:rsidRPr="00827508" w:rsidTr="00827508">
        <w:trPr>
          <w:trHeight w:val="304"/>
        </w:trPr>
        <w:tc>
          <w:tcPr>
            <w:tcW w:w="2070" w:type="dxa"/>
            <w:tcBorders>
              <w:top w:val="nil"/>
              <w:left w:val="single" w:sz="4" w:space="0" w:color="auto"/>
              <w:bottom w:val="single" w:sz="4" w:space="0" w:color="auto"/>
              <w:right w:val="single" w:sz="4" w:space="0" w:color="auto"/>
            </w:tcBorders>
            <w:shd w:val="clear" w:color="auto" w:fill="auto"/>
            <w:noWrap/>
            <w:vAlign w:val="bottom"/>
            <w:hideMark/>
          </w:tcPr>
          <w:p w:rsidR="00827508" w:rsidRPr="00827508" w:rsidRDefault="00827508" w:rsidP="00827508">
            <w:r w:rsidRPr="00827508">
              <w:t> </w:t>
            </w:r>
          </w:p>
        </w:tc>
        <w:tc>
          <w:tcPr>
            <w:tcW w:w="3690" w:type="dxa"/>
            <w:tcBorders>
              <w:top w:val="nil"/>
              <w:left w:val="nil"/>
              <w:bottom w:val="single" w:sz="4" w:space="0" w:color="auto"/>
              <w:right w:val="single" w:sz="4" w:space="0" w:color="auto"/>
            </w:tcBorders>
            <w:shd w:val="clear" w:color="auto" w:fill="auto"/>
            <w:noWrap/>
            <w:vAlign w:val="bottom"/>
            <w:hideMark/>
          </w:tcPr>
          <w:p w:rsidR="00827508" w:rsidRPr="00827508" w:rsidRDefault="00827508" w:rsidP="00827508">
            <w:r w:rsidRPr="00827508">
              <w:t>2018</w:t>
            </w:r>
          </w:p>
        </w:tc>
        <w:tc>
          <w:tcPr>
            <w:tcW w:w="3532" w:type="dxa"/>
            <w:tcBorders>
              <w:top w:val="nil"/>
              <w:left w:val="nil"/>
              <w:bottom w:val="single" w:sz="4" w:space="0" w:color="auto"/>
              <w:right w:val="single" w:sz="4" w:space="0" w:color="auto"/>
            </w:tcBorders>
            <w:shd w:val="clear" w:color="auto" w:fill="auto"/>
            <w:noWrap/>
            <w:vAlign w:val="bottom"/>
            <w:hideMark/>
          </w:tcPr>
          <w:p w:rsidR="00827508" w:rsidRPr="00827508" w:rsidRDefault="00827508" w:rsidP="00827508">
            <w:r w:rsidRPr="00827508">
              <w:t>2019</w:t>
            </w:r>
          </w:p>
        </w:tc>
      </w:tr>
      <w:tr w:rsidR="00827508" w:rsidRPr="00827508" w:rsidTr="00827508">
        <w:trPr>
          <w:trHeight w:val="304"/>
        </w:trPr>
        <w:tc>
          <w:tcPr>
            <w:tcW w:w="2070" w:type="dxa"/>
            <w:tcBorders>
              <w:top w:val="nil"/>
              <w:left w:val="single" w:sz="4" w:space="0" w:color="auto"/>
              <w:bottom w:val="single" w:sz="4" w:space="0" w:color="auto"/>
              <w:right w:val="single" w:sz="4" w:space="0" w:color="auto"/>
            </w:tcBorders>
            <w:shd w:val="clear" w:color="auto" w:fill="auto"/>
            <w:noWrap/>
            <w:vAlign w:val="bottom"/>
            <w:hideMark/>
          </w:tcPr>
          <w:p w:rsidR="00827508" w:rsidRPr="00827508" w:rsidRDefault="00827508" w:rsidP="00827508">
            <w:r w:rsidRPr="00827508">
              <w:t xml:space="preserve">Debt </w:t>
            </w:r>
          </w:p>
        </w:tc>
        <w:tc>
          <w:tcPr>
            <w:tcW w:w="3690" w:type="dxa"/>
            <w:tcBorders>
              <w:top w:val="nil"/>
              <w:left w:val="nil"/>
              <w:bottom w:val="single" w:sz="4" w:space="0" w:color="auto"/>
              <w:right w:val="single" w:sz="4" w:space="0" w:color="auto"/>
            </w:tcBorders>
            <w:shd w:val="clear" w:color="auto" w:fill="auto"/>
            <w:noWrap/>
            <w:vAlign w:val="bottom"/>
            <w:hideMark/>
          </w:tcPr>
          <w:p w:rsidR="00827508" w:rsidRPr="00827508" w:rsidRDefault="00827508" w:rsidP="00827508">
            <w:r w:rsidRPr="00827508">
              <w:t>1489</w:t>
            </w:r>
          </w:p>
        </w:tc>
        <w:tc>
          <w:tcPr>
            <w:tcW w:w="3532" w:type="dxa"/>
            <w:tcBorders>
              <w:top w:val="nil"/>
              <w:left w:val="nil"/>
              <w:bottom w:val="single" w:sz="4" w:space="0" w:color="auto"/>
              <w:right w:val="single" w:sz="4" w:space="0" w:color="auto"/>
            </w:tcBorders>
            <w:shd w:val="clear" w:color="auto" w:fill="auto"/>
            <w:noWrap/>
            <w:vAlign w:val="bottom"/>
            <w:hideMark/>
          </w:tcPr>
          <w:p w:rsidR="00827508" w:rsidRPr="00827508" w:rsidRDefault="00827508" w:rsidP="00827508">
            <w:r w:rsidRPr="00827508">
              <w:t>1761</w:t>
            </w:r>
          </w:p>
        </w:tc>
      </w:tr>
      <w:tr w:rsidR="00827508" w:rsidRPr="00827508" w:rsidTr="00827508">
        <w:trPr>
          <w:trHeight w:val="304"/>
        </w:trPr>
        <w:tc>
          <w:tcPr>
            <w:tcW w:w="2070" w:type="dxa"/>
            <w:tcBorders>
              <w:top w:val="nil"/>
              <w:left w:val="single" w:sz="4" w:space="0" w:color="auto"/>
              <w:bottom w:val="nil"/>
              <w:right w:val="single" w:sz="4" w:space="0" w:color="auto"/>
            </w:tcBorders>
            <w:shd w:val="clear" w:color="auto" w:fill="auto"/>
            <w:noWrap/>
            <w:vAlign w:val="bottom"/>
            <w:hideMark/>
          </w:tcPr>
          <w:p w:rsidR="00827508" w:rsidRPr="00827508" w:rsidRDefault="00827508" w:rsidP="00827508">
            <w:r w:rsidRPr="00827508">
              <w:t>Equity</w:t>
            </w:r>
          </w:p>
        </w:tc>
        <w:tc>
          <w:tcPr>
            <w:tcW w:w="3690" w:type="dxa"/>
            <w:tcBorders>
              <w:top w:val="nil"/>
              <w:left w:val="nil"/>
              <w:bottom w:val="nil"/>
              <w:right w:val="single" w:sz="4" w:space="0" w:color="auto"/>
            </w:tcBorders>
            <w:shd w:val="clear" w:color="auto" w:fill="auto"/>
            <w:noWrap/>
            <w:vAlign w:val="bottom"/>
            <w:hideMark/>
          </w:tcPr>
          <w:p w:rsidR="00827508" w:rsidRPr="00827508" w:rsidRDefault="00827508" w:rsidP="00827508">
            <w:r w:rsidRPr="00827508">
              <w:t>2068</w:t>
            </w:r>
          </w:p>
        </w:tc>
        <w:tc>
          <w:tcPr>
            <w:tcW w:w="3532" w:type="dxa"/>
            <w:tcBorders>
              <w:top w:val="nil"/>
              <w:left w:val="nil"/>
              <w:bottom w:val="nil"/>
              <w:right w:val="single" w:sz="4" w:space="0" w:color="auto"/>
            </w:tcBorders>
            <w:shd w:val="clear" w:color="auto" w:fill="auto"/>
            <w:noWrap/>
            <w:vAlign w:val="bottom"/>
            <w:hideMark/>
          </w:tcPr>
          <w:p w:rsidR="00827508" w:rsidRPr="00827508" w:rsidRDefault="00827508" w:rsidP="00827508">
            <w:r w:rsidRPr="00827508">
              <w:t>2056</w:t>
            </w:r>
          </w:p>
        </w:tc>
      </w:tr>
      <w:tr w:rsidR="00827508" w:rsidRPr="00827508" w:rsidTr="00827508">
        <w:trPr>
          <w:trHeight w:val="304"/>
        </w:trPr>
        <w:tc>
          <w:tcPr>
            <w:tcW w:w="207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27508" w:rsidRPr="00827508" w:rsidRDefault="00827508" w:rsidP="00827508">
            <w:r w:rsidRPr="00827508">
              <w:t>Calculation</w:t>
            </w:r>
          </w:p>
        </w:tc>
        <w:tc>
          <w:tcPr>
            <w:tcW w:w="3690" w:type="dxa"/>
            <w:tcBorders>
              <w:top w:val="single" w:sz="4" w:space="0" w:color="auto"/>
              <w:left w:val="nil"/>
              <w:bottom w:val="single" w:sz="4" w:space="0" w:color="auto"/>
              <w:right w:val="single" w:sz="4" w:space="0" w:color="auto"/>
            </w:tcBorders>
            <w:shd w:val="clear" w:color="auto" w:fill="auto"/>
            <w:noWrap/>
            <w:vAlign w:val="bottom"/>
            <w:hideMark/>
          </w:tcPr>
          <w:p w:rsidR="00827508" w:rsidRPr="00827508" w:rsidRDefault="00827508" w:rsidP="00827508">
            <w:r w:rsidRPr="00827508">
              <w:t>1489 / 2068</w:t>
            </w:r>
          </w:p>
        </w:tc>
        <w:tc>
          <w:tcPr>
            <w:tcW w:w="3532" w:type="dxa"/>
            <w:tcBorders>
              <w:top w:val="single" w:sz="4" w:space="0" w:color="auto"/>
              <w:left w:val="nil"/>
              <w:bottom w:val="single" w:sz="4" w:space="0" w:color="auto"/>
              <w:right w:val="single" w:sz="4" w:space="0" w:color="auto"/>
            </w:tcBorders>
            <w:shd w:val="clear" w:color="auto" w:fill="auto"/>
            <w:noWrap/>
            <w:vAlign w:val="bottom"/>
            <w:hideMark/>
          </w:tcPr>
          <w:p w:rsidR="00827508" w:rsidRPr="00827508" w:rsidRDefault="00827508" w:rsidP="00827508">
            <w:r w:rsidRPr="00827508">
              <w:t>1761 / 2056</w:t>
            </w:r>
          </w:p>
        </w:tc>
      </w:tr>
      <w:tr w:rsidR="00827508" w:rsidRPr="00827508" w:rsidTr="00827508">
        <w:trPr>
          <w:trHeight w:val="304"/>
        </w:trPr>
        <w:tc>
          <w:tcPr>
            <w:tcW w:w="2070" w:type="dxa"/>
            <w:tcBorders>
              <w:top w:val="nil"/>
              <w:left w:val="single" w:sz="4" w:space="0" w:color="auto"/>
              <w:bottom w:val="single" w:sz="4" w:space="0" w:color="auto"/>
              <w:right w:val="single" w:sz="4" w:space="0" w:color="auto"/>
            </w:tcBorders>
            <w:shd w:val="clear" w:color="auto" w:fill="auto"/>
            <w:noWrap/>
            <w:vAlign w:val="bottom"/>
            <w:hideMark/>
          </w:tcPr>
          <w:p w:rsidR="00827508" w:rsidRPr="00827508" w:rsidRDefault="00827508" w:rsidP="00827508">
            <w:r w:rsidRPr="00827508">
              <w:lastRenderedPageBreak/>
              <w:t>Result</w:t>
            </w:r>
          </w:p>
        </w:tc>
        <w:tc>
          <w:tcPr>
            <w:tcW w:w="3690" w:type="dxa"/>
            <w:tcBorders>
              <w:top w:val="nil"/>
              <w:left w:val="nil"/>
              <w:bottom w:val="single" w:sz="4" w:space="0" w:color="auto"/>
              <w:right w:val="single" w:sz="4" w:space="0" w:color="auto"/>
            </w:tcBorders>
            <w:shd w:val="clear" w:color="auto" w:fill="auto"/>
            <w:noWrap/>
            <w:vAlign w:val="bottom"/>
            <w:hideMark/>
          </w:tcPr>
          <w:p w:rsidR="00827508" w:rsidRPr="00827508" w:rsidRDefault="00827508" w:rsidP="00827508">
            <w:r w:rsidRPr="00827508">
              <w:t>0.720019342</w:t>
            </w:r>
          </w:p>
        </w:tc>
        <w:tc>
          <w:tcPr>
            <w:tcW w:w="3532" w:type="dxa"/>
            <w:tcBorders>
              <w:top w:val="nil"/>
              <w:left w:val="nil"/>
              <w:bottom w:val="single" w:sz="4" w:space="0" w:color="auto"/>
              <w:right w:val="single" w:sz="4" w:space="0" w:color="auto"/>
            </w:tcBorders>
            <w:shd w:val="clear" w:color="auto" w:fill="auto"/>
            <w:noWrap/>
            <w:vAlign w:val="bottom"/>
            <w:hideMark/>
          </w:tcPr>
          <w:p w:rsidR="00827508" w:rsidRPr="00827508" w:rsidRDefault="00827508" w:rsidP="00827508">
            <w:r w:rsidRPr="00827508">
              <w:t>0.85651751</w:t>
            </w:r>
          </w:p>
        </w:tc>
      </w:tr>
    </w:tbl>
    <w:p w:rsidR="00827508" w:rsidRDefault="00827508" w:rsidP="00827508">
      <w:pPr>
        <w:rPr>
          <w:noProof/>
          <w:lang w:val="en-US" w:eastAsia="en-US"/>
        </w:rPr>
      </w:pPr>
    </w:p>
    <w:p w:rsidR="00827508" w:rsidRDefault="00F06958" w:rsidP="00827508">
      <w:pPr>
        <w:rPr>
          <w:noProof/>
          <w:lang w:val="en-US" w:eastAsia="en-US"/>
        </w:rPr>
      </w:pPr>
      <w:r w:rsidRPr="00827508">
        <w:rPr>
          <w:noProof/>
          <w:lang w:val="en-US" w:eastAsia="en-US"/>
        </w:rPr>
        <w:drawing>
          <wp:inline distT="0" distB="0" distL="0" distR="0">
            <wp:extent cx="4572000" cy="2743200"/>
            <wp:effectExtent l="0" t="0" r="0" b="0"/>
            <wp:docPr id="5" name="Chart 1"/>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rsidR="004358B8" w:rsidRDefault="004358B8" w:rsidP="00EB601D">
      <w:pPr>
        <w:rPr>
          <w:noProof/>
          <w:lang w:val="en-US" w:eastAsia="en-US"/>
        </w:rPr>
      </w:pPr>
      <w:r>
        <w:rPr>
          <w:noProof/>
          <w:lang w:val="en-US" w:eastAsia="en-US"/>
        </w:rPr>
        <w:t xml:space="preserve">This ratio </w:t>
      </w:r>
      <w:r w:rsidR="004A2C19">
        <w:rPr>
          <w:noProof/>
          <w:lang w:val="en-US" w:eastAsia="en-US"/>
        </w:rPr>
        <w:t>of debt equity helps in caluclating the ability of an organisatio</w:t>
      </w:r>
      <w:r w:rsidR="00210AD7">
        <w:rPr>
          <w:noProof/>
          <w:lang w:val="en-US" w:eastAsia="en-US"/>
        </w:rPr>
        <w:t>n to pay off its debts from its equity</w:t>
      </w:r>
      <w:r w:rsidR="00623E20">
        <w:rPr>
          <w:color w:val="222222"/>
        </w:rPr>
        <w:t xml:space="preserve"> (Capkun, Collins and Jeanjean, 2016)</w:t>
      </w:r>
      <w:r w:rsidR="00210AD7">
        <w:rPr>
          <w:noProof/>
          <w:lang w:val="en-US" w:eastAsia="en-US"/>
        </w:rPr>
        <w:t>. The ratio of debt equity is similar to the current ratio but there is a difference that current ratio is used to caclulate a company’s ability to pay its short term debts and debt equity ratio is used to pay off long term debts</w:t>
      </w:r>
      <w:r w:rsidR="00623E20">
        <w:rPr>
          <w:color w:val="222222"/>
        </w:rPr>
        <w:t xml:space="preserve"> (Christensen and et.al., 2015)</w:t>
      </w:r>
      <w:r w:rsidR="00210AD7">
        <w:rPr>
          <w:noProof/>
          <w:lang w:val="en-US" w:eastAsia="en-US"/>
        </w:rPr>
        <w:t xml:space="preserve">. The above tabular and graphical representation shows that the </w:t>
      </w:r>
      <w:r w:rsidR="00EB601D">
        <w:rPr>
          <w:noProof/>
          <w:lang w:val="en-US" w:eastAsia="en-US"/>
        </w:rPr>
        <w:t xml:space="preserve">debt equity ratio of </w:t>
      </w:r>
      <w:r w:rsidR="00EB601D">
        <w:t>Gatsby Grange</w:t>
      </w:r>
      <w:r w:rsidR="00F672BD">
        <w:t xml:space="preserve"> is sufficient in any year. An affirmative trend has been observed in debt equity ratio as this ratio has increased from 2018 to 2019.  </w:t>
      </w:r>
    </w:p>
    <w:p w:rsidR="00827508" w:rsidRPr="00827508" w:rsidRDefault="00827508" w:rsidP="00827508">
      <w:r>
        <w:t>Equity ratio</w:t>
      </w:r>
    </w:p>
    <w:tbl>
      <w:tblPr>
        <w:tblW w:w="9265" w:type="dxa"/>
        <w:tblInd w:w="108" w:type="dxa"/>
        <w:tblLook w:val="04A0" w:firstRow="1" w:lastRow="0" w:firstColumn="1" w:lastColumn="0" w:noHBand="0" w:noVBand="1"/>
      </w:tblPr>
      <w:tblGrid>
        <w:gridCol w:w="3060"/>
        <w:gridCol w:w="3510"/>
        <w:gridCol w:w="2695"/>
      </w:tblGrid>
      <w:tr w:rsidR="00827508" w:rsidRPr="00827508" w:rsidTr="009F0B8A">
        <w:trPr>
          <w:trHeight w:val="262"/>
        </w:trPr>
        <w:tc>
          <w:tcPr>
            <w:tcW w:w="9265" w:type="dxa"/>
            <w:gridSpan w:val="3"/>
            <w:tcBorders>
              <w:top w:val="single" w:sz="4" w:space="0" w:color="auto"/>
              <w:left w:val="single" w:sz="4" w:space="0" w:color="auto"/>
              <w:bottom w:val="single" w:sz="4" w:space="0" w:color="auto"/>
              <w:right w:val="single" w:sz="4" w:space="0" w:color="000000"/>
            </w:tcBorders>
            <w:shd w:val="clear" w:color="auto" w:fill="CCCCFF"/>
            <w:noWrap/>
            <w:vAlign w:val="bottom"/>
            <w:hideMark/>
          </w:tcPr>
          <w:p w:rsidR="00827508" w:rsidRPr="00827508" w:rsidRDefault="00827508" w:rsidP="00555457">
            <w:pPr>
              <w:jc w:val="center"/>
            </w:pPr>
            <w:r w:rsidRPr="00827508">
              <w:t>Equity ratio</w:t>
            </w:r>
          </w:p>
        </w:tc>
      </w:tr>
      <w:tr w:rsidR="00827508" w:rsidRPr="00827508" w:rsidTr="00827508">
        <w:trPr>
          <w:trHeight w:val="262"/>
        </w:trPr>
        <w:tc>
          <w:tcPr>
            <w:tcW w:w="3060" w:type="dxa"/>
            <w:tcBorders>
              <w:top w:val="nil"/>
              <w:left w:val="single" w:sz="4" w:space="0" w:color="auto"/>
              <w:bottom w:val="single" w:sz="4" w:space="0" w:color="auto"/>
              <w:right w:val="single" w:sz="4" w:space="0" w:color="auto"/>
            </w:tcBorders>
            <w:shd w:val="clear" w:color="auto" w:fill="auto"/>
            <w:noWrap/>
            <w:vAlign w:val="bottom"/>
            <w:hideMark/>
          </w:tcPr>
          <w:p w:rsidR="00827508" w:rsidRPr="00827508" w:rsidRDefault="00827508" w:rsidP="00827508">
            <w:r w:rsidRPr="00827508">
              <w:t xml:space="preserve">Formula </w:t>
            </w:r>
          </w:p>
        </w:tc>
        <w:tc>
          <w:tcPr>
            <w:tcW w:w="6205" w:type="dxa"/>
            <w:gridSpan w:val="2"/>
            <w:tcBorders>
              <w:top w:val="single" w:sz="4" w:space="0" w:color="auto"/>
              <w:left w:val="nil"/>
              <w:bottom w:val="single" w:sz="4" w:space="0" w:color="auto"/>
              <w:right w:val="single" w:sz="4" w:space="0" w:color="000000"/>
            </w:tcBorders>
            <w:shd w:val="clear" w:color="auto" w:fill="auto"/>
            <w:vAlign w:val="bottom"/>
            <w:hideMark/>
          </w:tcPr>
          <w:p w:rsidR="00827508" w:rsidRPr="00827508" w:rsidRDefault="00827508" w:rsidP="00827508">
            <w:r w:rsidRPr="00827508">
              <w:t>Shareholder's equity / Total assets</w:t>
            </w:r>
          </w:p>
        </w:tc>
      </w:tr>
      <w:tr w:rsidR="00827508" w:rsidRPr="00827508" w:rsidTr="00827508">
        <w:trPr>
          <w:trHeight w:val="262"/>
        </w:trPr>
        <w:tc>
          <w:tcPr>
            <w:tcW w:w="3060" w:type="dxa"/>
            <w:tcBorders>
              <w:top w:val="nil"/>
              <w:left w:val="single" w:sz="4" w:space="0" w:color="auto"/>
              <w:bottom w:val="single" w:sz="4" w:space="0" w:color="auto"/>
              <w:right w:val="single" w:sz="4" w:space="0" w:color="auto"/>
            </w:tcBorders>
            <w:shd w:val="clear" w:color="auto" w:fill="auto"/>
            <w:noWrap/>
            <w:vAlign w:val="bottom"/>
            <w:hideMark/>
          </w:tcPr>
          <w:p w:rsidR="00827508" w:rsidRPr="00827508" w:rsidRDefault="00827508" w:rsidP="00827508">
            <w:r w:rsidRPr="00827508">
              <w:t> </w:t>
            </w:r>
          </w:p>
        </w:tc>
        <w:tc>
          <w:tcPr>
            <w:tcW w:w="3510" w:type="dxa"/>
            <w:tcBorders>
              <w:top w:val="nil"/>
              <w:left w:val="nil"/>
              <w:bottom w:val="single" w:sz="4" w:space="0" w:color="auto"/>
              <w:right w:val="single" w:sz="4" w:space="0" w:color="auto"/>
            </w:tcBorders>
            <w:shd w:val="clear" w:color="auto" w:fill="auto"/>
            <w:noWrap/>
            <w:vAlign w:val="bottom"/>
            <w:hideMark/>
          </w:tcPr>
          <w:p w:rsidR="00827508" w:rsidRPr="00827508" w:rsidRDefault="00827508" w:rsidP="00827508">
            <w:r w:rsidRPr="00827508">
              <w:t>2018</w:t>
            </w:r>
          </w:p>
        </w:tc>
        <w:tc>
          <w:tcPr>
            <w:tcW w:w="2695" w:type="dxa"/>
            <w:tcBorders>
              <w:top w:val="nil"/>
              <w:left w:val="nil"/>
              <w:bottom w:val="single" w:sz="4" w:space="0" w:color="auto"/>
              <w:right w:val="single" w:sz="4" w:space="0" w:color="auto"/>
            </w:tcBorders>
            <w:shd w:val="clear" w:color="auto" w:fill="auto"/>
            <w:noWrap/>
            <w:vAlign w:val="bottom"/>
            <w:hideMark/>
          </w:tcPr>
          <w:p w:rsidR="00827508" w:rsidRPr="00827508" w:rsidRDefault="00827508" w:rsidP="00827508">
            <w:r w:rsidRPr="00827508">
              <w:t>2019</w:t>
            </w:r>
          </w:p>
        </w:tc>
      </w:tr>
      <w:tr w:rsidR="00827508" w:rsidRPr="00827508" w:rsidTr="00827508">
        <w:trPr>
          <w:trHeight w:val="262"/>
        </w:trPr>
        <w:tc>
          <w:tcPr>
            <w:tcW w:w="3060" w:type="dxa"/>
            <w:tcBorders>
              <w:top w:val="nil"/>
              <w:left w:val="single" w:sz="4" w:space="0" w:color="auto"/>
              <w:bottom w:val="single" w:sz="4" w:space="0" w:color="auto"/>
              <w:right w:val="single" w:sz="4" w:space="0" w:color="auto"/>
            </w:tcBorders>
            <w:shd w:val="clear" w:color="auto" w:fill="auto"/>
            <w:noWrap/>
            <w:vAlign w:val="bottom"/>
            <w:hideMark/>
          </w:tcPr>
          <w:p w:rsidR="00827508" w:rsidRPr="00827508" w:rsidRDefault="00827508" w:rsidP="00827508">
            <w:r w:rsidRPr="00827508">
              <w:t>Shareholder's equity</w:t>
            </w:r>
          </w:p>
        </w:tc>
        <w:tc>
          <w:tcPr>
            <w:tcW w:w="3510" w:type="dxa"/>
            <w:tcBorders>
              <w:top w:val="nil"/>
              <w:left w:val="nil"/>
              <w:bottom w:val="nil"/>
              <w:right w:val="single" w:sz="4" w:space="0" w:color="auto"/>
            </w:tcBorders>
            <w:shd w:val="clear" w:color="auto" w:fill="auto"/>
            <w:noWrap/>
            <w:vAlign w:val="bottom"/>
            <w:hideMark/>
          </w:tcPr>
          <w:p w:rsidR="00827508" w:rsidRPr="00827508" w:rsidRDefault="00827508" w:rsidP="00827508">
            <w:r w:rsidRPr="00827508">
              <w:t>2068</w:t>
            </w:r>
          </w:p>
        </w:tc>
        <w:tc>
          <w:tcPr>
            <w:tcW w:w="2695" w:type="dxa"/>
            <w:tcBorders>
              <w:top w:val="nil"/>
              <w:left w:val="nil"/>
              <w:bottom w:val="nil"/>
              <w:right w:val="single" w:sz="4" w:space="0" w:color="auto"/>
            </w:tcBorders>
            <w:shd w:val="clear" w:color="auto" w:fill="auto"/>
            <w:noWrap/>
            <w:vAlign w:val="bottom"/>
            <w:hideMark/>
          </w:tcPr>
          <w:p w:rsidR="00827508" w:rsidRPr="00827508" w:rsidRDefault="00827508" w:rsidP="00827508">
            <w:r w:rsidRPr="00827508">
              <w:t>2056</w:t>
            </w:r>
          </w:p>
        </w:tc>
      </w:tr>
      <w:tr w:rsidR="00827508" w:rsidRPr="00827508" w:rsidTr="00827508">
        <w:trPr>
          <w:trHeight w:val="262"/>
        </w:trPr>
        <w:tc>
          <w:tcPr>
            <w:tcW w:w="3060" w:type="dxa"/>
            <w:tcBorders>
              <w:top w:val="nil"/>
              <w:left w:val="single" w:sz="4" w:space="0" w:color="auto"/>
              <w:bottom w:val="nil"/>
              <w:right w:val="single" w:sz="4" w:space="0" w:color="auto"/>
            </w:tcBorders>
            <w:shd w:val="clear" w:color="auto" w:fill="auto"/>
            <w:noWrap/>
            <w:vAlign w:val="bottom"/>
            <w:hideMark/>
          </w:tcPr>
          <w:p w:rsidR="00827508" w:rsidRPr="00827508" w:rsidRDefault="00827508" w:rsidP="00827508">
            <w:r w:rsidRPr="00827508">
              <w:t>Total assets</w:t>
            </w:r>
          </w:p>
        </w:tc>
        <w:tc>
          <w:tcPr>
            <w:tcW w:w="3510" w:type="dxa"/>
            <w:tcBorders>
              <w:top w:val="single" w:sz="4" w:space="0" w:color="auto"/>
              <w:left w:val="nil"/>
              <w:bottom w:val="nil"/>
              <w:right w:val="single" w:sz="4" w:space="0" w:color="auto"/>
            </w:tcBorders>
            <w:shd w:val="clear" w:color="auto" w:fill="auto"/>
            <w:noWrap/>
            <w:vAlign w:val="bottom"/>
            <w:hideMark/>
          </w:tcPr>
          <w:p w:rsidR="00827508" w:rsidRPr="00827508" w:rsidRDefault="00827508" w:rsidP="00827508">
            <w:r w:rsidRPr="00827508">
              <w:t>7565</w:t>
            </w:r>
          </w:p>
        </w:tc>
        <w:tc>
          <w:tcPr>
            <w:tcW w:w="2695" w:type="dxa"/>
            <w:tcBorders>
              <w:top w:val="single" w:sz="4" w:space="0" w:color="auto"/>
              <w:left w:val="nil"/>
              <w:bottom w:val="nil"/>
              <w:right w:val="single" w:sz="4" w:space="0" w:color="auto"/>
            </w:tcBorders>
            <w:shd w:val="clear" w:color="auto" w:fill="auto"/>
            <w:noWrap/>
            <w:vAlign w:val="bottom"/>
            <w:hideMark/>
          </w:tcPr>
          <w:p w:rsidR="00827508" w:rsidRPr="00827508" w:rsidRDefault="00827508" w:rsidP="00827508">
            <w:r w:rsidRPr="00827508">
              <w:t>7890</w:t>
            </w:r>
          </w:p>
        </w:tc>
      </w:tr>
      <w:tr w:rsidR="00827508" w:rsidRPr="00827508" w:rsidTr="00827508">
        <w:trPr>
          <w:trHeight w:val="262"/>
        </w:trPr>
        <w:tc>
          <w:tcPr>
            <w:tcW w:w="30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27508" w:rsidRPr="00827508" w:rsidRDefault="00827508" w:rsidP="00827508">
            <w:r w:rsidRPr="00827508">
              <w:t>Calculation</w:t>
            </w:r>
          </w:p>
        </w:tc>
        <w:tc>
          <w:tcPr>
            <w:tcW w:w="3510" w:type="dxa"/>
            <w:tcBorders>
              <w:top w:val="single" w:sz="4" w:space="0" w:color="auto"/>
              <w:left w:val="nil"/>
              <w:bottom w:val="single" w:sz="4" w:space="0" w:color="auto"/>
              <w:right w:val="single" w:sz="4" w:space="0" w:color="auto"/>
            </w:tcBorders>
            <w:shd w:val="clear" w:color="auto" w:fill="auto"/>
            <w:noWrap/>
            <w:vAlign w:val="bottom"/>
            <w:hideMark/>
          </w:tcPr>
          <w:p w:rsidR="00827508" w:rsidRPr="00827508" w:rsidRDefault="00827508" w:rsidP="00827508">
            <w:r w:rsidRPr="00827508">
              <w:t>2068 / 7565</w:t>
            </w:r>
          </w:p>
        </w:tc>
        <w:tc>
          <w:tcPr>
            <w:tcW w:w="2695" w:type="dxa"/>
            <w:tcBorders>
              <w:top w:val="single" w:sz="4" w:space="0" w:color="auto"/>
              <w:left w:val="nil"/>
              <w:bottom w:val="single" w:sz="4" w:space="0" w:color="auto"/>
              <w:right w:val="single" w:sz="4" w:space="0" w:color="auto"/>
            </w:tcBorders>
            <w:shd w:val="clear" w:color="auto" w:fill="auto"/>
            <w:noWrap/>
            <w:vAlign w:val="bottom"/>
            <w:hideMark/>
          </w:tcPr>
          <w:p w:rsidR="00827508" w:rsidRPr="00827508" w:rsidRDefault="00827508" w:rsidP="00827508">
            <w:r w:rsidRPr="00827508">
              <w:t>2056 / 7890</w:t>
            </w:r>
          </w:p>
        </w:tc>
      </w:tr>
      <w:tr w:rsidR="00827508" w:rsidRPr="00827508" w:rsidTr="00827508">
        <w:trPr>
          <w:trHeight w:val="262"/>
        </w:trPr>
        <w:tc>
          <w:tcPr>
            <w:tcW w:w="3060" w:type="dxa"/>
            <w:tcBorders>
              <w:top w:val="nil"/>
              <w:left w:val="single" w:sz="4" w:space="0" w:color="auto"/>
              <w:bottom w:val="single" w:sz="4" w:space="0" w:color="auto"/>
              <w:right w:val="single" w:sz="4" w:space="0" w:color="auto"/>
            </w:tcBorders>
            <w:shd w:val="clear" w:color="auto" w:fill="auto"/>
            <w:noWrap/>
            <w:vAlign w:val="bottom"/>
            <w:hideMark/>
          </w:tcPr>
          <w:p w:rsidR="00827508" w:rsidRPr="00827508" w:rsidRDefault="00827508" w:rsidP="00827508">
            <w:r w:rsidRPr="00827508">
              <w:t>Result</w:t>
            </w:r>
          </w:p>
        </w:tc>
        <w:tc>
          <w:tcPr>
            <w:tcW w:w="3510" w:type="dxa"/>
            <w:tcBorders>
              <w:top w:val="nil"/>
              <w:left w:val="nil"/>
              <w:bottom w:val="single" w:sz="4" w:space="0" w:color="auto"/>
              <w:right w:val="single" w:sz="4" w:space="0" w:color="auto"/>
            </w:tcBorders>
            <w:shd w:val="clear" w:color="auto" w:fill="auto"/>
            <w:noWrap/>
            <w:vAlign w:val="bottom"/>
            <w:hideMark/>
          </w:tcPr>
          <w:p w:rsidR="00827508" w:rsidRPr="00827508" w:rsidRDefault="00827508" w:rsidP="00827508">
            <w:r w:rsidRPr="00827508">
              <w:t>0.273364177</w:t>
            </w:r>
          </w:p>
        </w:tc>
        <w:tc>
          <w:tcPr>
            <w:tcW w:w="2695" w:type="dxa"/>
            <w:tcBorders>
              <w:top w:val="nil"/>
              <w:left w:val="nil"/>
              <w:bottom w:val="single" w:sz="4" w:space="0" w:color="auto"/>
              <w:right w:val="single" w:sz="4" w:space="0" w:color="auto"/>
            </w:tcBorders>
            <w:shd w:val="clear" w:color="auto" w:fill="auto"/>
            <w:noWrap/>
            <w:vAlign w:val="bottom"/>
            <w:hideMark/>
          </w:tcPr>
          <w:p w:rsidR="00827508" w:rsidRPr="00827508" w:rsidRDefault="00827508" w:rsidP="00827508">
            <w:r w:rsidRPr="00827508">
              <w:t>0.260583016</w:t>
            </w:r>
          </w:p>
        </w:tc>
      </w:tr>
    </w:tbl>
    <w:p w:rsidR="00827508" w:rsidRDefault="00F06958" w:rsidP="00827508">
      <w:pPr>
        <w:rPr>
          <w:noProof/>
          <w:lang w:val="en-US" w:eastAsia="en-US"/>
        </w:rPr>
      </w:pPr>
      <w:r w:rsidRPr="00827508">
        <w:rPr>
          <w:noProof/>
          <w:lang w:val="en-US" w:eastAsia="en-US"/>
        </w:rPr>
        <w:lastRenderedPageBreak/>
        <w:drawing>
          <wp:inline distT="0" distB="0" distL="0" distR="0">
            <wp:extent cx="4572000" cy="2743200"/>
            <wp:effectExtent l="0" t="0" r="0" b="0"/>
            <wp:docPr id="6" name="Chart 1"/>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rsidR="00555457" w:rsidRPr="00827508" w:rsidRDefault="00555457" w:rsidP="00555457">
      <w:r>
        <w:rPr>
          <w:noProof/>
          <w:lang w:val="en-US" w:eastAsia="en-US"/>
        </w:rPr>
        <w:t>This particular ratio of equity is used to compare the equity position of an organisation when compared to total assets of a company</w:t>
      </w:r>
      <w:r w:rsidR="00623E20">
        <w:rPr>
          <w:color w:val="222222"/>
        </w:rPr>
        <w:t xml:space="preserve"> (Clatworthy and Peel, 2016)</w:t>
      </w:r>
      <w:r>
        <w:rPr>
          <w:noProof/>
          <w:lang w:val="en-US" w:eastAsia="en-US"/>
        </w:rPr>
        <w:t xml:space="preserve">. The above graph is representing a clear decresing trend of this ratio which implies that the leverage </w:t>
      </w:r>
      <w:r>
        <w:t xml:space="preserve">Gatsby Grange was entertaining has begun to decrease that can impact the equity position of this company.  </w:t>
      </w:r>
    </w:p>
    <w:p w:rsidR="005D3853" w:rsidRDefault="005D3853" w:rsidP="005D3853">
      <w:pPr>
        <w:pStyle w:val="Titlu2"/>
      </w:pPr>
      <w:bookmarkStart w:id="3" w:name="_Toc44690803"/>
      <w:r>
        <w:t>b) Discussing why an understanding of ratios and their fluctuations is essential for Hotel management</w:t>
      </w:r>
      <w:bookmarkEnd w:id="3"/>
      <w:r>
        <w:t xml:space="preserve">  </w:t>
      </w:r>
    </w:p>
    <w:p w:rsidR="005D3853" w:rsidRDefault="005E308B" w:rsidP="00623E20">
      <w:r>
        <w:t>Every organisation operating in any industry has its primary aim to earn profit and increase revenues for which they seek investments from external parties. This investment is provided to the business organisations after analysing the financial performance and position of the company</w:t>
      </w:r>
      <w:r w:rsidR="00623E20">
        <w:rPr>
          <w:color w:val="222222"/>
        </w:rPr>
        <w:t xml:space="preserve"> (De George, Li and Shivakumar, 2016)</w:t>
      </w:r>
      <w:r>
        <w:t xml:space="preserve">. There are various techniques through which this analysis can be done and one of the most effective techniques is ratio analysis. This technique of ratio analysis allows to analyse the information seen in the financial statements as ratios represents the summary financials of a company. </w:t>
      </w:r>
    </w:p>
    <w:p w:rsidR="00524B1C" w:rsidRDefault="005E308B" w:rsidP="00623E20">
      <w:r>
        <w:t xml:space="preserve">Hotel management is a procedure in which </w:t>
      </w:r>
      <w:r w:rsidR="00524B1C">
        <w:t>operations and financials of a hotel are analysed</w:t>
      </w:r>
      <w:r w:rsidR="00623E20">
        <w:rPr>
          <w:color w:val="222222"/>
        </w:rPr>
        <w:t xml:space="preserve"> (De Simone, 2016)</w:t>
      </w:r>
      <w:r w:rsidR="00524B1C">
        <w:t>. In this case, Gatsby Grange is given as the organisation in hotel industry. For hotel management, it is important to understand ratios and its fluctuation due to various reasons mentioned below:</w:t>
      </w:r>
    </w:p>
    <w:p w:rsidR="00524B1C" w:rsidRDefault="00524B1C" w:rsidP="00623E20">
      <w:r>
        <w:t>Measure of financial solvency – Financial statements of an organisation provides information in a form of summary</w:t>
      </w:r>
      <w:r w:rsidR="00623E20">
        <w:rPr>
          <w:color w:val="222222"/>
        </w:rPr>
        <w:t xml:space="preserve"> (Flower and Ebbers, 2018)</w:t>
      </w:r>
      <w:r>
        <w:t xml:space="preserve">. This summary is gained from all the transactions that are being undertaken in an accounting year. Just by looking at the financial statements, it is </w:t>
      </w:r>
      <w:r>
        <w:lastRenderedPageBreak/>
        <w:t xml:space="preserve">not possible to identify the solvency position of an organisation. In order to identify the solvency position of the company by looking at their financial statements, it is important to calculate ratios of debt equity and others. These ratios compare the debt position and equity position of the company that is not facilitated in financial statements itself. So, it can be said that it is important for hotel management to understand ratios as these ratios can provide information of solvency which is not provided in financial statements. </w:t>
      </w:r>
    </w:p>
    <w:p w:rsidR="00524B1C" w:rsidRDefault="00524B1C" w:rsidP="00623E20">
      <w:r>
        <w:t xml:space="preserve">Trend analysis – Hotel management involves managing the financial position of a hotel and ensuring that the ability of earn profit and effective operations of the company are being maintained every year.  Only by looking at financial statements, it is not possible to </w:t>
      </w:r>
      <w:r w:rsidR="00AE0330">
        <w:t>analyse whether company is enhancing is financial position year by year or not</w:t>
      </w:r>
      <w:r w:rsidR="00623E20">
        <w:rPr>
          <w:color w:val="222222"/>
        </w:rPr>
        <w:t xml:space="preserve"> (Henderson and et.al., 2015)</w:t>
      </w:r>
      <w:r w:rsidR="00AE0330">
        <w:t xml:space="preserve">. And due to this, the ratio analysis is used. It is important to understand the fluctuations or changes in the ratios as these fluctuations helps in identifying the trends; these trends </w:t>
      </w:r>
      <w:r w:rsidR="00652B87">
        <w:t>assist</w:t>
      </w:r>
      <w:r w:rsidR="00AE0330">
        <w:t xml:space="preserve"> in gaining the information about whether the position of company is enhancing or is degrading in the market. </w:t>
      </w:r>
    </w:p>
    <w:p w:rsidR="00652B87" w:rsidRDefault="00652B87" w:rsidP="00623E20">
      <w:r>
        <w:t>Forecasting and planning – Hotel and tourism industry is a marketplace that needs to be constantly analysed as the advancements in this industry are usual. Considering this, in hotel management, it is important to plan for future by effectively forecasting the future situations and scenarios</w:t>
      </w:r>
      <w:r w:rsidR="00623E20">
        <w:rPr>
          <w:color w:val="222222"/>
        </w:rPr>
        <w:t xml:space="preserve"> (Kraft, Vashishtha and Venkatachalam, 2017)</w:t>
      </w:r>
      <w:r>
        <w:t xml:space="preserve">. </w:t>
      </w:r>
      <w:r w:rsidR="00AB1EE3">
        <w:t xml:space="preserve">Ratios are the base of planning as the ratios can be predicted by analysing the yearly trend within them. So, it can be said that the fluctuations in ratio analysis are important to understood as these are used to predict the future organisational aspects. </w:t>
      </w:r>
    </w:p>
    <w:p w:rsidR="00AB1EE3" w:rsidRPr="005D3853" w:rsidRDefault="00AB1EE3" w:rsidP="00524B1C">
      <w:pPr>
        <w:ind w:firstLine="576"/>
      </w:pPr>
      <w:r>
        <w:t xml:space="preserve">Gatsby Grange must also understand ratios and its fluctuations to analyse the information in their financial statements.   </w:t>
      </w:r>
    </w:p>
    <w:p w:rsidR="005D3853" w:rsidRDefault="005D3853" w:rsidP="005D3853">
      <w:pPr>
        <w:pStyle w:val="Titlu2"/>
      </w:pPr>
      <w:bookmarkStart w:id="4" w:name="_Toc44690804"/>
      <w:r>
        <w:t>c) Benefits and limitations of ratio analysis in decision making within hotel and tourism industry</w:t>
      </w:r>
      <w:bookmarkEnd w:id="4"/>
    </w:p>
    <w:p w:rsidR="005D3853" w:rsidRDefault="005751D3" w:rsidP="005751D3">
      <w:pPr>
        <w:ind w:firstLine="432"/>
      </w:pPr>
      <w:r>
        <w:t xml:space="preserve">Similar to any other analytical technique, ratio analysis also has few merits and demerits which can be used as the aid for decision making within the hotel and tourism industry in which Gatsby Grange operates.  </w:t>
      </w:r>
    </w:p>
    <w:p w:rsidR="005751D3" w:rsidRPr="00912794" w:rsidRDefault="005751D3" w:rsidP="005751D3">
      <w:pPr>
        <w:ind w:firstLine="432"/>
        <w:rPr>
          <w:b/>
        </w:rPr>
      </w:pPr>
      <w:r w:rsidRPr="00912794">
        <w:rPr>
          <w:b/>
        </w:rPr>
        <w:t xml:space="preserve">Benefits of ratio analysis </w:t>
      </w:r>
    </w:p>
    <w:p w:rsidR="00FC792C" w:rsidRDefault="00FC792C" w:rsidP="00623E20">
      <w:r>
        <w:t xml:space="preserve">Simplifies complex financial statements – </w:t>
      </w:r>
      <w:r w:rsidR="00912794">
        <w:t>Ratio analysis helps hotel and tourism industry to make decisions by effectively analysing the financial position of their companies</w:t>
      </w:r>
      <w:r w:rsidR="00623E20">
        <w:rPr>
          <w:color w:val="222222"/>
        </w:rPr>
        <w:t xml:space="preserve"> (Lang and Stice-Lawrence, 2015)</w:t>
      </w:r>
      <w:r w:rsidR="00912794">
        <w:t xml:space="preserve">. Financial statements are difficult to be understood and in order to simplify them </w:t>
      </w:r>
      <w:r w:rsidR="00912794">
        <w:lastRenderedPageBreak/>
        <w:t xml:space="preserve">ratio analysis is used. These ratios help in making decision regarding relevant investments that can provide valid returns.    </w:t>
      </w:r>
    </w:p>
    <w:p w:rsidR="005751D3" w:rsidRDefault="00FC792C" w:rsidP="00623E20">
      <w:r>
        <w:t xml:space="preserve">Helps to compare inter and intra firm </w:t>
      </w:r>
      <w:r w:rsidR="00912794">
        <w:t xml:space="preserve">– </w:t>
      </w:r>
      <w:r>
        <w:t xml:space="preserve"> </w:t>
      </w:r>
      <w:r w:rsidR="00912794">
        <w:t>Hotel and tourism industry can also be benefitted by ratio analysis through comparing their financial performance by other companies and through comparing their financial performance by their past year’s financial performance</w:t>
      </w:r>
      <w:r w:rsidR="00623E20">
        <w:rPr>
          <w:color w:val="222222"/>
        </w:rPr>
        <w:t xml:space="preserve"> (Li, Sougiannis and Wang, 2017)</w:t>
      </w:r>
      <w:r w:rsidR="00912794">
        <w:t xml:space="preserve">. This comparison provides a base to make decisions of selecting a benchmark of effective performance. </w:t>
      </w:r>
    </w:p>
    <w:p w:rsidR="005751D3" w:rsidRPr="00912794" w:rsidRDefault="005751D3" w:rsidP="005751D3">
      <w:pPr>
        <w:ind w:firstLine="432"/>
        <w:rPr>
          <w:b/>
        </w:rPr>
      </w:pPr>
      <w:r w:rsidRPr="00912794">
        <w:rPr>
          <w:b/>
        </w:rPr>
        <w:t>Limitations of ratio analysis</w:t>
      </w:r>
    </w:p>
    <w:p w:rsidR="005751D3" w:rsidRDefault="00C85763" w:rsidP="00623E20">
      <w:r>
        <w:t>Ignores qualitative aspects – Ratio analysis only accounts for quantitative aspects due to which the decisions made by the hotel and tourism industry based on the ratios can result into ineffective decisions</w:t>
      </w:r>
      <w:r w:rsidR="00623E20">
        <w:rPr>
          <w:color w:val="222222"/>
        </w:rPr>
        <w:t xml:space="preserve"> (Maynard, 2017)</w:t>
      </w:r>
      <w:r>
        <w:t xml:space="preserve">. </w:t>
      </w:r>
    </w:p>
    <w:p w:rsidR="00C85763" w:rsidRDefault="00C85763" w:rsidP="00623E20">
      <w:r>
        <w:t>Ignores inflation – The predictions made by ratio analysis does not involve time value of money or inflation due to which decisions made by hotel and tourism industry using ratio analysis can result into inaccuracies</w:t>
      </w:r>
      <w:r w:rsidR="00623E20">
        <w:rPr>
          <w:color w:val="222222"/>
        </w:rPr>
        <w:t xml:space="preserve"> (Michelon, Pilonato and Ricceri, 2015)</w:t>
      </w:r>
      <w:r>
        <w:t xml:space="preserve">. </w:t>
      </w:r>
    </w:p>
    <w:p w:rsidR="00C85763" w:rsidRPr="005D3853" w:rsidRDefault="00C85763" w:rsidP="00623E20">
      <w:r>
        <w:t>From the above analysis of benefits and limitations, it can be said that there are few benefits which encourage hotel and tourism industry to use ratio analysis but in hand of this, there are certain limitations as well which limit and discourage hotel and tourism industry to use ratio analyses</w:t>
      </w:r>
      <w:r w:rsidR="00623E20">
        <w:rPr>
          <w:color w:val="222222"/>
        </w:rPr>
        <w:t xml:space="preserve"> (Progunova and et.al., 2018)</w:t>
      </w:r>
      <w:r>
        <w:t xml:space="preserve">. </w:t>
      </w:r>
    </w:p>
    <w:p w:rsidR="00825AEB" w:rsidRDefault="00E25A28" w:rsidP="00E25A28">
      <w:pPr>
        <w:pStyle w:val="Titlu1"/>
        <w:numPr>
          <w:ilvl w:val="0"/>
          <w:numId w:val="0"/>
        </w:numPr>
        <w:ind w:left="432" w:hanging="432"/>
      </w:pPr>
      <w:bookmarkStart w:id="5" w:name="_Toc44690805"/>
      <w:r>
        <w:t>CONCLUSION</w:t>
      </w:r>
      <w:bookmarkEnd w:id="5"/>
    </w:p>
    <w:p w:rsidR="00B54EED" w:rsidRPr="00B54EED" w:rsidRDefault="00B54EED" w:rsidP="006F52C0">
      <w:r>
        <w:t xml:space="preserve">From the above report, it has been analysed that ratio analysis is a technique that helps an organisation to </w:t>
      </w:r>
      <w:r w:rsidR="005F688F">
        <w:t xml:space="preserve">summarise their financial position and performance in order to compare with past year’s performance. The organisation considered in above report was Gatsby Grange which is a financially stable organisation but the financial performance of this company is decreasing gradually. </w:t>
      </w:r>
    </w:p>
    <w:p w:rsidR="001A1C16" w:rsidRDefault="00344071" w:rsidP="00681A49">
      <w:pPr>
        <w:pStyle w:val="Titlu1"/>
      </w:pPr>
      <w:r>
        <w:br w:type="page"/>
      </w:r>
      <w:bookmarkStart w:id="6" w:name="_Toc44690806"/>
      <w:r>
        <w:lastRenderedPageBreak/>
        <w:t>REFERENCES</w:t>
      </w:r>
      <w:bookmarkEnd w:id="6"/>
    </w:p>
    <w:p w:rsidR="00344071" w:rsidRDefault="00344071" w:rsidP="00344071">
      <w:pPr>
        <w:rPr>
          <w:u w:val="single"/>
        </w:rPr>
      </w:pPr>
      <w:r w:rsidRPr="00344071">
        <w:rPr>
          <w:u w:val="single"/>
        </w:rPr>
        <w:t>Books and Journals</w:t>
      </w:r>
    </w:p>
    <w:p w:rsidR="00800212" w:rsidRDefault="00800212" w:rsidP="00800212">
      <w:pPr>
        <w:spacing w:line="240" w:lineRule="auto"/>
        <w:ind w:left="846" w:hanging="821"/>
        <w:rPr>
          <w:szCs w:val="24"/>
          <w:lang w:val="en-IN"/>
        </w:rPr>
      </w:pPr>
      <w:r>
        <w:rPr>
          <w:szCs w:val="24"/>
          <w:lang w:val="en-IN"/>
        </w:rPr>
        <w:t>Ahrendsen, B.L. and Katchova, A.L., 2012. </w:t>
      </w:r>
      <w:r>
        <w:rPr>
          <w:i/>
          <w:szCs w:val="24"/>
          <w:lang w:val="en-IN"/>
        </w:rPr>
        <w:t>Financial ratio analysis using ARMS data</w:t>
      </w:r>
      <w:r>
        <w:rPr>
          <w:szCs w:val="24"/>
          <w:lang w:val="en-IN"/>
        </w:rPr>
        <w:t> (No. 1639-2016-135182).</w:t>
      </w:r>
    </w:p>
    <w:p w:rsidR="00800212" w:rsidRDefault="00800212" w:rsidP="00800212">
      <w:pPr>
        <w:spacing w:line="240" w:lineRule="auto"/>
        <w:ind w:left="846" w:hanging="821"/>
        <w:rPr>
          <w:szCs w:val="24"/>
          <w:lang w:val="en-IN"/>
        </w:rPr>
      </w:pPr>
      <w:r>
        <w:rPr>
          <w:szCs w:val="24"/>
          <w:lang w:val="en-IN"/>
        </w:rPr>
        <w:t>Kansal, M., Joshi, M. and Batra, G.S., 2014. Determinants of corporate social responsibility disclosures: Evidence from India. </w:t>
      </w:r>
      <w:r>
        <w:rPr>
          <w:i/>
          <w:szCs w:val="24"/>
          <w:lang w:val="en-IN"/>
        </w:rPr>
        <w:t>Advances in Accounting.</w:t>
      </w:r>
      <w:r>
        <w:rPr>
          <w:szCs w:val="24"/>
          <w:lang w:val="en-IN"/>
        </w:rPr>
        <w:t> 30(1). pp.217-229.</w:t>
      </w:r>
    </w:p>
    <w:p w:rsidR="00800212" w:rsidRDefault="00800212" w:rsidP="00800212">
      <w:pPr>
        <w:spacing w:line="240" w:lineRule="auto"/>
        <w:ind w:left="846" w:hanging="821"/>
        <w:rPr>
          <w:szCs w:val="24"/>
          <w:lang w:val="en-IN"/>
        </w:rPr>
      </w:pPr>
      <w:r>
        <w:rPr>
          <w:szCs w:val="24"/>
          <w:lang w:val="en-IN"/>
        </w:rPr>
        <w:t>Mathuva, D., 2015. The Influence of working capital management components on corporate profitability.</w:t>
      </w:r>
    </w:p>
    <w:p w:rsidR="00800212" w:rsidRDefault="00800212" w:rsidP="00800212">
      <w:pPr>
        <w:spacing w:line="240" w:lineRule="auto"/>
        <w:ind w:left="846" w:hanging="821"/>
        <w:rPr>
          <w:szCs w:val="24"/>
          <w:lang w:val="en-IN"/>
        </w:rPr>
      </w:pPr>
      <w:r>
        <w:rPr>
          <w:szCs w:val="24"/>
          <w:lang w:val="en-IN"/>
        </w:rPr>
        <w:t>Olson, K. and Groves, R.M., 2012. An examination of within-person variation in response propensity over the data collection field period.</w:t>
      </w:r>
    </w:p>
    <w:p w:rsidR="00800212" w:rsidRDefault="00800212" w:rsidP="00800212">
      <w:pPr>
        <w:spacing w:line="240" w:lineRule="auto"/>
        <w:ind w:left="846" w:hanging="821"/>
        <w:rPr>
          <w:szCs w:val="24"/>
          <w:lang w:val="en-IN"/>
        </w:rPr>
      </w:pPr>
      <w:r>
        <w:rPr>
          <w:szCs w:val="24"/>
          <w:lang w:val="en-IN"/>
        </w:rPr>
        <w:t>Ramesh, A., Berger, P.R. and Loo, R., 2012. High 5.2 peak-to-valley current ratio in Si/SiGe resonant interband tunnel diodes grown by chemical vapor deposition. </w:t>
      </w:r>
      <w:r>
        <w:rPr>
          <w:i/>
          <w:szCs w:val="24"/>
          <w:lang w:val="en-IN"/>
        </w:rPr>
        <w:t>Applied Physics Letters.</w:t>
      </w:r>
      <w:r>
        <w:rPr>
          <w:szCs w:val="24"/>
          <w:lang w:val="en-IN"/>
        </w:rPr>
        <w:t> 100(9). p.092104.</w:t>
      </w:r>
    </w:p>
    <w:p w:rsidR="00800212" w:rsidRDefault="00800212" w:rsidP="00800212">
      <w:pPr>
        <w:spacing w:line="240" w:lineRule="auto"/>
        <w:ind w:left="846" w:hanging="821"/>
        <w:rPr>
          <w:szCs w:val="24"/>
          <w:lang w:val="en-IN"/>
        </w:rPr>
      </w:pPr>
      <w:r>
        <w:rPr>
          <w:szCs w:val="24"/>
          <w:lang w:val="en-IN"/>
        </w:rPr>
        <w:t>Rehman, S.S.F.U., 2013. Relationship between financial leverage and financial performance: Empirical evidence of listed sugar companies of Pakistan. </w:t>
      </w:r>
      <w:r>
        <w:rPr>
          <w:i/>
          <w:szCs w:val="24"/>
          <w:lang w:val="en-IN"/>
        </w:rPr>
        <w:t>Global Journal of Management and Business Research</w:t>
      </w:r>
      <w:r>
        <w:rPr>
          <w:szCs w:val="24"/>
          <w:lang w:val="en-IN"/>
        </w:rPr>
        <w:t>.</w:t>
      </w:r>
    </w:p>
    <w:p w:rsidR="00800212" w:rsidRDefault="00800212" w:rsidP="00800212">
      <w:pPr>
        <w:spacing w:line="240" w:lineRule="auto"/>
        <w:ind w:left="846" w:hanging="821"/>
        <w:rPr>
          <w:szCs w:val="24"/>
          <w:lang w:val="en-IN"/>
        </w:rPr>
      </w:pPr>
      <w:r>
        <w:rPr>
          <w:szCs w:val="24"/>
          <w:lang w:val="en-IN"/>
        </w:rPr>
        <w:t>Singh, H.P., Kumar, S. and Colombage, S., 2017. Working capital management and firm profitability: a meta-analysis. </w:t>
      </w:r>
      <w:r>
        <w:rPr>
          <w:i/>
          <w:szCs w:val="24"/>
          <w:lang w:val="en-IN"/>
        </w:rPr>
        <w:t>Qualitative Research in Financial Markets</w:t>
      </w:r>
      <w:r>
        <w:rPr>
          <w:szCs w:val="24"/>
          <w:lang w:val="en-IN"/>
        </w:rPr>
        <w:t>.</w:t>
      </w:r>
    </w:p>
    <w:p w:rsidR="00800212" w:rsidRDefault="00800212" w:rsidP="00800212">
      <w:pPr>
        <w:spacing w:line="240" w:lineRule="auto"/>
        <w:ind w:left="863" w:hanging="863"/>
        <w:rPr>
          <w:color w:val="222222"/>
        </w:rPr>
      </w:pPr>
      <w:r>
        <w:rPr>
          <w:color w:val="222222"/>
        </w:rPr>
        <w:t>Camilleri, M.A., 2015. Valuing stakeholder engagement and sustainability reporting. </w:t>
      </w:r>
      <w:r>
        <w:rPr>
          <w:i/>
          <w:color w:val="222222"/>
        </w:rPr>
        <w:t>Corporate Reputation Review</w:t>
      </w:r>
      <w:r>
        <w:rPr>
          <w:color w:val="222222"/>
        </w:rPr>
        <w:t>. 18(3). pp.210-222.</w:t>
      </w:r>
    </w:p>
    <w:p w:rsidR="00800212" w:rsidRDefault="00800212" w:rsidP="00800212">
      <w:pPr>
        <w:spacing w:line="240" w:lineRule="auto"/>
        <w:ind w:left="863" w:hanging="863"/>
        <w:rPr>
          <w:color w:val="222222"/>
        </w:rPr>
      </w:pPr>
      <w:r>
        <w:rPr>
          <w:color w:val="222222"/>
        </w:rPr>
        <w:t>Capkun, V., Collins, D. and Jeanjean, T., 2016. The effect of IAS/IFRS adoption on earnings management (smoothing): A closer look at competing explanations. </w:t>
      </w:r>
      <w:r>
        <w:rPr>
          <w:i/>
          <w:color w:val="222222"/>
        </w:rPr>
        <w:t>Journal of Accounting and Public Policy.</w:t>
      </w:r>
      <w:r>
        <w:rPr>
          <w:color w:val="222222"/>
        </w:rPr>
        <w:t> 35(4). pp.352-394.</w:t>
      </w:r>
    </w:p>
    <w:p w:rsidR="00800212" w:rsidRDefault="00800212" w:rsidP="00800212">
      <w:pPr>
        <w:spacing w:line="240" w:lineRule="auto"/>
        <w:ind w:left="863" w:hanging="863"/>
        <w:rPr>
          <w:color w:val="222222"/>
        </w:rPr>
      </w:pPr>
      <w:r>
        <w:rPr>
          <w:color w:val="222222"/>
        </w:rPr>
        <w:t>Christensen, H. B. and et.al., 2015. Incentives or standards: What determines accounting quality changes around IFRS adoption?. </w:t>
      </w:r>
      <w:r>
        <w:rPr>
          <w:i/>
          <w:color w:val="222222"/>
        </w:rPr>
        <w:t>European Accounting Review.</w:t>
      </w:r>
      <w:r>
        <w:rPr>
          <w:color w:val="222222"/>
        </w:rPr>
        <w:t> 24(1). pp.31-61.</w:t>
      </w:r>
    </w:p>
    <w:p w:rsidR="00800212" w:rsidRDefault="00800212" w:rsidP="00800212">
      <w:pPr>
        <w:spacing w:line="240" w:lineRule="auto"/>
        <w:ind w:left="863" w:hanging="863"/>
        <w:rPr>
          <w:color w:val="222222"/>
        </w:rPr>
      </w:pPr>
      <w:r>
        <w:rPr>
          <w:color w:val="222222"/>
        </w:rPr>
        <w:t>Clatworthy, M.A. and Peel, M.J., 2016. The timeliness of UK private company financial reporting: Regulatory and economic influences. </w:t>
      </w:r>
      <w:r>
        <w:rPr>
          <w:i/>
          <w:color w:val="222222"/>
        </w:rPr>
        <w:t>The British Accounting Review.</w:t>
      </w:r>
      <w:r>
        <w:rPr>
          <w:color w:val="222222"/>
        </w:rPr>
        <w:t>48(3). pp.297-315.</w:t>
      </w:r>
    </w:p>
    <w:p w:rsidR="00800212" w:rsidRDefault="00800212" w:rsidP="00800212">
      <w:pPr>
        <w:spacing w:line="240" w:lineRule="auto"/>
        <w:ind w:left="863" w:hanging="863"/>
        <w:rPr>
          <w:color w:val="222222"/>
        </w:rPr>
      </w:pPr>
      <w:r>
        <w:rPr>
          <w:color w:val="222222"/>
        </w:rPr>
        <w:t>De George, E. T., Li, X. and Shivakumar, L., 2016. A review of the IFRS adoption literature. </w:t>
      </w:r>
      <w:r>
        <w:rPr>
          <w:i/>
          <w:color w:val="222222"/>
        </w:rPr>
        <w:t>Review of Accounting Studies.</w:t>
      </w:r>
      <w:r>
        <w:rPr>
          <w:color w:val="222222"/>
        </w:rPr>
        <w:t> 21(3). pp.898-1004.</w:t>
      </w:r>
    </w:p>
    <w:p w:rsidR="00800212" w:rsidRDefault="00800212" w:rsidP="00800212">
      <w:pPr>
        <w:spacing w:line="240" w:lineRule="auto"/>
        <w:ind w:left="863" w:hanging="863"/>
        <w:rPr>
          <w:color w:val="222222"/>
        </w:rPr>
      </w:pPr>
      <w:r>
        <w:rPr>
          <w:color w:val="222222"/>
        </w:rPr>
        <w:t>De Simone, L., 2016. Does a common set of accounting standards affect tax-motivated income shifting for multinational firms?. </w:t>
      </w:r>
      <w:r>
        <w:rPr>
          <w:i/>
          <w:color w:val="222222"/>
        </w:rPr>
        <w:t>Journal of Accounting and Economics.</w:t>
      </w:r>
      <w:r>
        <w:rPr>
          <w:color w:val="222222"/>
        </w:rPr>
        <w:t> 61(1). pp.145-165.</w:t>
      </w:r>
    </w:p>
    <w:p w:rsidR="00800212" w:rsidRDefault="00800212" w:rsidP="00800212">
      <w:pPr>
        <w:spacing w:line="240" w:lineRule="auto"/>
        <w:ind w:left="863" w:hanging="863"/>
        <w:rPr>
          <w:color w:val="222222"/>
        </w:rPr>
      </w:pPr>
      <w:r>
        <w:rPr>
          <w:color w:val="222222"/>
        </w:rPr>
        <w:t>Flower, J. and Ebbers, G., 2018. </w:t>
      </w:r>
      <w:r>
        <w:rPr>
          <w:i/>
          <w:color w:val="222222"/>
        </w:rPr>
        <w:t>Global financial reporting</w:t>
      </w:r>
      <w:r>
        <w:rPr>
          <w:color w:val="222222"/>
        </w:rPr>
        <w:t>. Macmillan International Higher Education.</w:t>
      </w:r>
    </w:p>
    <w:p w:rsidR="00800212" w:rsidRDefault="00800212" w:rsidP="00800212">
      <w:pPr>
        <w:spacing w:line="240" w:lineRule="auto"/>
        <w:ind w:left="863" w:hanging="863"/>
        <w:rPr>
          <w:color w:val="222222"/>
        </w:rPr>
      </w:pPr>
      <w:r>
        <w:rPr>
          <w:color w:val="222222"/>
        </w:rPr>
        <w:t>Henderson, S. and et.al., 2015. </w:t>
      </w:r>
      <w:r>
        <w:rPr>
          <w:i/>
          <w:color w:val="222222"/>
        </w:rPr>
        <w:t>Issues in financial accounting</w:t>
      </w:r>
      <w:r>
        <w:rPr>
          <w:color w:val="222222"/>
        </w:rPr>
        <w:t>. Pearson Higher Education AU.</w:t>
      </w:r>
    </w:p>
    <w:p w:rsidR="00800212" w:rsidRDefault="00800212" w:rsidP="00800212">
      <w:pPr>
        <w:spacing w:line="240" w:lineRule="auto"/>
        <w:ind w:left="863" w:hanging="863"/>
        <w:rPr>
          <w:color w:val="222222"/>
        </w:rPr>
      </w:pPr>
      <w:r>
        <w:rPr>
          <w:color w:val="222222"/>
        </w:rPr>
        <w:t>Kraft, A. G., Vashishtha, R. and Venkatachalam, M., 2017. Frequent financial reporting and managerial myopia. </w:t>
      </w:r>
      <w:r>
        <w:rPr>
          <w:i/>
          <w:color w:val="222222"/>
        </w:rPr>
        <w:t>The Accounting Review.</w:t>
      </w:r>
      <w:r>
        <w:rPr>
          <w:color w:val="222222"/>
        </w:rPr>
        <w:t> 93(2). pp.249-275.</w:t>
      </w:r>
    </w:p>
    <w:p w:rsidR="00800212" w:rsidRDefault="00800212" w:rsidP="00800212">
      <w:pPr>
        <w:spacing w:line="240" w:lineRule="auto"/>
        <w:ind w:left="863" w:hanging="863"/>
        <w:rPr>
          <w:color w:val="222222"/>
        </w:rPr>
      </w:pPr>
      <w:r>
        <w:rPr>
          <w:color w:val="222222"/>
        </w:rPr>
        <w:t>Lang, M. and Stice-Lawrence, L., 2015. Textual analysis and international financial reporting: Large sample evidence. </w:t>
      </w:r>
      <w:r>
        <w:rPr>
          <w:i/>
          <w:color w:val="222222"/>
        </w:rPr>
        <w:t>Journal of Accounting and Economics.</w:t>
      </w:r>
      <w:r>
        <w:rPr>
          <w:color w:val="222222"/>
        </w:rPr>
        <w:t> 60(2-3). pp.110-135.</w:t>
      </w:r>
    </w:p>
    <w:p w:rsidR="00800212" w:rsidRDefault="00800212" w:rsidP="00800212">
      <w:pPr>
        <w:spacing w:line="240" w:lineRule="auto"/>
        <w:ind w:left="863" w:hanging="863"/>
        <w:rPr>
          <w:color w:val="222222"/>
        </w:rPr>
      </w:pPr>
      <w:r>
        <w:rPr>
          <w:color w:val="222222"/>
        </w:rPr>
        <w:t>Li, S., Sougiannis, T. and Wang, S., 2017. Mandatory IFRS Adoption and the Usefulness of Accounting Information in Predicting Future Earnings and Cash Flows. </w:t>
      </w:r>
      <w:r>
        <w:rPr>
          <w:i/>
          <w:color w:val="222222"/>
        </w:rPr>
        <w:t xml:space="preserve">Available at SSRN </w:t>
      </w:r>
      <w:r>
        <w:rPr>
          <w:color w:val="222222"/>
        </w:rPr>
        <w:t>2948775.</w:t>
      </w:r>
    </w:p>
    <w:p w:rsidR="00800212" w:rsidRDefault="00800212" w:rsidP="00800212">
      <w:pPr>
        <w:spacing w:line="240" w:lineRule="auto"/>
        <w:ind w:left="863" w:hanging="863"/>
        <w:rPr>
          <w:color w:val="222222"/>
        </w:rPr>
      </w:pPr>
      <w:r>
        <w:rPr>
          <w:color w:val="222222"/>
        </w:rPr>
        <w:t>Maynard, J., 2017. </w:t>
      </w:r>
      <w:r>
        <w:rPr>
          <w:i/>
          <w:color w:val="222222"/>
        </w:rPr>
        <w:t>Financial accounting, reporting, and analysis</w:t>
      </w:r>
      <w:r>
        <w:rPr>
          <w:color w:val="222222"/>
        </w:rPr>
        <w:t>. Oxford University Press.</w:t>
      </w:r>
    </w:p>
    <w:p w:rsidR="00800212" w:rsidRDefault="00800212" w:rsidP="00800212">
      <w:pPr>
        <w:spacing w:line="240" w:lineRule="auto"/>
        <w:ind w:left="863" w:hanging="863"/>
        <w:rPr>
          <w:color w:val="222222"/>
        </w:rPr>
      </w:pPr>
      <w:r>
        <w:rPr>
          <w:color w:val="222222"/>
        </w:rPr>
        <w:t>Michelon, G., Pilonato, S. and Ricceri, F., 2015. CSR reporting practices and the quality of disclosure: An empirical analysis. </w:t>
      </w:r>
      <w:r>
        <w:rPr>
          <w:i/>
          <w:color w:val="222222"/>
        </w:rPr>
        <w:t>Critical perspectives on accounting.</w:t>
      </w:r>
      <w:r>
        <w:rPr>
          <w:color w:val="222222"/>
        </w:rPr>
        <w:t> 33. pp.59-78.</w:t>
      </w:r>
    </w:p>
    <w:p w:rsidR="00800212" w:rsidRDefault="00800212" w:rsidP="00800212">
      <w:pPr>
        <w:spacing w:line="240" w:lineRule="auto"/>
        <w:ind w:left="863" w:hanging="863"/>
        <w:rPr>
          <w:color w:val="222222"/>
        </w:rPr>
      </w:pPr>
      <w:r>
        <w:rPr>
          <w:color w:val="222222"/>
        </w:rPr>
        <w:lastRenderedPageBreak/>
        <w:t>Progunova, L. V. and et.al., 2018. International standards of the public sector financial reporting in ensuring economic security. </w:t>
      </w:r>
      <w:r>
        <w:rPr>
          <w:i/>
          <w:color w:val="222222"/>
        </w:rPr>
        <w:t>Revista Publicando.</w:t>
      </w:r>
      <w:r>
        <w:rPr>
          <w:color w:val="222222"/>
        </w:rPr>
        <w:t> 5(18-2). pp.330-340.</w:t>
      </w:r>
    </w:p>
    <w:p w:rsidR="002240A4" w:rsidRDefault="002240A4" w:rsidP="002240A4">
      <w:pPr>
        <w:spacing w:line="100" w:lineRule="atLeast"/>
        <w:ind w:left="855" w:hanging="840"/>
        <w:rPr>
          <w:color w:val="222222"/>
          <w:szCs w:val="24"/>
        </w:rPr>
      </w:pPr>
      <w:r>
        <w:rPr>
          <w:color w:val="222222"/>
          <w:szCs w:val="24"/>
        </w:rPr>
        <w:t>Da Gbadji, L. A. G., Gailly, B. and Schwienbacher, A., 2015. International analysis of venture capital programs of large corporations and financial institutions. </w:t>
      </w:r>
      <w:r>
        <w:rPr>
          <w:i/>
          <w:color w:val="222222"/>
          <w:szCs w:val="24"/>
        </w:rPr>
        <w:t>Entrepreneurship Theory and Practice</w:t>
      </w:r>
      <w:r>
        <w:rPr>
          <w:color w:val="222222"/>
          <w:szCs w:val="24"/>
        </w:rPr>
        <w:t>. 39(5).  pp.1213-1245.</w:t>
      </w:r>
    </w:p>
    <w:p w:rsidR="002240A4" w:rsidRDefault="002240A4" w:rsidP="002240A4">
      <w:pPr>
        <w:spacing w:line="100" w:lineRule="atLeast"/>
        <w:ind w:left="855" w:hanging="840"/>
        <w:rPr>
          <w:color w:val="222222"/>
          <w:szCs w:val="24"/>
        </w:rPr>
      </w:pPr>
      <w:r>
        <w:rPr>
          <w:color w:val="222222"/>
          <w:szCs w:val="24"/>
        </w:rPr>
        <w:t>Hudson, A., 2017. </w:t>
      </w:r>
      <w:r>
        <w:rPr>
          <w:i/>
          <w:color w:val="222222"/>
          <w:szCs w:val="24"/>
        </w:rPr>
        <w:t>The law on financial derivatives</w:t>
      </w:r>
      <w:r>
        <w:rPr>
          <w:color w:val="222222"/>
          <w:szCs w:val="24"/>
        </w:rPr>
        <w:t> (No. 6). Sweet and Maxwell Ltd.</w:t>
      </w:r>
    </w:p>
    <w:p w:rsidR="002240A4" w:rsidRDefault="002240A4" w:rsidP="002240A4">
      <w:pPr>
        <w:spacing w:line="100" w:lineRule="atLeast"/>
        <w:ind w:left="855" w:hanging="840"/>
        <w:rPr>
          <w:color w:val="222222"/>
          <w:szCs w:val="24"/>
        </w:rPr>
      </w:pPr>
      <w:r>
        <w:rPr>
          <w:color w:val="222222"/>
          <w:szCs w:val="24"/>
        </w:rPr>
        <w:t>Revelli, C. and Viviani, J.  L., 2015. Financial performance of socially responsible investing (SRI): what have we learned? A meta‐analysis. </w:t>
      </w:r>
      <w:r>
        <w:rPr>
          <w:i/>
          <w:color w:val="222222"/>
          <w:szCs w:val="24"/>
        </w:rPr>
        <w:t>Business Ethics: A European Review</w:t>
      </w:r>
      <w:r>
        <w:rPr>
          <w:color w:val="222222"/>
          <w:szCs w:val="24"/>
        </w:rPr>
        <w:t>. 24(2).  pp.158-185.</w:t>
      </w:r>
    </w:p>
    <w:p w:rsidR="002240A4" w:rsidRDefault="002240A4" w:rsidP="002240A4">
      <w:pPr>
        <w:spacing w:line="100" w:lineRule="atLeast"/>
        <w:ind w:left="855" w:hanging="840"/>
        <w:rPr>
          <w:color w:val="222222"/>
          <w:szCs w:val="24"/>
        </w:rPr>
      </w:pPr>
      <w:r>
        <w:rPr>
          <w:color w:val="222222"/>
          <w:szCs w:val="24"/>
        </w:rPr>
        <w:t>Schroeder, R. G., Clark, M.W. and Cathey, J.M., 2019. </w:t>
      </w:r>
      <w:r>
        <w:rPr>
          <w:i/>
          <w:color w:val="222222"/>
          <w:szCs w:val="24"/>
        </w:rPr>
        <w:t>Financial accounting theory and analysis: text and cases</w:t>
      </w:r>
      <w:r>
        <w:rPr>
          <w:color w:val="222222"/>
          <w:szCs w:val="24"/>
        </w:rPr>
        <w:t>. John Wiley &amp; Sons.</w:t>
      </w:r>
    </w:p>
    <w:p w:rsidR="00E61683" w:rsidRPr="00E61683" w:rsidRDefault="00E61683" w:rsidP="00E61683">
      <w:pPr>
        <w:pStyle w:val="Corptext"/>
        <w:spacing w:line="240" w:lineRule="auto"/>
        <w:ind w:left="720" w:hanging="720"/>
        <w:rPr>
          <w:u w:val="single"/>
        </w:rPr>
      </w:pPr>
    </w:p>
    <w:p w:rsidR="0026422F" w:rsidRPr="0026422F" w:rsidRDefault="0026422F" w:rsidP="00E61683"/>
    <w:p w:rsidR="00A50B85" w:rsidRPr="00A50B85" w:rsidRDefault="00A50B85" w:rsidP="00A50B85"/>
    <w:p w:rsidR="00A50B85" w:rsidRPr="00A50B85" w:rsidRDefault="00A50B85" w:rsidP="00A50B85">
      <w:pPr>
        <w:pStyle w:val="Titlu2"/>
      </w:pPr>
    </w:p>
    <w:p w:rsidR="00CD58DD" w:rsidRDefault="00CD58DD">
      <w:pPr>
        <w:rPr>
          <w:rFonts w:ascii="Times" w:hAnsi="Times" w:cs="Times"/>
        </w:rPr>
      </w:pPr>
    </w:p>
    <w:p w:rsidR="00CD58DD" w:rsidRDefault="00CD58DD">
      <w:pPr>
        <w:rPr>
          <w:rFonts w:ascii="Times" w:hAnsi="Times" w:cs="Times"/>
        </w:rPr>
      </w:pPr>
    </w:p>
    <w:p w:rsidR="00CD58DD" w:rsidRDefault="00CD58DD">
      <w:pPr>
        <w:pStyle w:val="Titlu1"/>
      </w:pPr>
      <w:r>
        <w:rPr>
          <w:rFonts w:ascii="Times" w:hAnsi="Times" w:cs="Times"/>
        </w:rPr>
        <w:t xml:space="preserve"> </w:t>
      </w:r>
    </w:p>
    <w:sectPr w:rsidR="00CD58DD">
      <w:footerReference w:type="default" r:id="rId20"/>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412BFF" w:rsidRDefault="00412BFF">
      <w:pPr>
        <w:spacing w:line="240" w:lineRule="auto"/>
      </w:pPr>
      <w:r>
        <w:separator/>
      </w:r>
    </w:p>
  </w:endnote>
  <w:endnote w:type="continuationSeparator" w:id="0">
    <w:p w:rsidR="00412BFF" w:rsidRDefault="00412BF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Droid Sans">
    <w:altName w:val="MS Gothic"/>
    <w:panose1 w:val="020B0604020202020204"/>
    <w:charset w:val="80"/>
    <w:family w:val="auto"/>
    <w:pitch w:val="variable"/>
  </w:font>
  <w:font w:name="DejaVu Sans">
    <w:panose1 w:val="020B0604020202020204"/>
    <w:charset w:val="00"/>
    <w:family w:val="swiss"/>
    <w:pitch w:val="variable"/>
    <w:sig w:usb0="E7002EFF" w:usb1="D200FDFF" w:usb2="0A246029" w:usb3="00000000" w:csb0="000001FF" w:csb1="00000000"/>
  </w:font>
  <w:font w:name="OpenSymbol">
    <w:panose1 w:val="020B0604020202020204"/>
    <w:charset w:val="00"/>
    <w:family w:val="auto"/>
    <w:pitch w:val="variable"/>
    <w:sig w:usb0="800000AF" w:usb1="1001ECEA" w:usb2="00000000" w:usb3="00000000" w:csb0="00000001" w:csb1="00000000"/>
  </w:font>
  <w:font w:name="Tinos">
    <w:altName w:val="MS Gothic"/>
    <w:panose1 w:val="020B0604020202020204"/>
    <w:charset w:val="80"/>
    <w:family w:val="roman"/>
    <w:pitch w:val="variable"/>
  </w:font>
  <w:font w:name="Calibri Light">
    <w:panose1 w:val="020F0302020204030204"/>
    <w:charset w:val="00"/>
    <w:family w:val="swiss"/>
    <w:pitch w:val="variable"/>
    <w:sig w:usb0="A00002EF" w:usb1="4000207B" w:usb2="00000000" w:usb3="00000000" w:csb0="0000019F" w:csb1="00000000"/>
  </w:font>
  <w:font w:name="Times">
    <w:altName w:val="Sylfaen"/>
    <w:panose1 w:val="020B06040202020202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F06958" w:rsidRDefault="00F06958">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F06958" w:rsidRDefault="00F06958">
    <w:pPr>
      <w:pStyle w:val="Subsol"/>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F06958" w:rsidRDefault="00F06958">
    <w:pPr>
      <w:pStyle w:val="Subsol"/>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800212" w:rsidRDefault="00800212">
    <w:pPr>
      <w:pStyle w:val="Subsol"/>
      <w:jc w:val="center"/>
    </w:pPr>
    <w:r>
      <w:fldChar w:fldCharType="begin"/>
    </w:r>
    <w:r>
      <w:instrText xml:space="preserve"> PAGE </w:instrText>
    </w:r>
    <w:r>
      <w:fldChar w:fldCharType="separate"/>
    </w:r>
    <w:r w:rsidR="002240A4">
      <w:rPr>
        <w:noProof/>
      </w:rPr>
      <w:t>1</w:t>
    </w:r>
    <w:r>
      <w:fldChar w:fldCharType="end"/>
    </w:r>
  </w:p>
  <w:p w:rsidR="00800212" w:rsidRDefault="00800212">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412BFF" w:rsidRDefault="00412BFF">
      <w:pPr>
        <w:spacing w:line="240" w:lineRule="auto"/>
      </w:pPr>
      <w:r>
        <w:separator/>
      </w:r>
    </w:p>
  </w:footnote>
  <w:footnote w:type="continuationSeparator" w:id="0">
    <w:p w:rsidR="00412BFF" w:rsidRDefault="00412BF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F06958" w:rsidRDefault="00F06958">
    <w:pPr>
      <w:pStyle w:val="Ante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F06958" w:rsidRDefault="00F06958">
    <w:pPr>
      <w:pStyle w:val="Ante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F06958" w:rsidRDefault="00F06958">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624F36D0"/>
    <w:multiLevelType w:val="hybridMultilevel"/>
    <w:tmpl w:val="3648DA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1"/>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738A"/>
    <w:rsid w:val="0001402D"/>
    <w:rsid w:val="00017996"/>
    <w:rsid w:val="00030E00"/>
    <w:rsid w:val="000626EF"/>
    <w:rsid w:val="00064C58"/>
    <w:rsid w:val="000F4115"/>
    <w:rsid w:val="00114CB3"/>
    <w:rsid w:val="00136859"/>
    <w:rsid w:val="00150778"/>
    <w:rsid w:val="001A1B57"/>
    <w:rsid w:val="001A1C16"/>
    <w:rsid w:val="001A7DD5"/>
    <w:rsid w:val="001C34E6"/>
    <w:rsid w:val="0021071A"/>
    <w:rsid w:val="00210AD7"/>
    <w:rsid w:val="00223162"/>
    <w:rsid w:val="002240A4"/>
    <w:rsid w:val="0026422F"/>
    <w:rsid w:val="00283BAC"/>
    <w:rsid w:val="00290A1C"/>
    <w:rsid w:val="0029759E"/>
    <w:rsid w:val="002A47F5"/>
    <w:rsid w:val="002A7F68"/>
    <w:rsid w:val="002F2D42"/>
    <w:rsid w:val="002F6346"/>
    <w:rsid w:val="00344071"/>
    <w:rsid w:val="00345092"/>
    <w:rsid w:val="00350D5A"/>
    <w:rsid w:val="003707A0"/>
    <w:rsid w:val="003733F0"/>
    <w:rsid w:val="003955F8"/>
    <w:rsid w:val="003A27B6"/>
    <w:rsid w:val="003B3318"/>
    <w:rsid w:val="003C19F8"/>
    <w:rsid w:val="003D3FE3"/>
    <w:rsid w:val="003E000F"/>
    <w:rsid w:val="00412BFF"/>
    <w:rsid w:val="004358B8"/>
    <w:rsid w:val="004408A1"/>
    <w:rsid w:val="004712E4"/>
    <w:rsid w:val="00487364"/>
    <w:rsid w:val="004A2C19"/>
    <w:rsid w:val="004A2C7D"/>
    <w:rsid w:val="004A3608"/>
    <w:rsid w:val="004C3260"/>
    <w:rsid w:val="004C6C6D"/>
    <w:rsid w:val="004E4993"/>
    <w:rsid w:val="004E5B65"/>
    <w:rsid w:val="004E7AD6"/>
    <w:rsid w:val="005054EC"/>
    <w:rsid w:val="00524B1C"/>
    <w:rsid w:val="005271B1"/>
    <w:rsid w:val="00535350"/>
    <w:rsid w:val="00542408"/>
    <w:rsid w:val="00554798"/>
    <w:rsid w:val="00555457"/>
    <w:rsid w:val="005751D3"/>
    <w:rsid w:val="005A6A6E"/>
    <w:rsid w:val="005D3853"/>
    <w:rsid w:val="005D4019"/>
    <w:rsid w:val="005E308B"/>
    <w:rsid w:val="005F0DF0"/>
    <w:rsid w:val="005F688F"/>
    <w:rsid w:val="00623E20"/>
    <w:rsid w:val="00630645"/>
    <w:rsid w:val="0063226B"/>
    <w:rsid w:val="00652B87"/>
    <w:rsid w:val="00665016"/>
    <w:rsid w:val="00681A49"/>
    <w:rsid w:val="00682C13"/>
    <w:rsid w:val="006A04D5"/>
    <w:rsid w:val="006F52C0"/>
    <w:rsid w:val="00715776"/>
    <w:rsid w:val="007204D0"/>
    <w:rsid w:val="00730D58"/>
    <w:rsid w:val="00796388"/>
    <w:rsid w:val="007A44D2"/>
    <w:rsid w:val="007E46AD"/>
    <w:rsid w:val="007F738A"/>
    <w:rsid w:val="00800212"/>
    <w:rsid w:val="00825AEB"/>
    <w:rsid w:val="00827508"/>
    <w:rsid w:val="00835064"/>
    <w:rsid w:val="00866D2C"/>
    <w:rsid w:val="00894D16"/>
    <w:rsid w:val="008C1448"/>
    <w:rsid w:val="008D2B45"/>
    <w:rsid w:val="008D3F33"/>
    <w:rsid w:val="008E0F4E"/>
    <w:rsid w:val="008F2431"/>
    <w:rsid w:val="0090164D"/>
    <w:rsid w:val="00912794"/>
    <w:rsid w:val="009631EC"/>
    <w:rsid w:val="00986226"/>
    <w:rsid w:val="009C0C87"/>
    <w:rsid w:val="009E63BD"/>
    <w:rsid w:val="009F0B8A"/>
    <w:rsid w:val="00A25CDA"/>
    <w:rsid w:val="00A46229"/>
    <w:rsid w:val="00A50B85"/>
    <w:rsid w:val="00A5635E"/>
    <w:rsid w:val="00A757D1"/>
    <w:rsid w:val="00A8482B"/>
    <w:rsid w:val="00AB1EE3"/>
    <w:rsid w:val="00AE0330"/>
    <w:rsid w:val="00AF6674"/>
    <w:rsid w:val="00AF7242"/>
    <w:rsid w:val="00B164D0"/>
    <w:rsid w:val="00B20AE8"/>
    <w:rsid w:val="00B356C1"/>
    <w:rsid w:val="00B54E36"/>
    <w:rsid w:val="00B54EED"/>
    <w:rsid w:val="00B61854"/>
    <w:rsid w:val="00C734E7"/>
    <w:rsid w:val="00C85763"/>
    <w:rsid w:val="00CB3C8D"/>
    <w:rsid w:val="00CB54B5"/>
    <w:rsid w:val="00CC0E07"/>
    <w:rsid w:val="00CD58DD"/>
    <w:rsid w:val="00D322A7"/>
    <w:rsid w:val="00D51CDB"/>
    <w:rsid w:val="00D75F43"/>
    <w:rsid w:val="00DD3873"/>
    <w:rsid w:val="00DE552E"/>
    <w:rsid w:val="00E25A28"/>
    <w:rsid w:val="00E61683"/>
    <w:rsid w:val="00E71B4D"/>
    <w:rsid w:val="00EA3449"/>
    <w:rsid w:val="00EA67A0"/>
    <w:rsid w:val="00EB601D"/>
    <w:rsid w:val="00EE1279"/>
    <w:rsid w:val="00EE5239"/>
    <w:rsid w:val="00F0457F"/>
    <w:rsid w:val="00F06958"/>
    <w:rsid w:val="00F236C9"/>
    <w:rsid w:val="00F672BD"/>
    <w:rsid w:val="00F7104B"/>
    <w:rsid w:val="00F84264"/>
    <w:rsid w:val="00F947C3"/>
    <w:rsid w:val="00F95487"/>
    <w:rsid w:val="00FB452C"/>
    <w:rsid w:val="00FB5B06"/>
    <w:rsid w:val="00FB7962"/>
    <w:rsid w:val="00FC792C"/>
    <w:rsid w:val="00FE00EF"/>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oNotEmbedSmartTags/>
  <w:decimalSymbol w:val=","/>
  <w:listSeparator w:val=";"/>
  <w14:docId w14:val="61DD66E0"/>
  <w15:chartTrackingRefBased/>
  <w15:docId w15:val="{93131EA5-EE67-7A4F-9467-FE02258F8A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ro-RO" w:eastAsia="ro-RO"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val="en-GB" w:eastAsia="ar-SA"/>
    </w:rPr>
  </w:style>
  <w:style w:type="paragraph" w:styleId="Titlu1">
    <w:name w:val="heading 1"/>
    <w:basedOn w:val="Normal"/>
    <w:next w:val="Normal"/>
    <w:qFormat/>
    <w:pPr>
      <w:keepNext/>
      <w:keepLines/>
      <w:numPr>
        <w:numId w:val="1"/>
      </w:numPr>
      <w:spacing w:before="113"/>
      <w:outlineLvl w:val="0"/>
    </w:pPr>
    <w:rPr>
      <w:rFonts w:eastAsia="Times New Roman"/>
      <w:b/>
      <w:bCs/>
      <w:sz w:val="28"/>
      <w:szCs w:val="28"/>
    </w:rPr>
  </w:style>
  <w:style w:type="paragraph" w:styleId="Titlu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Titlu3">
    <w:name w:val="heading 3"/>
    <w:basedOn w:val="Heading"/>
    <w:next w:val="Corptext"/>
    <w:qFormat/>
    <w:pPr>
      <w:numPr>
        <w:ilvl w:val="2"/>
        <w:numId w:val="1"/>
      </w:numPr>
      <w:outlineLvl w:val="2"/>
    </w:pPr>
    <w:rPr>
      <w:b/>
      <w:bCs/>
    </w:rPr>
  </w:style>
  <w:style w:type="paragraph" w:styleId="Titlu4">
    <w:name w:val="heading 4"/>
    <w:basedOn w:val="Normal"/>
    <w:next w:val="Normal"/>
    <w:link w:val="Titlu4Caracter"/>
    <w:uiPriority w:val="9"/>
    <w:semiHidden/>
    <w:unhideWhenUsed/>
    <w:qFormat/>
    <w:rsid w:val="00524B1C"/>
    <w:pPr>
      <w:keepNext/>
      <w:spacing w:before="240" w:after="60"/>
      <w:outlineLvl w:val="3"/>
    </w:pPr>
    <w:rPr>
      <w:rFonts w:ascii="Calibri" w:eastAsia="Times New Roman" w:hAnsi="Calibri"/>
      <w:b/>
      <w:bCs/>
      <w:sz w:val="28"/>
      <w:szCs w:val="2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styleId="Fontdeparagrafimplicit0">
    <w:name w:val="Default Paragraph Font"/>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DefaultParagraphFont">
    <w:name w:val="WW-Default Paragraph Font"/>
  </w:style>
  <w:style w:type="character" w:customStyle="1" w:styleId="HeaderChar">
    <w:name w:val="Header Char"/>
    <w:basedOn w:val="WW-DefaultParagraphFont"/>
  </w:style>
  <w:style w:type="character" w:customStyle="1" w:styleId="FooterChar">
    <w:name w:val="Footer Char"/>
    <w:basedOn w:val="WW-DefaultParagraphFont"/>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lang/>
    </w:rPr>
  </w:style>
  <w:style w:type="paragraph" w:customStyle="1" w:styleId="Heading">
    <w:name w:val="Heading"/>
    <w:basedOn w:val="Normal"/>
    <w:next w:val="Corptext"/>
    <w:pPr>
      <w:keepNext/>
      <w:spacing w:before="240" w:after="120"/>
    </w:pPr>
    <w:rPr>
      <w:rFonts w:ascii="Arial" w:eastAsia="Droid Sans" w:hAnsi="Arial" w:cs="DejaVu Sans"/>
      <w:sz w:val="28"/>
      <w:szCs w:val="28"/>
    </w:rPr>
  </w:style>
  <w:style w:type="paragraph" w:styleId="Corptext">
    <w:name w:val="Body Text"/>
    <w:basedOn w:val="Normal"/>
  </w:style>
  <w:style w:type="paragraph" w:styleId="List">
    <w:name w:val="List"/>
    <w:basedOn w:val="Corptext"/>
    <w:rPr>
      <w:rFonts w:cs="DejaVu Sans"/>
    </w:rPr>
  </w:style>
  <w:style w:type="paragraph" w:styleId="Legend">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Antet">
    <w:name w:val="header"/>
    <w:basedOn w:val="Normal"/>
    <w:pPr>
      <w:tabs>
        <w:tab w:val="center" w:pos="4680"/>
        <w:tab w:val="right" w:pos="9360"/>
      </w:tabs>
      <w:spacing w:line="240" w:lineRule="auto"/>
    </w:pPr>
  </w:style>
  <w:style w:type="paragraph" w:styleId="Subsol">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Frspaiere">
    <w:name w:val="No Spacing"/>
    <w:qFormat/>
    <w:pPr>
      <w:suppressAutoHyphens/>
      <w:spacing w:line="100" w:lineRule="atLeast"/>
    </w:pPr>
    <w:rPr>
      <w:rFonts w:ascii="Tinos" w:eastAsia="Droid Sans" w:hAnsi="Tinos" w:cs="DejaVu Sans"/>
      <w:sz w:val="24"/>
      <w:szCs w:val="24"/>
      <w:lang w:val="en-GB" w:eastAsia="hi-IN" w:bidi="hi-IN"/>
    </w:rPr>
  </w:style>
  <w:style w:type="character" w:customStyle="1" w:styleId="Titlu4Caracter">
    <w:name w:val="Titlu 4 Caracter"/>
    <w:link w:val="Titlu4"/>
    <w:uiPriority w:val="9"/>
    <w:semiHidden/>
    <w:rsid w:val="00524B1C"/>
    <w:rPr>
      <w:rFonts w:ascii="Calibri" w:eastAsia="Times New Roman" w:hAnsi="Calibri" w:cs="Times New Roman"/>
      <w:b/>
      <w:bCs/>
      <w:color w:val="000000"/>
      <w:sz w:val="28"/>
      <w:szCs w:val="28"/>
      <w:lang w:val="en-GB" w:eastAsia="ar-SA"/>
    </w:rPr>
  </w:style>
  <w:style w:type="paragraph" w:styleId="Titlucuprins">
    <w:name w:val="TOC Heading"/>
    <w:basedOn w:val="Titlu1"/>
    <w:next w:val="Normal"/>
    <w:uiPriority w:val="39"/>
    <w:unhideWhenUsed/>
    <w:qFormat/>
    <w:rsid w:val="002240A4"/>
    <w:pPr>
      <w:numPr>
        <w:numId w:val="0"/>
      </w:numPr>
      <w:suppressAutoHyphens w:val="0"/>
      <w:spacing w:before="240" w:line="259" w:lineRule="auto"/>
      <w:jc w:val="left"/>
      <w:outlineLvl w:val="9"/>
    </w:pPr>
    <w:rPr>
      <w:rFonts w:ascii="Calibri Light" w:hAnsi="Calibri Light"/>
      <w:b w:val="0"/>
      <w:bCs w:val="0"/>
      <w:color w:val="2E74B5"/>
      <w:sz w:val="32"/>
      <w:szCs w:val="32"/>
      <w:lang w:val="en-US" w:eastAsia="en-US"/>
    </w:rPr>
  </w:style>
  <w:style w:type="paragraph" w:styleId="Cuprins1">
    <w:name w:val="toc 1"/>
    <w:basedOn w:val="Normal"/>
    <w:next w:val="Normal"/>
    <w:autoRedefine/>
    <w:uiPriority w:val="39"/>
    <w:unhideWhenUsed/>
    <w:rsid w:val="002240A4"/>
  </w:style>
  <w:style w:type="paragraph" w:styleId="Cuprins2">
    <w:name w:val="toc 2"/>
    <w:basedOn w:val="Normal"/>
    <w:next w:val="Normal"/>
    <w:autoRedefine/>
    <w:uiPriority w:val="39"/>
    <w:unhideWhenUsed/>
    <w:rsid w:val="002240A4"/>
    <w:pPr>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4999838">
      <w:bodyDiv w:val="1"/>
      <w:marLeft w:val="0"/>
      <w:marRight w:val="0"/>
      <w:marTop w:val="0"/>
      <w:marBottom w:val="0"/>
      <w:divBdr>
        <w:top w:val="none" w:sz="0" w:space="0" w:color="auto"/>
        <w:left w:val="none" w:sz="0" w:space="0" w:color="auto"/>
        <w:bottom w:val="none" w:sz="0" w:space="0" w:color="auto"/>
        <w:right w:val="none" w:sz="0" w:space="0" w:color="auto"/>
      </w:divBdr>
    </w:div>
    <w:div w:id="420372551">
      <w:bodyDiv w:val="1"/>
      <w:marLeft w:val="0"/>
      <w:marRight w:val="0"/>
      <w:marTop w:val="0"/>
      <w:marBottom w:val="0"/>
      <w:divBdr>
        <w:top w:val="none" w:sz="0" w:space="0" w:color="auto"/>
        <w:left w:val="none" w:sz="0" w:space="0" w:color="auto"/>
        <w:bottom w:val="none" w:sz="0" w:space="0" w:color="auto"/>
        <w:right w:val="none" w:sz="0" w:space="0" w:color="auto"/>
      </w:divBdr>
    </w:div>
    <w:div w:id="451680481">
      <w:bodyDiv w:val="1"/>
      <w:marLeft w:val="0"/>
      <w:marRight w:val="0"/>
      <w:marTop w:val="0"/>
      <w:marBottom w:val="0"/>
      <w:divBdr>
        <w:top w:val="none" w:sz="0" w:space="0" w:color="auto"/>
        <w:left w:val="none" w:sz="0" w:space="0" w:color="auto"/>
        <w:bottom w:val="none" w:sz="0" w:space="0" w:color="auto"/>
        <w:right w:val="none" w:sz="0" w:space="0" w:color="auto"/>
      </w:divBdr>
    </w:div>
    <w:div w:id="489566673">
      <w:bodyDiv w:val="1"/>
      <w:marLeft w:val="0"/>
      <w:marRight w:val="0"/>
      <w:marTop w:val="0"/>
      <w:marBottom w:val="0"/>
      <w:divBdr>
        <w:top w:val="none" w:sz="0" w:space="0" w:color="auto"/>
        <w:left w:val="none" w:sz="0" w:space="0" w:color="auto"/>
        <w:bottom w:val="none" w:sz="0" w:space="0" w:color="auto"/>
        <w:right w:val="none" w:sz="0" w:space="0" w:color="auto"/>
      </w:divBdr>
    </w:div>
    <w:div w:id="1145273467">
      <w:bodyDiv w:val="1"/>
      <w:marLeft w:val="0"/>
      <w:marRight w:val="0"/>
      <w:marTop w:val="0"/>
      <w:marBottom w:val="0"/>
      <w:divBdr>
        <w:top w:val="none" w:sz="0" w:space="0" w:color="auto"/>
        <w:left w:val="none" w:sz="0" w:space="0" w:color="auto"/>
        <w:bottom w:val="none" w:sz="0" w:space="0" w:color="auto"/>
        <w:right w:val="none" w:sz="0" w:space="0" w:color="auto"/>
      </w:divBdr>
    </w:div>
    <w:div w:id="1233662362">
      <w:bodyDiv w:val="1"/>
      <w:marLeft w:val="0"/>
      <w:marRight w:val="0"/>
      <w:marTop w:val="0"/>
      <w:marBottom w:val="0"/>
      <w:divBdr>
        <w:top w:val="none" w:sz="0" w:space="0" w:color="auto"/>
        <w:left w:val="none" w:sz="0" w:space="0" w:color="auto"/>
        <w:bottom w:val="none" w:sz="0" w:space="0" w:color="auto"/>
        <w:right w:val="none" w:sz="0" w:space="0" w:color="auto"/>
      </w:divBdr>
    </w:div>
    <w:div w:id="1873691668">
      <w:bodyDiv w:val="1"/>
      <w:marLeft w:val="0"/>
      <w:marRight w:val="0"/>
      <w:marTop w:val="0"/>
      <w:marBottom w:val="0"/>
      <w:divBdr>
        <w:top w:val="none" w:sz="0" w:space="0" w:color="auto"/>
        <w:left w:val="none" w:sz="0" w:space="0" w:color="auto"/>
        <w:bottom w:val="none" w:sz="0" w:space="0" w:color="auto"/>
        <w:right w:val="none" w:sz="0" w:space="0" w:color="auto"/>
      </w:divBdr>
    </w:div>
    <w:div w:id="21403699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chart" Target="charts/chart5.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chart" Target="charts/chart4.xml"/><Relationship Id="rId2" Type="http://schemas.openxmlformats.org/officeDocument/2006/relationships/numbering" Target="numbering.xml"/><Relationship Id="rId16" Type="http://schemas.openxmlformats.org/officeDocument/2006/relationships/chart" Target="charts/chart3.xml"/><Relationship Id="rId20"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chart" Target="charts/chart2.xml"/><Relationship Id="rId10" Type="http://schemas.openxmlformats.org/officeDocument/2006/relationships/footer" Target="footer1.xml"/><Relationship Id="rId19" Type="http://schemas.openxmlformats.org/officeDocument/2006/relationships/chart" Target="charts/chart6.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chart" Target="charts/chart1.xm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Book1" TargetMode="External"/></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oleObject" Target="Book1" TargetMode="External"/></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oleObject" Target="Book1" TargetMode="External"/></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oleObject" Target="Book1" TargetMode="External"/></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oleObject" Target="Book1" TargetMode="External"/></Relationships>
</file>

<file path=word/charts/_rels/chart6.xml.rels><?xml version="1.0" encoding="UTF-8" standalone="yes"?>
<Relationships xmlns="http://schemas.openxmlformats.org/package/2006/relationships"><Relationship Id="rId3" Type="http://schemas.openxmlformats.org/officeDocument/2006/relationships/themeOverride" Target="../theme/themeOverride6.xm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Net profit margin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ro-RO"/>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ro-RO"/>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trendline>
            <c:spPr>
              <a:ln w="19050" cap="rnd">
                <a:solidFill>
                  <a:schemeClr val="accent1"/>
                </a:solidFill>
                <a:prstDash val="sysDot"/>
              </a:ln>
              <a:effectLst/>
            </c:spPr>
            <c:trendlineType val="linear"/>
            <c:dispRSqr val="0"/>
            <c:dispEq val="0"/>
          </c:trendline>
          <c:val>
            <c:numRef>
              <c:f>Sheet1!$C$8:$D$8</c:f>
              <c:numCache>
                <c:formatCode>0.00%</c:formatCode>
                <c:ptCount val="2"/>
                <c:pt idx="0">
                  <c:v>0.72872727272727278</c:v>
                </c:pt>
                <c:pt idx="1">
                  <c:v>0.67883333333333329</c:v>
                </c:pt>
              </c:numCache>
            </c:numRef>
          </c:val>
          <c:extLst>
            <c:ext xmlns:c16="http://schemas.microsoft.com/office/drawing/2014/chart" uri="{C3380CC4-5D6E-409C-BE32-E72D297353CC}">
              <c16:uniqueId val="{00000000-080F-4C2B-A234-B9167D492D7D}"/>
            </c:ext>
          </c:extLst>
        </c:ser>
        <c:dLbls>
          <c:dLblPos val="outEnd"/>
          <c:showLegendKey val="0"/>
          <c:showVal val="1"/>
          <c:showCatName val="0"/>
          <c:showSerName val="0"/>
          <c:showPercent val="0"/>
          <c:showBubbleSize val="0"/>
        </c:dLbls>
        <c:gapWidth val="219"/>
        <c:overlap val="-27"/>
        <c:axId val="983756016"/>
        <c:axId val="983757264"/>
      </c:barChart>
      <c:catAx>
        <c:axId val="983756016"/>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RO"/>
          </a:p>
        </c:txPr>
        <c:crossAx val="983757264"/>
        <c:crosses val="autoZero"/>
        <c:auto val="1"/>
        <c:lblAlgn val="ctr"/>
        <c:lblOffset val="100"/>
        <c:noMultiLvlLbl val="0"/>
      </c:catAx>
      <c:valAx>
        <c:axId val="983757264"/>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RO"/>
          </a:p>
        </c:txPr>
        <c:crossAx val="98375601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ro-RO"/>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US"/>
              <a:t>Gross profit margin</a:t>
            </a:r>
          </a:p>
        </c:rich>
      </c:tx>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ro-RO"/>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ro-RO"/>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trendline>
            <c:spPr>
              <a:ln w="19050" cap="rnd">
                <a:solidFill>
                  <a:schemeClr val="accent1"/>
                </a:solidFill>
              </a:ln>
              <a:effectLst/>
            </c:spPr>
            <c:trendlineType val="linear"/>
            <c:dispRSqr val="0"/>
            <c:dispEq val="0"/>
          </c:trendline>
          <c:val>
            <c:numRef>
              <c:f>Sheet1!$C$16:$D$16</c:f>
              <c:numCache>
                <c:formatCode>0.00%</c:formatCode>
                <c:ptCount val="2"/>
                <c:pt idx="0">
                  <c:v>0.91818181818181821</c:v>
                </c:pt>
                <c:pt idx="1">
                  <c:v>0.85833333333333328</c:v>
                </c:pt>
              </c:numCache>
            </c:numRef>
          </c:val>
          <c:extLst>
            <c:ext xmlns:c16="http://schemas.microsoft.com/office/drawing/2014/chart" uri="{C3380CC4-5D6E-409C-BE32-E72D297353CC}">
              <c16:uniqueId val="{00000000-BDC1-4AA1-894B-80AA79E7CE18}"/>
            </c:ext>
          </c:extLst>
        </c:ser>
        <c:dLbls>
          <c:showLegendKey val="0"/>
          <c:showVal val="0"/>
          <c:showCatName val="0"/>
          <c:showSerName val="0"/>
          <c:showPercent val="0"/>
          <c:showBubbleSize val="0"/>
        </c:dLbls>
        <c:gapWidth val="267"/>
        <c:overlap val="-43"/>
        <c:axId val="981640608"/>
        <c:axId val="981646848"/>
      </c:barChart>
      <c:catAx>
        <c:axId val="981640608"/>
        <c:scaling>
          <c:orientation val="minMax"/>
        </c:scaling>
        <c:delete val="0"/>
        <c:axPos val="b"/>
        <c:majorGridlines>
          <c:spPr>
            <a:ln w="9525" cap="flat" cmpd="sng" algn="ctr">
              <a:solidFill>
                <a:schemeClr val="dk1">
                  <a:lumMod val="15000"/>
                  <a:lumOff val="85000"/>
                </a:schemeClr>
              </a:solidFill>
              <a:round/>
            </a:ln>
            <a:effectLst/>
          </c:spPr>
        </c:majorGridlines>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ro-RO"/>
          </a:p>
        </c:txPr>
        <c:crossAx val="981646848"/>
        <c:crosses val="autoZero"/>
        <c:auto val="1"/>
        <c:lblAlgn val="ctr"/>
        <c:lblOffset val="100"/>
        <c:noMultiLvlLbl val="0"/>
      </c:catAx>
      <c:valAx>
        <c:axId val="981646848"/>
        <c:scaling>
          <c:orientation val="minMax"/>
        </c:scaling>
        <c:delete val="0"/>
        <c:axPos val="l"/>
        <c:majorGridlines>
          <c:spPr>
            <a:ln w="9525" cap="flat" cmpd="sng" algn="ctr">
              <a:solidFill>
                <a:schemeClr val="dk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ro-RO"/>
          </a:p>
        </c:txPr>
        <c:crossAx val="981640608"/>
        <c:crosses val="autoZero"/>
        <c:crossBetween val="between"/>
      </c:valAx>
      <c:spPr>
        <a:pattFill prst="ltDnDiag">
          <a:fgClr>
            <a:schemeClr val="dk1">
              <a:lumMod val="15000"/>
              <a:lumOff val="85000"/>
            </a:schemeClr>
          </a:fgClr>
          <a:bgClr>
            <a:schemeClr val="lt1"/>
          </a:bgClr>
        </a:patt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ro-RO"/>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Current ratio</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ro-RO"/>
        </a:p>
      </c:txPr>
    </c:title>
    <c:autoTitleDeleted val="0"/>
    <c:plotArea>
      <c:layout/>
      <c:barChart>
        <c:barDir val="col"/>
        <c:grouping val="clustered"/>
        <c:varyColors val="0"/>
        <c:ser>
          <c:idx val="0"/>
          <c:order val="0"/>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ro-RO"/>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trendline>
            <c:spPr>
              <a:ln w="19050" cap="rnd">
                <a:solidFill>
                  <a:schemeClr val="accent1"/>
                </a:solidFill>
                <a:prstDash val="sysDot"/>
              </a:ln>
              <a:effectLst/>
            </c:spPr>
            <c:trendlineType val="linear"/>
            <c:dispRSqr val="0"/>
            <c:dispEq val="0"/>
          </c:trendline>
          <c:val>
            <c:numRef>
              <c:f>Sheet1!$C$24:$D$24</c:f>
              <c:numCache>
                <c:formatCode>General</c:formatCode>
                <c:ptCount val="2"/>
                <c:pt idx="0">
                  <c:v>2.2890216579536968</c:v>
                </c:pt>
                <c:pt idx="1">
                  <c:v>2.004950495049505</c:v>
                </c:pt>
              </c:numCache>
            </c:numRef>
          </c:val>
          <c:extLst>
            <c:ext xmlns:c16="http://schemas.microsoft.com/office/drawing/2014/chart" uri="{C3380CC4-5D6E-409C-BE32-E72D297353CC}">
              <c16:uniqueId val="{00000000-B33A-4407-B63C-86340E9F1B80}"/>
            </c:ext>
          </c:extLst>
        </c:ser>
        <c:dLbls>
          <c:showLegendKey val="0"/>
          <c:showVal val="0"/>
          <c:showCatName val="0"/>
          <c:showSerName val="0"/>
          <c:showPercent val="0"/>
          <c:showBubbleSize val="0"/>
        </c:dLbls>
        <c:gapWidth val="219"/>
        <c:overlap val="-27"/>
        <c:axId val="981650592"/>
        <c:axId val="981641024"/>
      </c:barChart>
      <c:catAx>
        <c:axId val="981650592"/>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RO"/>
          </a:p>
        </c:txPr>
        <c:crossAx val="981641024"/>
        <c:crosses val="autoZero"/>
        <c:auto val="1"/>
        <c:lblAlgn val="ctr"/>
        <c:lblOffset val="100"/>
        <c:noMultiLvlLbl val="0"/>
      </c:catAx>
      <c:valAx>
        <c:axId val="98164102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RO"/>
          </a:p>
        </c:txPr>
        <c:crossAx val="98165059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ro-RO"/>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Quick ratio</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ro-RO"/>
        </a:p>
      </c:txPr>
    </c:title>
    <c:autoTitleDeleted val="0"/>
    <c:plotArea>
      <c:layout/>
      <c:barChart>
        <c:barDir val="col"/>
        <c:grouping val="clustered"/>
        <c:varyColors val="0"/>
        <c:ser>
          <c:idx val="0"/>
          <c:order val="0"/>
          <c:tx>
            <c:strRef>
              <c:f>Sheet1!$B$32</c:f>
              <c:strCache>
                <c:ptCount val="1"/>
                <c:pt idx="0">
                  <c:v>Result</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ro-RO"/>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Sheet1!$C$28:$D$28</c:f>
              <c:numCache>
                <c:formatCode>General</c:formatCode>
                <c:ptCount val="2"/>
                <c:pt idx="0">
                  <c:v>2018</c:v>
                </c:pt>
                <c:pt idx="1">
                  <c:v>2019</c:v>
                </c:pt>
              </c:numCache>
            </c:numRef>
          </c:cat>
          <c:val>
            <c:numRef>
              <c:f>Sheet1!$C$32:$D$32</c:f>
              <c:numCache>
                <c:formatCode>General</c:formatCode>
                <c:ptCount val="2"/>
                <c:pt idx="0">
                  <c:v>1.2061239731142643</c:v>
                </c:pt>
                <c:pt idx="1">
                  <c:v>1.1262376237623761</c:v>
                </c:pt>
              </c:numCache>
            </c:numRef>
          </c:val>
          <c:extLst>
            <c:ext xmlns:c16="http://schemas.microsoft.com/office/drawing/2014/chart" uri="{C3380CC4-5D6E-409C-BE32-E72D297353CC}">
              <c16:uniqueId val="{00000000-35B6-4ACF-B281-7F1DDF2CBA85}"/>
            </c:ext>
          </c:extLst>
        </c:ser>
        <c:dLbls>
          <c:showLegendKey val="0"/>
          <c:showVal val="0"/>
          <c:showCatName val="0"/>
          <c:showSerName val="0"/>
          <c:showPercent val="0"/>
          <c:showBubbleSize val="0"/>
        </c:dLbls>
        <c:gapWidth val="219"/>
        <c:overlap val="-27"/>
        <c:axId val="981649344"/>
        <c:axId val="981650176"/>
      </c:barChart>
      <c:catAx>
        <c:axId val="98164934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RO"/>
          </a:p>
        </c:txPr>
        <c:crossAx val="981650176"/>
        <c:crosses val="autoZero"/>
        <c:auto val="1"/>
        <c:lblAlgn val="ctr"/>
        <c:lblOffset val="100"/>
        <c:noMultiLvlLbl val="0"/>
      </c:catAx>
      <c:valAx>
        <c:axId val="9816501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RO"/>
          </a:p>
        </c:txPr>
        <c:crossAx val="98164934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ro-RO"/>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Debt equity ratio</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ro-RO"/>
        </a:p>
      </c:txPr>
    </c:title>
    <c:autoTitleDeleted val="0"/>
    <c:plotArea>
      <c:layout/>
      <c:barChart>
        <c:barDir val="col"/>
        <c:grouping val="clustered"/>
        <c:varyColors val="0"/>
        <c:ser>
          <c:idx val="0"/>
          <c:order val="0"/>
          <c:tx>
            <c:strRef>
              <c:f>Sheet1!$B$40</c:f>
              <c:strCache>
                <c:ptCount val="1"/>
                <c:pt idx="0">
                  <c:v>Result</c:v>
                </c:pt>
              </c:strCache>
            </c:strRef>
          </c:tx>
          <c:spPr>
            <a:solidFill>
              <a:srgbClr val="7030A0"/>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ro-RO"/>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trendline>
            <c:spPr>
              <a:ln w="19050" cap="rnd">
                <a:solidFill>
                  <a:schemeClr val="accent1"/>
                </a:solidFill>
                <a:prstDash val="sysDot"/>
              </a:ln>
              <a:effectLst/>
            </c:spPr>
            <c:trendlineType val="linear"/>
            <c:dispRSqr val="0"/>
            <c:dispEq val="0"/>
          </c:trendline>
          <c:cat>
            <c:numRef>
              <c:f>Sheet1!$C$36:$D$36</c:f>
              <c:numCache>
                <c:formatCode>General</c:formatCode>
                <c:ptCount val="2"/>
                <c:pt idx="0">
                  <c:v>2018</c:v>
                </c:pt>
                <c:pt idx="1">
                  <c:v>2019</c:v>
                </c:pt>
              </c:numCache>
            </c:numRef>
          </c:cat>
          <c:val>
            <c:numRef>
              <c:f>Sheet1!$C$40:$D$40</c:f>
              <c:numCache>
                <c:formatCode>General</c:formatCode>
                <c:ptCount val="2"/>
                <c:pt idx="0">
                  <c:v>0.72001934235976794</c:v>
                </c:pt>
                <c:pt idx="1">
                  <c:v>0.85651750972762641</c:v>
                </c:pt>
              </c:numCache>
            </c:numRef>
          </c:val>
          <c:extLst>
            <c:ext xmlns:c16="http://schemas.microsoft.com/office/drawing/2014/chart" uri="{C3380CC4-5D6E-409C-BE32-E72D297353CC}">
              <c16:uniqueId val="{00000000-1D96-4C61-AFD3-8D28B7A76562}"/>
            </c:ext>
          </c:extLst>
        </c:ser>
        <c:dLbls>
          <c:showLegendKey val="0"/>
          <c:showVal val="0"/>
          <c:showCatName val="0"/>
          <c:showSerName val="0"/>
          <c:showPercent val="0"/>
          <c:showBubbleSize val="0"/>
        </c:dLbls>
        <c:gapWidth val="219"/>
        <c:overlap val="-27"/>
        <c:axId val="983753520"/>
        <c:axId val="983761840"/>
      </c:barChart>
      <c:catAx>
        <c:axId val="9837535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RO"/>
          </a:p>
        </c:txPr>
        <c:crossAx val="983761840"/>
        <c:crosses val="autoZero"/>
        <c:auto val="1"/>
        <c:lblAlgn val="ctr"/>
        <c:lblOffset val="100"/>
        <c:noMultiLvlLbl val="0"/>
      </c:catAx>
      <c:valAx>
        <c:axId val="98376184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RO"/>
          </a:p>
        </c:txPr>
        <c:crossAx val="98375352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ro-RO"/>
    </a:p>
  </c:txPr>
  <c:externalData r:id="rId4">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Equity ratio</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ro-RO"/>
        </a:p>
      </c:txPr>
    </c:title>
    <c:autoTitleDeleted val="0"/>
    <c:plotArea>
      <c:layout/>
      <c:barChart>
        <c:barDir val="col"/>
        <c:grouping val="clustered"/>
        <c:varyColors val="0"/>
        <c:ser>
          <c:idx val="0"/>
          <c:order val="0"/>
          <c:tx>
            <c:strRef>
              <c:f>Sheet1!$B$48</c:f>
              <c:strCache>
                <c:ptCount val="1"/>
                <c:pt idx="0">
                  <c:v>Result</c:v>
                </c:pt>
              </c:strCache>
            </c:strRef>
          </c:tx>
          <c:spPr>
            <a:solidFill>
              <a:schemeClr val="tx1">
                <a:lumMod val="75000"/>
                <a:lumOff val="25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ro-RO"/>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Sheet1!$C$44:$D$44</c:f>
              <c:numCache>
                <c:formatCode>General</c:formatCode>
                <c:ptCount val="2"/>
                <c:pt idx="0">
                  <c:v>2018</c:v>
                </c:pt>
                <c:pt idx="1">
                  <c:v>2019</c:v>
                </c:pt>
              </c:numCache>
            </c:numRef>
          </c:cat>
          <c:val>
            <c:numRef>
              <c:f>Sheet1!$C$48:$D$48</c:f>
              <c:numCache>
                <c:formatCode>General</c:formatCode>
                <c:ptCount val="2"/>
                <c:pt idx="0">
                  <c:v>0.27336417713152678</c:v>
                </c:pt>
                <c:pt idx="1">
                  <c:v>0.26058301647655258</c:v>
                </c:pt>
              </c:numCache>
            </c:numRef>
          </c:val>
          <c:extLst>
            <c:ext xmlns:c16="http://schemas.microsoft.com/office/drawing/2014/chart" uri="{C3380CC4-5D6E-409C-BE32-E72D297353CC}">
              <c16:uniqueId val="{00000000-3963-46FB-BEEA-548084A169C7}"/>
            </c:ext>
          </c:extLst>
        </c:ser>
        <c:dLbls>
          <c:showLegendKey val="0"/>
          <c:showVal val="0"/>
          <c:showCatName val="0"/>
          <c:showSerName val="0"/>
          <c:showPercent val="0"/>
          <c:showBubbleSize val="0"/>
        </c:dLbls>
        <c:gapWidth val="219"/>
        <c:overlap val="-27"/>
        <c:axId val="977354752"/>
        <c:axId val="977356416"/>
      </c:barChart>
      <c:catAx>
        <c:axId val="97735475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RO"/>
          </a:p>
        </c:txPr>
        <c:crossAx val="977356416"/>
        <c:crosses val="autoZero"/>
        <c:auto val="1"/>
        <c:lblAlgn val="ctr"/>
        <c:lblOffset val="100"/>
        <c:noMultiLvlLbl val="0"/>
      </c:catAx>
      <c:valAx>
        <c:axId val="97735641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RO"/>
          </a:p>
        </c:txPr>
        <c:crossAx val="977354752"/>
        <c:crosses val="autoZero"/>
        <c:crossBetween val="between"/>
      </c:valAx>
      <c:spPr>
        <a:noFill/>
        <a:ln>
          <a:noFill/>
        </a:ln>
        <a:effectLst/>
      </c:spPr>
    </c:plotArea>
    <c:plotVisOnly val="1"/>
    <c:dispBlanksAs val="gap"/>
    <c:showDLblsOverMax val="0"/>
  </c:chart>
  <c:spPr>
    <a:solidFill>
      <a:schemeClr val="accent1">
        <a:lumMod val="20000"/>
        <a:lumOff val="80000"/>
      </a:schemeClr>
    </a:solidFill>
    <a:ln w="9525" cap="flat" cmpd="sng" algn="ctr">
      <a:solidFill>
        <a:schemeClr val="tx1">
          <a:lumMod val="15000"/>
          <a:lumOff val="85000"/>
        </a:schemeClr>
      </a:solidFill>
      <a:round/>
    </a:ln>
    <a:effectLst/>
  </c:spPr>
  <c:txPr>
    <a:bodyPr/>
    <a:lstStyle/>
    <a:p>
      <a:pPr>
        <a:defRPr/>
      </a:pPr>
      <a:endParaRPr lang="ro-RO"/>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8">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B0E22E-2470-423E-AB2C-927FDFD506F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2613</Words>
  <Characters>15162</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17740</CharactersWithSpaces>
  <SharedDoc>false</SharedDoc>
  <HLinks>
    <vt:vector size="42" baseType="variant">
      <vt:variant>
        <vt:i4>1310770</vt:i4>
      </vt:variant>
      <vt:variant>
        <vt:i4>38</vt:i4>
      </vt:variant>
      <vt:variant>
        <vt:i4>0</vt:i4>
      </vt:variant>
      <vt:variant>
        <vt:i4>5</vt:i4>
      </vt:variant>
      <vt:variant>
        <vt:lpwstr/>
      </vt:variant>
      <vt:variant>
        <vt:lpwstr>_Toc44690806</vt:lpwstr>
      </vt:variant>
      <vt:variant>
        <vt:i4>1507378</vt:i4>
      </vt:variant>
      <vt:variant>
        <vt:i4>32</vt:i4>
      </vt:variant>
      <vt:variant>
        <vt:i4>0</vt:i4>
      </vt:variant>
      <vt:variant>
        <vt:i4>5</vt:i4>
      </vt:variant>
      <vt:variant>
        <vt:lpwstr/>
      </vt:variant>
      <vt:variant>
        <vt:lpwstr>_Toc44690805</vt:lpwstr>
      </vt:variant>
      <vt:variant>
        <vt:i4>1441842</vt:i4>
      </vt:variant>
      <vt:variant>
        <vt:i4>26</vt:i4>
      </vt:variant>
      <vt:variant>
        <vt:i4>0</vt:i4>
      </vt:variant>
      <vt:variant>
        <vt:i4>5</vt:i4>
      </vt:variant>
      <vt:variant>
        <vt:lpwstr/>
      </vt:variant>
      <vt:variant>
        <vt:lpwstr>_Toc44690804</vt:lpwstr>
      </vt:variant>
      <vt:variant>
        <vt:i4>1114162</vt:i4>
      </vt:variant>
      <vt:variant>
        <vt:i4>20</vt:i4>
      </vt:variant>
      <vt:variant>
        <vt:i4>0</vt:i4>
      </vt:variant>
      <vt:variant>
        <vt:i4>5</vt:i4>
      </vt:variant>
      <vt:variant>
        <vt:lpwstr/>
      </vt:variant>
      <vt:variant>
        <vt:lpwstr>_Toc44690803</vt:lpwstr>
      </vt:variant>
      <vt:variant>
        <vt:i4>1048626</vt:i4>
      </vt:variant>
      <vt:variant>
        <vt:i4>14</vt:i4>
      </vt:variant>
      <vt:variant>
        <vt:i4>0</vt:i4>
      </vt:variant>
      <vt:variant>
        <vt:i4>5</vt:i4>
      </vt:variant>
      <vt:variant>
        <vt:lpwstr/>
      </vt:variant>
      <vt:variant>
        <vt:lpwstr>_Toc44690802</vt:lpwstr>
      </vt:variant>
      <vt:variant>
        <vt:i4>1245234</vt:i4>
      </vt:variant>
      <vt:variant>
        <vt:i4>8</vt:i4>
      </vt:variant>
      <vt:variant>
        <vt:i4>0</vt:i4>
      </vt:variant>
      <vt:variant>
        <vt:i4>5</vt:i4>
      </vt:variant>
      <vt:variant>
        <vt:lpwstr/>
      </vt:variant>
      <vt:variant>
        <vt:lpwstr>_Toc44690801</vt:lpwstr>
      </vt:variant>
      <vt:variant>
        <vt:i4>1179698</vt:i4>
      </vt:variant>
      <vt:variant>
        <vt:i4>2</vt:i4>
      </vt:variant>
      <vt:variant>
        <vt:i4>0</vt:i4>
      </vt:variant>
      <vt:variant>
        <vt:i4>5</vt:i4>
      </vt:variant>
      <vt:variant>
        <vt:lpwstr/>
      </vt:variant>
      <vt:variant>
        <vt:lpwstr>_Toc44690800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Eliza Brozban</cp:lastModifiedBy>
  <cp:revision>2</cp:revision>
  <cp:lastPrinted>1601-01-01T00:00:00Z</cp:lastPrinted>
  <dcterms:created xsi:type="dcterms:W3CDTF">2020-07-03T13:49:00Z</dcterms:created>
  <dcterms:modified xsi:type="dcterms:W3CDTF">2020-07-03T13:49:00Z</dcterms:modified>
</cp:coreProperties>
</file>