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76C052" w14:textId="77777777" w:rsidR="00A25A64" w:rsidRDefault="00A25A64" w:rsidP="00A25A64"/>
    <w:p w14:paraId="3DBCEB59" w14:textId="77777777" w:rsidR="00A25A64" w:rsidRDefault="00A25A64" w:rsidP="00A25A64"/>
    <w:p w14:paraId="139D7BD8" w14:textId="77777777" w:rsidR="00A25A64" w:rsidRDefault="00A25A64" w:rsidP="00A25A64"/>
    <w:p w14:paraId="1BA4BE06" w14:textId="77777777" w:rsidR="00A25A64" w:rsidRDefault="00A25A64" w:rsidP="00A25A64"/>
    <w:p w14:paraId="1A1ABAA2" w14:textId="77777777" w:rsidR="00A25A64" w:rsidRDefault="00A25A64" w:rsidP="00A25A64"/>
    <w:p w14:paraId="0E769326" w14:textId="77777777" w:rsidR="00A25A64" w:rsidRDefault="00A25A64" w:rsidP="00A25A64"/>
    <w:p w14:paraId="75F7D86A" w14:textId="77777777" w:rsidR="00A25A64" w:rsidRDefault="00A25A64" w:rsidP="00A25A64"/>
    <w:p w14:paraId="403662E1" w14:textId="77777777" w:rsidR="00A25A64" w:rsidRDefault="00A25A64" w:rsidP="00A25A64"/>
    <w:p w14:paraId="113F39DC" w14:textId="77777777" w:rsidR="00A25A64" w:rsidRDefault="00A25A64" w:rsidP="00A25A64"/>
    <w:p w14:paraId="419B5742" w14:textId="77777777" w:rsidR="00A25A64" w:rsidRDefault="00A25A64" w:rsidP="00A25A64">
      <w:pPr>
        <w:jc w:val="center"/>
        <w:rPr>
          <w:b/>
        </w:rPr>
      </w:pPr>
    </w:p>
    <w:p w14:paraId="7F6F5601" w14:textId="77777777" w:rsidR="00A25A64" w:rsidRDefault="00A25A64" w:rsidP="00A25A64">
      <w:pPr>
        <w:jc w:val="center"/>
        <w:rPr>
          <w:b/>
        </w:rPr>
      </w:pPr>
    </w:p>
    <w:p w14:paraId="6D435068" w14:textId="77777777" w:rsidR="00A25A64" w:rsidRDefault="00A25A64" w:rsidP="00A25A64">
      <w:pPr>
        <w:jc w:val="center"/>
        <w:rPr>
          <w:b/>
        </w:rPr>
      </w:pPr>
    </w:p>
    <w:p w14:paraId="4A70A349" w14:textId="77777777" w:rsidR="00A25A64" w:rsidRDefault="00A25A64" w:rsidP="00A25A64">
      <w:pPr>
        <w:jc w:val="center"/>
        <w:rPr>
          <w:b/>
          <w:sz w:val="32"/>
          <w:szCs w:val="32"/>
        </w:rPr>
      </w:pPr>
    </w:p>
    <w:p w14:paraId="45F141B0" w14:textId="51A458E2" w:rsidR="00764C89" w:rsidRDefault="00A25A64" w:rsidP="00A25A64">
      <w:pPr>
        <w:jc w:val="center"/>
        <w:rPr>
          <w:b/>
          <w:bCs/>
          <w:sz w:val="32"/>
          <w:szCs w:val="32"/>
        </w:rPr>
      </w:pPr>
      <w:r w:rsidRPr="00764C89">
        <w:rPr>
          <w:b/>
          <w:sz w:val="32"/>
          <w:szCs w:val="32"/>
        </w:rPr>
        <w:t xml:space="preserve">DATA HANDLING AND BUSINESS INTELLIGENCE </w:t>
      </w:r>
      <w:r>
        <w:rPr>
          <w:b/>
        </w:rPr>
        <w:br/>
      </w:r>
      <w:r w:rsidR="00764C89">
        <w:rPr>
          <w:b/>
          <w:bCs/>
          <w:sz w:val="32"/>
          <w:szCs w:val="32"/>
        </w:rPr>
        <w:t xml:space="preserve">LCBB5000 </w:t>
      </w:r>
    </w:p>
    <w:p w14:paraId="5E350AF3" w14:textId="3BDDC592" w:rsidR="00A25A64" w:rsidRPr="00516006" w:rsidRDefault="00A25A64" w:rsidP="00A25A64">
      <w:pPr>
        <w:jc w:val="center"/>
        <w:rPr>
          <w:sz w:val="32"/>
          <w:szCs w:val="32"/>
        </w:rPr>
      </w:pPr>
      <w:r w:rsidRPr="00516006">
        <w:rPr>
          <w:b/>
          <w:bCs/>
          <w:sz w:val="32"/>
          <w:szCs w:val="32"/>
        </w:rPr>
        <w:t>Component 2</w:t>
      </w:r>
    </w:p>
    <w:p w14:paraId="64A1C512" w14:textId="77777777" w:rsidR="00764C89" w:rsidRDefault="00A25A64" w:rsidP="00A25A64">
      <w:pPr>
        <w:jc w:val="center"/>
        <w:rPr>
          <w:b/>
          <w:bCs/>
          <w:sz w:val="32"/>
          <w:szCs w:val="32"/>
        </w:rPr>
      </w:pPr>
      <w:r w:rsidRPr="00516006">
        <w:rPr>
          <w:b/>
          <w:bCs/>
          <w:sz w:val="32"/>
          <w:szCs w:val="32"/>
        </w:rPr>
        <w:t xml:space="preserve">Coursework: Essay </w:t>
      </w:r>
    </w:p>
    <w:p w14:paraId="2F7BB02E" w14:textId="77777777" w:rsidR="00764C89" w:rsidRDefault="00764C89" w:rsidP="00A25A64">
      <w:pPr>
        <w:jc w:val="center"/>
        <w:rPr>
          <w:b/>
          <w:bCs/>
          <w:sz w:val="32"/>
          <w:szCs w:val="32"/>
        </w:rPr>
      </w:pPr>
    </w:p>
    <w:p w14:paraId="48ABE79A" w14:textId="77777777" w:rsidR="00764C89" w:rsidRDefault="00764C89" w:rsidP="00A25A64">
      <w:pPr>
        <w:jc w:val="center"/>
        <w:rPr>
          <w:b/>
          <w:bCs/>
          <w:sz w:val="32"/>
          <w:szCs w:val="32"/>
        </w:rPr>
      </w:pPr>
    </w:p>
    <w:p w14:paraId="1D6AEE62" w14:textId="77777777" w:rsidR="00764C89" w:rsidRDefault="00764C89" w:rsidP="00A25A64">
      <w:pPr>
        <w:jc w:val="center"/>
        <w:rPr>
          <w:b/>
          <w:bCs/>
          <w:sz w:val="32"/>
          <w:szCs w:val="32"/>
        </w:rPr>
      </w:pPr>
    </w:p>
    <w:p w14:paraId="257BB69B" w14:textId="77777777" w:rsidR="00764C89" w:rsidRDefault="00764C89" w:rsidP="00A25A64">
      <w:pPr>
        <w:jc w:val="center"/>
        <w:rPr>
          <w:b/>
          <w:bCs/>
          <w:sz w:val="32"/>
          <w:szCs w:val="32"/>
        </w:rPr>
      </w:pPr>
    </w:p>
    <w:p w14:paraId="59F34DCB" w14:textId="77777777" w:rsidR="007652CE" w:rsidRDefault="00764C89" w:rsidP="00A25A64">
      <w:pPr>
        <w:jc w:val="center"/>
        <w:rPr>
          <w:b/>
          <w:bCs/>
          <w:sz w:val="32"/>
          <w:szCs w:val="32"/>
        </w:rPr>
      </w:pPr>
      <w:r>
        <w:rPr>
          <w:b/>
          <w:bCs/>
          <w:sz w:val="32"/>
          <w:szCs w:val="32"/>
        </w:rPr>
        <w:t xml:space="preserve">                                                 </w:t>
      </w:r>
    </w:p>
    <w:p w14:paraId="2D8C6205" w14:textId="5B3F0AB0" w:rsidR="00764C89" w:rsidRDefault="00764C89" w:rsidP="00A25A64">
      <w:pPr>
        <w:jc w:val="center"/>
        <w:rPr>
          <w:b/>
          <w:bCs/>
          <w:sz w:val="32"/>
          <w:szCs w:val="32"/>
        </w:rPr>
      </w:pPr>
      <w:r>
        <w:rPr>
          <w:b/>
          <w:bCs/>
          <w:sz w:val="32"/>
          <w:szCs w:val="32"/>
        </w:rPr>
        <w:t xml:space="preserve"> </w:t>
      </w:r>
      <w:r w:rsidR="007652CE">
        <w:rPr>
          <w:b/>
          <w:bCs/>
          <w:sz w:val="32"/>
          <w:szCs w:val="32"/>
        </w:rPr>
        <w:t xml:space="preserve">                                                 </w:t>
      </w:r>
      <w:r>
        <w:rPr>
          <w:b/>
          <w:bCs/>
          <w:sz w:val="32"/>
          <w:szCs w:val="32"/>
        </w:rPr>
        <w:t>Student name: Laura-</w:t>
      </w:r>
      <w:proofErr w:type="spellStart"/>
      <w:r>
        <w:rPr>
          <w:b/>
          <w:bCs/>
          <w:sz w:val="32"/>
          <w:szCs w:val="32"/>
        </w:rPr>
        <w:t>Andreea</w:t>
      </w:r>
      <w:proofErr w:type="spellEnd"/>
      <w:r>
        <w:rPr>
          <w:b/>
          <w:bCs/>
          <w:sz w:val="32"/>
          <w:szCs w:val="32"/>
        </w:rPr>
        <w:t xml:space="preserve"> </w:t>
      </w:r>
      <w:proofErr w:type="spellStart"/>
      <w:r>
        <w:rPr>
          <w:b/>
          <w:bCs/>
          <w:sz w:val="32"/>
          <w:szCs w:val="32"/>
        </w:rPr>
        <w:t>Doru</w:t>
      </w:r>
      <w:proofErr w:type="spellEnd"/>
    </w:p>
    <w:p w14:paraId="624C4C2D" w14:textId="1C89F6AE" w:rsidR="00124C6F" w:rsidRDefault="00764C89" w:rsidP="007652CE">
      <w:pPr>
        <w:jc w:val="center"/>
        <w:rPr>
          <w:b/>
          <w:bCs/>
          <w:sz w:val="32"/>
          <w:szCs w:val="32"/>
        </w:rPr>
      </w:pPr>
      <w:r>
        <w:rPr>
          <w:b/>
          <w:bCs/>
          <w:sz w:val="32"/>
          <w:szCs w:val="32"/>
        </w:rPr>
        <w:t xml:space="preserve">                     Student id: 2125338</w:t>
      </w:r>
    </w:p>
    <w:p w14:paraId="33F1E78B" w14:textId="73C92489" w:rsidR="00A25A64" w:rsidRPr="00516006" w:rsidRDefault="00124C6F" w:rsidP="007652CE">
      <w:pPr>
        <w:jc w:val="center"/>
        <w:rPr>
          <w:b/>
          <w:bCs/>
          <w:sz w:val="32"/>
          <w:szCs w:val="32"/>
        </w:rPr>
      </w:pPr>
      <w:r>
        <w:rPr>
          <w:b/>
          <w:bCs/>
          <w:sz w:val="32"/>
          <w:szCs w:val="32"/>
        </w:rPr>
        <w:t xml:space="preserve">                                              Lecturer: </w:t>
      </w:r>
      <w:proofErr w:type="spellStart"/>
      <w:r>
        <w:rPr>
          <w:b/>
          <w:bCs/>
          <w:sz w:val="32"/>
          <w:szCs w:val="32"/>
        </w:rPr>
        <w:t>Dr.</w:t>
      </w:r>
      <w:proofErr w:type="spellEnd"/>
      <w:r>
        <w:rPr>
          <w:b/>
          <w:bCs/>
          <w:sz w:val="32"/>
          <w:szCs w:val="32"/>
        </w:rPr>
        <w:t xml:space="preserve"> Anupam Mazumdar</w:t>
      </w:r>
      <w:r w:rsidR="00A25A64" w:rsidRPr="00516006">
        <w:rPr>
          <w:b/>
          <w:bCs/>
          <w:sz w:val="32"/>
          <w:szCs w:val="32"/>
        </w:rPr>
        <w:br w:type="page"/>
      </w:r>
    </w:p>
    <w:sdt>
      <w:sdtPr>
        <w:rPr>
          <w:rFonts w:ascii="Times New Roman" w:eastAsia="Times New Roman" w:hAnsi="Times New Roman" w:cs="Times New Roman"/>
          <w:color w:val="auto"/>
          <w:sz w:val="24"/>
          <w:szCs w:val="24"/>
          <w:lang w:val="en-GB"/>
        </w:rPr>
        <w:id w:val="1942104864"/>
        <w:docPartObj>
          <w:docPartGallery w:val="Table of Contents"/>
          <w:docPartUnique/>
        </w:docPartObj>
      </w:sdtPr>
      <w:sdtEndPr>
        <w:rPr>
          <w:b/>
          <w:bCs/>
          <w:noProof/>
        </w:rPr>
      </w:sdtEndPr>
      <w:sdtContent>
        <w:p w14:paraId="624C7C1C" w14:textId="77777777" w:rsidR="00A25A64" w:rsidRPr="000A0E07" w:rsidRDefault="00A25A64" w:rsidP="00A25A64">
          <w:pPr>
            <w:pStyle w:val="TOCHeading"/>
            <w:spacing w:line="360" w:lineRule="auto"/>
            <w:jc w:val="center"/>
            <w:rPr>
              <w:rFonts w:ascii="Times New Roman" w:hAnsi="Times New Roman" w:cs="Times New Roman"/>
              <w:b/>
              <w:bCs/>
              <w:color w:val="000000" w:themeColor="text1"/>
              <w:sz w:val="24"/>
              <w:szCs w:val="24"/>
            </w:rPr>
          </w:pPr>
          <w:r w:rsidRPr="000A0E07">
            <w:rPr>
              <w:rFonts w:ascii="Times New Roman" w:hAnsi="Times New Roman" w:cs="Times New Roman"/>
              <w:b/>
              <w:bCs/>
              <w:color w:val="000000" w:themeColor="text1"/>
              <w:sz w:val="24"/>
              <w:szCs w:val="24"/>
            </w:rPr>
            <w:t>TABLE OF CONTENTS</w:t>
          </w:r>
        </w:p>
        <w:p w14:paraId="2B423C5A" w14:textId="77777777" w:rsidR="00A25A64" w:rsidRPr="000A0E07" w:rsidRDefault="00A25A64" w:rsidP="00A25A64">
          <w:pPr>
            <w:pStyle w:val="TOC1"/>
            <w:tabs>
              <w:tab w:val="right" w:leader="dot" w:pos="9019"/>
            </w:tabs>
            <w:spacing w:line="360" w:lineRule="auto"/>
            <w:jc w:val="both"/>
            <w:rPr>
              <w:noProof/>
            </w:rPr>
          </w:pPr>
          <w:r w:rsidRPr="000A0E07">
            <w:fldChar w:fldCharType="begin"/>
          </w:r>
          <w:r w:rsidRPr="000A0E07">
            <w:instrText xml:space="preserve"> TOC \o "1-3" \h \z \u </w:instrText>
          </w:r>
          <w:r w:rsidRPr="000A0E07">
            <w:fldChar w:fldCharType="separate"/>
          </w:r>
          <w:hyperlink w:anchor="_Toc163670722" w:history="1">
            <w:r w:rsidRPr="000A0E07">
              <w:rPr>
                <w:rStyle w:val="Hyperlink"/>
                <w:noProof/>
              </w:rPr>
              <w:t>Introduction</w:t>
            </w:r>
            <w:r w:rsidRPr="000A0E07">
              <w:rPr>
                <w:noProof/>
                <w:webHidden/>
              </w:rPr>
              <w:tab/>
            </w:r>
            <w:r w:rsidRPr="000A0E07">
              <w:rPr>
                <w:noProof/>
                <w:webHidden/>
              </w:rPr>
              <w:fldChar w:fldCharType="begin"/>
            </w:r>
            <w:r w:rsidRPr="000A0E07">
              <w:rPr>
                <w:noProof/>
                <w:webHidden/>
              </w:rPr>
              <w:instrText xml:space="preserve"> PAGEREF _Toc163670722 \h </w:instrText>
            </w:r>
            <w:r w:rsidRPr="000A0E07">
              <w:rPr>
                <w:noProof/>
                <w:webHidden/>
              </w:rPr>
            </w:r>
            <w:r w:rsidRPr="000A0E07">
              <w:rPr>
                <w:noProof/>
                <w:webHidden/>
              </w:rPr>
              <w:fldChar w:fldCharType="separate"/>
            </w:r>
            <w:r w:rsidRPr="000A0E07">
              <w:rPr>
                <w:noProof/>
                <w:webHidden/>
              </w:rPr>
              <w:t>3</w:t>
            </w:r>
            <w:r w:rsidRPr="000A0E07">
              <w:rPr>
                <w:noProof/>
                <w:webHidden/>
              </w:rPr>
              <w:fldChar w:fldCharType="end"/>
            </w:r>
          </w:hyperlink>
        </w:p>
        <w:p w14:paraId="27121E0A" w14:textId="77777777" w:rsidR="00A25A64" w:rsidRPr="000A0E07" w:rsidRDefault="00000000" w:rsidP="00A25A64">
          <w:pPr>
            <w:pStyle w:val="TOC1"/>
            <w:tabs>
              <w:tab w:val="right" w:leader="dot" w:pos="9019"/>
            </w:tabs>
            <w:spacing w:line="360" w:lineRule="auto"/>
            <w:jc w:val="both"/>
            <w:rPr>
              <w:noProof/>
            </w:rPr>
          </w:pPr>
          <w:hyperlink w:anchor="_Toc163670723" w:history="1">
            <w:r w:rsidR="00A25A64" w:rsidRPr="000A0E07">
              <w:rPr>
                <w:rStyle w:val="Hyperlink"/>
                <w:noProof/>
              </w:rPr>
              <w:t>Part 1:</w:t>
            </w:r>
            <w:r w:rsidR="00A25A64" w:rsidRPr="000A0E07">
              <w:rPr>
                <w:noProof/>
                <w:webHidden/>
              </w:rPr>
              <w:tab/>
            </w:r>
            <w:r w:rsidR="00A25A64" w:rsidRPr="000A0E07">
              <w:rPr>
                <w:noProof/>
                <w:webHidden/>
              </w:rPr>
              <w:fldChar w:fldCharType="begin"/>
            </w:r>
            <w:r w:rsidR="00A25A64" w:rsidRPr="000A0E07">
              <w:rPr>
                <w:noProof/>
                <w:webHidden/>
              </w:rPr>
              <w:instrText xml:space="preserve"> PAGEREF _Toc163670723 \h </w:instrText>
            </w:r>
            <w:r w:rsidR="00A25A64" w:rsidRPr="000A0E07">
              <w:rPr>
                <w:noProof/>
                <w:webHidden/>
              </w:rPr>
            </w:r>
            <w:r w:rsidR="00A25A64" w:rsidRPr="000A0E07">
              <w:rPr>
                <w:noProof/>
                <w:webHidden/>
              </w:rPr>
              <w:fldChar w:fldCharType="separate"/>
            </w:r>
            <w:r w:rsidR="00A25A64" w:rsidRPr="000A0E07">
              <w:rPr>
                <w:noProof/>
                <w:webHidden/>
              </w:rPr>
              <w:t>3</w:t>
            </w:r>
            <w:r w:rsidR="00A25A64" w:rsidRPr="000A0E07">
              <w:rPr>
                <w:noProof/>
                <w:webHidden/>
              </w:rPr>
              <w:fldChar w:fldCharType="end"/>
            </w:r>
          </w:hyperlink>
        </w:p>
        <w:p w14:paraId="7D173B33" w14:textId="77777777" w:rsidR="00A25A64" w:rsidRPr="000A0E07" w:rsidRDefault="00000000" w:rsidP="00A25A64">
          <w:pPr>
            <w:pStyle w:val="TOC1"/>
            <w:tabs>
              <w:tab w:val="right" w:leader="dot" w:pos="9019"/>
            </w:tabs>
            <w:spacing w:line="360" w:lineRule="auto"/>
            <w:jc w:val="both"/>
            <w:rPr>
              <w:noProof/>
            </w:rPr>
          </w:pPr>
          <w:hyperlink w:anchor="_Toc163670724" w:history="1">
            <w:r w:rsidR="00A25A64" w:rsidRPr="000A0E07">
              <w:rPr>
                <w:rStyle w:val="Hyperlink"/>
                <w:noProof/>
              </w:rPr>
              <w:t>Part 2:</w:t>
            </w:r>
            <w:r w:rsidR="00A25A64" w:rsidRPr="000A0E07">
              <w:rPr>
                <w:noProof/>
                <w:webHidden/>
              </w:rPr>
              <w:tab/>
            </w:r>
            <w:r w:rsidR="00A25A64" w:rsidRPr="000A0E07">
              <w:rPr>
                <w:noProof/>
                <w:webHidden/>
              </w:rPr>
              <w:fldChar w:fldCharType="begin"/>
            </w:r>
            <w:r w:rsidR="00A25A64" w:rsidRPr="000A0E07">
              <w:rPr>
                <w:noProof/>
                <w:webHidden/>
              </w:rPr>
              <w:instrText xml:space="preserve"> PAGEREF _Toc163670724 \h </w:instrText>
            </w:r>
            <w:r w:rsidR="00A25A64" w:rsidRPr="000A0E07">
              <w:rPr>
                <w:noProof/>
                <w:webHidden/>
              </w:rPr>
            </w:r>
            <w:r w:rsidR="00A25A64" w:rsidRPr="000A0E07">
              <w:rPr>
                <w:noProof/>
                <w:webHidden/>
              </w:rPr>
              <w:fldChar w:fldCharType="separate"/>
            </w:r>
            <w:r w:rsidR="00A25A64" w:rsidRPr="000A0E07">
              <w:rPr>
                <w:noProof/>
                <w:webHidden/>
              </w:rPr>
              <w:t>12</w:t>
            </w:r>
            <w:r w:rsidR="00A25A64" w:rsidRPr="000A0E07">
              <w:rPr>
                <w:noProof/>
                <w:webHidden/>
              </w:rPr>
              <w:fldChar w:fldCharType="end"/>
            </w:r>
          </w:hyperlink>
        </w:p>
        <w:p w14:paraId="7F46FDFF" w14:textId="77777777" w:rsidR="00A25A64" w:rsidRPr="000A0E07" w:rsidRDefault="00000000" w:rsidP="00A25A64">
          <w:pPr>
            <w:pStyle w:val="TOC1"/>
            <w:tabs>
              <w:tab w:val="right" w:leader="dot" w:pos="9019"/>
            </w:tabs>
            <w:spacing w:line="360" w:lineRule="auto"/>
            <w:jc w:val="both"/>
            <w:rPr>
              <w:noProof/>
            </w:rPr>
          </w:pPr>
          <w:hyperlink w:anchor="_Toc163670725" w:history="1">
            <w:r w:rsidR="00A25A64" w:rsidRPr="000A0E07">
              <w:rPr>
                <w:rStyle w:val="Hyperlink"/>
                <w:noProof/>
              </w:rPr>
              <w:t>Conclusion</w:t>
            </w:r>
            <w:r w:rsidR="00A25A64" w:rsidRPr="000A0E07">
              <w:rPr>
                <w:noProof/>
                <w:webHidden/>
              </w:rPr>
              <w:tab/>
            </w:r>
            <w:r w:rsidR="00A25A64" w:rsidRPr="000A0E07">
              <w:rPr>
                <w:noProof/>
                <w:webHidden/>
              </w:rPr>
              <w:fldChar w:fldCharType="begin"/>
            </w:r>
            <w:r w:rsidR="00A25A64" w:rsidRPr="000A0E07">
              <w:rPr>
                <w:noProof/>
                <w:webHidden/>
              </w:rPr>
              <w:instrText xml:space="preserve"> PAGEREF _Toc163670725 \h </w:instrText>
            </w:r>
            <w:r w:rsidR="00A25A64" w:rsidRPr="000A0E07">
              <w:rPr>
                <w:noProof/>
                <w:webHidden/>
              </w:rPr>
            </w:r>
            <w:r w:rsidR="00A25A64" w:rsidRPr="000A0E07">
              <w:rPr>
                <w:noProof/>
                <w:webHidden/>
              </w:rPr>
              <w:fldChar w:fldCharType="separate"/>
            </w:r>
            <w:r w:rsidR="00A25A64" w:rsidRPr="000A0E07">
              <w:rPr>
                <w:noProof/>
                <w:webHidden/>
              </w:rPr>
              <w:t>21</w:t>
            </w:r>
            <w:r w:rsidR="00A25A64" w:rsidRPr="000A0E07">
              <w:rPr>
                <w:noProof/>
                <w:webHidden/>
              </w:rPr>
              <w:fldChar w:fldCharType="end"/>
            </w:r>
          </w:hyperlink>
        </w:p>
        <w:p w14:paraId="618B242F" w14:textId="77777777" w:rsidR="00A25A64" w:rsidRPr="000A0E07" w:rsidRDefault="00000000" w:rsidP="00A25A64">
          <w:pPr>
            <w:pStyle w:val="TOC1"/>
            <w:tabs>
              <w:tab w:val="right" w:leader="dot" w:pos="9019"/>
            </w:tabs>
            <w:spacing w:line="360" w:lineRule="auto"/>
            <w:jc w:val="both"/>
            <w:rPr>
              <w:noProof/>
            </w:rPr>
          </w:pPr>
          <w:hyperlink w:anchor="_Toc163670726" w:history="1">
            <w:r w:rsidR="00A25A64" w:rsidRPr="000A0E07">
              <w:rPr>
                <w:rStyle w:val="Hyperlink"/>
                <w:noProof/>
              </w:rPr>
              <w:t>References</w:t>
            </w:r>
            <w:r w:rsidR="00A25A64" w:rsidRPr="000A0E07">
              <w:rPr>
                <w:noProof/>
                <w:webHidden/>
              </w:rPr>
              <w:tab/>
            </w:r>
            <w:r w:rsidR="00A25A64" w:rsidRPr="000A0E07">
              <w:rPr>
                <w:noProof/>
                <w:webHidden/>
              </w:rPr>
              <w:fldChar w:fldCharType="begin"/>
            </w:r>
            <w:r w:rsidR="00A25A64" w:rsidRPr="000A0E07">
              <w:rPr>
                <w:noProof/>
                <w:webHidden/>
              </w:rPr>
              <w:instrText xml:space="preserve"> PAGEREF _Toc163670726 \h </w:instrText>
            </w:r>
            <w:r w:rsidR="00A25A64" w:rsidRPr="000A0E07">
              <w:rPr>
                <w:noProof/>
                <w:webHidden/>
              </w:rPr>
            </w:r>
            <w:r w:rsidR="00A25A64" w:rsidRPr="000A0E07">
              <w:rPr>
                <w:noProof/>
                <w:webHidden/>
              </w:rPr>
              <w:fldChar w:fldCharType="separate"/>
            </w:r>
            <w:r w:rsidR="00A25A64" w:rsidRPr="000A0E07">
              <w:rPr>
                <w:noProof/>
                <w:webHidden/>
              </w:rPr>
              <w:t>22</w:t>
            </w:r>
            <w:r w:rsidR="00A25A64" w:rsidRPr="000A0E07">
              <w:rPr>
                <w:noProof/>
                <w:webHidden/>
              </w:rPr>
              <w:fldChar w:fldCharType="end"/>
            </w:r>
          </w:hyperlink>
        </w:p>
        <w:p w14:paraId="31F8055A" w14:textId="77777777" w:rsidR="00A25A64" w:rsidRPr="000A0E07" w:rsidRDefault="00A25A64" w:rsidP="00A25A64">
          <w:pPr>
            <w:spacing w:line="360" w:lineRule="auto"/>
            <w:jc w:val="both"/>
          </w:pPr>
          <w:r w:rsidRPr="000A0E07">
            <w:rPr>
              <w:b/>
              <w:bCs/>
              <w:noProof/>
            </w:rPr>
            <w:fldChar w:fldCharType="end"/>
          </w:r>
        </w:p>
      </w:sdtContent>
    </w:sdt>
    <w:p w14:paraId="12F22537" w14:textId="77777777" w:rsidR="00A25A64" w:rsidRDefault="00A25A64" w:rsidP="00A25A64">
      <w:pPr>
        <w:rPr>
          <w:b/>
        </w:rPr>
      </w:pPr>
      <w:r>
        <w:br w:type="page"/>
      </w:r>
    </w:p>
    <w:p w14:paraId="6E8A6873" w14:textId="77777777" w:rsidR="00A25A64" w:rsidRDefault="00A25A64" w:rsidP="00A25A64">
      <w:pPr>
        <w:pStyle w:val="Heading1"/>
      </w:pPr>
      <w:bookmarkStart w:id="0" w:name="_Toc163670722"/>
      <w:r>
        <w:lastRenderedPageBreak/>
        <w:t>Introduction</w:t>
      </w:r>
      <w:bookmarkEnd w:id="0"/>
    </w:p>
    <w:p w14:paraId="4ED5E9D4" w14:textId="77777777" w:rsidR="00A25A64" w:rsidRDefault="00A25A64" w:rsidP="00A25A64">
      <w:pPr>
        <w:spacing w:line="360" w:lineRule="auto"/>
        <w:jc w:val="both"/>
      </w:pPr>
      <w:r>
        <w:t xml:space="preserve">The appearance of e-commerce businesses has significantly changed the business scene, introducing novel development opportunities and informed dynamics through information analysis. Similarly, the essential usage of information holds important significance in understanding understudy execution measurements and segment attributes inside the domain of training. This essay investigates two distinct situations the assessment of internet business deals information utilising Microsoft Excel and the evaluation of understudy overview information inside the educational context utilising SPSS. The analysis incorporates a different exhibit of undertakings and goals, going from distinguishing request retractions to directing clustering analysis. Microsoft Excel offers a flexible stage for key information research, and SPSS gives more refined devices, especially appropriate for measurable analyses and information mining. </w:t>
      </w:r>
    </w:p>
    <w:p w14:paraId="7F785323" w14:textId="77777777" w:rsidR="00A25A64" w:rsidRDefault="00A25A64" w:rsidP="00A25A64">
      <w:pPr>
        <w:pStyle w:val="Heading1"/>
      </w:pPr>
      <w:bookmarkStart w:id="1" w:name="_Toc163670723"/>
      <w:r>
        <w:t>Part 1:</w:t>
      </w:r>
      <w:bookmarkEnd w:id="1"/>
      <w:r>
        <w:t xml:space="preserve"> </w:t>
      </w:r>
    </w:p>
    <w:p w14:paraId="461A5FD9" w14:textId="77777777" w:rsidR="00A25A64" w:rsidRDefault="00A25A64" w:rsidP="00A25A64">
      <w:pPr>
        <w:rPr>
          <w:b/>
        </w:rPr>
      </w:pPr>
      <w:r>
        <w:rPr>
          <w:b/>
        </w:rPr>
        <w:t>Context of E-commerce Data</w:t>
      </w:r>
    </w:p>
    <w:p w14:paraId="7CDBE4AA" w14:textId="77777777" w:rsidR="00A25A64" w:rsidRDefault="00A25A64" w:rsidP="00A25A64">
      <w:pPr>
        <w:spacing w:line="360" w:lineRule="auto"/>
        <w:jc w:val="both"/>
      </w:pPr>
      <w:r>
        <w:t>The context of e-commerce information presents significant research into the contemporary elements of digital trade, clarifying its considerable effect on current business techniques and consumer behaviour. E-commerce, as a comprehensive stage for business exchanges directed over the internet, has arisen as a principal channel for business improvement, offering uncommon roads for market development and accessibility (</w:t>
      </w:r>
      <w:r>
        <w:rPr>
          <w:color w:val="222222"/>
          <w:highlight w:val="white"/>
        </w:rPr>
        <w:t xml:space="preserve">Qi </w:t>
      </w:r>
      <w:r>
        <w:rPr>
          <w:i/>
          <w:color w:val="222222"/>
          <w:highlight w:val="white"/>
        </w:rPr>
        <w:t xml:space="preserve">et al. </w:t>
      </w:r>
      <w:r>
        <w:rPr>
          <w:color w:val="222222"/>
          <w:highlight w:val="white"/>
        </w:rPr>
        <w:t>2020</w:t>
      </w:r>
      <w:r>
        <w:t>). Understanding the complexities of Internet business information becomes basic for associations looking to use its true capacity for development and competitive advantage in the setting of this transformative scene. The provided sales exchange dataset offers a substantial look into the tasks of a London-based online retail foundation gaining practical experience in the offer of gifts and homewares. Crossing a different cluster of items custom-fitted for adults and young, the dataset typifies the multi-layered nature of e-commerce business tasks, featuring the worldwide reach and direct-to-consumer deals worked with by online platforms. The dataset’s granularity reaches out past individual shopper exchanges, typifying the subtleties of item contributions, estimating designs, and customer demographics, in this manner giving a rich supply of bits of knowledge for analytical exploration.</w:t>
      </w:r>
    </w:p>
    <w:p w14:paraId="1AE04FFC" w14:textId="18DC27FF" w:rsidR="00A25A64" w:rsidRDefault="00A25A64" w:rsidP="00A25A64">
      <w:pPr>
        <w:spacing w:line="360" w:lineRule="auto"/>
        <w:jc w:val="both"/>
      </w:pPr>
      <w:r>
        <w:t xml:space="preserve">On the other hand, the e-commerce dataset fills in as a microcosm of the more extensive digital marketplace, typifying the complexities of store network the board, stock control, and consumer commitment methodologies inborn to online retail tasks. Through fastidious analysis of conditional examples, request abrogation and client buying ways of behaving, associations </w:t>
      </w:r>
      <w:r>
        <w:lastRenderedPageBreak/>
        <w:t>can gather noteworthy experiences to illuminate key dynamic cycles and improve functional effectiveness (</w:t>
      </w:r>
      <w:r>
        <w:rPr>
          <w:color w:val="222222"/>
          <w:highlight w:val="white"/>
        </w:rPr>
        <w:t>Adar and Becher, 2021</w:t>
      </w:r>
      <w:r>
        <w:t xml:space="preserve">). On the other hand, the dataset’s London-driven centre highlights the limited at this point universally interconnected nature of the nature of e-commerce, wherein topographical limits obscure for advanced network and market accessibility. The context of e-commerce business information rises above simple conditional records, encapsulating the substance of digital trade’s </w:t>
      </w:r>
      <w:r w:rsidR="00124C6F">
        <w:t>ground-breaking</w:t>
      </w:r>
      <w:r>
        <w:t xml:space="preserve"> potential and its significant ramifications for contemporary business ideal models (</w:t>
      </w:r>
      <w:r>
        <w:rPr>
          <w:color w:val="222222"/>
          <w:highlight w:val="white"/>
        </w:rPr>
        <w:t xml:space="preserve">Peng </w:t>
      </w:r>
      <w:r>
        <w:rPr>
          <w:i/>
          <w:color w:val="222222"/>
          <w:highlight w:val="white"/>
        </w:rPr>
        <w:t xml:space="preserve">et al. </w:t>
      </w:r>
      <w:r>
        <w:rPr>
          <w:color w:val="222222"/>
          <w:highlight w:val="white"/>
        </w:rPr>
        <w:t>2021</w:t>
      </w:r>
      <w:r>
        <w:t>). As associations explore the intricacies of the digital marketplace, a nuanced comprehension of e-commerce business information arises as a vital resource, enabling stakeholders to open new avenues for development, advancement, and manageable outcomes in an undeniably digitised world.</w:t>
      </w:r>
    </w:p>
    <w:p w14:paraId="2A6944B3" w14:textId="77777777" w:rsidR="00A25A64" w:rsidRDefault="00A25A64" w:rsidP="00A25A64">
      <w:pPr>
        <w:rPr>
          <w:b/>
        </w:rPr>
      </w:pPr>
      <w:r>
        <w:rPr>
          <w:b/>
        </w:rPr>
        <w:t>Tasks and Objectives</w:t>
      </w:r>
    </w:p>
    <w:p w14:paraId="237D4BD0" w14:textId="77777777" w:rsidR="00A25A64" w:rsidRDefault="00A25A64" w:rsidP="00A25A64">
      <w:pPr>
        <w:spacing w:line="360" w:lineRule="auto"/>
        <w:jc w:val="both"/>
      </w:pPr>
      <w:r>
        <w:t>Several</w:t>
      </w:r>
      <w:r>
        <w:rPr>
          <w:color w:val="0D0D0D"/>
        </w:rPr>
        <w:t xml:space="preserve"> tasks </w:t>
      </w:r>
      <w:r>
        <w:t xml:space="preserve">and targets arise, each expecting to extricate significant experiences to illuminate key dynamic cycles and upgrade functional productivity inside the domain of online retail in diving into the </w:t>
      </w:r>
      <w:r>
        <w:rPr>
          <w:color w:val="0D0D0D"/>
        </w:rPr>
        <w:t xml:space="preserve">e-commerce </w:t>
      </w:r>
      <w:r>
        <w:t>dataset.</w:t>
      </w:r>
    </w:p>
    <w:p w14:paraId="18D23AAA" w14:textId="77777777" w:rsidR="00A25A64" w:rsidRPr="00514E17" w:rsidRDefault="00A25A64" w:rsidP="00A25A64">
      <w:pPr>
        <w:spacing w:line="360" w:lineRule="auto"/>
        <w:jc w:val="both"/>
        <w:rPr>
          <w:b/>
          <w:bCs/>
        </w:rPr>
      </w:pPr>
      <w:r w:rsidRPr="00514E17">
        <w:rPr>
          <w:b/>
          <w:bCs/>
        </w:rPr>
        <w:t xml:space="preserve">1. </w:t>
      </w:r>
      <w:r w:rsidRPr="00514E17">
        <w:rPr>
          <w:b/>
          <w:bCs/>
          <w:color w:val="0D0D0D"/>
        </w:rPr>
        <w:t>Identification and Evaluation of Order Cancellations</w:t>
      </w:r>
    </w:p>
    <w:p w14:paraId="542145E7" w14:textId="77777777" w:rsidR="00A25A64" w:rsidRDefault="00A25A64" w:rsidP="00A25A64">
      <w:pPr>
        <w:spacing w:line="360" w:lineRule="auto"/>
        <w:jc w:val="both"/>
        <w:rPr>
          <w:b/>
        </w:rPr>
      </w:pPr>
      <w:r>
        <w:t xml:space="preserve">One of the </w:t>
      </w:r>
      <w:r>
        <w:rPr>
          <w:color w:val="0D0D0D"/>
        </w:rPr>
        <w:t>primary</w:t>
      </w:r>
      <w:r>
        <w:t xml:space="preserve"> </w:t>
      </w:r>
      <w:r>
        <w:rPr>
          <w:color w:val="0D0D0D"/>
        </w:rPr>
        <w:t>tasks</w:t>
      </w:r>
      <w:r>
        <w:t xml:space="preserve"> involves recognising cases of </w:t>
      </w:r>
      <w:r>
        <w:rPr>
          <w:color w:val="0D0D0D"/>
        </w:rPr>
        <w:t xml:space="preserve">order cancellations </w:t>
      </w:r>
      <w:r>
        <w:t xml:space="preserve">inside the dataset. Analysts aim to pinpoint </w:t>
      </w:r>
      <w:r>
        <w:rPr>
          <w:color w:val="0D0D0D"/>
        </w:rPr>
        <w:t>cancellations</w:t>
      </w:r>
      <w:r>
        <w:t xml:space="preserve">, knowing possible examples or patterns hidden in such events by examining </w:t>
      </w:r>
      <w:r>
        <w:rPr>
          <w:color w:val="0D0D0D"/>
        </w:rPr>
        <w:t>transaction</w:t>
      </w:r>
      <w:r>
        <w:t xml:space="preserve"> records. Grasping the explanations for request abrogation’s be it because of item disappointment, calculated issues, or different variables engages organisations to address fundamental difficulties and improve consumer loyalty and maintenance systems (</w:t>
      </w:r>
      <w:r>
        <w:rPr>
          <w:color w:val="222222"/>
          <w:highlight w:val="white"/>
        </w:rPr>
        <w:t xml:space="preserve">Dave and </w:t>
      </w:r>
      <w:proofErr w:type="spellStart"/>
      <w:r>
        <w:rPr>
          <w:color w:val="222222"/>
          <w:highlight w:val="white"/>
        </w:rPr>
        <w:t>Bidul</w:t>
      </w:r>
      <w:proofErr w:type="spellEnd"/>
      <w:r>
        <w:rPr>
          <w:color w:val="222222"/>
          <w:highlight w:val="white"/>
        </w:rPr>
        <w:t>, 2022</w:t>
      </w:r>
      <w:r>
        <w:t>). Moreover, assessing the effect of undoing’s on general deals execution gives significant bits of knowledge into income variances and likely regions for development altogether in administration processes.</w:t>
      </w:r>
    </w:p>
    <w:p w14:paraId="1B8386F6" w14:textId="6DAE29DB" w:rsidR="00A25A64" w:rsidRDefault="00A25A64" w:rsidP="00A25A64">
      <w:pPr>
        <w:spacing w:line="360" w:lineRule="auto"/>
        <w:jc w:val="both"/>
        <w:rPr>
          <w:b/>
        </w:rPr>
      </w:pPr>
      <w:r>
        <w:rPr>
          <w:b/>
        </w:rPr>
        <w:t xml:space="preserve">2. Appraisal of Microsoft </w:t>
      </w:r>
      <w:r w:rsidR="00124C6F">
        <w:rPr>
          <w:b/>
        </w:rPr>
        <w:t xml:space="preserve">Excel </w:t>
      </w:r>
      <w:r>
        <w:rPr>
          <w:b/>
        </w:rPr>
        <w:t xml:space="preserve">Adequacy for Information </w:t>
      </w:r>
      <w:r w:rsidR="00124C6F">
        <w:rPr>
          <w:b/>
        </w:rPr>
        <w:t>Pre-processing</w:t>
      </w:r>
      <w:r>
        <w:rPr>
          <w:b/>
        </w:rPr>
        <w:t>, Investigation, and Perception:</w:t>
      </w:r>
    </w:p>
    <w:p w14:paraId="1FDD4F41" w14:textId="3385834E" w:rsidR="00A25A64" w:rsidRDefault="00A25A64" w:rsidP="00A25A64">
      <w:pPr>
        <w:spacing w:line="360" w:lineRule="auto"/>
        <w:jc w:val="both"/>
      </w:pPr>
      <w:r>
        <w:t xml:space="preserve">A basic goal includes assessing the viability of Microsoft Excel as an instrument for </w:t>
      </w:r>
      <w:r w:rsidR="00124C6F">
        <w:t>pre-processing</w:t>
      </w:r>
      <w:r>
        <w:t xml:space="preserve">, dissecting, and imagining internet business information. </w:t>
      </w:r>
      <w:r>
        <w:rPr>
          <w:color w:val="0D0D0D"/>
        </w:rPr>
        <w:t>Analysts</w:t>
      </w:r>
      <w:r>
        <w:t xml:space="preserve"> plan to evaluate the stage’s abilities in taking care of the dataset’s size, </w:t>
      </w:r>
      <w:r w:rsidR="00124C6F">
        <w:rPr>
          <w:color w:val="0D0D0D"/>
        </w:rPr>
        <w:t>complexity,</w:t>
      </w:r>
      <w:r>
        <w:t xml:space="preserve"> and scientific necessities (</w:t>
      </w:r>
      <w:proofErr w:type="spellStart"/>
      <w:r>
        <w:rPr>
          <w:color w:val="222222"/>
          <w:highlight w:val="white"/>
        </w:rPr>
        <w:t>Sekaryanti</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This involves investigating Excel functionalities for information cleaning, change, and collection, as well as its representation highlights for creating keen outlines, charts, and dashboards. </w:t>
      </w:r>
      <w:r>
        <w:rPr>
          <w:color w:val="0D0D0D"/>
        </w:rPr>
        <w:t xml:space="preserve">Stakeholders </w:t>
      </w:r>
      <w:r>
        <w:t xml:space="preserve">can decide its viability as a </w:t>
      </w:r>
      <w:r>
        <w:rPr>
          <w:color w:val="0D0D0D"/>
        </w:rPr>
        <w:t xml:space="preserve">cost-effective </w:t>
      </w:r>
      <w:r>
        <w:t xml:space="preserve">answer for determining noteworthy bits of knowledge and illuminating vital dynamic cycles inside the association by measuring </w:t>
      </w:r>
      <w:r w:rsidR="007652CE">
        <w:t>Excel</w:t>
      </w:r>
      <w:r>
        <w:t xml:space="preserve"> reasonableness for online business information research.  </w:t>
      </w:r>
    </w:p>
    <w:p w14:paraId="083639D2" w14:textId="77777777" w:rsidR="00A25A64" w:rsidRDefault="00A25A64" w:rsidP="00A25A64">
      <w:pPr>
        <w:spacing w:line="360" w:lineRule="auto"/>
        <w:jc w:val="both"/>
        <w:rPr>
          <w:b/>
        </w:rPr>
      </w:pPr>
      <w:r>
        <w:rPr>
          <w:b/>
        </w:rPr>
        <w:lastRenderedPageBreak/>
        <w:t>Analysis and Findings</w:t>
      </w:r>
    </w:p>
    <w:p w14:paraId="2354F286" w14:textId="77777777" w:rsidR="00A25A64" w:rsidRDefault="00A25A64" w:rsidP="00A25A64">
      <w:pPr>
        <w:spacing w:line="360" w:lineRule="auto"/>
        <w:jc w:val="both"/>
        <w:rPr>
          <w:b/>
        </w:rPr>
      </w:pPr>
      <w:r>
        <w:rPr>
          <w:b/>
        </w:rPr>
        <w:t>1.sales trend over the months</w:t>
      </w:r>
    </w:p>
    <w:p w14:paraId="0CE8D23A" w14:textId="77777777" w:rsidR="00A25A64" w:rsidRDefault="00A25A64" w:rsidP="00A25A64">
      <w:pPr>
        <w:spacing w:line="360" w:lineRule="auto"/>
        <w:jc w:val="center"/>
        <w:rPr>
          <w:b/>
        </w:rPr>
      </w:pPr>
      <w:r>
        <w:rPr>
          <w:b/>
          <w:noProof/>
        </w:rPr>
        <w:drawing>
          <wp:inline distT="114300" distB="114300" distL="114300" distR="114300" wp14:anchorId="7F28F162" wp14:editId="60C13622">
            <wp:extent cx="1581150" cy="2286000"/>
            <wp:effectExtent l="25400" t="25400" r="25400" b="25400"/>
            <wp:docPr id="11" name="image12.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12.png" descr="A screenshot of a computer&#10;&#10;Description automatically generated"/>
                    <pic:cNvPicPr preferRelativeResize="0"/>
                  </pic:nvPicPr>
                  <pic:blipFill>
                    <a:blip r:embed="rId6"/>
                    <a:srcRect/>
                    <a:stretch>
                      <a:fillRect/>
                    </a:stretch>
                  </pic:blipFill>
                  <pic:spPr>
                    <a:xfrm>
                      <a:off x="0" y="0"/>
                      <a:ext cx="1581150" cy="2286000"/>
                    </a:xfrm>
                    <a:prstGeom prst="rect">
                      <a:avLst/>
                    </a:prstGeom>
                    <a:ln w="25400">
                      <a:solidFill>
                        <a:srgbClr val="000000"/>
                      </a:solidFill>
                      <a:prstDash val="solid"/>
                    </a:ln>
                  </pic:spPr>
                </pic:pic>
              </a:graphicData>
            </a:graphic>
          </wp:inline>
        </w:drawing>
      </w:r>
    </w:p>
    <w:p w14:paraId="5AD5C2DA" w14:textId="77777777" w:rsidR="00A25A64" w:rsidRDefault="00A25A64" w:rsidP="00A25A64">
      <w:pPr>
        <w:spacing w:line="360" w:lineRule="auto"/>
        <w:jc w:val="center"/>
        <w:rPr>
          <w:b/>
        </w:rPr>
      </w:pPr>
      <w:r>
        <w:rPr>
          <w:b/>
        </w:rPr>
        <w:t>Figure 1: sales trend over the months</w:t>
      </w:r>
    </w:p>
    <w:p w14:paraId="55A0FF7C" w14:textId="77777777" w:rsidR="00A25A64" w:rsidRDefault="00A25A64" w:rsidP="00A25A64">
      <w:pPr>
        <w:spacing w:line="360" w:lineRule="auto"/>
        <w:jc w:val="center"/>
      </w:pPr>
      <w:r>
        <w:t>(Source: Created by author)</w:t>
      </w:r>
    </w:p>
    <w:p w14:paraId="1C760D2B" w14:textId="77777777" w:rsidR="00A25A64" w:rsidRDefault="00A25A64" w:rsidP="00A25A64">
      <w:pPr>
        <w:spacing w:line="360" w:lineRule="auto"/>
        <w:jc w:val="both"/>
      </w:pPr>
      <w:r>
        <w:t xml:space="preserve">The sales trend portrayed in Figure 1 delineates changes in income throughout several months. A detectable example arises, portrayed by differing levels of deal movement. The information ranges from September 2019 to November 2019, giving a complete outline of deals execution during this period. The </w:t>
      </w:r>
      <w:r>
        <w:rPr>
          <w:color w:val="0D0D0D"/>
          <w:highlight w:val="white"/>
        </w:rPr>
        <w:t>sales trend</w:t>
      </w:r>
      <w:r>
        <w:t xml:space="preserve"> uncovers </w:t>
      </w:r>
      <w:r>
        <w:rPr>
          <w:color w:val="0D0D0D"/>
          <w:highlight w:val="white"/>
        </w:rPr>
        <w:t>fluctuations in monthly totals</w:t>
      </w:r>
      <w:r>
        <w:t xml:space="preserve">. </w:t>
      </w:r>
      <w:r>
        <w:rPr>
          <w:color w:val="0D0D0D"/>
          <w:highlight w:val="white"/>
        </w:rPr>
        <w:t>Notably</w:t>
      </w:r>
      <w:r>
        <w:t xml:space="preserve">, November displays the </w:t>
      </w:r>
      <w:r>
        <w:rPr>
          <w:color w:val="0D0D0D"/>
          <w:highlight w:val="white"/>
        </w:rPr>
        <w:t xml:space="preserve">highest sales </w:t>
      </w:r>
      <w:r>
        <w:t xml:space="preserve">at $524,879.90, trailed by a slow decrease in the resulting months. September enlists the </w:t>
      </w:r>
      <w:r>
        <w:rPr>
          <w:color w:val="0D0D0D"/>
          <w:highlight w:val="white"/>
        </w:rPr>
        <w:t xml:space="preserve">lowest sales </w:t>
      </w:r>
      <w:r>
        <w:t>at $11,369.58. This information highlights the fluctuating idea of deals over the notice period. On the other hand, there was an outstanding surge in sales during November, demonstrated by the important top in all-out deals for that month, trailed by a continuous decrease in ensuing months. This underlying surge can be credited to occasional factors, for example, seasonal shopping or promotional occasions (</w:t>
      </w:r>
      <w:r>
        <w:rPr>
          <w:color w:val="222222"/>
          <w:highlight w:val="white"/>
        </w:rPr>
        <w:t>Banerjee and Tyagi, 2024</w:t>
      </w:r>
      <w:r>
        <w:t>). However, as the months progress, marketing projections vary, with occasional peaks and troughs noticed.</w:t>
      </w:r>
    </w:p>
    <w:p w14:paraId="77E3EB48" w14:textId="77777777" w:rsidR="00A25A64" w:rsidRDefault="00A25A64" w:rsidP="00A25A64">
      <w:pPr>
        <w:spacing w:line="360" w:lineRule="auto"/>
        <w:jc w:val="both"/>
      </w:pPr>
      <w:r>
        <w:t>The period of December sees a decrease in sales contrasted with November, even though it remains generally robust. Consequently, there is a fluctuating example of rotating pinnacles and boxes in sales performance. These fluctuations can reflect changes in buyer conduct, market elements, or outside variables like economic circumstances. Overall, the sales pattern shows inconstancy throughout the long term, there is an overall sign of supported action, but with vacillations (</w:t>
      </w:r>
      <w:r>
        <w:rPr>
          <w:color w:val="222222"/>
          <w:highlight w:val="white"/>
        </w:rPr>
        <w:t xml:space="preserve">Zimmermann </w:t>
      </w:r>
      <w:r>
        <w:rPr>
          <w:i/>
          <w:color w:val="222222"/>
          <w:highlight w:val="white"/>
        </w:rPr>
        <w:t xml:space="preserve">et al. </w:t>
      </w:r>
      <w:r>
        <w:rPr>
          <w:color w:val="222222"/>
          <w:highlight w:val="white"/>
        </w:rPr>
        <w:t>2020</w:t>
      </w:r>
      <w:r>
        <w:t>). Further analysis consolidating outer factors and economic situations can give important bits of knowledge into the basic drivers of these sales trends.</w:t>
      </w:r>
    </w:p>
    <w:p w14:paraId="7DC61FFD" w14:textId="77777777" w:rsidR="00A25A64" w:rsidRDefault="00A25A64" w:rsidP="00A25A64">
      <w:pPr>
        <w:spacing w:line="360" w:lineRule="auto"/>
        <w:jc w:val="center"/>
        <w:rPr>
          <w:b/>
        </w:rPr>
      </w:pPr>
      <w:r>
        <w:rPr>
          <w:b/>
          <w:noProof/>
        </w:rPr>
        <w:lastRenderedPageBreak/>
        <w:drawing>
          <wp:inline distT="114300" distB="114300" distL="114300" distR="114300" wp14:anchorId="6F46A82A" wp14:editId="04AE5018">
            <wp:extent cx="4562475" cy="2724150"/>
            <wp:effectExtent l="25400" t="25400" r="25400" b="25400"/>
            <wp:docPr id="6" name="image9.png" descr="A graph with a line&#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9.png" descr="A graph with a line&#10;&#10;Description automatically generated"/>
                    <pic:cNvPicPr preferRelativeResize="0"/>
                  </pic:nvPicPr>
                  <pic:blipFill>
                    <a:blip r:embed="rId7"/>
                    <a:srcRect/>
                    <a:stretch>
                      <a:fillRect/>
                    </a:stretch>
                  </pic:blipFill>
                  <pic:spPr>
                    <a:xfrm>
                      <a:off x="0" y="0"/>
                      <a:ext cx="4562475" cy="2724150"/>
                    </a:xfrm>
                    <a:prstGeom prst="rect">
                      <a:avLst/>
                    </a:prstGeom>
                    <a:ln w="25400">
                      <a:solidFill>
                        <a:srgbClr val="000000"/>
                      </a:solidFill>
                      <a:prstDash val="solid"/>
                    </a:ln>
                  </pic:spPr>
                </pic:pic>
              </a:graphicData>
            </a:graphic>
          </wp:inline>
        </w:drawing>
      </w:r>
    </w:p>
    <w:p w14:paraId="34C63069" w14:textId="77777777" w:rsidR="00A25A64" w:rsidRDefault="00A25A64" w:rsidP="00A25A64">
      <w:pPr>
        <w:spacing w:line="360" w:lineRule="auto"/>
        <w:jc w:val="center"/>
        <w:rPr>
          <w:b/>
        </w:rPr>
      </w:pPr>
      <w:r>
        <w:rPr>
          <w:b/>
        </w:rPr>
        <w:t>Figure 2: Line graph of the Trend Analysis</w:t>
      </w:r>
    </w:p>
    <w:p w14:paraId="323BFD98" w14:textId="77777777" w:rsidR="00A25A64" w:rsidRDefault="00A25A64" w:rsidP="00A25A64">
      <w:pPr>
        <w:spacing w:line="360" w:lineRule="auto"/>
        <w:jc w:val="center"/>
      </w:pPr>
      <w:r>
        <w:t>(Source: Created by author)</w:t>
      </w:r>
    </w:p>
    <w:p w14:paraId="427C74B4" w14:textId="77777777" w:rsidR="00A25A64" w:rsidRDefault="00A25A64" w:rsidP="00A25A64">
      <w:pPr>
        <w:spacing w:line="360" w:lineRule="auto"/>
        <w:jc w:val="both"/>
        <w:rPr>
          <w:b/>
        </w:rPr>
      </w:pPr>
      <w:r>
        <w:t>The line chart in Figure 2 delineates a trend analysis marked as “Month” with values going from 25000 to Add up to. However, without explicit data of interest or marks, giving an itemised interpretation is testing. Additional data on the x-pivot, y-axis and information focuses can work with a more significant conversation of the graph.</w:t>
      </w:r>
    </w:p>
    <w:p w14:paraId="3B95F7FB" w14:textId="77777777" w:rsidR="00A25A64" w:rsidRPr="00DF258D" w:rsidRDefault="00A25A64" w:rsidP="00A25A64">
      <w:pPr>
        <w:spacing w:line="360" w:lineRule="auto"/>
        <w:jc w:val="both"/>
        <w:rPr>
          <w:b/>
        </w:rPr>
      </w:pPr>
      <w:r>
        <w:rPr>
          <w:b/>
        </w:rPr>
        <w:t>2.</w:t>
      </w:r>
      <w:r w:rsidRPr="00DF258D">
        <w:rPr>
          <w:b/>
        </w:rPr>
        <w:t>The most frequently purchased products</w:t>
      </w:r>
    </w:p>
    <w:p w14:paraId="035722D1" w14:textId="77777777" w:rsidR="00A25A64" w:rsidRDefault="00A25A64" w:rsidP="00A25A64">
      <w:pPr>
        <w:spacing w:line="360" w:lineRule="auto"/>
        <w:jc w:val="center"/>
      </w:pPr>
      <w:r>
        <w:rPr>
          <w:noProof/>
        </w:rPr>
        <w:lastRenderedPageBreak/>
        <w:drawing>
          <wp:inline distT="114300" distB="114300" distL="114300" distR="114300" wp14:anchorId="2E434D83" wp14:editId="6701552F">
            <wp:extent cx="4162425" cy="5753100"/>
            <wp:effectExtent l="25400" t="25400" r="25400" b="25400"/>
            <wp:docPr id="5" name="image13.png" descr="A list of items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3.png" descr="A list of items on a white background&#10;&#10;Description automatically generated"/>
                    <pic:cNvPicPr preferRelativeResize="0"/>
                  </pic:nvPicPr>
                  <pic:blipFill>
                    <a:blip r:embed="rId8"/>
                    <a:srcRect/>
                    <a:stretch>
                      <a:fillRect/>
                    </a:stretch>
                  </pic:blipFill>
                  <pic:spPr>
                    <a:xfrm>
                      <a:off x="0" y="0"/>
                      <a:ext cx="4162425" cy="5753100"/>
                    </a:xfrm>
                    <a:prstGeom prst="rect">
                      <a:avLst/>
                    </a:prstGeom>
                    <a:ln w="25400">
                      <a:solidFill>
                        <a:srgbClr val="000000"/>
                      </a:solidFill>
                      <a:prstDash val="solid"/>
                    </a:ln>
                  </pic:spPr>
                </pic:pic>
              </a:graphicData>
            </a:graphic>
          </wp:inline>
        </w:drawing>
      </w:r>
    </w:p>
    <w:p w14:paraId="40DF5C1B" w14:textId="0FE6D83F" w:rsidR="00A25A64" w:rsidRDefault="00A25A64" w:rsidP="00A25A64">
      <w:pPr>
        <w:spacing w:line="360" w:lineRule="auto"/>
        <w:jc w:val="center"/>
        <w:rPr>
          <w:b/>
        </w:rPr>
      </w:pPr>
      <w:r>
        <w:rPr>
          <w:b/>
        </w:rPr>
        <w:t xml:space="preserve">Figure 3: Most frequently purchased </w:t>
      </w:r>
      <w:proofErr w:type="gramStart"/>
      <w:r w:rsidR="00124C6F">
        <w:rPr>
          <w:b/>
        </w:rPr>
        <w:t>products</w:t>
      </w:r>
      <w:proofErr w:type="gramEnd"/>
    </w:p>
    <w:p w14:paraId="53DD49C7" w14:textId="77777777" w:rsidR="00A25A64" w:rsidRDefault="00A25A64" w:rsidP="00A25A64">
      <w:pPr>
        <w:spacing w:line="360" w:lineRule="auto"/>
        <w:jc w:val="center"/>
      </w:pPr>
      <w:r>
        <w:t>(Source: Created by author)</w:t>
      </w:r>
    </w:p>
    <w:p w14:paraId="6B644C8E" w14:textId="77777777" w:rsidR="00A25A64" w:rsidRDefault="00A25A64" w:rsidP="00A25A64">
      <w:pPr>
        <w:spacing w:line="360" w:lineRule="auto"/>
        <w:jc w:val="both"/>
      </w:pPr>
      <w:r>
        <w:t>The dataset provides bits of knowledge into the most frequently purchased products in view of the amount sold. Among the top-selling things,</w:t>
      </w:r>
      <w:r>
        <w:rPr>
          <w:b/>
          <w:i/>
        </w:rPr>
        <w:t xml:space="preserve"> “</w:t>
      </w:r>
      <w:proofErr w:type="spellStart"/>
      <w:r>
        <w:rPr>
          <w:b/>
          <w:i/>
        </w:rPr>
        <w:t>Asstdd</w:t>
      </w:r>
      <w:proofErr w:type="spellEnd"/>
      <w:r>
        <w:rPr>
          <w:b/>
          <w:i/>
        </w:rPr>
        <w:t xml:space="preserve"> Design 3d Paper Stickers” </w:t>
      </w:r>
      <w:r>
        <w:t>arises as the most well-known, with an all-out amount sold of 12,632 units. Following intently is “Bunny Night Light” with 11,251 units sold, and “Popcorn Holder” with 11,238 units. The examination uncovers a different scope of items, including occasional things like “Paper Chain Pack 50’S Christmas” and “One of a kind Doily Large Sack Red” as well as beautiful pieces, for example, “Disco Ball Christmas Enhancement” and “Wooden Star Christmas Scandinavian”.</w:t>
      </w:r>
    </w:p>
    <w:p w14:paraId="01D9C7B2" w14:textId="77777777" w:rsidR="00A25A64" w:rsidRDefault="00A25A64" w:rsidP="00A25A64">
      <w:pPr>
        <w:spacing w:line="360" w:lineRule="auto"/>
        <w:jc w:val="both"/>
      </w:pPr>
    </w:p>
    <w:p w14:paraId="1ACE9E8E" w14:textId="77B8AC46" w:rsidR="00A25A64" w:rsidRDefault="00A25A64" w:rsidP="00A25A64">
      <w:pPr>
        <w:spacing w:line="360" w:lineRule="auto"/>
        <w:jc w:val="both"/>
      </w:pPr>
      <w:r>
        <w:lastRenderedPageBreak/>
        <w:t>Understanding the most often bought items is fundamental for stock administration, advertising systems, and identifying client inclinations. These experiences empower organisations to enhance stock levels, focus on item advancements, and showcase efforts to exploit well-known items (</w:t>
      </w:r>
      <w:r>
        <w:rPr>
          <w:color w:val="222222"/>
          <w:highlight w:val="white"/>
        </w:rPr>
        <w:t xml:space="preserve">Sharma and </w:t>
      </w:r>
      <w:proofErr w:type="spellStart"/>
      <w:r>
        <w:rPr>
          <w:color w:val="222222"/>
          <w:highlight w:val="white"/>
        </w:rPr>
        <w:t>Battula</w:t>
      </w:r>
      <w:proofErr w:type="spellEnd"/>
      <w:r>
        <w:rPr>
          <w:color w:val="222222"/>
          <w:highlight w:val="white"/>
        </w:rPr>
        <w:t>, 2022</w:t>
      </w:r>
      <w:r>
        <w:t xml:space="preserve">). Furthermore, it features opportunities for item extension or enhancement to satisfy purchaser needs and boost deal income. Organisations can upgrade their competitive edge and work on </w:t>
      </w:r>
      <w:r w:rsidR="00124C6F">
        <w:t>execution</w:t>
      </w:r>
      <w:r>
        <w:t xml:space="preserve"> in the retail market by utilising information-driven ways to deal with screen and examine retail market.</w:t>
      </w:r>
    </w:p>
    <w:p w14:paraId="03A56B7C" w14:textId="77777777" w:rsidR="00A25A64" w:rsidRDefault="00A25A64" w:rsidP="00A25A64">
      <w:pPr>
        <w:spacing w:line="360" w:lineRule="auto"/>
        <w:jc w:val="center"/>
      </w:pPr>
      <w:r>
        <w:rPr>
          <w:noProof/>
        </w:rPr>
        <w:drawing>
          <wp:inline distT="114300" distB="114300" distL="114300" distR="114300" wp14:anchorId="392DC790" wp14:editId="2C4DB0D6">
            <wp:extent cx="5731200" cy="3479800"/>
            <wp:effectExtent l="25400" t="25400" r="25400" b="25400"/>
            <wp:docPr id="12" name="image4.png" descr="A graph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2" name="image4.png" descr="A graph with text on it&#10;&#10;Description automatically generated"/>
                    <pic:cNvPicPr preferRelativeResize="0"/>
                  </pic:nvPicPr>
                  <pic:blipFill>
                    <a:blip r:embed="rId9"/>
                    <a:srcRect/>
                    <a:stretch>
                      <a:fillRect/>
                    </a:stretch>
                  </pic:blipFill>
                  <pic:spPr>
                    <a:xfrm>
                      <a:off x="0" y="0"/>
                      <a:ext cx="5731200" cy="3479800"/>
                    </a:xfrm>
                    <a:prstGeom prst="rect">
                      <a:avLst/>
                    </a:prstGeom>
                    <a:ln w="25400">
                      <a:solidFill>
                        <a:srgbClr val="000000"/>
                      </a:solidFill>
                      <a:prstDash val="solid"/>
                    </a:ln>
                  </pic:spPr>
                </pic:pic>
              </a:graphicData>
            </a:graphic>
          </wp:inline>
        </w:drawing>
      </w:r>
    </w:p>
    <w:p w14:paraId="7C191982" w14:textId="60E1A1AA" w:rsidR="00A25A64" w:rsidRDefault="00A25A64" w:rsidP="00A25A64">
      <w:pPr>
        <w:spacing w:line="360" w:lineRule="auto"/>
        <w:jc w:val="center"/>
        <w:rPr>
          <w:b/>
        </w:rPr>
      </w:pPr>
      <w:r>
        <w:rPr>
          <w:b/>
        </w:rPr>
        <w:t xml:space="preserve">Figure 4: Bar chart of the most frequently purchased </w:t>
      </w:r>
      <w:proofErr w:type="gramStart"/>
      <w:r w:rsidR="00124C6F">
        <w:rPr>
          <w:b/>
        </w:rPr>
        <w:t>products</w:t>
      </w:r>
      <w:proofErr w:type="gramEnd"/>
      <w:r w:rsidR="00F427CD">
        <w:rPr>
          <w:b/>
        </w:rPr>
        <w:t xml:space="preserve"> </w:t>
      </w:r>
    </w:p>
    <w:p w14:paraId="69F48989" w14:textId="77777777" w:rsidR="00A25A64" w:rsidRDefault="00A25A64" w:rsidP="00A25A64">
      <w:pPr>
        <w:spacing w:line="360" w:lineRule="auto"/>
        <w:jc w:val="center"/>
      </w:pPr>
      <w:r>
        <w:t>(Source: Created by author)</w:t>
      </w:r>
    </w:p>
    <w:p w14:paraId="654D299B" w14:textId="77777777" w:rsidR="00A25A64" w:rsidRDefault="00A25A64" w:rsidP="00A25A64">
      <w:pPr>
        <w:spacing w:line="360" w:lineRule="auto"/>
        <w:jc w:val="both"/>
        <w:rPr>
          <w:b/>
        </w:rPr>
      </w:pPr>
      <w:r>
        <w:t>The bar graph outlines the most often bought items, with “Robin Christmas Card” leading at 10,000 units sold. Following intently are “Number Tile Rare Text style 6” and “Purple Parasol”. The diagram gives a reasonable visual portrayal of item prevalence given the amount sold, supporting the recognising of top-selling items for strategic decision-making.</w:t>
      </w:r>
    </w:p>
    <w:p w14:paraId="5C41FB2B" w14:textId="77777777" w:rsidR="00A25A64" w:rsidRPr="00DF258D" w:rsidRDefault="00A25A64" w:rsidP="00A25A64">
      <w:pPr>
        <w:spacing w:line="360" w:lineRule="auto"/>
        <w:jc w:val="both"/>
        <w:rPr>
          <w:b/>
        </w:rPr>
      </w:pPr>
      <w:r>
        <w:rPr>
          <w:b/>
        </w:rPr>
        <w:t>3.</w:t>
      </w:r>
      <w:r w:rsidRPr="00DF258D">
        <w:rPr>
          <w:b/>
        </w:rPr>
        <w:t>Customer purchase in each transaction</w:t>
      </w:r>
    </w:p>
    <w:p w14:paraId="6A4D94FC" w14:textId="77777777" w:rsidR="00A25A64" w:rsidRDefault="00A25A64" w:rsidP="00A25A64">
      <w:pPr>
        <w:spacing w:line="360" w:lineRule="auto"/>
        <w:jc w:val="center"/>
        <w:rPr>
          <w:b/>
        </w:rPr>
      </w:pPr>
      <w:r>
        <w:rPr>
          <w:b/>
          <w:noProof/>
        </w:rPr>
        <w:lastRenderedPageBreak/>
        <w:drawing>
          <wp:inline distT="114300" distB="114300" distL="114300" distR="114300" wp14:anchorId="3B85CD32" wp14:editId="171DCDA2">
            <wp:extent cx="1876425" cy="5224463"/>
            <wp:effectExtent l="25400" t="25400" r="25400" b="25400"/>
            <wp:docPr id="2" name="image6.png" descr="A table of numbers&#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6.png" descr="A table of numbers&#10;&#10;Description automatically generated"/>
                    <pic:cNvPicPr preferRelativeResize="0"/>
                  </pic:nvPicPr>
                  <pic:blipFill>
                    <a:blip r:embed="rId10"/>
                    <a:srcRect/>
                    <a:stretch>
                      <a:fillRect/>
                    </a:stretch>
                  </pic:blipFill>
                  <pic:spPr>
                    <a:xfrm>
                      <a:off x="0" y="0"/>
                      <a:ext cx="1876425" cy="5224463"/>
                    </a:xfrm>
                    <a:prstGeom prst="rect">
                      <a:avLst/>
                    </a:prstGeom>
                    <a:ln w="25400">
                      <a:solidFill>
                        <a:srgbClr val="000000"/>
                      </a:solidFill>
                      <a:prstDash val="solid"/>
                    </a:ln>
                  </pic:spPr>
                </pic:pic>
              </a:graphicData>
            </a:graphic>
          </wp:inline>
        </w:drawing>
      </w:r>
    </w:p>
    <w:p w14:paraId="3D5964C2" w14:textId="77777777" w:rsidR="00A25A64" w:rsidRDefault="00A25A64" w:rsidP="00A25A64">
      <w:pPr>
        <w:spacing w:line="360" w:lineRule="auto"/>
        <w:jc w:val="center"/>
        <w:rPr>
          <w:b/>
        </w:rPr>
      </w:pPr>
      <w:r>
        <w:rPr>
          <w:b/>
        </w:rPr>
        <w:t>Figure 5: The customer purchase in each transaction</w:t>
      </w:r>
    </w:p>
    <w:p w14:paraId="297B3ED2" w14:textId="77777777" w:rsidR="00A25A64" w:rsidRDefault="00A25A64" w:rsidP="00A25A64">
      <w:pPr>
        <w:spacing w:line="360" w:lineRule="auto"/>
        <w:jc w:val="center"/>
      </w:pPr>
      <w:r>
        <w:t>(Source: Created by author)</w:t>
      </w:r>
    </w:p>
    <w:p w14:paraId="7825B7AE" w14:textId="740995A1" w:rsidR="00A25A64" w:rsidRDefault="00A25A64" w:rsidP="00A25A64">
      <w:pPr>
        <w:spacing w:line="360" w:lineRule="auto"/>
        <w:jc w:val="both"/>
      </w:pPr>
      <w:r>
        <w:t xml:space="preserve">The dataset gives experiences into the quantity of items bought by customers in each transaction. Each transaction, distinguished by a unique Transaction No, records the complete number of items purchased. For example, Transaction No 581483 demonstrates the acquisition of 80995 items, while Transaction No 578841 reflects the obtaining of 12,540 items. Analysing the information uncovers changeability in the number of items per exchange, going from little acquisition of a couple of things to bigger exchanges including thousands of products. Such variability can reflect different buying ways of behaving among customers, affected by elements like individual necessities, </w:t>
      </w:r>
      <w:r w:rsidR="00124C6F">
        <w:t xml:space="preserve">preferences, </w:t>
      </w:r>
      <w:r>
        <w:t>and shopping occasions.</w:t>
      </w:r>
    </w:p>
    <w:p w14:paraId="5A0493A8" w14:textId="77777777" w:rsidR="00A25A64" w:rsidRDefault="00A25A64" w:rsidP="00A25A64">
      <w:pPr>
        <w:spacing w:line="360" w:lineRule="auto"/>
        <w:jc w:val="both"/>
      </w:pPr>
    </w:p>
    <w:p w14:paraId="7CA18133" w14:textId="77777777" w:rsidR="00A25A64" w:rsidRDefault="00A25A64" w:rsidP="00A25A64">
      <w:pPr>
        <w:spacing w:line="360" w:lineRule="auto"/>
        <w:jc w:val="both"/>
        <w:rPr>
          <w:b/>
        </w:rPr>
      </w:pPr>
      <w:r>
        <w:t xml:space="preserve">Understanding the number of items per exchange is crucial for organisations from different viewpoints, including inventory management, sales forecasting, and customer segmentation. It </w:t>
      </w:r>
      <w:r>
        <w:lastRenderedPageBreak/>
        <w:t>streamlines stock levels, recognises patterns in purchaser conduct, and designer-showcasing methodologies to satisfy client needs successfully. Also, this research empowers organisations to recognise anomalies or examples in buying conduct, working with designated mediations to improve consumer loyalty and boost sales revenue (</w:t>
      </w:r>
      <w:r>
        <w:rPr>
          <w:color w:val="222222"/>
          <w:highlight w:val="white"/>
        </w:rPr>
        <w:t xml:space="preserve">Ebrahimi </w:t>
      </w:r>
      <w:r>
        <w:rPr>
          <w:i/>
          <w:color w:val="222222"/>
          <w:highlight w:val="white"/>
        </w:rPr>
        <w:t xml:space="preserve">et al. </w:t>
      </w:r>
      <w:r>
        <w:rPr>
          <w:color w:val="222222"/>
          <w:highlight w:val="white"/>
        </w:rPr>
        <w:t>2022</w:t>
      </w:r>
      <w:r>
        <w:t>). Insights of knowledge into the number of items per exchange give important data to key direction, empowering organisations to advance activities and upgrade customer encounters in the retail environment.</w:t>
      </w:r>
    </w:p>
    <w:p w14:paraId="5AE67451" w14:textId="77777777" w:rsidR="00A25A64" w:rsidRPr="00DF258D" w:rsidRDefault="00A25A64" w:rsidP="00A25A64">
      <w:pPr>
        <w:spacing w:line="360" w:lineRule="auto"/>
        <w:jc w:val="both"/>
        <w:rPr>
          <w:b/>
        </w:rPr>
      </w:pPr>
      <w:r>
        <w:rPr>
          <w:b/>
        </w:rPr>
        <w:t>4.</w:t>
      </w:r>
      <w:r w:rsidRPr="00DF258D">
        <w:rPr>
          <w:b/>
        </w:rPr>
        <w:t>Most profitable segment customers</w:t>
      </w:r>
    </w:p>
    <w:p w14:paraId="56092BC1" w14:textId="77777777" w:rsidR="00A25A64" w:rsidRDefault="00A25A64" w:rsidP="00A25A64">
      <w:pPr>
        <w:spacing w:line="360" w:lineRule="auto"/>
        <w:jc w:val="both"/>
      </w:pPr>
    </w:p>
    <w:p w14:paraId="38E06D45" w14:textId="77777777" w:rsidR="00A25A64" w:rsidRDefault="00A25A64" w:rsidP="00A25A64">
      <w:pPr>
        <w:spacing w:line="360" w:lineRule="auto"/>
        <w:jc w:val="center"/>
        <w:rPr>
          <w:b/>
        </w:rPr>
      </w:pPr>
      <w:r>
        <w:rPr>
          <w:b/>
          <w:noProof/>
        </w:rPr>
        <w:drawing>
          <wp:inline distT="114300" distB="114300" distL="114300" distR="114300" wp14:anchorId="6D668ADA" wp14:editId="11E9C695">
            <wp:extent cx="2543175" cy="6286500"/>
            <wp:effectExtent l="25400" t="25400" r="25400" b="25400"/>
            <wp:docPr id="8" name="image2.png" descr="A screenshot of a data&#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2.png" descr="A screenshot of a data&#10;&#10;Description automatically generated"/>
                    <pic:cNvPicPr preferRelativeResize="0"/>
                  </pic:nvPicPr>
                  <pic:blipFill>
                    <a:blip r:embed="rId11"/>
                    <a:srcRect/>
                    <a:stretch>
                      <a:fillRect/>
                    </a:stretch>
                  </pic:blipFill>
                  <pic:spPr>
                    <a:xfrm>
                      <a:off x="0" y="0"/>
                      <a:ext cx="2543175" cy="6286500"/>
                    </a:xfrm>
                    <a:prstGeom prst="rect">
                      <a:avLst/>
                    </a:prstGeom>
                    <a:ln w="25400">
                      <a:solidFill>
                        <a:srgbClr val="000000"/>
                      </a:solidFill>
                      <a:prstDash val="solid"/>
                    </a:ln>
                  </pic:spPr>
                </pic:pic>
              </a:graphicData>
            </a:graphic>
          </wp:inline>
        </w:drawing>
      </w:r>
    </w:p>
    <w:p w14:paraId="14CCC7F6" w14:textId="77777777" w:rsidR="00A25A64" w:rsidRDefault="00A25A64" w:rsidP="00A25A64">
      <w:pPr>
        <w:spacing w:line="360" w:lineRule="auto"/>
        <w:jc w:val="center"/>
        <w:rPr>
          <w:b/>
        </w:rPr>
      </w:pPr>
      <w:r>
        <w:rPr>
          <w:b/>
        </w:rPr>
        <w:lastRenderedPageBreak/>
        <w:t>Figure 6: Most profitable segment customers</w:t>
      </w:r>
    </w:p>
    <w:p w14:paraId="0F1FDE52" w14:textId="77777777" w:rsidR="00A25A64" w:rsidRDefault="00A25A64" w:rsidP="00A25A64">
      <w:pPr>
        <w:spacing w:line="360" w:lineRule="auto"/>
        <w:jc w:val="center"/>
      </w:pPr>
      <w:r>
        <w:t>(Source: Created by author)</w:t>
      </w:r>
    </w:p>
    <w:p w14:paraId="54A09ADF" w14:textId="685A0794" w:rsidR="00A25A64" w:rsidRDefault="00A25A64" w:rsidP="00A25A64">
      <w:pPr>
        <w:spacing w:line="360" w:lineRule="auto"/>
        <w:jc w:val="both"/>
      </w:pPr>
      <w:r>
        <w:t xml:space="preserve">The dataset gives bits of knowledge into the most productive section of clients </w:t>
      </w:r>
      <w:r w:rsidR="00124C6F">
        <w:t>considering</w:t>
      </w:r>
      <w:r>
        <w:t xml:space="preserve"> the </w:t>
      </w:r>
      <w:r>
        <w:rPr>
          <w:color w:val="0D0D0D"/>
        </w:rPr>
        <w:t>total sales amount</w:t>
      </w:r>
      <w:r>
        <w:t xml:space="preserve">. Each </w:t>
      </w:r>
      <w:r w:rsidR="00F427CD">
        <w:t>Customer No</w:t>
      </w:r>
      <w:r>
        <w:t xml:space="preserve"> addresses a </w:t>
      </w:r>
      <w:r>
        <w:rPr>
          <w:color w:val="0D0D0D"/>
        </w:rPr>
        <w:t>unique customer</w:t>
      </w:r>
      <w:r>
        <w:t xml:space="preserve">, and the comparing complete deals sum demonstrates the income created from their </w:t>
      </w:r>
      <w:r>
        <w:rPr>
          <w:color w:val="0D0D0D"/>
        </w:rPr>
        <w:t>purchases</w:t>
      </w:r>
      <w:r>
        <w:t xml:space="preserve">. For example, </w:t>
      </w:r>
      <w:r w:rsidR="00F427CD">
        <w:t>Customer No</w:t>
      </w:r>
      <w:r>
        <w:t xml:space="preserve"> 16446 contributed the</w:t>
      </w:r>
      <w:r>
        <w:rPr>
          <w:color w:val="0D0D0D"/>
        </w:rPr>
        <w:t xml:space="preserve"> highest total sales amount</w:t>
      </w:r>
      <w:r>
        <w:t xml:space="preserve"> measure of $501,359.05, making them the </w:t>
      </w:r>
      <w:r>
        <w:rPr>
          <w:color w:val="0D0D0D"/>
        </w:rPr>
        <w:t>profitable segment</w:t>
      </w:r>
      <w:r>
        <w:t>.</w:t>
      </w:r>
    </w:p>
    <w:p w14:paraId="306247DC" w14:textId="77777777" w:rsidR="00A25A64" w:rsidRDefault="00A25A64" w:rsidP="00A25A64">
      <w:pPr>
        <w:spacing w:line="360" w:lineRule="auto"/>
        <w:jc w:val="both"/>
      </w:pPr>
    </w:p>
    <w:p w14:paraId="456B9D83" w14:textId="10829765" w:rsidR="00A25A64" w:rsidRDefault="00A25A64" w:rsidP="00A25A64">
      <w:pPr>
        <w:spacing w:line="360" w:lineRule="auto"/>
        <w:jc w:val="both"/>
      </w:pPr>
      <w:r>
        <w:t xml:space="preserve">Recognising the most productive section of </w:t>
      </w:r>
      <w:r>
        <w:rPr>
          <w:color w:val="0D0D0D"/>
        </w:rPr>
        <w:t>customers</w:t>
      </w:r>
      <w:r>
        <w:t xml:space="preserve"> is significant for organisations as it permits them to zero in on assets and endeavours to hold and extend associations with these </w:t>
      </w:r>
      <w:r>
        <w:rPr>
          <w:color w:val="0D0D0D"/>
        </w:rPr>
        <w:t xml:space="preserve">high-value customers. </w:t>
      </w:r>
      <w:r>
        <w:t xml:space="preserve">Organisations can tailor showcasing methodologies, customised </w:t>
      </w:r>
      <w:r w:rsidR="00124C6F">
        <w:t>offers,</w:t>
      </w:r>
      <w:r>
        <w:t xml:space="preserve"> and client assistance to expand client lifetime worth and cultivate long-haul steadfastness by figuring out their buying conduct, inclinations, and necessities. Also, experiences in the most beneficial portion empower organisations to </w:t>
      </w:r>
      <w:r>
        <w:rPr>
          <w:color w:val="0D0D0D"/>
        </w:rPr>
        <w:t>allocate</w:t>
      </w:r>
      <w:r>
        <w:t xml:space="preserve"> assets successfully, upgrade stock administration, and focus on item improvement endeavours to satisfy the needs of these </w:t>
      </w:r>
      <w:r>
        <w:rPr>
          <w:color w:val="0D0D0D"/>
        </w:rPr>
        <w:t>valuable customers (</w:t>
      </w:r>
      <w:proofErr w:type="spellStart"/>
      <w:r>
        <w:rPr>
          <w:color w:val="222222"/>
          <w:highlight w:val="white"/>
        </w:rPr>
        <w:t>Kafi</w:t>
      </w:r>
      <w:proofErr w:type="spellEnd"/>
      <w:r>
        <w:rPr>
          <w:color w:val="222222"/>
          <w:highlight w:val="white"/>
        </w:rPr>
        <w:t xml:space="preserve"> and Adnan, 2022</w:t>
      </w:r>
      <w:r>
        <w:rPr>
          <w:color w:val="0D0D0D"/>
        </w:rPr>
        <w:t>)</w:t>
      </w:r>
      <w:r>
        <w:t xml:space="preserve">. Overall, the </w:t>
      </w:r>
      <w:r>
        <w:rPr>
          <w:color w:val="0D0D0D"/>
        </w:rPr>
        <w:t>analysis</w:t>
      </w:r>
      <w:r>
        <w:t xml:space="preserve"> of the most productive section </w:t>
      </w:r>
      <w:r>
        <w:rPr>
          <w:color w:val="0D0D0D"/>
        </w:rPr>
        <w:t>customers</w:t>
      </w:r>
      <w:r>
        <w:t xml:space="preserve"> gives noteworthy bits of knowledge to vital navigation, assisting organisations with driving development, </w:t>
      </w:r>
      <w:r>
        <w:rPr>
          <w:color w:val="0D0D0D"/>
        </w:rPr>
        <w:t>profitability</w:t>
      </w:r>
      <w:r>
        <w:t xml:space="preserve">, and manageable progress in the </w:t>
      </w:r>
      <w:r>
        <w:rPr>
          <w:color w:val="0D0D0D"/>
        </w:rPr>
        <w:t>competitive marketplace</w:t>
      </w:r>
      <w:r>
        <w:t xml:space="preserve">.  </w:t>
      </w:r>
    </w:p>
    <w:p w14:paraId="4C867538" w14:textId="77777777" w:rsidR="00A25A64" w:rsidRDefault="00A25A64" w:rsidP="00A25A64">
      <w:pPr>
        <w:spacing w:line="360" w:lineRule="auto"/>
        <w:jc w:val="both"/>
        <w:rPr>
          <w:b/>
        </w:rPr>
      </w:pPr>
      <w:r>
        <w:rPr>
          <w:b/>
        </w:rPr>
        <w:t xml:space="preserve">5.Strategy to recommend </w:t>
      </w:r>
    </w:p>
    <w:p w14:paraId="5D4BBBE2" w14:textId="78C7722C" w:rsidR="00A25A64" w:rsidRDefault="00A25A64" w:rsidP="00A25A64">
      <w:pPr>
        <w:spacing w:line="360" w:lineRule="auto"/>
        <w:jc w:val="both"/>
        <w:rPr>
          <w:b/>
        </w:rPr>
      </w:pPr>
      <w:r>
        <w:t xml:space="preserve">One strategy that can be prescribed to the business to acquire benefit is to zero on utilising bits of knowledge from the most productive section customers based on the analysis of the above data. The business can tailor its advertising systems, item contributions, and client support drives to </w:t>
      </w:r>
      <w:r w:rsidR="00F427CD">
        <w:t>address and discuss them with the qualities, inclinations, and purchasing behaviour of these high-esteem customers (</w:t>
      </w:r>
      <w:proofErr w:type="spellStart"/>
      <w:r w:rsidR="00F427CD">
        <w:t>Kamalaldin</w:t>
      </w:r>
      <w:proofErr w:type="spellEnd"/>
      <w:r w:rsidR="00F427CD">
        <w:t xml:space="preserve"> et al. 2020) more readily</w:t>
      </w:r>
      <w:r>
        <w:t>. This can include carrying out customised advertising efforts, selective offers and steadfastness programs focused on explicitly these customers. The business can investigate opportunities for upselling and strategically pitching to build the typical exchange worth and lifetime customer value (</w:t>
      </w:r>
      <w:r>
        <w:rPr>
          <w:color w:val="222222"/>
          <w:highlight w:val="white"/>
        </w:rPr>
        <w:t xml:space="preserve">Kumar and </w:t>
      </w:r>
      <w:proofErr w:type="spellStart"/>
      <w:r>
        <w:rPr>
          <w:color w:val="222222"/>
          <w:highlight w:val="white"/>
        </w:rPr>
        <w:t>Rajan</w:t>
      </w:r>
      <w:proofErr w:type="spellEnd"/>
      <w:r>
        <w:rPr>
          <w:color w:val="222222"/>
          <w:highlight w:val="white"/>
        </w:rPr>
        <w:t>, 2020</w:t>
      </w:r>
      <w:r>
        <w:t xml:space="preserve">). The business can drive expanded sales revenue and productivity after some time, eventually adding profitability over time and progress in the serious commercial centre by focusing on endeavours to support and hold this competitive marketplace. </w:t>
      </w:r>
    </w:p>
    <w:p w14:paraId="3D73C570" w14:textId="77777777" w:rsidR="00A25A64" w:rsidRDefault="00A25A64" w:rsidP="00A25A64">
      <w:pPr>
        <w:rPr>
          <w:b/>
        </w:rPr>
      </w:pPr>
    </w:p>
    <w:p w14:paraId="1D6A2897" w14:textId="77777777" w:rsidR="00A25A64" w:rsidRPr="00DF258D" w:rsidRDefault="00A25A64" w:rsidP="00A25A64">
      <w:pPr>
        <w:pStyle w:val="Heading1"/>
      </w:pPr>
      <w:bookmarkStart w:id="2" w:name="_Toc163670724"/>
      <w:r>
        <w:lastRenderedPageBreak/>
        <w:t>Part 2:</w:t>
      </w:r>
      <w:bookmarkEnd w:id="2"/>
      <w:r>
        <w:t xml:space="preserve"> </w:t>
      </w:r>
    </w:p>
    <w:p w14:paraId="0CA3E69A" w14:textId="77777777" w:rsidR="00A25A64" w:rsidRDefault="00A25A64" w:rsidP="00A25A64">
      <w:pPr>
        <w:rPr>
          <w:b/>
        </w:rPr>
      </w:pPr>
      <w:r>
        <w:rPr>
          <w:b/>
        </w:rPr>
        <w:t>Context of Education Data</w:t>
      </w:r>
    </w:p>
    <w:p w14:paraId="06D248D6" w14:textId="4398A092" w:rsidR="00A25A64" w:rsidRDefault="00A25A64" w:rsidP="00A25A64">
      <w:pPr>
        <w:spacing w:line="360" w:lineRule="auto"/>
        <w:jc w:val="both"/>
      </w:pPr>
      <w:r>
        <w:t xml:space="preserve">The context of the education relates to an overview dataset incorporating data connected with school understudies, pre-test and post-test scores, and lunch capability status. This dataset fills in as a significant resource for evaluating different parts of understudy execution and financial foundation. The change from Microsoft Excel to SPSS for information signifies a shift towards further developed scientific strategies. SPSS offers improved abilities, especially in measurable analysis and data mining while </w:t>
      </w:r>
      <w:r w:rsidR="00F427CD">
        <w:t>Excel</w:t>
      </w:r>
      <w:r>
        <w:t xml:space="preserve"> gives essential functionalities to information control and perception. This transition mirrors a pledge to lead more extensive research to get significant bits of knowledge from the dataset.</w:t>
      </w:r>
    </w:p>
    <w:p w14:paraId="4C40F7A2" w14:textId="77777777" w:rsidR="00A25A64" w:rsidRDefault="00A25A64" w:rsidP="00A25A64">
      <w:pPr>
        <w:spacing w:line="360" w:lineRule="auto"/>
        <w:jc w:val="both"/>
        <w:rPr>
          <w:b/>
        </w:rPr>
      </w:pPr>
      <w:r>
        <w:t>The essential goals of the analysis incorporate assessing understudy socioeconomics and lunch capability status, contrasting mean and median scores between lunch-qualified and non-qualified understudies, and applying bunching research utilising SPSS. These goals intend to reveal examples and patterns inside the dataset, empowering partners to go with informed choices and form techniques to work on instructive results. Instructive establishments can acquire further bits of knowledge into understudy execution and financial variables that can impact academic accomplishment by leading careful analyses using SPSS (</w:t>
      </w:r>
      <w:proofErr w:type="spellStart"/>
      <w:r>
        <w:rPr>
          <w:color w:val="222222"/>
          <w:highlight w:val="white"/>
        </w:rPr>
        <w:t>Kafi</w:t>
      </w:r>
      <w:proofErr w:type="spellEnd"/>
      <w:r>
        <w:rPr>
          <w:color w:val="222222"/>
          <w:highlight w:val="white"/>
        </w:rPr>
        <w:t xml:space="preserve"> and Adnan, 2022</w:t>
      </w:r>
      <w:r>
        <w:t>). This data is indispensable for planning designated mediations and backing projects to address differences and improve general educational adequacy.</w:t>
      </w:r>
    </w:p>
    <w:p w14:paraId="7368DD09" w14:textId="77777777" w:rsidR="00A25A64" w:rsidRDefault="00A25A64" w:rsidP="00A25A64">
      <w:pPr>
        <w:rPr>
          <w:b/>
        </w:rPr>
      </w:pPr>
    </w:p>
    <w:p w14:paraId="18F4A4A6" w14:textId="77777777" w:rsidR="00A25A64" w:rsidRDefault="00A25A64" w:rsidP="00A25A64">
      <w:pPr>
        <w:rPr>
          <w:b/>
        </w:rPr>
      </w:pPr>
      <w:r>
        <w:rPr>
          <w:b/>
        </w:rPr>
        <w:t xml:space="preserve">1.Number of male and females </w:t>
      </w:r>
    </w:p>
    <w:p w14:paraId="7C5D29E0" w14:textId="77777777" w:rsidR="00A25A64" w:rsidRDefault="00A25A64" w:rsidP="00A25A64">
      <w:pPr>
        <w:jc w:val="center"/>
        <w:rPr>
          <w:b/>
        </w:rPr>
      </w:pPr>
      <w:r>
        <w:rPr>
          <w:b/>
          <w:noProof/>
        </w:rPr>
        <w:lastRenderedPageBreak/>
        <w:drawing>
          <wp:inline distT="114300" distB="114300" distL="114300" distR="114300" wp14:anchorId="5073FF7F" wp14:editId="0D1D7BEA">
            <wp:extent cx="4981575" cy="3438525"/>
            <wp:effectExtent l="25400" t="25400" r="25400" b="25400"/>
            <wp:docPr id="13" name="image3.png" descr="A screenshot of 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3.png" descr="A screenshot of a report&#10;&#10;Description automatically generated"/>
                    <pic:cNvPicPr preferRelativeResize="0"/>
                  </pic:nvPicPr>
                  <pic:blipFill>
                    <a:blip r:embed="rId12"/>
                    <a:srcRect/>
                    <a:stretch>
                      <a:fillRect/>
                    </a:stretch>
                  </pic:blipFill>
                  <pic:spPr>
                    <a:xfrm>
                      <a:off x="0" y="0"/>
                      <a:ext cx="4981575" cy="3438525"/>
                    </a:xfrm>
                    <a:prstGeom prst="rect">
                      <a:avLst/>
                    </a:prstGeom>
                    <a:ln w="25400">
                      <a:solidFill>
                        <a:srgbClr val="000000"/>
                      </a:solidFill>
                      <a:prstDash val="solid"/>
                    </a:ln>
                  </pic:spPr>
                </pic:pic>
              </a:graphicData>
            </a:graphic>
          </wp:inline>
        </w:drawing>
      </w:r>
    </w:p>
    <w:p w14:paraId="1D1C71B6" w14:textId="77777777" w:rsidR="00A25A64" w:rsidRDefault="00A25A64" w:rsidP="00A25A64">
      <w:pPr>
        <w:spacing w:line="360" w:lineRule="auto"/>
        <w:jc w:val="center"/>
        <w:rPr>
          <w:b/>
        </w:rPr>
      </w:pPr>
      <w:r>
        <w:rPr>
          <w:b/>
        </w:rPr>
        <w:t>Figure 7: Frequency table of Gender column</w:t>
      </w:r>
    </w:p>
    <w:p w14:paraId="674305FE" w14:textId="77777777" w:rsidR="00A25A64" w:rsidRDefault="00A25A64" w:rsidP="00A25A64">
      <w:pPr>
        <w:spacing w:line="360" w:lineRule="auto"/>
        <w:jc w:val="center"/>
      </w:pPr>
      <w:r>
        <w:t>(Source: Created by author)</w:t>
      </w:r>
    </w:p>
    <w:p w14:paraId="1149C7EE" w14:textId="77777777" w:rsidR="00A25A64" w:rsidRDefault="00A25A64" w:rsidP="00A25A64">
      <w:pPr>
        <w:spacing w:line="360" w:lineRule="auto"/>
        <w:jc w:val="both"/>
      </w:pPr>
      <w:r>
        <w:t>The frequency table gives bits of knowledge into the distribution of male and female understudies inside the dataset. As per the information, there are a sum of 2133 students, with 1056 identified as male and 1077 as female. This demonstrates a moderately adjusted balanced gender distribution, with roughly 49.5% of understudies being male and 50.5% female. Gender parity is gainful in guaranteeing different points of view and encounters inside instructive settings (</w:t>
      </w:r>
      <w:proofErr w:type="spellStart"/>
      <w:r>
        <w:rPr>
          <w:color w:val="222222"/>
          <w:highlight w:val="white"/>
        </w:rPr>
        <w:t>Madörin</w:t>
      </w:r>
      <w:proofErr w:type="spellEnd"/>
      <w:r>
        <w:rPr>
          <w:color w:val="222222"/>
          <w:highlight w:val="white"/>
        </w:rPr>
        <w:t xml:space="preserve"> and Jacinto, 2023</w:t>
      </w:r>
      <w:r>
        <w:t xml:space="preserve">). It reflects endeavours towards inclusivity and equivalent portrayal that can be crucial standards in cultivating a favourable learning environment. Dissecting the numerical information further highlights the significance of considering orientation socioeconomics in instructive research and strategy making. Understanding the organisation of understudy populaces permits teachers and administrators to fit projects and assets to address the issues, everything being equal successfully. </w:t>
      </w:r>
    </w:p>
    <w:p w14:paraId="5687A317" w14:textId="77777777" w:rsidR="00A25A64" w:rsidRDefault="00A25A64" w:rsidP="00A25A64">
      <w:pPr>
        <w:spacing w:line="360" w:lineRule="auto"/>
        <w:jc w:val="both"/>
        <w:rPr>
          <w:b/>
        </w:rPr>
      </w:pPr>
      <w:r>
        <w:t>The close equivalent portrayal of male and female understudies recommends a pledge to orientation balance in schooling that is vital for advancing social justice and value. Instructive foundations can set out additional fair opportunities for all understudies, paying little heed to orientation personality by recognising and tending to orientation incongruities (</w:t>
      </w:r>
      <w:proofErr w:type="spellStart"/>
      <w:r>
        <w:rPr>
          <w:color w:val="222222"/>
          <w:highlight w:val="white"/>
        </w:rPr>
        <w:t>Sanecka</w:t>
      </w:r>
      <w:proofErr w:type="spellEnd"/>
      <w:r>
        <w:rPr>
          <w:color w:val="222222"/>
          <w:highlight w:val="white"/>
        </w:rPr>
        <w:t>, 2021</w:t>
      </w:r>
      <w:r>
        <w:t xml:space="preserve">). The analysis features the meaning of orientation-mindful methodologies in schooling and highlights the significance of information-driven decision-production to help comprehensive practices and encourage a steady learning environment for all understudies. </w:t>
      </w:r>
    </w:p>
    <w:p w14:paraId="2C889AF3" w14:textId="77777777" w:rsidR="00A25A64" w:rsidRDefault="00A25A64" w:rsidP="00A25A64">
      <w:pPr>
        <w:rPr>
          <w:b/>
        </w:rPr>
      </w:pPr>
    </w:p>
    <w:p w14:paraId="0FAD1DD8"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rPr>
          <w:b/>
        </w:rPr>
      </w:pPr>
      <w:r>
        <w:rPr>
          <w:b/>
        </w:rPr>
        <w:t>2.Number of students who qualify and do not qualify for reduced/free lunch</w:t>
      </w:r>
    </w:p>
    <w:p w14:paraId="7F5E9878"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r>
        <w:rPr>
          <w:b/>
          <w:noProof/>
        </w:rPr>
        <w:drawing>
          <wp:inline distT="114300" distB="114300" distL="114300" distR="114300" wp14:anchorId="3F276C24" wp14:editId="666C7A64">
            <wp:extent cx="4600575" cy="3952875"/>
            <wp:effectExtent l="25400" t="25400" r="25400" b="25400"/>
            <wp:docPr id="10" name="image8.png" descr="A screenshot of a data report&#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8.png" descr="A screenshot of a data report&#10;&#10;Description automatically generated"/>
                    <pic:cNvPicPr preferRelativeResize="0"/>
                  </pic:nvPicPr>
                  <pic:blipFill>
                    <a:blip r:embed="rId13"/>
                    <a:srcRect/>
                    <a:stretch>
                      <a:fillRect/>
                    </a:stretch>
                  </pic:blipFill>
                  <pic:spPr>
                    <a:xfrm>
                      <a:off x="0" y="0"/>
                      <a:ext cx="4600575" cy="3952875"/>
                    </a:xfrm>
                    <a:prstGeom prst="rect">
                      <a:avLst/>
                    </a:prstGeom>
                    <a:ln w="25400">
                      <a:solidFill>
                        <a:srgbClr val="000000"/>
                      </a:solidFill>
                      <a:prstDash val="solid"/>
                    </a:ln>
                  </pic:spPr>
                </pic:pic>
              </a:graphicData>
            </a:graphic>
          </wp:inline>
        </w:drawing>
      </w:r>
    </w:p>
    <w:p w14:paraId="6B0C2BDA" w14:textId="77777777" w:rsidR="00A25A64" w:rsidRDefault="00A25A64" w:rsidP="00A25A64">
      <w:pPr>
        <w:spacing w:line="360" w:lineRule="auto"/>
        <w:jc w:val="center"/>
        <w:rPr>
          <w:b/>
        </w:rPr>
      </w:pPr>
      <w:r>
        <w:rPr>
          <w:b/>
        </w:rPr>
        <w:t>Figure 8: Frequency table of Lunch column</w:t>
      </w:r>
    </w:p>
    <w:p w14:paraId="4CFB3890" w14:textId="77777777" w:rsidR="00A25A64" w:rsidRDefault="00A25A64" w:rsidP="00A25A64">
      <w:pPr>
        <w:spacing w:line="360" w:lineRule="auto"/>
        <w:jc w:val="center"/>
      </w:pPr>
      <w:r>
        <w:t>(Source: Created by author)</w:t>
      </w:r>
    </w:p>
    <w:p w14:paraId="5CB5DB94" w14:textId="77777777" w:rsidR="00A25A64" w:rsidRDefault="00A25A64" w:rsidP="00A25A64">
      <w:pPr>
        <w:spacing w:line="360" w:lineRule="auto"/>
        <w:jc w:val="both"/>
        <w:rPr>
          <w:b/>
        </w:rPr>
      </w:pPr>
      <w:r>
        <w:t>As per the Frequency table, out of a sum of 2133 students, 1215 students meet all requirements for decreased/free lunch, while 918 understudies do not qualify. This information shows that roughly 57.0% of understudies fit the bill for diminished/free lunch, while 43.0% do not. Understanding the appropriation of lunch capability status among understudies is fundamental for recognising financial variations and fitting help administrations to guarantee fair admittance to instructive assets and opportunities.</w:t>
      </w:r>
    </w:p>
    <w:p w14:paraId="47B5B2DA"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rPr>
          <w:b/>
        </w:rPr>
      </w:pPr>
      <w:r>
        <w:rPr>
          <w:b/>
        </w:rPr>
        <w:t>3.The mean and median scores for students</w:t>
      </w:r>
    </w:p>
    <w:p w14:paraId="209B393A"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r>
        <w:rPr>
          <w:b/>
          <w:noProof/>
        </w:rPr>
        <w:lastRenderedPageBreak/>
        <w:drawing>
          <wp:inline distT="114300" distB="114300" distL="114300" distR="114300" wp14:anchorId="6AA03BF2" wp14:editId="2028A927">
            <wp:extent cx="5048250" cy="7743825"/>
            <wp:effectExtent l="25400" t="25400" r="25400" b="25400"/>
            <wp:docPr id="1" name="image11.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1.png" descr="A screenshot of a document&#10;&#10;Description automatically generated"/>
                    <pic:cNvPicPr preferRelativeResize="0"/>
                  </pic:nvPicPr>
                  <pic:blipFill>
                    <a:blip r:embed="rId14"/>
                    <a:srcRect/>
                    <a:stretch>
                      <a:fillRect/>
                    </a:stretch>
                  </pic:blipFill>
                  <pic:spPr>
                    <a:xfrm>
                      <a:off x="0" y="0"/>
                      <a:ext cx="5048250" cy="7743825"/>
                    </a:xfrm>
                    <a:prstGeom prst="rect">
                      <a:avLst/>
                    </a:prstGeom>
                    <a:ln w="25400">
                      <a:solidFill>
                        <a:srgbClr val="000000"/>
                      </a:solidFill>
                      <a:prstDash val="solid"/>
                    </a:ln>
                  </pic:spPr>
                </pic:pic>
              </a:graphicData>
            </a:graphic>
          </wp:inline>
        </w:drawing>
      </w:r>
    </w:p>
    <w:p w14:paraId="7DEF2C59"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p>
    <w:p w14:paraId="5B856112"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r>
        <w:rPr>
          <w:b/>
          <w:noProof/>
        </w:rPr>
        <w:lastRenderedPageBreak/>
        <w:drawing>
          <wp:inline distT="114300" distB="114300" distL="114300" distR="114300" wp14:anchorId="52EE08C5" wp14:editId="10D351F9">
            <wp:extent cx="4838700" cy="5000625"/>
            <wp:effectExtent l="25400" t="25400" r="25400" b="25400"/>
            <wp:docPr id="4" name="image7.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7.png" descr="A screenshot of a document&#10;&#10;Description automatically generated"/>
                    <pic:cNvPicPr preferRelativeResize="0"/>
                  </pic:nvPicPr>
                  <pic:blipFill>
                    <a:blip r:embed="rId15"/>
                    <a:srcRect/>
                    <a:stretch>
                      <a:fillRect/>
                    </a:stretch>
                  </pic:blipFill>
                  <pic:spPr>
                    <a:xfrm>
                      <a:off x="0" y="0"/>
                      <a:ext cx="4838700" cy="5000625"/>
                    </a:xfrm>
                    <a:prstGeom prst="rect">
                      <a:avLst/>
                    </a:prstGeom>
                    <a:ln w="25400">
                      <a:solidFill>
                        <a:srgbClr val="000000"/>
                      </a:solidFill>
                      <a:prstDash val="solid"/>
                    </a:ln>
                  </pic:spPr>
                </pic:pic>
              </a:graphicData>
            </a:graphic>
          </wp:inline>
        </w:drawing>
      </w:r>
    </w:p>
    <w:p w14:paraId="26E9CA6E" w14:textId="77777777" w:rsidR="00A25A64" w:rsidRDefault="00A25A64" w:rsidP="00A25A64">
      <w:pPr>
        <w:spacing w:line="360" w:lineRule="auto"/>
        <w:jc w:val="center"/>
        <w:rPr>
          <w:b/>
        </w:rPr>
      </w:pPr>
      <w:r>
        <w:rPr>
          <w:b/>
        </w:rPr>
        <w:t xml:space="preserve">Figure 9: Descriptive Statistics </w:t>
      </w:r>
    </w:p>
    <w:p w14:paraId="72079E19" w14:textId="77777777" w:rsidR="00A25A64" w:rsidRDefault="00A25A64" w:rsidP="00A25A64">
      <w:pPr>
        <w:spacing w:line="360" w:lineRule="auto"/>
        <w:jc w:val="center"/>
      </w:pPr>
      <w:r>
        <w:t>(Source: Created by author)</w:t>
      </w:r>
    </w:p>
    <w:p w14:paraId="29491181" w14:textId="6F33D686" w:rsidR="00A25A64" w:rsidRDefault="00A25A64" w:rsidP="00A25A64">
      <w:pPr>
        <w:spacing w:line="360" w:lineRule="auto"/>
        <w:jc w:val="both"/>
      </w:pPr>
      <w:r>
        <w:t xml:space="preserve">The mean </w:t>
      </w:r>
      <w:r w:rsidR="00F427CD">
        <w:t>pre-test</w:t>
      </w:r>
      <w:r>
        <w:t xml:space="preserve"> score for students qualifying the bill for diminished/free lunch is 62.29, while the median is 62.00. On the other hand, for students who do not meet all requirements for diminished/free lunch, the mean </w:t>
      </w:r>
      <w:r w:rsidR="00F427CD">
        <w:t>pre-test</w:t>
      </w:r>
      <w:r>
        <w:t xml:space="preserve"> score is 61.69, with a median of 60. These insights propose a marginally higher normal </w:t>
      </w:r>
      <w:r w:rsidR="00F427CD">
        <w:t>pre-test</w:t>
      </w:r>
      <w:r>
        <w:t xml:space="preserve"> score for lunch-qualified understudies contrasted with non-qualified students. Essentially, in the </w:t>
      </w:r>
      <w:r w:rsidR="00F427CD">
        <w:t>post test</w:t>
      </w:r>
      <w:r>
        <w:t xml:space="preserve"> scores, lunch-qualified understudies display a mean score of 74.38 and a median of 74.00, though non-qualified students have a mean of 73.74 and a median of 74.00. This shows a marginal difference in </w:t>
      </w:r>
      <w:r w:rsidR="00F427CD">
        <w:t>post test</w:t>
      </w:r>
      <w:r>
        <w:t xml:space="preserve"> scores between the two groups. </w:t>
      </w:r>
    </w:p>
    <w:p w14:paraId="73315568"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r>
        <w:rPr>
          <w:b/>
          <w:noProof/>
        </w:rPr>
        <w:lastRenderedPageBreak/>
        <w:drawing>
          <wp:inline distT="114300" distB="114300" distL="114300" distR="114300" wp14:anchorId="15FC8039" wp14:editId="12CFB81E">
            <wp:extent cx="5731200" cy="4724400"/>
            <wp:effectExtent l="25400" t="25400" r="25400" b="25400"/>
            <wp:docPr id="3" name="image1.png" descr="A graph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image1.png" descr="A graph of a diagram&#10;&#10;Description automatically generated with medium confidence"/>
                    <pic:cNvPicPr preferRelativeResize="0"/>
                  </pic:nvPicPr>
                  <pic:blipFill>
                    <a:blip r:embed="rId16"/>
                    <a:srcRect/>
                    <a:stretch>
                      <a:fillRect/>
                    </a:stretch>
                  </pic:blipFill>
                  <pic:spPr>
                    <a:xfrm>
                      <a:off x="0" y="0"/>
                      <a:ext cx="5731200" cy="4724400"/>
                    </a:xfrm>
                    <a:prstGeom prst="rect">
                      <a:avLst/>
                    </a:prstGeom>
                    <a:ln w="25400">
                      <a:solidFill>
                        <a:srgbClr val="000000"/>
                      </a:solidFill>
                      <a:prstDash val="solid"/>
                    </a:ln>
                  </pic:spPr>
                </pic:pic>
              </a:graphicData>
            </a:graphic>
          </wp:inline>
        </w:drawing>
      </w:r>
    </w:p>
    <w:p w14:paraId="46A664ED" w14:textId="77777777" w:rsidR="00A25A64" w:rsidRDefault="00A25A64" w:rsidP="00A25A64">
      <w:pPr>
        <w:pBdr>
          <w:top w:val="none" w:sz="0" w:space="0" w:color="E3E3E3"/>
          <w:left w:val="none" w:sz="0" w:space="0" w:color="E3E3E3"/>
          <w:bottom w:val="none" w:sz="0" w:space="0" w:color="E3E3E3"/>
          <w:right w:val="none" w:sz="0" w:space="0" w:color="E3E3E3"/>
          <w:between w:val="none" w:sz="0" w:space="0" w:color="E3E3E3"/>
        </w:pBdr>
        <w:spacing w:after="300"/>
        <w:jc w:val="center"/>
        <w:rPr>
          <w:b/>
        </w:rPr>
      </w:pPr>
      <w:r>
        <w:rPr>
          <w:b/>
          <w:noProof/>
        </w:rPr>
        <w:lastRenderedPageBreak/>
        <w:drawing>
          <wp:inline distT="114300" distB="114300" distL="114300" distR="114300" wp14:anchorId="45D70D39" wp14:editId="662311A1">
            <wp:extent cx="5731200" cy="4610100"/>
            <wp:effectExtent l="25400" t="25400" r="25400" b="25400"/>
            <wp:docPr id="9" name="image10.png" descr="A graph with a box and a box with a box with a box with a box with a box with a box with a box with a box with a box with a box with a box with&#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0.png" descr="A graph with a box and a box with a box with a box with a box with a box with a box with a box with a box with a box with a box with a box with&#10;&#10;Description automatically generated"/>
                    <pic:cNvPicPr preferRelativeResize="0"/>
                  </pic:nvPicPr>
                  <pic:blipFill>
                    <a:blip r:embed="rId17"/>
                    <a:srcRect/>
                    <a:stretch>
                      <a:fillRect/>
                    </a:stretch>
                  </pic:blipFill>
                  <pic:spPr>
                    <a:xfrm>
                      <a:off x="0" y="0"/>
                      <a:ext cx="5731200" cy="4610100"/>
                    </a:xfrm>
                    <a:prstGeom prst="rect">
                      <a:avLst/>
                    </a:prstGeom>
                    <a:ln w="25400">
                      <a:solidFill>
                        <a:srgbClr val="000000"/>
                      </a:solidFill>
                      <a:prstDash val="solid"/>
                    </a:ln>
                  </pic:spPr>
                </pic:pic>
              </a:graphicData>
            </a:graphic>
          </wp:inline>
        </w:drawing>
      </w:r>
    </w:p>
    <w:p w14:paraId="787AB288" w14:textId="77777777" w:rsidR="00A25A64" w:rsidRDefault="00A25A64" w:rsidP="00A25A64">
      <w:pPr>
        <w:spacing w:line="360" w:lineRule="auto"/>
        <w:jc w:val="center"/>
        <w:rPr>
          <w:b/>
        </w:rPr>
      </w:pPr>
      <w:r>
        <w:rPr>
          <w:b/>
        </w:rPr>
        <w:t xml:space="preserve">Figure 10: Scatter plot of the Descriptive Statistics </w:t>
      </w:r>
    </w:p>
    <w:p w14:paraId="162014D4" w14:textId="77777777" w:rsidR="00A25A64" w:rsidRDefault="00A25A64" w:rsidP="00A25A64">
      <w:pPr>
        <w:spacing w:line="360" w:lineRule="auto"/>
        <w:jc w:val="center"/>
      </w:pPr>
      <w:r>
        <w:t>(Source: Created by author)</w:t>
      </w:r>
    </w:p>
    <w:p w14:paraId="67CBC196" w14:textId="61A07C6B" w:rsidR="00A25A64" w:rsidRDefault="00A25A64" w:rsidP="00A25A64">
      <w:pPr>
        <w:spacing w:line="360" w:lineRule="auto"/>
        <w:jc w:val="both"/>
      </w:pPr>
      <w:r>
        <w:t xml:space="preserve">The mandate to make a scatter </w:t>
      </w:r>
      <w:r w:rsidR="00F427CD">
        <w:t>plot of</w:t>
      </w:r>
      <w:r>
        <w:t xml:space="preserve"> descriptive statistics is to some degree uncertain, as Scatter plots commonly outline connections between factors. Descriptive statistics, like mean, median and variance, are synopsis proportions of information and not normally addressed in scatter plots. Explanation on the </w:t>
      </w:r>
      <w:r w:rsidR="00F427CD">
        <w:t>factors</w:t>
      </w:r>
      <w:r>
        <w:t xml:space="preserve"> of interest can be empower a more significant translation.</w:t>
      </w:r>
    </w:p>
    <w:p w14:paraId="0ECE76A8" w14:textId="77777777" w:rsidR="00A25A64" w:rsidRDefault="00A25A64" w:rsidP="00A25A64">
      <w:pPr>
        <w:spacing w:line="360" w:lineRule="auto"/>
        <w:rPr>
          <w:b/>
        </w:rPr>
      </w:pPr>
      <w:r>
        <w:rPr>
          <w:b/>
        </w:rPr>
        <w:t>4. K-Means Clustering</w:t>
      </w:r>
    </w:p>
    <w:p w14:paraId="21AAB25F" w14:textId="77777777" w:rsidR="00A25A64" w:rsidRDefault="00A25A64" w:rsidP="00A25A64">
      <w:pPr>
        <w:spacing w:line="360" w:lineRule="auto"/>
        <w:jc w:val="center"/>
        <w:rPr>
          <w:b/>
        </w:rPr>
      </w:pPr>
      <w:r>
        <w:rPr>
          <w:b/>
          <w:noProof/>
        </w:rPr>
        <w:lastRenderedPageBreak/>
        <w:drawing>
          <wp:inline distT="114300" distB="114300" distL="114300" distR="114300" wp14:anchorId="6A684A17" wp14:editId="3DEF572E">
            <wp:extent cx="3495675" cy="8267700"/>
            <wp:effectExtent l="25400" t="25400" r="25400" b="25400"/>
            <wp:docPr id="7" name="image5.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5.png" descr="A screenshot of a document&#10;&#10;Description automatically generated"/>
                    <pic:cNvPicPr preferRelativeResize="0"/>
                  </pic:nvPicPr>
                  <pic:blipFill>
                    <a:blip r:embed="rId18"/>
                    <a:srcRect/>
                    <a:stretch>
                      <a:fillRect/>
                    </a:stretch>
                  </pic:blipFill>
                  <pic:spPr>
                    <a:xfrm>
                      <a:off x="0" y="0"/>
                      <a:ext cx="3495675" cy="8267700"/>
                    </a:xfrm>
                    <a:prstGeom prst="rect">
                      <a:avLst/>
                    </a:prstGeom>
                    <a:ln w="25400">
                      <a:solidFill>
                        <a:srgbClr val="000000"/>
                      </a:solidFill>
                      <a:prstDash val="solid"/>
                    </a:ln>
                  </pic:spPr>
                </pic:pic>
              </a:graphicData>
            </a:graphic>
          </wp:inline>
        </w:drawing>
      </w:r>
    </w:p>
    <w:p w14:paraId="2C89A7DA" w14:textId="77777777" w:rsidR="00A25A64" w:rsidRDefault="00A25A64" w:rsidP="00A25A64">
      <w:pPr>
        <w:spacing w:line="360" w:lineRule="auto"/>
        <w:jc w:val="center"/>
        <w:rPr>
          <w:b/>
        </w:rPr>
      </w:pPr>
      <w:r>
        <w:rPr>
          <w:b/>
        </w:rPr>
        <w:t xml:space="preserve">Figure 11: K-Means Clustering Results </w:t>
      </w:r>
    </w:p>
    <w:p w14:paraId="37F918A8" w14:textId="77777777" w:rsidR="00A25A64" w:rsidRDefault="00A25A64" w:rsidP="00A25A64">
      <w:pPr>
        <w:spacing w:line="360" w:lineRule="auto"/>
        <w:jc w:val="center"/>
        <w:rPr>
          <w:b/>
        </w:rPr>
      </w:pPr>
      <w:r>
        <w:rPr>
          <w:b/>
        </w:rPr>
        <w:t xml:space="preserve"> </w:t>
      </w:r>
    </w:p>
    <w:p w14:paraId="6A33C34A" w14:textId="77777777" w:rsidR="00A25A64" w:rsidRDefault="00A25A64" w:rsidP="00A25A64">
      <w:pPr>
        <w:spacing w:line="360" w:lineRule="auto"/>
        <w:jc w:val="center"/>
      </w:pPr>
      <w:r>
        <w:lastRenderedPageBreak/>
        <w:t>(Source: Created by author)</w:t>
      </w:r>
    </w:p>
    <w:p w14:paraId="5ED7DB0D" w14:textId="77777777" w:rsidR="00A25A64" w:rsidRDefault="00A25A64" w:rsidP="00A25A64">
      <w:pPr>
        <w:spacing w:line="360" w:lineRule="auto"/>
        <w:jc w:val="both"/>
      </w:pPr>
    </w:p>
    <w:p w14:paraId="19FB7484" w14:textId="6945F9AB" w:rsidR="00A25A64" w:rsidRDefault="00A25A64" w:rsidP="00A25A64">
      <w:pPr>
        <w:spacing w:line="360" w:lineRule="auto"/>
        <w:jc w:val="both"/>
        <w:rPr>
          <w:b/>
        </w:rPr>
      </w:pPr>
      <w:r>
        <w:t xml:space="preserve">The K-Means </w:t>
      </w:r>
      <w:r>
        <w:rPr>
          <w:color w:val="0D0D0D"/>
          <w:highlight w:val="white"/>
        </w:rPr>
        <w:t xml:space="preserve">clustering analysis </w:t>
      </w:r>
      <w:r>
        <w:t xml:space="preserve">uncovers seven </w:t>
      </w:r>
      <w:r>
        <w:rPr>
          <w:color w:val="0D0D0D"/>
          <w:highlight w:val="white"/>
        </w:rPr>
        <w:t>clusters</w:t>
      </w:r>
      <w:r>
        <w:t xml:space="preserve">, at first addressed by </w:t>
      </w:r>
      <w:r>
        <w:rPr>
          <w:color w:val="0D0D0D"/>
          <w:highlight w:val="white"/>
        </w:rPr>
        <w:t>cluster</w:t>
      </w:r>
      <w:r>
        <w:t xml:space="preserve"> places for pre-test and post-test scores. Through emphasis, negligible changes in group places were noticed, demonstrating a combination. The last </w:t>
      </w:r>
      <w:r>
        <w:rPr>
          <w:color w:val="0D0D0D"/>
          <w:highlight w:val="white"/>
        </w:rPr>
        <w:t>cluster</w:t>
      </w:r>
      <w:r>
        <w:t xml:space="preserve"> </w:t>
      </w:r>
      <w:r>
        <w:rPr>
          <w:color w:val="0D0D0D"/>
          <w:highlight w:val="white"/>
        </w:rPr>
        <w:t>centres</w:t>
      </w:r>
      <w:r>
        <w:t xml:space="preserve"> exhibit </w:t>
      </w:r>
      <w:r>
        <w:rPr>
          <w:color w:val="0D0D0D"/>
          <w:highlight w:val="white"/>
        </w:rPr>
        <w:t>distinct</w:t>
      </w:r>
      <w:r>
        <w:t xml:space="preserve"> groupings of cases </w:t>
      </w:r>
      <w:r w:rsidR="00F427CD">
        <w:t>considering</w:t>
      </w:r>
      <w:r>
        <w:t xml:space="preserve"> pre-test and post-test scores. Moreover, the number of cases in each </w:t>
      </w:r>
      <w:r>
        <w:rPr>
          <w:color w:val="0D0D0D"/>
          <w:highlight w:val="white"/>
        </w:rPr>
        <w:t>cluster</w:t>
      </w:r>
      <w:r>
        <w:t xml:space="preserve"> shifted, with Group 2 containing 993 cases and Group 3 containing 1140 cases out of a sum of 2133 cases. These outcomes propose an </w:t>
      </w:r>
      <w:r>
        <w:rPr>
          <w:color w:val="0D0D0D"/>
          <w:highlight w:val="white"/>
        </w:rPr>
        <w:t>effective</w:t>
      </w:r>
      <w:r>
        <w:t xml:space="preserve"> division of understudy execution levels, working with designated intercessions and instructive techniques to address different advancing requirements.</w:t>
      </w:r>
    </w:p>
    <w:p w14:paraId="5EB1A9EB" w14:textId="77777777" w:rsidR="00A25A64" w:rsidRDefault="00A25A64" w:rsidP="00A25A64">
      <w:pPr>
        <w:spacing w:line="360" w:lineRule="auto"/>
        <w:rPr>
          <w:b/>
        </w:rPr>
      </w:pPr>
      <w:r>
        <w:rPr>
          <w:b/>
        </w:rPr>
        <w:t>5. Discussing the advantages and disadvantages of using SPSS and Excel</w:t>
      </w:r>
    </w:p>
    <w:p w14:paraId="60D07E87" w14:textId="77777777" w:rsidR="00A25A64" w:rsidRDefault="00A25A64" w:rsidP="00A25A64">
      <w:pPr>
        <w:spacing w:line="360" w:lineRule="auto"/>
        <w:rPr>
          <w: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A25A64" w14:paraId="5B91ECBE" w14:textId="77777777" w:rsidTr="00E00012">
        <w:tc>
          <w:tcPr>
            <w:tcW w:w="3009" w:type="dxa"/>
            <w:shd w:val="clear" w:color="auto" w:fill="auto"/>
            <w:tcMar>
              <w:top w:w="100" w:type="dxa"/>
              <w:left w:w="100" w:type="dxa"/>
              <w:bottom w:w="100" w:type="dxa"/>
              <w:right w:w="100" w:type="dxa"/>
            </w:tcMar>
          </w:tcPr>
          <w:p w14:paraId="3992D8EF" w14:textId="77777777" w:rsidR="00A25A64" w:rsidRDefault="00A25A64" w:rsidP="00E00012">
            <w:pPr>
              <w:spacing w:line="411" w:lineRule="auto"/>
              <w:jc w:val="center"/>
              <w:rPr>
                <w:b/>
              </w:rPr>
            </w:pPr>
            <w:r>
              <w:rPr>
                <w:b/>
              </w:rPr>
              <w:t>Criteria</w:t>
            </w:r>
          </w:p>
        </w:tc>
        <w:tc>
          <w:tcPr>
            <w:tcW w:w="3009" w:type="dxa"/>
            <w:shd w:val="clear" w:color="auto" w:fill="auto"/>
            <w:tcMar>
              <w:top w:w="100" w:type="dxa"/>
              <w:left w:w="100" w:type="dxa"/>
              <w:bottom w:w="100" w:type="dxa"/>
              <w:right w:w="100" w:type="dxa"/>
            </w:tcMar>
          </w:tcPr>
          <w:p w14:paraId="51992523" w14:textId="77777777" w:rsidR="00A25A64" w:rsidRDefault="00A25A64" w:rsidP="00E00012">
            <w:pPr>
              <w:spacing w:line="411" w:lineRule="auto"/>
              <w:jc w:val="center"/>
              <w:rPr>
                <w:b/>
              </w:rPr>
            </w:pPr>
            <w:r>
              <w:rPr>
                <w:b/>
              </w:rPr>
              <w:t>SPSS</w:t>
            </w:r>
          </w:p>
        </w:tc>
        <w:tc>
          <w:tcPr>
            <w:tcW w:w="3009" w:type="dxa"/>
            <w:shd w:val="clear" w:color="auto" w:fill="auto"/>
            <w:tcMar>
              <w:top w:w="100" w:type="dxa"/>
              <w:left w:w="100" w:type="dxa"/>
              <w:bottom w:w="100" w:type="dxa"/>
              <w:right w:w="100" w:type="dxa"/>
            </w:tcMar>
          </w:tcPr>
          <w:p w14:paraId="7B328129" w14:textId="77777777" w:rsidR="00A25A64" w:rsidRDefault="00A25A64" w:rsidP="00E00012">
            <w:pPr>
              <w:spacing w:line="411" w:lineRule="auto"/>
              <w:jc w:val="center"/>
              <w:rPr>
                <w:b/>
              </w:rPr>
            </w:pPr>
            <w:r>
              <w:rPr>
                <w:b/>
              </w:rPr>
              <w:t>Excel</w:t>
            </w:r>
          </w:p>
        </w:tc>
      </w:tr>
      <w:tr w:rsidR="00A25A64" w14:paraId="6E88F059" w14:textId="77777777" w:rsidTr="00E00012">
        <w:tc>
          <w:tcPr>
            <w:tcW w:w="3009" w:type="dxa"/>
            <w:shd w:val="clear" w:color="auto" w:fill="auto"/>
            <w:tcMar>
              <w:top w:w="100" w:type="dxa"/>
              <w:left w:w="100" w:type="dxa"/>
              <w:bottom w:w="100" w:type="dxa"/>
              <w:right w:w="100" w:type="dxa"/>
            </w:tcMar>
          </w:tcPr>
          <w:p w14:paraId="08340FC4" w14:textId="77777777" w:rsidR="00A25A64" w:rsidRDefault="00A25A64" w:rsidP="00E00012">
            <w:pPr>
              <w:spacing w:line="411" w:lineRule="auto"/>
              <w:rPr>
                <w:b/>
              </w:rPr>
            </w:pPr>
            <w:r>
              <w:t>Data Analysis</w:t>
            </w:r>
          </w:p>
        </w:tc>
        <w:tc>
          <w:tcPr>
            <w:tcW w:w="3009" w:type="dxa"/>
            <w:shd w:val="clear" w:color="auto" w:fill="auto"/>
            <w:tcMar>
              <w:top w:w="100" w:type="dxa"/>
              <w:left w:w="100" w:type="dxa"/>
              <w:bottom w:w="100" w:type="dxa"/>
              <w:right w:w="100" w:type="dxa"/>
            </w:tcMar>
          </w:tcPr>
          <w:p w14:paraId="504D8468" w14:textId="77777777" w:rsidR="00A25A64" w:rsidRDefault="00A25A64" w:rsidP="00E00012">
            <w:pPr>
              <w:widowControl w:val="0"/>
              <w:spacing w:line="360" w:lineRule="auto"/>
              <w:jc w:val="both"/>
              <w:rPr>
                <w:b/>
              </w:rPr>
            </w:pPr>
            <w:r>
              <w:t>SPSS offers progressed factual abilities, making it reasonable for complex analyses like grouping and regression analysis.</w:t>
            </w:r>
          </w:p>
        </w:tc>
        <w:tc>
          <w:tcPr>
            <w:tcW w:w="3009" w:type="dxa"/>
            <w:shd w:val="clear" w:color="auto" w:fill="auto"/>
            <w:tcMar>
              <w:top w:w="100" w:type="dxa"/>
              <w:left w:w="100" w:type="dxa"/>
              <w:bottom w:w="100" w:type="dxa"/>
              <w:right w:w="100" w:type="dxa"/>
            </w:tcMar>
          </w:tcPr>
          <w:p w14:paraId="48DD5815" w14:textId="77777777" w:rsidR="00A25A64" w:rsidRDefault="00A25A64" w:rsidP="00E00012">
            <w:pPr>
              <w:widowControl w:val="0"/>
              <w:spacing w:line="360" w:lineRule="auto"/>
              <w:jc w:val="both"/>
              <w:rPr>
                <w:b/>
              </w:rPr>
            </w:pPr>
            <w:r>
              <w:t>Excel provides fundamental measurable capabilities yet can be restricted for comparative research, requiring manual computations or add-ins for complex tasks.</w:t>
            </w:r>
          </w:p>
        </w:tc>
      </w:tr>
      <w:tr w:rsidR="00A25A64" w14:paraId="5D4E1D80" w14:textId="77777777" w:rsidTr="00E00012">
        <w:tc>
          <w:tcPr>
            <w:tcW w:w="3009" w:type="dxa"/>
            <w:shd w:val="clear" w:color="auto" w:fill="auto"/>
            <w:tcMar>
              <w:top w:w="100" w:type="dxa"/>
              <w:left w:w="100" w:type="dxa"/>
              <w:bottom w:w="100" w:type="dxa"/>
              <w:right w:w="100" w:type="dxa"/>
            </w:tcMar>
          </w:tcPr>
          <w:p w14:paraId="1679748E" w14:textId="77777777" w:rsidR="00A25A64" w:rsidRDefault="00A25A64" w:rsidP="00E00012">
            <w:pPr>
              <w:spacing w:line="411" w:lineRule="auto"/>
              <w:rPr>
                <w:b/>
              </w:rPr>
            </w:pPr>
            <w:r>
              <w:t>Data Visualization</w:t>
            </w:r>
          </w:p>
        </w:tc>
        <w:tc>
          <w:tcPr>
            <w:tcW w:w="3009" w:type="dxa"/>
            <w:shd w:val="clear" w:color="auto" w:fill="auto"/>
            <w:tcMar>
              <w:top w:w="100" w:type="dxa"/>
              <w:left w:w="100" w:type="dxa"/>
              <w:bottom w:w="100" w:type="dxa"/>
              <w:right w:w="100" w:type="dxa"/>
            </w:tcMar>
          </w:tcPr>
          <w:p w14:paraId="4C79268E" w14:textId="167C8579" w:rsidR="00A25A64" w:rsidRDefault="00A25A64" w:rsidP="00E00012">
            <w:pPr>
              <w:widowControl w:val="0"/>
              <w:spacing w:line="360" w:lineRule="auto"/>
              <w:jc w:val="both"/>
              <w:rPr>
                <w:b/>
              </w:rPr>
            </w:pPr>
            <w:r>
              <w:t>SPSS gives restricted perception choices contrasted with</w:t>
            </w:r>
            <w:r w:rsidR="00F427CD">
              <w:t xml:space="preserve"> Excel yet</w:t>
            </w:r>
            <w:r>
              <w:t xml:space="preserve"> can in any case produce essential outlines and charts (</w:t>
            </w:r>
            <w:proofErr w:type="spellStart"/>
            <w:r>
              <w:rPr>
                <w:color w:val="222222"/>
                <w:highlight w:val="white"/>
              </w:rPr>
              <w:t>Bankins</w:t>
            </w:r>
            <w:proofErr w:type="spellEnd"/>
            <w:r>
              <w:rPr>
                <w:color w:val="222222"/>
                <w:highlight w:val="white"/>
              </w:rPr>
              <w:t xml:space="preserve"> </w:t>
            </w:r>
            <w:r>
              <w:rPr>
                <w:i/>
                <w:color w:val="222222"/>
                <w:highlight w:val="white"/>
              </w:rPr>
              <w:t xml:space="preserve">et al. </w:t>
            </w:r>
            <w:r>
              <w:rPr>
                <w:color w:val="222222"/>
                <w:highlight w:val="white"/>
              </w:rPr>
              <w:t>2022</w:t>
            </w:r>
            <w:r>
              <w:t>).</w:t>
            </w:r>
          </w:p>
        </w:tc>
        <w:tc>
          <w:tcPr>
            <w:tcW w:w="3009" w:type="dxa"/>
            <w:shd w:val="clear" w:color="auto" w:fill="auto"/>
            <w:tcMar>
              <w:top w:w="100" w:type="dxa"/>
              <w:left w:w="100" w:type="dxa"/>
              <w:bottom w:w="100" w:type="dxa"/>
              <w:right w:w="100" w:type="dxa"/>
            </w:tcMar>
          </w:tcPr>
          <w:p w14:paraId="5EC8ED8D" w14:textId="77777777" w:rsidR="00A25A64" w:rsidRDefault="00A25A64" w:rsidP="00E00012">
            <w:pPr>
              <w:widowControl w:val="0"/>
              <w:spacing w:line="360" w:lineRule="auto"/>
              <w:jc w:val="both"/>
              <w:rPr>
                <w:b/>
              </w:rPr>
            </w:pPr>
            <w:r>
              <w:t>Excel in information perception with broad outlining capacities, offering a great many adjustable choices for making visually engaging diagrams and graphs.</w:t>
            </w:r>
          </w:p>
        </w:tc>
      </w:tr>
      <w:tr w:rsidR="00A25A64" w14:paraId="6A953607" w14:textId="77777777" w:rsidTr="00E00012">
        <w:tc>
          <w:tcPr>
            <w:tcW w:w="3009" w:type="dxa"/>
            <w:shd w:val="clear" w:color="auto" w:fill="auto"/>
            <w:tcMar>
              <w:top w:w="100" w:type="dxa"/>
              <w:left w:w="100" w:type="dxa"/>
              <w:bottom w:w="100" w:type="dxa"/>
              <w:right w:w="100" w:type="dxa"/>
            </w:tcMar>
          </w:tcPr>
          <w:p w14:paraId="18CEAB31" w14:textId="77777777" w:rsidR="00A25A64" w:rsidRDefault="00A25A64" w:rsidP="00E00012">
            <w:pPr>
              <w:spacing w:line="411" w:lineRule="auto"/>
              <w:rPr>
                <w:b/>
              </w:rPr>
            </w:pPr>
            <w:r>
              <w:t>Data Management</w:t>
            </w:r>
          </w:p>
        </w:tc>
        <w:tc>
          <w:tcPr>
            <w:tcW w:w="3009" w:type="dxa"/>
            <w:shd w:val="clear" w:color="auto" w:fill="auto"/>
            <w:tcMar>
              <w:top w:w="100" w:type="dxa"/>
              <w:left w:w="100" w:type="dxa"/>
              <w:bottom w:w="100" w:type="dxa"/>
              <w:right w:w="100" w:type="dxa"/>
            </w:tcMar>
          </w:tcPr>
          <w:p w14:paraId="4B8A3BA9" w14:textId="4463E578" w:rsidR="00A25A64" w:rsidRDefault="00A25A64" w:rsidP="00E00012">
            <w:pPr>
              <w:widowControl w:val="0"/>
              <w:spacing w:line="360" w:lineRule="auto"/>
              <w:jc w:val="both"/>
            </w:pPr>
            <w:r>
              <w:t xml:space="preserve">SPSS works with information the executives with highlights like data cleaning, </w:t>
            </w:r>
            <w:r w:rsidR="00F427CD">
              <w:t>blending,</w:t>
            </w:r>
            <w:r>
              <w:t xml:space="preserve"> and </w:t>
            </w:r>
            <w:r>
              <w:lastRenderedPageBreak/>
              <w:t>rebuilding, however, can be less instinctive for clients new to the product.</w:t>
            </w:r>
          </w:p>
          <w:p w14:paraId="111F9977" w14:textId="77777777" w:rsidR="00A25A64" w:rsidRDefault="00A25A64" w:rsidP="00E00012">
            <w:pPr>
              <w:widowControl w:val="0"/>
              <w:pBdr>
                <w:top w:val="nil"/>
                <w:left w:val="nil"/>
                <w:bottom w:val="nil"/>
                <w:right w:val="nil"/>
                <w:between w:val="nil"/>
              </w:pBdr>
              <w:spacing w:line="360" w:lineRule="auto"/>
              <w:jc w:val="both"/>
              <w:rPr>
                <w:b/>
              </w:rPr>
            </w:pPr>
          </w:p>
        </w:tc>
        <w:tc>
          <w:tcPr>
            <w:tcW w:w="3009" w:type="dxa"/>
            <w:shd w:val="clear" w:color="auto" w:fill="auto"/>
            <w:tcMar>
              <w:top w:w="100" w:type="dxa"/>
              <w:left w:w="100" w:type="dxa"/>
              <w:bottom w:w="100" w:type="dxa"/>
              <w:right w:w="100" w:type="dxa"/>
            </w:tcMar>
          </w:tcPr>
          <w:p w14:paraId="044F2042" w14:textId="77777777" w:rsidR="00A25A64" w:rsidRDefault="00A25A64" w:rsidP="00E00012">
            <w:pPr>
              <w:widowControl w:val="0"/>
              <w:spacing w:line="360" w:lineRule="auto"/>
              <w:jc w:val="both"/>
              <w:rPr>
                <w:b/>
              </w:rPr>
            </w:pPr>
            <w:r>
              <w:lastRenderedPageBreak/>
              <w:t xml:space="preserve">Excel offers easy-to-understand information on the board apparatuses, permitting simple arranging, </w:t>
            </w:r>
            <w:r>
              <w:lastRenderedPageBreak/>
              <w:t>separating, and sorting out of information, making it available to clients with changing degrees of expertise (</w:t>
            </w:r>
            <w:r>
              <w:rPr>
                <w:color w:val="222222"/>
                <w:highlight w:val="white"/>
              </w:rPr>
              <w:t xml:space="preserve">Alves </w:t>
            </w:r>
            <w:r>
              <w:rPr>
                <w:i/>
                <w:color w:val="222222"/>
                <w:highlight w:val="white"/>
              </w:rPr>
              <w:t xml:space="preserve">et al. </w:t>
            </w:r>
            <w:r>
              <w:rPr>
                <w:color w:val="222222"/>
                <w:highlight w:val="white"/>
              </w:rPr>
              <w:t>2022</w:t>
            </w:r>
            <w:r>
              <w:t>).</w:t>
            </w:r>
          </w:p>
        </w:tc>
      </w:tr>
      <w:tr w:rsidR="00A25A64" w14:paraId="380C0422" w14:textId="77777777" w:rsidTr="00E00012">
        <w:tc>
          <w:tcPr>
            <w:tcW w:w="3009" w:type="dxa"/>
            <w:shd w:val="clear" w:color="auto" w:fill="auto"/>
            <w:tcMar>
              <w:top w:w="100" w:type="dxa"/>
              <w:left w:w="100" w:type="dxa"/>
              <w:bottom w:w="100" w:type="dxa"/>
              <w:right w:w="100" w:type="dxa"/>
            </w:tcMar>
          </w:tcPr>
          <w:p w14:paraId="79469144" w14:textId="77777777" w:rsidR="00A25A64" w:rsidRDefault="00A25A64" w:rsidP="00E00012">
            <w:pPr>
              <w:spacing w:line="411" w:lineRule="auto"/>
              <w:rPr>
                <w:b/>
              </w:rPr>
            </w:pPr>
            <w:r>
              <w:lastRenderedPageBreak/>
              <w:t>Collaboration</w:t>
            </w:r>
          </w:p>
        </w:tc>
        <w:tc>
          <w:tcPr>
            <w:tcW w:w="3009" w:type="dxa"/>
            <w:shd w:val="clear" w:color="auto" w:fill="auto"/>
            <w:tcMar>
              <w:top w:w="100" w:type="dxa"/>
              <w:left w:w="100" w:type="dxa"/>
              <w:bottom w:w="100" w:type="dxa"/>
              <w:right w:w="100" w:type="dxa"/>
            </w:tcMar>
          </w:tcPr>
          <w:p w14:paraId="233FDF08" w14:textId="1F4FA1EC" w:rsidR="00A25A64" w:rsidRDefault="00A25A64" w:rsidP="00E00012">
            <w:pPr>
              <w:widowControl w:val="0"/>
              <w:spacing w:line="360" w:lineRule="auto"/>
              <w:jc w:val="both"/>
              <w:rPr>
                <w:b/>
              </w:rPr>
            </w:pPr>
            <w:r>
              <w:t>SPSS can be less helpful for cooperation contrasted with</w:t>
            </w:r>
            <w:r w:rsidR="00F427CD">
              <w:t xml:space="preserve"> Excel</w:t>
            </w:r>
            <w:r>
              <w:t>, as documents are commonly bigger and can require explicit programming to view or edit (</w:t>
            </w:r>
            <w:proofErr w:type="spellStart"/>
            <w:r>
              <w:rPr>
                <w:color w:val="222222"/>
                <w:highlight w:val="white"/>
              </w:rPr>
              <w:t>Artner</w:t>
            </w:r>
            <w:proofErr w:type="spellEnd"/>
            <w:r>
              <w:rPr>
                <w:color w:val="222222"/>
                <w:highlight w:val="white"/>
              </w:rPr>
              <w:t xml:space="preserve"> </w:t>
            </w:r>
            <w:r>
              <w:rPr>
                <w:i/>
                <w:color w:val="222222"/>
                <w:highlight w:val="white"/>
              </w:rPr>
              <w:t xml:space="preserve">et al. </w:t>
            </w:r>
            <w:r>
              <w:rPr>
                <w:color w:val="222222"/>
                <w:highlight w:val="white"/>
              </w:rPr>
              <w:t>2021</w:t>
            </w:r>
            <w:r>
              <w:t>).</w:t>
            </w:r>
          </w:p>
        </w:tc>
        <w:tc>
          <w:tcPr>
            <w:tcW w:w="3009" w:type="dxa"/>
            <w:shd w:val="clear" w:color="auto" w:fill="auto"/>
            <w:tcMar>
              <w:top w:w="100" w:type="dxa"/>
              <w:left w:w="100" w:type="dxa"/>
              <w:bottom w:w="100" w:type="dxa"/>
              <w:right w:w="100" w:type="dxa"/>
            </w:tcMar>
          </w:tcPr>
          <w:p w14:paraId="645BFD29" w14:textId="77777777" w:rsidR="00A25A64" w:rsidRDefault="00A25A64" w:rsidP="00E00012">
            <w:pPr>
              <w:widowControl w:val="0"/>
              <w:spacing w:line="360" w:lineRule="auto"/>
              <w:jc w:val="both"/>
              <w:rPr>
                <w:b/>
              </w:rPr>
            </w:pPr>
            <w:r>
              <w:t>Excel upholds consistent joint effort with highlights like constant co-writing and sharing through cloud stages, making it simpler for various clients to all the while work on a similar record.</w:t>
            </w:r>
          </w:p>
        </w:tc>
      </w:tr>
      <w:tr w:rsidR="00A25A64" w14:paraId="6BBF7B89" w14:textId="77777777" w:rsidTr="00E00012">
        <w:tc>
          <w:tcPr>
            <w:tcW w:w="3009" w:type="dxa"/>
            <w:shd w:val="clear" w:color="auto" w:fill="auto"/>
            <w:tcMar>
              <w:top w:w="100" w:type="dxa"/>
              <w:left w:w="100" w:type="dxa"/>
              <w:bottom w:w="100" w:type="dxa"/>
              <w:right w:w="100" w:type="dxa"/>
            </w:tcMar>
          </w:tcPr>
          <w:p w14:paraId="400757F4" w14:textId="77777777" w:rsidR="00A25A64" w:rsidRDefault="00A25A64" w:rsidP="00E00012">
            <w:pPr>
              <w:spacing w:line="411" w:lineRule="auto"/>
            </w:pPr>
            <w:r>
              <w:t>Cost</w:t>
            </w:r>
          </w:p>
        </w:tc>
        <w:tc>
          <w:tcPr>
            <w:tcW w:w="3009" w:type="dxa"/>
            <w:shd w:val="clear" w:color="auto" w:fill="auto"/>
            <w:tcMar>
              <w:top w:w="100" w:type="dxa"/>
              <w:left w:w="100" w:type="dxa"/>
              <w:bottom w:w="100" w:type="dxa"/>
              <w:right w:w="100" w:type="dxa"/>
            </w:tcMar>
          </w:tcPr>
          <w:p w14:paraId="74C6100B" w14:textId="77777777" w:rsidR="00A25A64" w:rsidRDefault="00A25A64" w:rsidP="00E00012">
            <w:pPr>
              <w:widowControl w:val="0"/>
              <w:spacing w:line="360" w:lineRule="auto"/>
              <w:jc w:val="both"/>
            </w:pPr>
          </w:p>
          <w:p w14:paraId="6D625F1E" w14:textId="06EFD4B9" w:rsidR="00A25A64" w:rsidRDefault="00A25A64" w:rsidP="00E00012">
            <w:pPr>
              <w:widowControl w:val="0"/>
              <w:spacing w:line="360" w:lineRule="auto"/>
              <w:jc w:val="both"/>
              <w:rPr>
                <w:b/>
              </w:rPr>
            </w:pPr>
            <w:r>
              <w:t>SPSS is a paid program with permitting charges, that can be costly for individual clients</w:t>
            </w:r>
            <w:r w:rsidR="00F427CD">
              <w:t xml:space="preserve"> </w:t>
            </w:r>
            <w:r>
              <w:t>or small organisations.</w:t>
            </w:r>
          </w:p>
        </w:tc>
        <w:tc>
          <w:tcPr>
            <w:tcW w:w="3009" w:type="dxa"/>
            <w:shd w:val="clear" w:color="auto" w:fill="auto"/>
            <w:tcMar>
              <w:top w:w="100" w:type="dxa"/>
              <w:left w:w="100" w:type="dxa"/>
              <w:bottom w:w="100" w:type="dxa"/>
              <w:right w:w="100" w:type="dxa"/>
            </w:tcMar>
          </w:tcPr>
          <w:p w14:paraId="71E7FC1B" w14:textId="1E566991" w:rsidR="00A25A64" w:rsidRDefault="00A25A64" w:rsidP="00E00012">
            <w:pPr>
              <w:widowControl w:val="0"/>
              <w:spacing w:line="360" w:lineRule="auto"/>
              <w:jc w:val="both"/>
              <w:rPr>
                <w:b/>
              </w:rPr>
            </w:pPr>
            <w:r>
              <w:t>Excel</w:t>
            </w:r>
            <w:r w:rsidR="00F427CD">
              <w:t xml:space="preserve"> </w:t>
            </w:r>
            <w:r>
              <w:t xml:space="preserve">is frequently remembered for the Microsoft Office suite, making it more open and </w:t>
            </w:r>
            <w:r>
              <w:rPr>
                <w:color w:val="000000"/>
                <w:sz w:val="19"/>
                <w:szCs w:val="19"/>
              </w:rPr>
              <w:t>cost-effective</w:t>
            </w:r>
            <w:r>
              <w:t xml:space="preserve"> for customer who as of now approach the product.</w:t>
            </w:r>
          </w:p>
        </w:tc>
      </w:tr>
    </w:tbl>
    <w:p w14:paraId="2BF32DFB" w14:textId="77777777" w:rsidR="00A25A64" w:rsidRDefault="00A25A64" w:rsidP="00A25A64">
      <w:pPr>
        <w:spacing w:line="360" w:lineRule="auto"/>
        <w:rPr>
          <w:b/>
        </w:rPr>
      </w:pPr>
    </w:p>
    <w:p w14:paraId="2B37CFB9" w14:textId="77777777" w:rsidR="00A25A64" w:rsidRDefault="00A25A64" w:rsidP="00A25A64">
      <w:pPr>
        <w:pStyle w:val="Heading1"/>
      </w:pPr>
      <w:bookmarkStart w:id="3" w:name="_Toc163670725"/>
      <w:r>
        <w:t>Conclusion</w:t>
      </w:r>
      <w:bookmarkEnd w:id="3"/>
    </w:p>
    <w:p w14:paraId="1728C85F" w14:textId="4DB2EECB" w:rsidR="00A25A64" w:rsidRDefault="00A25A64" w:rsidP="00A25A64">
      <w:pPr>
        <w:spacing w:line="360" w:lineRule="auto"/>
        <w:jc w:val="both"/>
      </w:pPr>
      <w:r>
        <w:t xml:space="preserve">The above data concludes the analysis introduced far-reaching research of two </w:t>
      </w:r>
      <w:r w:rsidR="00F427CD">
        <w:t>situations</w:t>
      </w:r>
      <w:r>
        <w:t>: online business information evaluation utilising Microsoft Excel and understudy study information investigation inside the instructive setting utilising SPSS. Every stage offers special benefits and burdens concerning information analysis, perception, the executives, and cooperation. The SPSS gives progressed measurable abilities appropriate to complex analyses. Excel offers easy-to-understand information the executive’s instruments and broad representation choices. Overall, the decision among SPSS and Excel relies upon the specific research objectives, complexity of the information, and client inclinations, featuring the significance of choosing the most fitting device for proficient and successful information analysis.</w:t>
      </w:r>
    </w:p>
    <w:p w14:paraId="129BA806" w14:textId="77777777" w:rsidR="00A25A64" w:rsidRDefault="00A25A64" w:rsidP="00A25A64">
      <w:pPr>
        <w:rPr>
          <w:b/>
        </w:rPr>
      </w:pPr>
      <w:r>
        <w:rPr>
          <w:b/>
        </w:rPr>
        <w:br w:type="page"/>
      </w:r>
    </w:p>
    <w:p w14:paraId="7889BAE7" w14:textId="77777777" w:rsidR="00A25A64" w:rsidRDefault="00A25A64" w:rsidP="00A25A64">
      <w:pPr>
        <w:pStyle w:val="Heading1"/>
      </w:pPr>
      <w:bookmarkStart w:id="4" w:name="_Toc163670726"/>
      <w:r>
        <w:lastRenderedPageBreak/>
        <w:t>References</w:t>
      </w:r>
      <w:bookmarkEnd w:id="4"/>
      <w:r>
        <w:t xml:space="preserve"> </w:t>
      </w:r>
    </w:p>
    <w:p w14:paraId="56D4301F" w14:textId="36F63884" w:rsidR="00A25A64" w:rsidRPr="00EE573E" w:rsidRDefault="00A25A64" w:rsidP="00A25A64">
      <w:pPr>
        <w:spacing w:before="240" w:after="240" w:line="360" w:lineRule="auto"/>
        <w:jc w:val="both"/>
        <w:rPr>
          <w:color w:val="222222"/>
          <w:highlight w:val="white"/>
        </w:rPr>
      </w:pPr>
      <w:r>
        <w:rPr>
          <w:color w:val="222222"/>
          <w:highlight w:val="white"/>
        </w:rPr>
        <w:t xml:space="preserve">Adar, </w:t>
      </w:r>
      <w:r w:rsidR="00F427CD">
        <w:rPr>
          <w:color w:val="222222"/>
          <w:highlight w:val="white"/>
        </w:rPr>
        <w:t>Y.,</w:t>
      </w:r>
      <w:r>
        <w:rPr>
          <w:color w:val="222222"/>
          <w:highlight w:val="white"/>
        </w:rPr>
        <w:t xml:space="preserve"> and Becher, S.I., (2021). Ending the License to Exploit: Administrative Oversight of Consumer Contracts. </w:t>
      </w:r>
      <w:r>
        <w:rPr>
          <w:i/>
        </w:rPr>
        <w:t>BCL Rev.</w:t>
      </w:r>
      <w:r>
        <w:t xml:space="preserve">, </w:t>
      </w:r>
      <w:r>
        <w:rPr>
          <w:i/>
        </w:rPr>
        <w:t>62</w:t>
      </w:r>
      <w:r>
        <w:t>, p.2405.</w:t>
      </w:r>
    </w:p>
    <w:p w14:paraId="2546E703" w14:textId="77777777" w:rsidR="00A25A64" w:rsidRDefault="00A25A64" w:rsidP="00A25A64">
      <w:pPr>
        <w:spacing w:before="240" w:after="240" w:line="360" w:lineRule="auto"/>
        <w:jc w:val="both"/>
      </w:pPr>
      <w:r>
        <w:rPr>
          <w:color w:val="222222"/>
          <w:highlight w:val="white"/>
        </w:rPr>
        <w:t xml:space="preserve">Alves, L.K.S., Gameiro, A.H., </w:t>
      </w:r>
      <w:proofErr w:type="spellStart"/>
      <w:r>
        <w:rPr>
          <w:color w:val="222222"/>
          <w:highlight w:val="white"/>
        </w:rPr>
        <w:t>Schinckel</w:t>
      </w:r>
      <w:proofErr w:type="spellEnd"/>
      <w:r>
        <w:rPr>
          <w:color w:val="222222"/>
          <w:highlight w:val="white"/>
        </w:rPr>
        <w:t xml:space="preserve">, A.P. and </w:t>
      </w:r>
      <w:proofErr w:type="spellStart"/>
      <w:r>
        <w:rPr>
          <w:color w:val="222222"/>
          <w:highlight w:val="white"/>
        </w:rPr>
        <w:t>Garbossa</w:t>
      </w:r>
      <w:proofErr w:type="spellEnd"/>
      <w:r>
        <w:rPr>
          <w:color w:val="222222"/>
          <w:highlight w:val="white"/>
        </w:rPr>
        <w:t xml:space="preserve">, C.A.P., (2022). Development of a swine production cost calculation model. </w:t>
      </w:r>
      <w:r>
        <w:rPr>
          <w:i/>
        </w:rPr>
        <w:t>Animals</w:t>
      </w:r>
      <w:r>
        <w:t xml:space="preserve">, </w:t>
      </w:r>
      <w:r>
        <w:rPr>
          <w:i/>
        </w:rPr>
        <w:t>12</w:t>
      </w:r>
      <w:r>
        <w:t>(17), p.2229.</w:t>
      </w:r>
    </w:p>
    <w:p w14:paraId="2C191816" w14:textId="77777777" w:rsidR="00A25A64" w:rsidRDefault="00A25A64" w:rsidP="00A25A64">
      <w:pPr>
        <w:spacing w:before="240" w:after="240" w:line="360" w:lineRule="auto"/>
        <w:jc w:val="both"/>
      </w:pPr>
      <w:proofErr w:type="spellStart"/>
      <w:r>
        <w:rPr>
          <w:color w:val="222222"/>
          <w:highlight w:val="white"/>
        </w:rPr>
        <w:t>Artner</w:t>
      </w:r>
      <w:proofErr w:type="spellEnd"/>
      <w:r>
        <w:rPr>
          <w:color w:val="222222"/>
          <w:highlight w:val="white"/>
        </w:rPr>
        <w:t xml:space="preserve">, R., </w:t>
      </w:r>
      <w:proofErr w:type="spellStart"/>
      <w:r>
        <w:rPr>
          <w:color w:val="222222"/>
          <w:highlight w:val="white"/>
        </w:rPr>
        <w:t>Verliefde</w:t>
      </w:r>
      <w:proofErr w:type="spellEnd"/>
      <w:r>
        <w:rPr>
          <w:color w:val="222222"/>
          <w:highlight w:val="white"/>
        </w:rPr>
        <w:t xml:space="preserve">, T., </w:t>
      </w:r>
      <w:proofErr w:type="spellStart"/>
      <w:r>
        <w:rPr>
          <w:color w:val="222222"/>
          <w:highlight w:val="white"/>
        </w:rPr>
        <w:t>Steegen</w:t>
      </w:r>
      <w:proofErr w:type="spellEnd"/>
      <w:r>
        <w:rPr>
          <w:color w:val="222222"/>
          <w:highlight w:val="white"/>
        </w:rPr>
        <w:t xml:space="preserve">, S., Gomes, S., </w:t>
      </w:r>
      <w:proofErr w:type="spellStart"/>
      <w:r>
        <w:rPr>
          <w:color w:val="222222"/>
          <w:highlight w:val="white"/>
        </w:rPr>
        <w:t>Traets</w:t>
      </w:r>
      <w:proofErr w:type="spellEnd"/>
      <w:r>
        <w:rPr>
          <w:color w:val="222222"/>
          <w:highlight w:val="white"/>
        </w:rPr>
        <w:t xml:space="preserve">, F., </w:t>
      </w:r>
      <w:proofErr w:type="spellStart"/>
      <w:r>
        <w:rPr>
          <w:color w:val="222222"/>
          <w:highlight w:val="white"/>
        </w:rPr>
        <w:t>Tuerlinckx</w:t>
      </w:r>
      <w:proofErr w:type="spellEnd"/>
      <w:r>
        <w:rPr>
          <w:color w:val="222222"/>
          <w:highlight w:val="white"/>
        </w:rPr>
        <w:t xml:space="preserve">, F. and </w:t>
      </w:r>
      <w:proofErr w:type="spellStart"/>
      <w:r>
        <w:rPr>
          <w:color w:val="222222"/>
          <w:highlight w:val="white"/>
        </w:rPr>
        <w:t>Vanpaemel</w:t>
      </w:r>
      <w:proofErr w:type="spellEnd"/>
      <w:r>
        <w:rPr>
          <w:color w:val="222222"/>
          <w:highlight w:val="white"/>
        </w:rPr>
        <w:t xml:space="preserve">, W., (2021). The reproducibility of statistical results in psychological research: An investigation using unpublished raw data. </w:t>
      </w:r>
      <w:r>
        <w:rPr>
          <w:i/>
        </w:rPr>
        <w:t>Psychological Methods</w:t>
      </w:r>
      <w:r>
        <w:t xml:space="preserve">, </w:t>
      </w:r>
      <w:r>
        <w:rPr>
          <w:i/>
        </w:rPr>
        <w:t>26</w:t>
      </w:r>
      <w:r>
        <w:t>(5), p.527.</w:t>
      </w:r>
    </w:p>
    <w:p w14:paraId="59BDCE18" w14:textId="77777777" w:rsidR="00A25A64" w:rsidRDefault="00A25A64" w:rsidP="00A25A64">
      <w:pPr>
        <w:spacing w:before="240" w:after="240" w:line="360" w:lineRule="auto"/>
        <w:jc w:val="both"/>
      </w:pPr>
      <w:r>
        <w:rPr>
          <w:color w:val="222222"/>
          <w:highlight w:val="white"/>
        </w:rPr>
        <w:t xml:space="preserve">Banerjee, S. and Tyagi, P.K., (2024). Exploring the booming tea tourist industry and unconventional tourism through the ritual of drinking tea in India. </w:t>
      </w:r>
      <w:r>
        <w:rPr>
          <w:i/>
        </w:rPr>
        <w:t>Journal of Ethnic Foods</w:t>
      </w:r>
      <w:r>
        <w:t xml:space="preserve">, </w:t>
      </w:r>
      <w:r>
        <w:rPr>
          <w:i/>
        </w:rPr>
        <w:t>11</w:t>
      </w:r>
      <w:r>
        <w:t>(1), p.5.</w:t>
      </w:r>
    </w:p>
    <w:p w14:paraId="61986135" w14:textId="77777777" w:rsidR="00A25A64" w:rsidRDefault="00A25A64" w:rsidP="00A25A64">
      <w:pPr>
        <w:spacing w:before="240" w:after="240" w:line="360" w:lineRule="auto"/>
        <w:jc w:val="both"/>
      </w:pPr>
      <w:proofErr w:type="spellStart"/>
      <w:r>
        <w:rPr>
          <w:color w:val="222222"/>
          <w:highlight w:val="white"/>
        </w:rPr>
        <w:t>Bankins</w:t>
      </w:r>
      <w:proofErr w:type="spellEnd"/>
      <w:r>
        <w:rPr>
          <w:color w:val="222222"/>
          <w:highlight w:val="white"/>
        </w:rPr>
        <w:t xml:space="preserve">, S., Formosa, P., </w:t>
      </w:r>
      <w:proofErr w:type="spellStart"/>
      <w:r>
        <w:rPr>
          <w:color w:val="222222"/>
          <w:highlight w:val="white"/>
        </w:rPr>
        <w:t>Griep</w:t>
      </w:r>
      <w:proofErr w:type="spellEnd"/>
      <w:r>
        <w:rPr>
          <w:color w:val="222222"/>
          <w:highlight w:val="white"/>
        </w:rPr>
        <w:t xml:space="preserve">, Y. and Richards, D., (2022). AI decision making with dignity? Contrasting workers’ justice perceptions of human and AI decision making in a human resource management context. </w:t>
      </w:r>
      <w:r>
        <w:rPr>
          <w:i/>
        </w:rPr>
        <w:t>Information Systems Frontiers</w:t>
      </w:r>
      <w:r>
        <w:t xml:space="preserve">, </w:t>
      </w:r>
      <w:r>
        <w:rPr>
          <w:i/>
        </w:rPr>
        <w:t>24</w:t>
      </w:r>
      <w:r>
        <w:t>(3), pp.857-875.</w:t>
      </w:r>
    </w:p>
    <w:p w14:paraId="2DD61D13" w14:textId="77777777" w:rsidR="00A25A64" w:rsidRDefault="00A25A64" w:rsidP="00A25A64">
      <w:pPr>
        <w:spacing w:before="240" w:after="240" w:line="360" w:lineRule="auto"/>
        <w:jc w:val="both"/>
        <w:rPr>
          <w:color w:val="222222"/>
          <w:highlight w:val="white"/>
        </w:rPr>
      </w:pPr>
      <w:r>
        <w:rPr>
          <w:color w:val="222222"/>
          <w:highlight w:val="white"/>
        </w:rPr>
        <w:t xml:space="preserve">Dave, D.J. and </w:t>
      </w:r>
      <w:proofErr w:type="spellStart"/>
      <w:r>
        <w:rPr>
          <w:color w:val="222222"/>
          <w:highlight w:val="white"/>
        </w:rPr>
        <w:t>Bidul</w:t>
      </w:r>
      <w:proofErr w:type="spellEnd"/>
      <w:r>
        <w:rPr>
          <w:color w:val="222222"/>
          <w:highlight w:val="white"/>
        </w:rPr>
        <w:t>, M.A.H., (2022). A Study to Determine Factors Influencing Hotel Guest Satisfaction: Hotel and Tourism in Kota Kinabalu, Sabah Malaysia.</w:t>
      </w:r>
    </w:p>
    <w:p w14:paraId="0A262E2F" w14:textId="77777777" w:rsidR="00A25A64" w:rsidRDefault="00A25A64" w:rsidP="00A25A64">
      <w:pPr>
        <w:spacing w:before="240" w:after="240" w:line="360" w:lineRule="auto"/>
        <w:jc w:val="both"/>
      </w:pPr>
      <w:r>
        <w:rPr>
          <w:color w:val="222222"/>
          <w:highlight w:val="white"/>
        </w:rPr>
        <w:t xml:space="preserve">Ebrahimi, P., </w:t>
      </w:r>
      <w:proofErr w:type="spellStart"/>
      <w:r>
        <w:rPr>
          <w:color w:val="222222"/>
          <w:highlight w:val="white"/>
        </w:rPr>
        <w:t>Salamzadeh</w:t>
      </w:r>
      <w:proofErr w:type="spellEnd"/>
      <w:r>
        <w:rPr>
          <w:color w:val="222222"/>
          <w:highlight w:val="white"/>
        </w:rPr>
        <w:t xml:space="preserve">, A., Soleimani, M., </w:t>
      </w:r>
      <w:proofErr w:type="spellStart"/>
      <w:r>
        <w:rPr>
          <w:color w:val="222222"/>
          <w:highlight w:val="white"/>
        </w:rPr>
        <w:t>Khansari</w:t>
      </w:r>
      <w:proofErr w:type="spellEnd"/>
      <w:r>
        <w:rPr>
          <w:color w:val="222222"/>
          <w:highlight w:val="white"/>
        </w:rPr>
        <w:t xml:space="preserve">, S.M., </w:t>
      </w:r>
      <w:proofErr w:type="spellStart"/>
      <w:r>
        <w:rPr>
          <w:color w:val="222222"/>
          <w:highlight w:val="white"/>
        </w:rPr>
        <w:t>Zarea</w:t>
      </w:r>
      <w:proofErr w:type="spellEnd"/>
      <w:r>
        <w:rPr>
          <w:color w:val="222222"/>
          <w:highlight w:val="white"/>
        </w:rPr>
        <w:t xml:space="preserve">, H. and Fekete-Farkas, M., (2022). </w:t>
      </w:r>
      <w:proofErr w:type="spellStart"/>
      <w:r>
        <w:rPr>
          <w:color w:val="222222"/>
          <w:highlight w:val="white"/>
        </w:rPr>
        <w:t>Startups</w:t>
      </w:r>
      <w:proofErr w:type="spellEnd"/>
      <w:r>
        <w:rPr>
          <w:color w:val="222222"/>
          <w:highlight w:val="white"/>
        </w:rPr>
        <w:t xml:space="preserve"> and consumer purchase </w:t>
      </w:r>
      <w:proofErr w:type="spellStart"/>
      <w:r>
        <w:rPr>
          <w:color w:val="222222"/>
          <w:highlight w:val="white"/>
        </w:rPr>
        <w:t>behavior</w:t>
      </w:r>
      <w:proofErr w:type="spellEnd"/>
      <w:r>
        <w:rPr>
          <w:color w:val="222222"/>
          <w:highlight w:val="white"/>
        </w:rPr>
        <w:t xml:space="preserve">: Application of support vector machine algorithm. </w:t>
      </w:r>
      <w:r>
        <w:rPr>
          <w:i/>
        </w:rPr>
        <w:t>Big Data and Cognitive Computing</w:t>
      </w:r>
      <w:r>
        <w:t xml:space="preserve">, </w:t>
      </w:r>
      <w:r>
        <w:rPr>
          <w:i/>
        </w:rPr>
        <w:t>6</w:t>
      </w:r>
      <w:r>
        <w:t>(2), p.34.</w:t>
      </w:r>
    </w:p>
    <w:p w14:paraId="75C6711A" w14:textId="77777777" w:rsidR="00A25A64" w:rsidRDefault="00A25A64" w:rsidP="00A25A64">
      <w:pPr>
        <w:spacing w:before="240" w:after="240" w:line="360" w:lineRule="auto"/>
        <w:jc w:val="both"/>
      </w:pPr>
      <w:proofErr w:type="spellStart"/>
      <w:r>
        <w:rPr>
          <w:color w:val="222222"/>
          <w:highlight w:val="white"/>
        </w:rPr>
        <w:t>Kafi</w:t>
      </w:r>
      <w:proofErr w:type="spellEnd"/>
      <w:r>
        <w:rPr>
          <w:color w:val="222222"/>
          <w:highlight w:val="white"/>
        </w:rPr>
        <w:t xml:space="preserve">, M.A. and Adnan, T., (2022). Empowering organizations through IT and IoT in the pursuit of business process reengineering: the scenario from the USA and Bangladesh. </w:t>
      </w:r>
      <w:r>
        <w:rPr>
          <w:i/>
        </w:rPr>
        <w:t>Asian Business Review</w:t>
      </w:r>
      <w:r>
        <w:t xml:space="preserve">, </w:t>
      </w:r>
      <w:r>
        <w:rPr>
          <w:i/>
        </w:rPr>
        <w:t>12</w:t>
      </w:r>
      <w:r>
        <w:t>(3), pp.67-80.</w:t>
      </w:r>
    </w:p>
    <w:p w14:paraId="58EDDCD8" w14:textId="77777777" w:rsidR="00A25A64" w:rsidRDefault="00A25A64" w:rsidP="00A25A64">
      <w:pPr>
        <w:spacing w:before="240" w:after="240" w:line="360" w:lineRule="auto"/>
        <w:jc w:val="both"/>
      </w:pPr>
      <w:proofErr w:type="spellStart"/>
      <w:r>
        <w:rPr>
          <w:color w:val="222222"/>
          <w:highlight w:val="white"/>
        </w:rPr>
        <w:t>Kamalaldin</w:t>
      </w:r>
      <w:proofErr w:type="spellEnd"/>
      <w:r>
        <w:rPr>
          <w:color w:val="222222"/>
          <w:highlight w:val="white"/>
        </w:rPr>
        <w:t xml:space="preserve">, A., Linde, L., </w:t>
      </w:r>
      <w:proofErr w:type="spellStart"/>
      <w:r>
        <w:rPr>
          <w:color w:val="222222"/>
          <w:highlight w:val="white"/>
        </w:rPr>
        <w:t>Sjödin</w:t>
      </w:r>
      <w:proofErr w:type="spellEnd"/>
      <w:r>
        <w:rPr>
          <w:color w:val="222222"/>
          <w:highlight w:val="white"/>
        </w:rPr>
        <w:t xml:space="preserve">, D. and </w:t>
      </w:r>
      <w:proofErr w:type="spellStart"/>
      <w:r>
        <w:rPr>
          <w:color w:val="222222"/>
          <w:highlight w:val="white"/>
        </w:rPr>
        <w:t>Parida</w:t>
      </w:r>
      <w:proofErr w:type="spellEnd"/>
      <w:r>
        <w:rPr>
          <w:color w:val="222222"/>
          <w:highlight w:val="white"/>
        </w:rPr>
        <w:t xml:space="preserve">, V., (2020). Transforming provider-customer relationships in digital </w:t>
      </w:r>
      <w:proofErr w:type="spellStart"/>
      <w:r>
        <w:rPr>
          <w:color w:val="222222"/>
          <w:highlight w:val="white"/>
        </w:rPr>
        <w:t>servitization</w:t>
      </w:r>
      <w:proofErr w:type="spellEnd"/>
      <w:r>
        <w:rPr>
          <w:color w:val="222222"/>
          <w:highlight w:val="white"/>
        </w:rPr>
        <w:t xml:space="preserve">: A relational view on digitalization. </w:t>
      </w:r>
      <w:r>
        <w:rPr>
          <w:i/>
        </w:rPr>
        <w:t>Industrial Marketing Management</w:t>
      </w:r>
      <w:r>
        <w:t xml:space="preserve">, </w:t>
      </w:r>
      <w:r>
        <w:rPr>
          <w:i/>
        </w:rPr>
        <w:t>89</w:t>
      </w:r>
      <w:r>
        <w:t>, pp.306-325.</w:t>
      </w:r>
    </w:p>
    <w:p w14:paraId="383E219C" w14:textId="77777777" w:rsidR="00A25A64" w:rsidRDefault="00A25A64" w:rsidP="00A25A64">
      <w:pPr>
        <w:spacing w:before="240" w:after="240" w:line="360" w:lineRule="auto"/>
        <w:jc w:val="both"/>
      </w:pPr>
      <w:r>
        <w:rPr>
          <w:color w:val="222222"/>
          <w:highlight w:val="white"/>
        </w:rPr>
        <w:t xml:space="preserve">Kumar, V. and </w:t>
      </w:r>
      <w:proofErr w:type="spellStart"/>
      <w:r>
        <w:rPr>
          <w:color w:val="222222"/>
          <w:highlight w:val="white"/>
        </w:rPr>
        <w:t>Rajan</w:t>
      </w:r>
      <w:proofErr w:type="spellEnd"/>
      <w:r>
        <w:rPr>
          <w:color w:val="222222"/>
          <w:highlight w:val="white"/>
        </w:rPr>
        <w:t xml:space="preserve">, B., (2020). Customer lifetime value: What, how, and why. In </w:t>
      </w:r>
      <w:r>
        <w:rPr>
          <w:i/>
        </w:rPr>
        <w:t>The Routledge companion to strategic marketing</w:t>
      </w:r>
      <w:r>
        <w:t xml:space="preserve"> (pp. 422-448). Routledge.</w:t>
      </w:r>
    </w:p>
    <w:p w14:paraId="429C4107" w14:textId="77777777" w:rsidR="00A25A64" w:rsidRDefault="00A25A64" w:rsidP="00A25A64">
      <w:pPr>
        <w:spacing w:before="240" w:after="240" w:line="360" w:lineRule="auto"/>
        <w:jc w:val="both"/>
      </w:pPr>
      <w:proofErr w:type="spellStart"/>
      <w:r>
        <w:rPr>
          <w:color w:val="222222"/>
          <w:highlight w:val="white"/>
        </w:rPr>
        <w:lastRenderedPageBreak/>
        <w:t>Madörin</w:t>
      </w:r>
      <w:proofErr w:type="spellEnd"/>
      <w:r>
        <w:rPr>
          <w:color w:val="222222"/>
          <w:highlight w:val="white"/>
        </w:rPr>
        <w:t xml:space="preserve">, S. and Jacinto, S., (2023). Achieving gender equality through paid and unpaid work: An exploration of mothers’ perspectives on work. </w:t>
      </w:r>
      <w:r>
        <w:rPr>
          <w:i/>
        </w:rPr>
        <w:t>Social Sciences</w:t>
      </w:r>
      <w:r>
        <w:t xml:space="preserve">, </w:t>
      </w:r>
      <w:r>
        <w:rPr>
          <w:i/>
        </w:rPr>
        <w:t>12</w:t>
      </w:r>
      <w:r>
        <w:t>(4), p.218.</w:t>
      </w:r>
    </w:p>
    <w:p w14:paraId="7F777DD5" w14:textId="77777777" w:rsidR="00A25A64" w:rsidRDefault="00A25A64" w:rsidP="00A25A64">
      <w:pPr>
        <w:spacing w:before="240" w:after="240" w:line="360" w:lineRule="auto"/>
        <w:jc w:val="both"/>
      </w:pPr>
      <w:r>
        <w:rPr>
          <w:color w:val="222222"/>
          <w:highlight w:val="white"/>
        </w:rPr>
        <w:t xml:space="preserve">Peng, S.Y., Lin, C.F. and </w:t>
      </w:r>
      <w:proofErr w:type="spellStart"/>
      <w:r>
        <w:rPr>
          <w:color w:val="222222"/>
          <w:highlight w:val="white"/>
        </w:rPr>
        <w:t>Streinz</w:t>
      </w:r>
      <w:proofErr w:type="spellEnd"/>
      <w:r>
        <w:rPr>
          <w:color w:val="222222"/>
          <w:highlight w:val="white"/>
        </w:rPr>
        <w:t xml:space="preserve">, T. eds., (2021). </w:t>
      </w:r>
      <w:r>
        <w:rPr>
          <w:i/>
        </w:rPr>
        <w:t>Artificial Intelligence and International Economic Law</w:t>
      </w:r>
      <w:r>
        <w:t>. Cambridge University Press.</w:t>
      </w:r>
    </w:p>
    <w:p w14:paraId="262361D8" w14:textId="77777777" w:rsidR="00A25A64" w:rsidRDefault="00A25A64" w:rsidP="00A25A64">
      <w:pPr>
        <w:spacing w:before="240" w:after="240" w:line="360" w:lineRule="auto"/>
        <w:jc w:val="both"/>
      </w:pPr>
      <w:r>
        <w:rPr>
          <w:color w:val="222222"/>
          <w:highlight w:val="white"/>
        </w:rPr>
        <w:t xml:space="preserve">Qi, X., Chan, J.H., Hu, J. and Li, Y., (2020). Motivations for selecting cross-border e-commerce as a foreign market entry mode. </w:t>
      </w:r>
      <w:r>
        <w:rPr>
          <w:i/>
        </w:rPr>
        <w:t>Industrial Marketing Management</w:t>
      </w:r>
      <w:r>
        <w:t xml:space="preserve">, </w:t>
      </w:r>
      <w:r>
        <w:rPr>
          <w:i/>
        </w:rPr>
        <w:t>89</w:t>
      </w:r>
      <w:r>
        <w:t>, pp.50-60.</w:t>
      </w:r>
    </w:p>
    <w:p w14:paraId="366D72E9" w14:textId="77777777" w:rsidR="00A25A64" w:rsidRDefault="00A25A64" w:rsidP="00A25A64">
      <w:pPr>
        <w:spacing w:before="240" w:after="240" w:line="360" w:lineRule="auto"/>
        <w:jc w:val="both"/>
      </w:pPr>
      <w:proofErr w:type="spellStart"/>
      <w:r>
        <w:rPr>
          <w:color w:val="222222"/>
          <w:highlight w:val="white"/>
        </w:rPr>
        <w:t>Sanecka</w:t>
      </w:r>
      <w:proofErr w:type="spellEnd"/>
      <w:r>
        <w:rPr>
          <w:color w:val="222222"/>
          <w:highlight w:val="white"/>
        </w:rPr>
        <w:t xml:space="preserve">, E., (2021). Grandiose and vulnerable narcissism and regulatory focus at work in relation to strengths use and deficit correction in the workplace. </w:t>
      </w:r>
      <w:proofErr w:type="spellStart"/>
      <w:r>
        <w:rPr>
          <w:i/>
        </w:rPr>
        <w:t>Plos</w:t>
      </w:r>
      <w:proofErr w:type="spellEnd"/>
      <w:r>
        <w:rPr>
          <w:i/>
        </w:rPr>
        <w:t xml:space="preserve"> one</w:t>
      </w:r>
      <w:r>
        <w:t xml:space="preserve">, </w:t>
      </w:r>
      <w:r>
        <w:rPr>
          <w:i/>
        </w:rPr>
        <w:t>16</w:t>
      </w:r>
      <w:r>
        <w:t>(10), p.e0258609.</w:t>
      </w:r>
    </w:p>
    <w:p w14:paraId="1FDE2D83" w14:textId="77777777" w:rsidR="00A25A64" w:rsidRDefault="00A25A64" w:rsidP="00A25A64">
      <w:pPr>
        <w:spacing w:before="240" w:after="240" w:line="360" w:lineRule="auto"/>
        <w:jc w:val="both"/>
      </w:pPr>
      <w:proofErr w:type="spellStart"/>
      <w:r>
        <w:rPr>
          <w:color w:val="222222"/>
          <w:highlight w:val="white"/>
        </w:rPr>
        <w:t>Sekaryanti</w:t>
      </w:r>
      <w:proofErr w:type="spellEnd"/>
      <w:r>
        <w:rPr>
          <w:color w:val="222222"/>
          <w:highlight w:val="white"/>
        </w:rPr>
        <w:t xml:space="preserve">, R., </w:t>
      </w:r>
      <w:proofErr w:type="spellStart"/>
      <w:r>
        <w:rPr>
          <w:color w:val="222222"/>
          <w:highlight w:val="white"/>
        </w:rPr>
        <w:t>Darmayanti</w:t>
      </w:r>
      <w:proofErr w:type="spellEnd"/>
      <w:r>
        <w:rPr>
          <w:color w:val="222222"/>
          <w:highlight w:val="white"/>
        </w:rPr>
        <w:t xml:space="preserve">, R., </w:t>
      </w:r>
      <w:proofErr w:type="spellStart"/>
      <w:r>
        <w:rPr>
          <w:color w:val="222222"/>
          <w:highlight w:val="white"/>
        </w:rPr>
        <w:t>Choirudin</w:t>
      </w:r>
      <w:proofErr w:type="spellEnd"/>
      <w:r>
        <w:rPr>
          <w:color w:val="222222"/>
          <w:highlight w:val="white"/>
        </w:rPr>
        <w:t xml:space="preserve">, C., </w:t>
      </w:r>
      <w:proofErr w:type="spellStart"/>
      <w:r>
        <w:rPr>
          <w:color w:val="222222"/>
          <w:highlight w:val="white"/>
        </w:rPr>
        <w:t>Usmiyatun</w:t>
      </w:r>
      <w:proofErr w:type="spellEnd"/>
      <w:r>
        <w:rPr>
          <w:color w:val="222222"/>
          <w:highlight w:val="white"/>
        </w:rPr>
        <w:t xml:space="preserve">, U., </w:t>
      </w:r>
      <w:proofErr w:type="spellStart"/>
      <w:r>
        <w:rPr>
          <w:color w:val="222222"/>
          <w:highlight w:val="white"/>
        </w:rPr>
        <w:t>Kestoro</w:t>
      </w:r>
      <w:proofErr w:type="spellEnd"/>
      <w:r>
        <w:rPr>
          <w:color w:val="222222"/>
          <w:highlight w:val="white"/>
        </w:rPr>
        <w:t xml:space="preserve">, E. and </w:t>
      </w:r>
      <w:proofErr w:type="spellStart"/>
      <w:r>
        <w:rPr>
          <w:color w:val="222222"/>
          <w:highlight w:val="white"/>
        </w:rPr>
        <w:t>Bausir</w:t>
      </w:r>
      <w:proofErr w:type="spellEnd"/>
      <w:r>
        <w:rPr>
          <w:color w:val="222222"/>
          <w:highlight w:val="white"/>
        </w:rPr>
        <w:t xml:space="preserve">, U., (2022). Analysis of mathematics problem-solving ability of junior high school students in Emotional Intelligence. </w:t>
      </w:r>
      <w:proofErr w:type="spellStart"/>
      <w:r>
        <w:rPr>
          <w:i/>
        </w:rPr>
        <w:t>Jurnal</w:t>
      </w:r>
      <w:proofErr w:type="spellEnd"/>
      <w:r>
        <w:rPr>
          <w:i/>
        </w:rPr>
        <w:t xml:space="preserve"> </w:t>
      </w:r>
      <w:proofErr w:type="spellStart"/>
      <w:r>
        <w:rPr>
          <w:i/>
        </w:rPr>
        <w:t>Gantang</w:t>
      </w:r>
      <w:proofErr w:type="spellEnd"/>
      <w:r>
        <w:t xml:space="preserve">, </w:t>
      </w:r>
      <w:r>
        <w:rPr>
          <w:i/>
        </w:rPr>
        <w:t>7</w:t>
      </w:r>
      <w:r>
        <w:t>(2), pp.149-161.</w:t>
      </w:r>
    </w:p>
    <w:p w14:paraId="2984BE67" w14:textId="58FF3569" w:rsidR="00A25A64" w:rsidRDefault="00A25A64" w:rsidP="00A25A64">
      <w:pPr>
        <w:spacing w:before="240" w:after="240" w:line="360" w:lineRule="auto"/>
        <w:jc w:val="both"/>
      </w:pPr>
      <w:r>
        <w:rPr>
          <w:color w:val="222222"/>
          <w:highlight w:val="white"/>
        </w:rPr>
        <w:t xml:space="preserve">Sharma, </w:t>
      </w:r>
      <w:r w:rsidR="00F427CD">
        <w:rPr>
          <w:color w:val="222222"/>
          <w:highlight w:val="white"/>
        </w:rPr>
        <w:t>A.,</w:t>
      </w:r>
      <w:r>
        <w:rPr>
          <w:color w:val="222222"/>
          <w:highlight w:val="white"/>
        </w:rPr>
        <w:t xml:space="preserve"> and </w:t>
      </w:r>
      <w:proofErr w:type="spellStart"/>
      <w:r>
        <w:rPr>
          <w:color w:val="222222"/>
          <w:highlight w:val="white"/>
        </w:rPr>
        <w:t>Battula</w:t>
      </w:r>
      <w:proofErr w:type="spellEnd"/>
      <w:r>
        <w:rPr>
          <w:color w:val="222222"/>
          <w:highlight w:val="white"/>
        </w:rPr>
        <w:t xml:space="preserve">, R.B., (2022). The Internet of Things Solutions for Transportation. In </w:t>
      </w:r>
      <w:r>
        <w:rPr>
          <w:i/>
        </w:rPr>
        <w:t>AI and IoT for Sustainable Development in Emerging Countries: Challenges and Opportunities</w:t>
      </w:r>
      <w:r>
        <w:t xml:space="preserve"> (pp. 291-324). Cham: Springer International Publishing.</w:t>
      </w:r>
    </w:p>
    <w:p w14:paraId="648937A7" w14:textId="77777777" w:rsidR="00A25A64" w:rsidRDefault="00A25A64" w:rsidP="00A25A64">
      <w:pPr>
        <w:spacing w:before="240" w:after="240" w:line="360" w:lineRule="auto"/>
        <w:jc w:val="both"/>
      </w:pPr>
      <w:r>
        <w:rPr>
          <w:color w:val="222222"/>
          <w:highlight w:val="white"/>
        </w:rPr>
        <w:t xml:space="preserve">Zimmermann, A., Hill, S.A., </w:t>
      </w:r>
      <w:proofErr w:type="spellStart"/>
      <w:r>
        <w:rPr>
          <w:color w:val="222222"/>
          <w:highlight w:val="white"/>
        </w:rPr>
        <w:t>Birkinshaw</w:t>
      </w:r>
      <w:proofErr w:type="spellEnd"/>
      <w:r>
        <w:rPr>
          <w:color w:val="222222"/>
          <w:highlight w:val="white"/>
        </w:rPr>
        <w:t xml:space="preserve">, J. and </w:t>
      </w:r>
      <w:proofErr w:type="spellStart"/>
      <w:r>
        <w:rPr>
          <w:color w:val="222222"/>
          <w:highlight w:val="white"/>
        </w:rPr>
        <w:t>Jaeckel</w:t>
      </w:r>
      <w:proofErr w:type="spellEnd"/>
      <w:r>
        <w:rPr>
          <w:color w:val="222222"/>
          <w:highlight w:val="white"/>
        </w:rPr>
        <w:t xml:space="preserve">, M., (2020). Complements or substitutes? A </w:t>
      </w:r>
      <w:proofErr w:type="spellStart"/>
      <w:r>
        <w:rPr>
          <w:color w:val="222222"/>
          <w:highlight w:val="white"/>
        </w:rPr>
        <w:t>microfoundations</w:t>
      </w:r>
      <w:proofErr w:type="spellEnd"/>
      <w:r>
        <w:rPr>
          <w:color w:val="222222"/>
          <w:highlight w:val="white"/>
        </w:rPr>
        <w:t xml:space="preserve"> perspective on the interplay between drivers of ambidexterity in SMEs. </w:t>
      </w:r>
      <w:r>
        <w:rPr>
          <w:i/>
        </w:rPr>
        <w:t>Long Range Planning</w:t>
      </w:r>
      <w:r>
        <w:t xml:space="preserve">, </w:t>
      </w:r>
      <w:r>
        <w:rPr>
          <w:i/>
        </w:rPr>
        <w:t>53</w:t>
      </w:r>
      <w:r>
        <w:t>(6), p.101927.</w:t>
      </w:r>
    </w:p>
    <w:p w14:paraId="0B79A925" w14:textId="77777777" w:rsidR="00A25A64" w:rsidRDefault="00A25A64"/>
    <w:sectPr w:rsidR="00A25A64">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00E26" w14:textId="77777777" w:rsidR="0056418C" w:rsidRDefault="0056418C">
      <w:pPr>
        <w:spacing w:line="240" w:lineRule="auto"/>
      </w:pPr>
      <w:r>
        <w:separator/>
      </w:r>
    </w:p>
  </w:endnote>
  <w:endnote w:type="continuationSeparator" w:id="0">
    <w:p w14:paraId="0A2D707E" w14:textId="77777777" w:rsidR="0056418C" w:rsidRDefault="005641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7301595"/>
      <w:docPartObj>
        <w:docPartGallery w:val="Page Numbers (Bottom of Page)"/>
        <w:docPartUnique/>
      </w:docPartObj>
    </w:sdtPr>
    <w:sdtEndPr>
      <w:rPr>
        <w:noProof/>
        <w:sz w:val="20"/>
        <w:szCs w:val="20"/>
      </w:rPr>
    </w:sdtEndPr>
    <w:sdtContent>
      <w:p w14:paraId="21F05F19" w14:textId="77777777" w:rsidR="007007AD" w:rsidRPr="007007AD" w:rsidRDefault="00000000">
        <w:pPr>
          <w:pStyle w:val="Footer"/>
          <w:jc w:val="right"/>
          <w:rPr>
            <w:sz w:val="20"/>
            <w:szCs w:val="20"/>
          </w:rPr>
        </w:pPr>
        <w:r w:rsidRPr="007007AD">
          <w:rPr>
            <w:sz w:val="20"/>
            <w:szCs w:val="20"/>
          </w:rPr>
          <w:fldChar w:fldCharType="begin"/>
        </w:r>
        <w:r w:rsidRPr="007007AD">
          <w:rPr>
            <w:sz w:val="20"/>
            <w:szCs w:val="20"/>
          </w:rPr>
          <w:instrText xml:space="preserve"> PAGE   \* MERGEFORMAT </w:instrText>
        </w:r>
        <w:r w:rsidRPr="007007AD">
          <w:rPr>
            <w:sz w:val="20"/>
            <w:szCs w:val="20"/>
          </w:rPr>
          <w:fldChar w:fldCharType="separate"/>
        </w:r>
        <w:r w:rsidRPr="007007AD">
          <w:rPr>
            <w:noProof/>
            <w:sz w:val="20"/>
            <w:szCs w:val="20"/>
          </w:rPr>
          <w:t>2</w:t>
        </w:r>
        <w:r w:rsidRPr="007007AD">
          <w:rPr>
            <w:noProof/>
            <w:sz w:val="20"/>
            <w:szCs w:val="20"/>
          </w:rPr>
          <w:fldChar w:fldCharType="end"/>
        </w:r>
      </w:p>
    </w:sdtContent>
  </w:sdt>
  <w:p w14:paraId="1D7CFE54" w14:textId="77777777" w:rsidR="007007AD"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325FF" w14:textId="77777777" w:rsidR="0056418C" w:rsidRDefault="0056418C">
      <w:pPr>
        <w:spacing w:line="240" w:lineRule="auto"/>
      </w:pPr>
      <w:r>
        <w:separator/>
      </w:r>
    </w:p>
  </w:footnote>
  <w:footnote w:type="continuationSeparator" w:id="0">
    <w:p w14:paraId="24F625AA" w14:textId="77777777" w:rsidR="0056418C" w:rsidRDefault="005641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A64"/>
    <w:rsid w:val="00124C6F"/>
    <w:rsid w:val="0056418C"/>
    <w:rsid w:val="00764C89"/>
    <w:rsid w:val="007652CE"/>
    <w:rsid w:val="00A25A64"/>
    <w:rsid w:val="00F42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92F70"/>
  <w15:chartTrackingRefBased/>
  <w15:docId w15:val="{87434654-2CA3-B841-8E00-C7731E236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A64"/>
    <w:pPr>
      <w:spacing w:line="276"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autoRedefine/>
    <w:uiPriority w:val="9"/>
    <w:qFormat/>
    <w:rsid w:val="00A25A64"/>
    <w:pPr>
      <w:keepNext/>
      <w:keepLines/>
      <w:spacing w:before="240" w:after="240"/>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A64"/>
    <w:rPr>
      <w:rFonts w:ascii="Times New Roman" w:eastAsia="Times New Roman" w:hAnsi="Times New Roman" w:cs="Times New Roman"/>
      <w:b/>
      <w:kern w:val="0"/>
      <w14:ligatures w14:val="none"/>
    </w:rPr>
  </w:style>
  <w:style w:type="paragraph" w:styleId="TOCHeading">
    <w:name w:val="TOC Heading"/>
    <w:basedOn w:val="Heading1"/>
    <w:next w:val="Normal"/>
    <w:uiPriority w:val="39"/>
    <w:unhideWhenUsed/>
    <w:qFormat/>
    <w:rsid w:val="00A25A64"/>
    <w:pPr>
      <w:spacing w:after="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25A64"/>
    <w:pPr>
      <w:spacing w:after="100"/>
    </w:pPr>
  </w:style>
  <w:style w:type="character" w:styleId="Hyperlink">
    <w:name w:val="Hyperlink"/>
    <w:basedOn w:val="DefaultParagraphFont"/>
    <w:uiPriority w:val="99"/>
    <w:unhideWhenUsed/>
    <w:rsid w:val="00A25A64"/>
    <w:rPr>
      <w:color w:val="0563C1" w:themeColor="hyperlink"/>
      <w:u w:val="single"/>
    </w:rPr>
  </w:style>
  <w:style w:type="paragraph" w:styleId="Footer">
    <w:name w:val="footer"/>
    <w:basedOn w:val="Normal"/>
    <w:link w:val="FooterChar"/>
    <w:uiPriority w:val="99"/>
    <w:unhideWhenUsed/>
    <w:rsid w:val="00A25A64"/>
    <w:pPr>
      <w:tabs>
        <w:tab w:val="center" w:pos="4680"/>
        <w:tab w:val="right" w:pos="9360"/>
      </w:tabs>
      <w:spacing w:line="240" w:lineRule="auto"/>
    </w:pPr>
  </w:style>
  <w:style w:type="character" w:customStyle="1" w:styleId="FooterChar">
    <w:name w:val="Footer Char"/>
    <w:basedOn w:val="DefaultParagraphFont"/>
    <w:link w:val="Footer"/>
    <w:uiPriority w:val="99"/>
    <w:rsid w:val="00A25A64"/>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23</Pages>
  <Words>3911</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2</cp:revision>
  <dcterms:created xsi:type="dcterms:W3CDTF">2024-04-21T10:38:00Z</dcterms:created>
  <dcterms:modified xsi:type="dcterms:W3CDTF">2024-04-22T20:37:00Z</dcterms:modified>
</cp:coreProperties>
</file>