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spacing w:before="1540" w:after="240"/>
        <w:jc w:val="center"/>
        <w:rPr>
          <w:color w:val="auto"/>
        </w:rPr>
      </w:pPr>
      <w:bookmarkStart w:id="0" w:name="_Toc32490"/>
      <w:r>
        <w:rPr>
          <w:color w:val="auto"/>
          <w:lang w:val="en-GB" w:eastAsia="en-GB"/>
        </w:rPr>
        <w:drawing>
          <wp:inline distT="0" distB="0" distL="0" distR="0">
            <wp:extent cx="1417320" cy="750570"/>
            <wp:effectExtent l="0" t="0" r="5080" b="114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hint="default" w:ascii="Times New Roman" w:hAnsi="Times New Roman" w:cs="Times New Roman"/>
          <w:color w:val="auto"/>
          <w:sz w:val="56"/>
          <w:szCs w:val="56"/>
        </w:rPr>
        <w:alias w:val="Title"/>
        <w:id w:val="1735040861"/>
        <w:placeholder>
          <w:docPart w:val="{188cf9db-83a7-4221-88db-f4215dafef66}"/>
        </w:placeholder>
        <w:dataBinding w:prefixMappings="xmlns:ns0='http://purl.org/dc/elements/1.1/' xmlns:ns1='http://schemas.openxmlformats.org/package/2006/metadata/core-properties' " w:xpath="/ns1:coreProperties[1]/ns0:title[1]" w:storeItemID="{6C3C8BC8-F283-45AE-878A-BAB7291924A1}"/>
        <w:text/>
      </w:sdtPr>
      <w:sdtEndPr>
        <w:rPr>
          <w:rFonts w:hint="default" w:ascii="Times New Roman" w:hAnsi="Times New Roman" w:cs="Times New Roman"/>
          <w:color w:val="auto"/>
          <w:sz w:val="72"/>
          <w:szCs w:val="72"/>
        </w:rPr>
      </w:sdtEndPr>
      <w:sdtContent>
        <w:p>
          <w:pPr>
            <w:pStyle w:val="2"/>
            <w:bidi w:val="0"/>
            <w:jc w:val="center"/>
            <w:rPr>
              <w:rFonts w:hint="default" w:ascii="Times New Roman" w:hAnsi="Times New Roman" w:cs="Times New Roman" w:eastAsiaTheme="majorEastAsia"/>
              <w:caps/>
              <w:color w:val="auto"/>
              <w:szCs w:val="80"/>
            </w:rPr>
          </w:pPr>
          <w:r>
            <w:rPr>
              <w:rFonts w:hint="default" w:ascii="Times New Roman" w:hAnsi="Times New Roman" w:cs="Times New Roman"/>
              <w:color w:val="auto"/>
              <w:sz w:val="56"/>
              <w:szCs w:val="56"/>
              <w:lang w:eastAsia="zh-CN"/>
            </w:rPr>
            <w:t>Organisational Change Case Study</w:t>
          </w:r>
        </w:p>
      </w:sdtContent>
    </w:sdt>
    <w:p>
      <w:pPr>
        <w:pStyle w:val="16"/>
        <w:jc w:val="center"/>
        <w:rPr>
          <w:rFonts w:hint="default" w:ascii="Times New Roman" w:hAnsi="Times New Roman" w:cs="Times New Roman"/>
          <w:color w:val="auto"/>
          <w:sz w:val="28"/>
          <w:szCs w:val="28"/>
        </w:rPr>
      </w:pPr>
      <w:r>
        <w:rPr>
          <w:rStyle w:val="17"/>
          <w:rFonts w:hint="default" w:ascii="Times New Roman" w:hAnsi="Times New Roman" w:cs="Times New Roman"/>
          <w:color w:val="auto"/>
          <w:sz w:val="44"/>
          <w:szCs w:val="44"/>
        </w:rPr>
        <w:t>Change and Stability Management of Banu Tripe Hotpot Company</w:t>
      </w:r>
      <w:sdt>
        <w:sdtPr>
          <w:rPr>
            <w:rStyle w:val="17"/>
            <w:rFonts w:hint="default" w:ascii="Times New Roman" w:hAnsi="Times New Roman" w:cs="Times New Roman"/>
            <w:color w:val="auto"/>
            <w:sz w:val="44"/>
            <w:szCs w:val="44"/>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rPr>
            <w:rStyle w:val="17"/>
            <w:rFonts w:hint="default" w:ascii="Times New Roman" w:hAnsi="Times New Roman" w:cs="Times New Roman"/>
            <w:color w:val="auto"/>
            <w:sz w:val="44"/>
            <w:szCs w:val="44"/>
          </w:rPr>
        </w:sdtEndPr>
        <w:sdtContent>
          <w:r>
            <w:rPr>
              <w:rFonts w:hint="default" w:ascii="Times New Roman" w:hAnsi="Times New Roman" w:cs="Times New Roman"/>
              <w:b w:val="0"/>
              <w:bCs w:val="0"/>
              <w:color w:val="auto"/>
              <w:sz w:val="44"/>
              <w:szCs w:val="44"/>
              <w:lang w:eastAsia="zh-CN"/>
            </w:rPr>
            <w:t xml:space="preserve"> </w:t>
          </w:r>
        </w:sdtContent>
      </w:sdt>
    </w:p>
    <w:p>
      <w:pPr>
        <w:pStyle w:val="16"/>
        <w:spacing w:before="480"/>
        <w:jc w:val="center"/>
        <w:rPr>
          <w:rFonts w:hint="default" w:ascii="Times New Roman" w:hAnsi="Times New Roman" w:cs="Times New Roman"/>
          <w:color w:val="auto"/>
          <w:lang w:val="en-GB" w:eastAsia="en-GB"/>
        </w:rPr>
      </w:pPr>
      <w:r>
        <w:rPr>
          <w:rFonts w:hint="default" w:ascii="Times New Roman" w:hAnsi="Times New Roman" w:cs="Times New Roman"/>
          <w:color w:val="auto"/>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hint="default" w:ascii="Times New Roman" w:hAnsi="Times New Roman" w:cs="Times New Roman"/>
                                <w:caps/>
                                <w:color w:val="auto"/>
                                <w:sz w:val="28"/>
                                <w:szCs w:val="28"/>
                              </w:rPr>
                              <w:alias w:val="Date"/>
                              <w:id w:val="197127006"/>
                              <w:dataBinding w:prefixMappings="xmlns:ns0='http://schemas.microsoft.com/office/2006/coverPageProps' " w:xpath="/ns0:CoverPageProperties[1]/ns0:PublishDate[1]" w:storeItemID="{55AF091B-3C7A-41E3-B477-F2FDAA23CFDA}"/>
                              <w:date w:fullDate="2023-11-29T00:00:00ZZ">
                                <w:dateFormat w:val="MMMM d, yyyy"/>
                                <w:lid w:val="en-US"/>
                                <w:storeMappedDataAs w:val="datetime"/>
                                <w:calendar w:val="gregorian"/>
                              </w:date>
                            </w:sdtPr>
                            <w:sdtEndPr>
                              <w:rPr>
                                <w:rFonts w:hint="default" w:ascii="Times New Roman" w:hAnsi="Times New Roman" w:cs="Times New Roman"/>
                                <w:caps/>
                                <w:color w:val="auto"/>
                                <w:sz w:val="28"/>
                                <w:szCs w:val="28"/>
                              </w:rPr>
                            </w:sdtEndPr>
                            <w:sdtContent>
                              <w:p>
                                <w:pPr>
                                  <w:pStyle w:val="16"/>
                                  <w:spacing w:after="40"/>
                                  <w:jc w:val="center"/>
                                  <w:rPr>
                                    <w:rFonts w:hint="default" w:ascii="Times New Roman" w:hAnsi="Times New Roman" w:cs="Times New Roman"/>
                                    <w:caps/>
                                    <w:color w:val="auto"/>
                                    <w:sz w:val="28"/>
                                    <w:szCs w:val="28"/>
                                  </w:rPr>
                                </w:pPr>
                                <w:r>
                                  <w:rPr>
                                    <w:rFonts w:hint="default" w:ascii="Times New Roman" w:hAnsi="Times New Roman" w:cs="Times New Roman"/>
                                    <w:caps/>
                                    <w:color w:val="auto"/>
                                    <w:sz w:val="28"/>
                                    <w:szCs w:val="28"/>
                                    <w:lang w:val="en-US" w:eastAsia="zh-CN" w:bidi="ar-SA"/>
                                  </w:rPr>
                                  <w:t>November 29, 2023</w:t>
                                </w:r>
                              </w:p>
                            </w:sdtContent>
                          </w:sdt>
                          <w:p>
                            <w:pPr>
                              <w:pStyle w:val="16"/>
                              <w:jc w:val="center"/>
                              <w:rPr>
                                <w:color w:val="5B9BD5" w:themeColor="accent1"/>
                                <w14:textFill>
                                  <w14:solidFill>
                                    <w14:schemeClr w14:val="accent1"/>
                                  </w14:solidFill>
                                </w14:textFill>
                              </w:rPr>
                            </w:pPr>
                            <w:sdt>
                              <w:sdtPr>
                                <w:rPr>
                                  <w:rFonts w:hint="default" w:ascii="Times New Roman" w:hAnsi="Times New Roman" w:cs="Times New Roman"/>
                                  <w:caps/>
                                  <w:color w:val="auto"/>
                                </w:rPr>
                                <w:alias w:val="Company"/>
                                <w:id w:val="1390145197"/>
                                <w:dataBinding w:prefixMappings="xmlns:ns0='http://schemas.openxmlformats.org/officeDocument/2006/extended-properties' " w:xpath="/ns0:Properties[1]/ns0:Company[1]" w:storeItemID="{6668398D-A668-4E3E-A5EB-62B293D839F1}"/>
                                <w:text/>
                              </w:sdtPr>
                              <w:sdtEndPr>
                                <w:rPr>
                                  <w:rFonts w:hint="default" w:ascii="Times New Roman" w:hAnsi="Times New Roman" w:cs="Times New Roman"/>
                                  <w:caps/>
                                  <w:color w:val="5B9BD5" w:themeColor="accent1"/>
                                  <w14:textFill>
                                    <w14:solidFill>
                                      <w14:schemeClr w14:val="accent1"/>
                                    </w14:solidFill>
                                  </w14:textFill>
                                </w:rPr>
                              </w:sdtEndPr>
                              <w:sdtContent>
                                <w:r>
                                  <w:rPr>
                                    <w:rFonts w:hint="default" w:ascii="Times New Roman" w:hAnsi="Times New Roman" w:cs="Times New Roman"/>
                                    <w:caps/>
                                    <w:color w:val="auto"/>
                                    <w:lang w:val="en-GB"/>
                                  </w:rPr>
                                  <w:t>University of Wales Trinity Saint David</w:t>
                                </w:r>
                              </w:sdtContent>
                            </w:sdt>
                          </w:p>
                          <w:p>
                            <w:pPr>
                              <w:pStyle w:val="16"/>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70.85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rFonts w:hint="default" w:ascii="Times New Roman" w:hAnsi="Times New Roman" w:cs="Times New Roman"/>
                          <w:caps/>
                          <w:color w:val="auto"/>
                          <w:sz w:val="28"/>
                          <w:szCs w:val="28"/>
                        </w:rPr>
                        <w:alias w:val="Date"/>
                        <w:id w:val="197127006"/>
                        <w:dataBinding w:prefixMappings="xmlns:ns0='http://schemas.microsoft.com/office/2006/coverPageProps' " w:xpath="/ns0:CoverPageProperties[1]/ns0:PublishDate[1]" w:storeItemID="{55AF091B-3C7A-41E3-B477-F2FDAA23CFDA}"/>
                        <w:date w:fullDate="2023-11-29T00:00:00ZZ">
                          <w:dateFormat w:val="MMMM d, yyyy"/>
                          <w:lid w:val="en-US"/>
                          <w:storeMappedDataAs w:val="datetime"/>
                          <w:calendar w:val="gregorian"/>
                        </w:date>
                      </w:sdtPr>
                      <w:sdtEndPr>
                        <w:rPr>
                          <w:rFonts w:hint="default" w:ascii="Times New Roman" w:hAnsi="Times New Roman" w:cs="Times New Roman"/>
                          <w:caps/>
                          <w:color w:val="auto"/>
                          <w:sz w:val="28"/>
                          <w:szCs w:val="28"/>
                        </w:rPr>
                      </w:sdtEndPr>
                      <w:sdtContent>
                        <w:p>
                          <w:pPr>
                            <w:pStyle w:val="16"/>
                            <w:spacing w:after="40"/>
                            <w:jc w:val="center"/>
                            <w:rPr>
                              <w:rFonts w:hint="default" w:ascii="Times New Roman" w:hAnsi="Times New Roman" w:cs="Times New Roman"/>
                              <w:caps/>
                              <w:color w:val="auto"/>
                              <w:sz w:val="28"/>
                              <w:szCs w:val="28"/>
                            </w:rPr>
                          </w:pPr>
                          <w:r>
                            <w:rPr>
                              <w:rFonts w:hint="default" w:ascii="Times New Roman" w:hAnsi="Times New Roman" w:cs="Times New Roman"/>
                              <w:caps/>
                              <w:color w:val="auto"/>
                              <w:sz w:val="28"/>
                              <w:szCs w:val="28"/>
                              <w:lang w:val="en-US" w:eastAsia="zh-CN" w:bidi="ar-SA"/>
                            </w:rPr>
                            <w:t>November 29, 2023</w:t>
                          </w:r>
                        </w:p>
                      </w:sdtContent>
                    </w:sdt>
                    <w:p>
                      <w:pPr>
                        <w:pStyle w:val="16"/>
                        <w:jc w:val="center"/>
                        <w:rPr>
                          <w:color w:val="5B9BD5" w:themeColor="accent1"/>
                          <w14:textFill>
                            <w14:solidFill>
                              <w14:schemeClr w14:val="accent1"/>
                            </w14:solidFill>
                          </w14:textFill>
                        </w:rPr>
                      </w:pPr>
                      <w:sdt>
                        <w:sdtPr>
                          <w:rPr>
                            <w:rFonts w:hint="default" w:ascii="Times New Roman" w:hAnsi="Times New Roman" w:cs="Times New Roman"/>
                            <w:caps/>
                            <w:color w:val="auto"/>
                          </w:rPr>
                          <w:alias w:val="Company"/>
                          <w:id w:val="1390145197"/>
                          <w:dataBinding w:prefixMappings="xmlns:ns0='http://schemas.openxmlformats.org/officeDocument/2006/extended-properties' " w:xpath="/ns0:Properties[1]/ns0:Company[1]" w:storeItemID="{6668398D-A668-4E3E-A5EB-62B293D839F1}"/>
                          <w:text/>
                        </w:sdtPr>
                        <w:sdtEndPr>
                          <w:rPr>
                            <w:rFonts w:hint="default" w:ascii="Times New Roman" w:hAnsi="Times New Roman" w:cs="Times New Roman"/>
                            <w:caps/>
                            <w:color w:val="5B9BD5" w:themeColor="accent1"/>
                            <w14:textFill>
                              <w14:solidFill>
                                <w14:schemeClr w14:val="accent1"/>
                              </w14:solidFill>
                            </w14:textFill>
                          </w:rPr>
                        </w:sdtEndPr>
                        <w:sdtContent>
                          <w:r>
                            <w:rPr>
                              <w:rFonts w:hint="default" w:ascii="Times New Roman" w:hAnsi="Times New Roman" w:cs="Times New Roman"/>
                              <w:caps/>
                              <w:color w:val="auto"/>
                              <w:lang w:val="en-GB"/>
                            </w:rPr>
                            <w:t>University of Wales Trinity Saint David</w:t>
                          </w:r>
                        </w:sdtContent>
                      </w:sdt>
                    </w:p>
                    <w:p>
                      <w:pPr>
                        <w:pStyle w:val="16"/>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rFonts w:hint="default" w:ascii="Times New Roman" w:hAnsi="Times New Roman" w:cs="Times New Roman"/>
          <w:color w:val="auto"/>
          <w:lang w:val="en-GB" w:eastAsia="en-GB"/>
        </w:rPr>
        <w:drawing>
          <wp:inline distT="0" distB="0" distL="0" distR="0">
            <wp:extent cx="758825" cy="478790"/>
            <wp:effectExtent l="0" t="0" r="3175"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16"/>
        <w:spacing w:before="480"/>
        <w:jc w:val="center"/>
        <w:rPr>
          <w:rFonts w:hint="default" w:ascii="Times New Roman" w:hAnsi="Times New Roman" w:cs="Times New Roman"/>
          <w:color w:val="auto"/>
          <w:lang w:val="en-GB" w:eastAsia="en-GB"/>
        </w:rPr>
      </w:pPr>
    </w:p>
    <w:p>
      <w:pPr>
        <w:pStyle w:val="16"/>
        <w:spacing w:before="480"/>
        <w:jc w:val="center"/>
        <w:rPr>
          <w:rFonts w:hint="default" w:ascii="Times New Roman" w:hAnsi="Times New Roman" w:cs="Times New Roman"/>
          <w:color w:val="auto"/>
          <w:lang w:val="en-GB" w:eastAsia="en-GB"/>
        </w:rPr>
      </w:pPr>
    </w:p>
    <w:p>
      <w:pPr>
        <w:bidi w:val="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Module:Change &amp; Stability Management</w:t>
      </w:r>
    </w:p>
    <w:p>
      <w:pPr>
        <w:bidi w:val="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Module code:BMMB7000</w:t>
      </w:r>
    </w:p>
    <w:p>
      <w:pPr>
        <w:bidi w:val="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Student name:Jiaoxiu Liu</w:t>
      </w:r>
    </w:p>
    <w:p>
      <w:pPr>
        <w:bidi w:val="0"/>
        <w:rPr>
          <w:rFonts w:hint="default" w:ascii="Times New Roman" w:hAnsi="Times New Roman" w:eastAsia="Times New Roman" w:cs="Times New Roman"/>
          <w:b/>
          <w:bCs w:val="0"/>
          <w:i w:val="0"/>
          <w:color w:val="auto"/>
          <w:sz w:val="28"/>
          <w:szCs w:val="28"/>
          <w:lang w:val="en-MY"/>
        </w:rPr>
        <w:sectPr>
          <w:pgSz w:w="11906" w:h="16838"/>
          <w:pgMar w:top="1417" w:right="1417" w:bottom="1417" w:left="1417" w:header="720" w:footer="720" w:gutter="0"/>
          <w:pgNumType w:fmt="decimal" w:start="1"/>
          <w:cols w:space="720" w:num="1"/>
          <w:docGrid w:linePitch="360" w:charSpace="0"/>
        </w:sectPr>
      </w:pPr>
      <w:r>
        <w:rPr>
          <w:rFonts w:hint="default" w:ascii="Times New Roman" w:hAnsi="Times New Roman" w:cs="Times New Roman"/>
          <w:color w:val="auto"/>
          <w:sz w:val="32"/>
          <w:szCs w:val="32"/>
        </w:rPr>
        <w:t>Student ID number:2234155</w:t>
      </w:r>
    </w:p>
    <w:p>
      <w:pPr>
        <w:spacing w:line="480" w:lineRule="auto"/>
        <w:jc w:val="both"/>
        <w:outlineLvl w:val="0"/>
        <w:rPr>
          <w:rFonts w:hint="default" w:ascii="Times New Roman" w:hAnsi="Times New Roman" w:eastAsia="Times New Roman" w:cs="Times New Roman"/>
          <w:b/>
          <w:bCs w:val="0"/>
          <w:i w:val="0"/>
          <w:color w:val="auto"/>
          <w:sz w:val="28"/>
          <w:szCs w:val="28"/>
          <w:lang w:val="en-MY"/>
        </w:rPr>
      </w:pPr>
      <w:r>
        <w:rPr>
          <w:rFonts w:hint="default" w:ascii="Times New Roman" w:hAnsi="Times New Roman" w:eastAsia="Times New Roman" w:cs="Times New Roman"/>
          <w:b/>
          <w:bCs w:val="0"/>
          <w:i w:val="0"/>
          <w:color w:val="auto"/>
          <w:sz w:val="28"/>
          <w:szCs w:val="28"/>
          <w:lang w:val="en-MY"/>
        </w:rPr>
        <w:t>Executive Summary</w:t>
      </w:r>
      <w:bookmarkEnd w:id="0"/>
    </w:p>
    <w:p>
      <w:pPr>
        <w:spacing w:line="480" w:lineRule="auto"/>
        <w:jc w:val="both"/>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 the face of a dynamic and challenging landscape marked by the global impact of the COVID-19 pandemic, geopolitical tensions, and economic uncertainties, Banu Hot Pot, a stalwart in China's hot pot industry, stands poised for strategic evolution. Founded in 2001 by Du Zhongbing, the company's unwavering commitment to productism and innovative practices has solidified its position in the hearts of consumers. The main findings of this analysis delve into the multifaceted considerations for strategic change, encompassing a comprehensive PESTLE analysis that identifies key political, economic, social, technological, legal, and environmental factors influencing the hospitality industry. Additionally, stakeholder dynamics and models of change, such as Kurt Lewin's Change Model and Kotter's Eight Steps of Change, offer strategic frameworks for navigating the complexities of the current business environment. As Banu Hotpot charts its course forward, recommendations emphasize the importance of menu localization for diverse palates, language proficiency and cultural sensitivity training, and a strengthened focus on Customer Relationship Management (CRM). These measures collectively position Banu Hotpot not only to adapt to current challenges but to emerge as a resilient and customer-centric leader in the ever-evolving hospitality landscape.</w:t>
      </w: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bCs/>
          <w:i w:val="0"/>
          <w:color w:val="auto"/>
          <w:sz w:val="32"/>
          <w:szCs w:val="32"/>
          <w:lang w:val="en-MY"/>
        </w:rPr>
      </w:pPr>
    </w:p>
    <w:p>
      <w:pPr>
        <w:spacing w:line="480" w:lineRule="auto"/>
        <w:jc w:val="center"/>
        <w:rPr>
          <w:rFonts w:hint="default" w:ascii="Times New Roman" w:hAnsi="Times New Roman" w:eastAsia="Times New Roman" w:cs="Times New Roman"/>
          <w:b/>
          <w:bCs/>
          <w:i w:val="0"/>
          <w:color w:val="auto"/>
          <w:sz w:val="32"/>
          <w:szCs w:val="32"/>
          <w:lang w:val="en-MY"/>
        </w:rPr>
      </w:pPr>
    </w:p>
    <w:p>
      <w:pPr>
        <w:spacing w:line="480" w:lineRule="auto"/>
        <w:jc w:val="center"/>
        <w:rPr>
          <w:rFonts w:hint="default" w:ascii="Times New Roman" w:hAnsi="Times New Roman" w:eastAsia="Times New Roman" w:cs="Times New Roman"/>
          <w:b/>
          <w:bCs/>
          <w:i w:val="0"/>
          <w:color w:val="auto"/>
          <w:sz w:val="32"/>
          <w:szCs w:val="32"/>
          <w:lang w:val="en-MY"/>
        </w:rPr>
      </w:pPr>
      <w:r>
        <w:rPr>
          <w:rFonts w:hint="default" w:ascii="Times New Roman" w:hAnsi="Times New Roman" w:eastAsia="Times New Roman" w:cs="Times New Roman"/>
          <w:b/>
          <w:bCs/>
          <w:i w:val="0"/>
          <w:color w:val="auto"/>
          <w:sz w:val="32"/>
          <w:szCs w:val="32"/>
          <w:lang w:val="en-MY"/>
        </w:rPr>
        <w:t>Table of Content</w:t>
      </w:r>
    </w:p>
    <w:sdt>
      <w:sdtPr>
        <w:rPr>
          <w:rFonts w:hint="default" w:ascii="Times New Roman" w:hAnsi="Times New Roman" w:eastAsia="Times New Roman" w:cs="Times New Roman"/>
          <w:b w:val="0"/>
          <w:i w:val="0"/>
          <w:color w:val="auto"/>
          <w:sz w:val="24"/>
          <w:szCs w:val="24"/>
          <w:lang w:val="en-US" w:eastAsia="zh-CN" w:bidi="ar-SA"/>
        </w:rPr>
        <w:id w:val="147478843"/>
        <w15:color w:val="DBDBDB"/>
        <w:docPartObj>
          <w:docPartGallery w:val="Table of Contents"/>
          <w:docPartUnique/>
        </w:docPartObj>
      </w:sdtPr>
      <w:sdtEndPr>
        <w:rPr>
          <w:rFonts w:hint="default" w:ascii="Times New Roman" w:hAnsi="Times New Roman" w:eastAsia="Times New Roman" w:cs="Times New Roman"/>
          <w:b w:val="0"/>
          <w:i w:val="0"/>
          <w:color w:val="auto"/>
          <w:sz w:val="24"/>
          <w:szCs w:val="24"/>
          <w:lang w:val="en-MY" w:eastAsia="zh-CN" w:bidi="ar-SA"/>
        </w:rPr>
      </w:sdtEndPr>
      <w:sdtContent>
        <w:p>
          <w:pPr>
            <w:spacing w:before="0" w:beforeLines="0" w:after="0" w:afterLines="0" w:line="480" w:lineRule="auto"/>
            <w:ind w:left="0" w:leftChars="0" w:right="0" w:rightChars="0" w:firstLine="0" w:firstLineChars="0"/>
            <w:jc w:val="both"/>
            <w:rPr>
              <w:rFonts w:eastAsia="Times New Roman"/>
              <w:b w:val="0"/>
              <w:i w:val="0"/>
              <w:color w:val="auto"/>
            </w:rPr>
          </w:pPr>
          <w:r>
            <w:rPr>
              <w:rFonts w:hint="default" w:ascii="Times New Roman" w:hAnsi="Times New Roman" w:eastAsia="Times New Roman" w:cs="Times New Roman"/>
              <w:b w:val="0"/>
              <w:i w:val="0"/>
              <w:color w:val="auto"/>
              <w:sz w:val="24"/>
              <w:szCs w:val="24"/>
              <w:lang w:val="en-MY"/>
            </w:rPr>
            <w:fldChar w:fldCharType="begin"/>
          </w:r>
          <w:r>
            <w:rPr>
              <w:rFonts w:hint="default" w:ascii="Times New Roman" w:hAnsi="Times New Roman" w:eastAsia="Times New Roman" w:cs="Times New Roman"/>
              <w:b w:val="0"/>
              <w:i w:val="0"/>
              <w:color w:val="auto"/>
              <w:sz w:val="24"/>
              <w:szCs w:val="24"/>
              <w:lang w:val="en-MY"/>
            </w:rPr>
            <w:instrText xml:space="preserve">TOC \o "1-3" \h \u </w:instrText>
          </w:r>
          <w:r>
            <w:rPr>
              <w:rFonts w:hint="default" w:ascii="Times New Roman" w:hAnsi="Times New Roman" w:eastAsia="Times New Roman" w:cs="Times New Roman"/>
              <w:b w:val="0"/>
              <w:i w:val="0"/>
              <w:color w:val="auto"/>
              <w:sz w:val="24"/>
              <w:szCs w:val="24"/>
              <w:lang w:val="en-MY"/>
            </w:rPr>
            <w:fldChar w:fldCharType="separate"/>
          </w: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_Toc32490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bCs/>
              <w:i w:val="0"/>
              <w:color w:val="auto"/>
              <w:szCs w:val="24"/>
              <w:lang w:val="en-MY"/>
            </w:rPr>
            <w:t>Executive Summary</w:t>
          </w:r>
          <w:r>
            <w:rPr>
              <w:rFonts w:eastAsia="Times New Roman"/>
              <w:b w:val="0"/>
              <w:i w:val="0"/>
              <w:color w:val="auto"/>
            </w:rPr>
            <w:tab/>
          </w:r>
          <w:r>
            <w:rPr>
              <w:rFonts w:hint="eastAsia" w:eastAsia="宋体"/>
              <w:b w:val="0"/>
              <w:i w:val="0"/>
              <w:color w:val="auto"/>
              <w:lang w:val="en-US" w:eastAsia="zh-CN"/>
            </w:rPr>
            <w:t xml:space="preserve">                                                                                                    </w:t>
          </w:r>
          <w:r>
            <w:rPr>
              <w:rFonts w:eastAsia="Times New Roman"/>
              <w:b w:val="0"/>
              <w:i w:val="0"/>
              <w:color w:val="auto"/>
            </w:rPr>
            <w:fldChar w:fldCharType="begin"/>
          </w:r>
          <w:r>
            <w:rPr>
              <w:rFonts w:eastAsia="Times New Roman"/>
              <w:b w:val="0"/>
              <w:i w:val="0"/>
              <w:color w:val="auto"/>
            </w:rPr>
            <w:instrText xml:space="preserve"> PAGEREF _Toc32490 \h </w:instrText>
          </w:r>
          <w:r>
            <w:rPr>
              <w:rFonts w:eastAsia="Times New Roman"/>
              <w:b w:val="0"/>
              <w:i w:val="0"/>
              <w:color w:val="auto"/>
            </w:rPr>
            <w:fldChar w:fldCharType="separate"/>
          </w:r>
          <w:r>
            <w:rPr>
              <w:rFonts w:eastAsia="Times New Roman"/>
              <w:b w:val="0"/>
              <w:i w:val="0"/>
              <w:color w:val="auto"/>
            </w:rPr>
            <w:t>1</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_Toc28873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1.</w:t>
          </w:r>
          <w:r>
            <w:rPr>
              <w:rFonts w:hint="default" w:ascii="Times New Roman" w:hAnsi="Times New Roman" w:eastAsia="Times New Roman" w:cs="Times New Roman"/>
              <w:b w:val="0"/>
              <w:i w:val="0"/>
              <w:color w:val="auto"/>
              <w:szCs w:val="24"/>
              <w:lang w:val="en-MY"/>
            </w:rPr>
            <w:t>Introduction</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_Toc28873 \h </w:instrText>
          </w:r>
          <w:r>
            <w:rPr>
              <w:rFonts w:eastAsia="Times New Roman"/>
              <w:b w:val="0"/>
              <w:i w:val="0"/>
              <w:color w:val="auto"/>
            </w:rPr>
            <w:fldChar w:fldCharType="separate"/>
          </w:r>
          <w:r>
            <w:rPr>
              <w:rFonts w:eastAsia="Times New Roman"/>
              <w:b w:val="0"/>
              <w:i w:val="0"/>
              <w:color w:val="auto"/>
            </w:rPr>
            <w:t>4</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_Toc19829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rPr>
            <w:t>2. Main Findings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_Toc19829 \h </w:instrText>
          </w:r>
          <w:r>
            <w:rPr>
              <w:rFonts w:eastAsia="Times New Roman"/>
              <w:b w:val="0"/>
              <w:i w:val="0"/>
              <w:color w:val="auto"/>
            </w:rPr>
            <w:fldChar w:fldCharType="separate"/>
          </w:r>
          <w:r>
            <w:rPr>
              <w:rFonts w:eastAsia="Times New Roman"/>
              <w:b w:val="0"/>
              <w:i w:val="0"/>
              <w:color w:val="auto"/>
            </w:rPr>
            <w:t>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_Toc25926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2.1 </w:t>
          </w:r>
          <w:r>
            <w:rPr>
              <w:rFonts w:hint="default" w:ascii="Times New Roman" w:hAnsi="Times New Roman" w:eastAsia="Times New Roman" w:cs="Times New Roman"/>
              <w:b w:val="0"/>
              <w:i w:val="0"/>
              <w:color w:val="auto"/>
              <w:szCs w:val="24"/>
              <w:lang w:val="en-US"/>
            </w:rPr>
            <w:t>Considerations for Strategic Change and Implications for Response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_Toc25926 \h </w:instrText>
          </w:r>
          <w:r>
            <w:rPr>
              <w:rFonts w:eastAsia="Times New Roman"/>
              <w:b w:val="0"/>
              <w:i w:val="0"/>
              <w:color w:val="auto"/>
            </w:rPr>
            <w:fldChar w:fldCharType="separate"/>
          </w:r>
          <w:r>
            <w:rPr>
              <w:rFonts w:eastAsia="Times New Roman"/>
              <w:b w:val="0"/>
              <w:i w:val="0"/>
              <w:color w:val="auto"/>
            </w:rPr>
            <w:t>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_Toc1607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2.1.1 </w:t>
          </w:r>
          <w:r>
            <w:rPr>
              <w:rFonts w:hint="default" w:ascii="Times New Roman" w:hAnsi="Times New Roman" w:eastAsia="Times New Roman" w:cs="Times New Roman"/>
              <w:b w:val="0"/>
              <w:i w:val="0"/>
              <w:color w:val="auto"/>
              <w:szCs w:val="24"/>
              <w:lang w:val="en-MY"/>
            </w:rPr>
            <w:t>PESTLE analysis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_Toc1607 \h </w:instrText>
          </w:r>
          <w:r>
            <w:rPr>
              <w:rFonts w:eastAsia="Times New Roman"/>
              <w:b w:val="0"/>
              <w:i w:val="0"/>
              <w:color w:val="auto"/>
            </w:rPr>
            <w:fldChar w:fldCharType="separate"/>
          </w:r>
          <w:r>
            <w:rPr>
              <w:rFonts w:eastAsia="Times New Roman"/>
              <w:b w:val="0"/>
              <w:i w:val="0"/>
              <w:color w:val="auto"/>
            </w:rPr>
            <w:t>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_Toc21525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1) </w:t>
          </w:r>
          <w:r>
            <w:rPr>
              <w:rFonts w:hint="default" w:ascii="Times New Roman" w:hAnsi="Times New Roman" w:eastAsia="Times New Roman" w:cs="Times New Roman"/>
              <w:b w:val="0"/>
              <w:i w:val="0"/>
              <w:color w:val="auto"/>
              <w:szCs w:val="24"/>
              <w:lang w:val="en-MY"/>
            </w:rPr>
            <w:t>Political</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_Toc21525 \h </w:instrText>
          </w:r>
          <w:r>
            <w:rPr>
              <w:rFonts w:eastAsia="Times New Roman"/>
              <w:b w:val="0"/>
              <w:i w:val="0"/>
              <w:color w:val="auto"/>
            </w:rPr>
            <w:fldChar w:fldCharType="separate"/>
          </w:r>
          <w:r>
            <w:rPr>
              <w:rFonts w:eastAsia="Times New Roman"/>
              <w:b w:val="0"/>
              <w:i w:val="0"/>
              <w:color w:val="auto"/>
            </w:rPr>
            <w:t>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_Toc22952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2) Economical</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_Toc22952 \h </w:instrText>
          </w:r>
          <w:r>
            <w:rPr>
              <w:rFonts w:eastAsia="Times New Roman"/>
              <w:b w:val="0"/>
              <w:i w:val="0"/>
              <w:color w:val="auto"/>
            </w:rPr>
            <w:fldChar w:fldCharType="separate"/>
          </w:r>
          <w:r>
            <w:rPr>
              <w:rFonts w:eastAsia="Times New Roman"/>
              <w:b w:val="0"/>
              <w:i w:val="0"/>
              <w:color w:val="auto"/>
            </w:rPr>
            <w:t>6</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_Toc14253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3) Social</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_Toc14253 \h </w:instrText>
          </w:r>
          <w:r>
            <w:rPr>
              <w:rFonts w:eastAsia="Times New Roman"/>
              <w:b w:val="0"/>
              <w:i w:val="0"/>
              <w:color w:val="auto"/>
            </w:rPr>
            <w:fldChar w:fldCharType="separate"/>
          </w:r>
          <w:r>
            <w:rPr>
              <w:rFonts w:eastAsia="Times New Roman"/>
              <w:b w:val="0"/>
              <w:i w:val="0"/>
              <w:color w:val="auto"/>
            </w:rPr>
            <w:t>7</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_Toc24147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4) Technological</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_Toc24147 \h </w:instrText>
          </w:r>
          <w:r>
            <w:rPr>
              <w:rFonts w:eastAsia="Times New Roman"/>
              <w:b w:val="0"/>
              <w:i w:val="0"/>
              <w:color w:val="auto"/>
            </w:rPr>
            <w:fldChar w:fldCharType="separate"/>
          </w:r>
          <w:r>
            <w:rPr>
              <w:rFonts w:eastAsia="Times New Roman"/>
              <w:b w:val="0"/>
              <w:i w:val="0"/>
              <w:color w:val="auto"/>
            </w:rPr>
            <w:t>7</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_Toc16754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5) Legal</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_Toc16754 \h </w:instrText>
          </w:r>
          <w:r>
            <w:rPr>
              <w:rFonts w:eastAsia="Times New Roman"/>
              <w:b w:val="0"/>
              <w:i w:val="0"/>
              <w:color w:val="auto"/>
            </w:rPr>
            <w:fldChar w:fldCharType="separate"/>
          </w:r>
          <w:r>
            <w:rPr>
              <w:rFonts w:eastAsia="Times New Roman"/>
              <w:b w:val="0"/>
              <w:i w:val="0"/>
              <w:color w:val="auto"/>
            </w:rPr>
            <w:t>8</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_Toc1871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6)</w:t>
          </w:r>
          <w:r>
            <w:rPr>
              <w:rFonts w:hint="default" w:ascii="Times New Roman" w:hAnsi="Times New Roman" w:eastAsia="Times New Roman" w:cs="Times New Roman"/>
              <w:b w:val="0"/>
              <w:i w:val="0"/>
              <w:color w:val="auto"/>
              <w:szCs w:val="24"/>
              <w:lang w:val="en-MY"/>
            </w:rPr>
            <w:t>Environment</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_Toc1871 \h </w:instrText>
          </w:r>
          <w:r>
            <w:rPr>
              <w:rFonts w:eastAsia="Times New Roman"/>
              <w:b w:val="0"/>
              <w:i w:val="0"/>
              <w:color w:val="auto"/>
            </w:rPr>
            <w:fldChar w:fldCharType="separate"/>
          </w:r>
          <w:r>
            <w:rPr>
              <w:rFonts w:eastAsia="Times New Roman"/>
              <w:b w:val="0"/>
              <w:i w:val="0"/>
              <w:color w:val="auto"/>
            </w:rPr>
            <w:t>8</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_Toc19134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2.1.2 </w:t>
          </w:r>
          <w:r>
            <w:rPr>
              <w:rFonts w:hint="default" w:ascii="Times New Roman" w:hAnsi="Times New Roman" w:eastAsia="Times New Roman" w:cs="Times New Roman"/>
              <w:b w:val="0"/>
              <w:i w:val="0"/>
              <w:color w:val="auto"/>
              <w:szCs w:val="24"/>
              <w:lang w:val="en-MY"/>
            </w:rPr>
            <w:t>Stakeholder Analysis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_Toc19134 \h </w:instrText>
          </w:r>
          <w:r>
            <w:rPr>
              <w:rFonts w:eastAsia="Times New Roman"/>
              <w:b w:val="0"/>
              <w:i w:val="0"/>
              <w:color w:val="auto"/>
            </w:rPr>
            <w:fldChar w:fldCharType="separate"/>
          </w:r>
          <w:r>
            <w:rPr>
              <w:rFonts w:eastAsia="Times New Roman"/>
              <w:b w:val="0"/>
              <w:i w:val="0"/>
              <w:color w:val="auto"/>
            </w:rPr>
            <w:t>9</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_Toc22864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1) </w:t>
          </w:r>
          <w:r>
            <w:rPr>
              <w:rFonts w:hint="default" w:ascii="Times New Roman" w:hAnsi="Times New Roman" w:eastAsia="Times New Roman" w:cs="Times New Roman"/>
              <w:b w:val="0"/>
              <w:i w:val="0"/>
              <w:color w:val="auto"/>
              <w:szCs w:val="24"/>
              <w:lang w:val="en-MY"/>
            </w:rPr>
            <w:t>Customers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_Toc22864 \h </w:instrText>
          </w:r>
          <w:r>
            <w:rPr>
              <w:rFonts w:eastAsia="Times New Roman"/>
              <w:b w:val="0"/>
              <w:i w:val="0"/>
              <w:color w:val="auto"/>
            </w:rPr>
            <w:fldChar w:fldCharType="separate"/>
          </w:r>
          <w:r>
            <w:rPr>
              <w:rFonts w:eastAsia="Times New Roman"/>
              <w:b w:val="0"/>
              <w:i w:val="0"/>
              <w:color w:val="auto"/>
            </w:rPr>
            <w:t>9</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_Toc6952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2) Employees and Management of Banu Hotpot</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_Toc6952 \h </w:instrText>
          </w:r>
          <w:r>
            <w:rPr>
              <w:rFonts w:eastAsia="Times New Roman"/>
              <w:b w:val="0"/>
              <w:i w:val="0"/>
              <w:color w:val="auto"/>
            </w:rPr>
            <w:fldChar w:fldCharType="separate"/>
          </w:r>
          <w:r>
            <w:rPr>
              <w:rFonts w:eastAsia="Times New Roman"/>
              <w:b w:val="0"/>
              <w:i w:val="0"/>
              <w:color w:val="auto"/>
            </w:rPr>
            <w:t>9</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_Toc25700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3) Investors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_Toc25700 \h </w:instrText>
          </w:r>
          <w:r>
            <w:rPr>
              <w:rFonts w:eastAsia="Times New Roman"/>
              <w:b w:val="0"/>
              <w:i w:val="0"/>
              <w:color w:val="auto"/>
            </w:rPr>
            <w:fldChar w:fldCharType="separate"/>
          </w:r>
          <w:r>
            <w:rPr>
              <w:rFonts w:eastAsia="Times New Roman"/>
              <w:b w:val="0"/>
              <w:i w:val="0"/>
              <w:color w:val="auto"/>
            </w:rPr>
            <w:t>9</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_Toc5656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4) Suppliers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_Toc5656 \h </w:instrText>
          </w:r>
          <w:r>
            <w:rPr>
              <w:rFonts w:eastAsia="Times New Roman"/>
              <w:b w:val="0"/>
              <w:i w:val="0"/>
              <w:color w:val="auto"/>
            </w:rPr>
            <w:fldChar w:fldCharType="separate"/>
          </w:r>
          <w:r>
            <w:rPr>
              <w:rFonts w:eastAsia="Times New Roman"/>
              <w:b w:val="0"/>
              <w:i w:val="0"/>
              <w:color w:val="auto"/>
            </w:rPr>
            <w:t>10</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_Toc27571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5) Government and Regulatory Bodies: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_Toc27571 \h </w:instrText>
          </w:r>
          <w:r>
            <w:rPr>
              <w:rFonts w:eastAsia="Times New Roman"/>
              <w:b w:val="0"/>
              <w:i w:val="0"/>
              <w:color w:val="auto"/>
            </w:rPr>
            <w:fldChar w:fldCharType="separate"/>
          </w:r>
          <w:r>
            <w:rPr>
              <w:rFonts w:eastAsia="Times New Roman"/>
              <w:b w:val="0"/>
              <w:i w:val="0"/>
              <w:color w:val="auto"/>
            </w:rPr>
            <w:t>10</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_Toc12778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6) Competitors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_Toc12778 \h </w:instrText>
          </w:r>
          <w:r>
            <w:rPr>
              <w:rFonts w:eastAsia="Times New Roman"/>
              <w:b w:val="0"/>
              <w:i w:val="0"/>
              <w:color w:val="auto"/>
            </w:rPr>
            <w:fldChar w:fldCharType="separate"/>
          </w:r>
          <w:r>
            <w:rPr>
              <w:rFonts w:eastAsia="Times New Roman"/>
              <w:b w:val="0"/>
              <w:i w:val="0"/>
              <w:color w:val="auto"/>
            </w:rPr>
            <w:t>10</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_Toc13470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7) Media and Public</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_Toc13470 \h </w:instrText>
          </w:r>
          <w:r>
            <w:rPr>
              <w:rFonts w:eastAsia="Times New Roman"/>
              <w:b w:val="0"/>
              <w:i w:val="0"/>
              <w:color w:val="auto"/>
            </w:rPr>
            <w:fldChar w:fldCharType="separate"/>
          </w:r>
          <w:r>
            <w:rPr>
              <w:rFonts w:eastAsia="Times New Roman"/>
              <w:b w:val="0"/>
              <w:i w:val="0"/>
              <w:color w:val="auto"/>
            </w:rPr>
            <w:t>10</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_Toc27944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8) Industry Associations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_Toc27944 \h </w:instrText>
          </w:r>
          <w:r>
            <w:rPr>
              <w:rFonts w:eastAsia="Times New Roman"/>
              <w:b w:val="0"/>
              <w:i w:val="0"/>
              <w:color w:val="auto"/>
            </w:rPr>
            <w:fldChar w:fldCharType="separate"/>
          </w:r>
          <w:r>
            <w:rPr>
              <w:rFonts w:eastAsia="Times New Roman"/>
              <w:b w:val="0"/>
              <w:i w:val="0"/>
              <w:color w:val="auto"/>
            </w:rPr>
            <w:t>10</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_Toc32645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9) Local Communities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_Toc32645 \h </w:instrText>
          </w:r>
          <w:r>
            <w:rPr>
              <w:rFonts w:eastAsia="Times New Roman"/>
              <w:b w:val="0"/>
              <w:i w:val="0"/>
              <w:color w:val="auto"/>
            </w:rPr>
            <w:fldChar w:fldCharType="separate"/>
          </w:r>
          <w:r>
            <w:rPr>
              <w:rFonts w:eastAsia="Times New Roman"/>
              <w:b w:val="0"/>
              <w:i w:val="0"/>
              <w:color w:val="auto"/>
            </w:rPr>
            <w:t>11</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_Toc23211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10) NGOs and Advocacy Groups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_Toc23211 \h </w:instrText>
          </w:r>
          <w:r>
            <w:rPr>
              <w:rFonts w:eastAsia="Times New Roman"/>
              <w:b w:val="0"/>
              <w:i w:val="0"/>
              <w:color w:val="auto"/>
            </w:rPr>
            <w:fldChar w:fldCharType="separate"/>
          </w:r>
          <w:r>
            <w:rPr>
              <w:rFonts w:eastAsia="Times New Roman"/>
              <w:b w:val="0"/>
              <w:i w:val="0"/>
              <w:color w:val="auto"/>
            </w:rPr>
            <w:t>11</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_Toc32755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2.2 </w:t>
          </w:r>
          <w:r>
            <w:rPr>
              <w:rFonts w:hint="default" w:ascii="Times New Roman" w:hAnsi="Times New Roman" w:eastAsia="Times New Roman" w:cs="Times New Roman"/>
              <w:b w:val="0"/>
              <w:i w:val="0"/>
              <w:color w:val="auto"/>
              <w:szCs w:val="24"/>
              <w:lang w:val="en-MY"/>
            </w:rPr>
            <w:t>Models of Change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_Toc32755 \h </w:instrText>
          </w:r>
          <w:r>
            <w:rPr>
              <w:rFonts w:eastAsia="Times New Roman"/>
              <w:b w:val="0"/>
              <w:i w:val="0"/>
              <w:color w:val="auto"/>
            </w:rPr>
            <w:fldChar w:fldCharType="separate"/>
          </w:r>
          <w:r>
            <w:rPr>
              <w:rFonts w:eastAsia="Times New Roman"/>
              <w:b w:val="0"/>
              <w:i w:val="0"/>
              <w:color w:val="auto"/>
            </w:rPr>
            <w:t>11</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_Toc25502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2.2.1 </w:t>
          </w:r>
          <w:r>
            <w:rPr>
              <w:rFonts w:hint="default" w:ascii="Times New Roman" w:hAnsi="Times New Roman" w:eastAsia="Times New Roman" w:cs="Times New Roman"/>
              <w:b w:val="0"/>
              <w:i w:val="0"/>
              <w:color w:val="auto"/>
              <w:szCs w:val="24"/>
              <w:lang w:val="en-MY"/>
            </w:rPr>
            <w:t>Kurt Lewin's Change Model</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_Toc25502 \h </w:instrText>
          </w:r>
          <w:r>
            <w:rPr>
              <w:rFonts w:eastAsia="Times New Roman"/>
              <w:b w:val="0"/>
              <w:i w:val="0"/>
              <w:color w:val="auto"/>
            </w:rPr>
            <w:fldChar w:fldCharType="separate"/>
          </w:r>
          <w:r>
            <w:rPr>
              <w:rFonts w:eastAsia="Times New Roman"/>
              <w:b w:val="0"/>
              <w:i w:val="0"/>
              <w:color w:val="auto"/>
            </w:rPr>
            <w:t>11</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_Toc5897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1) Unfreeze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_Toc5897 \h </w:instrText>
          </w:r>
          <w:r>
            <w:rPr>
              <w:rFonts w:eastAsia="Times New Roman"/>
              <w:b w:val="0"/>
              <w:i w:val="0"/>
              <w:color w:val="auto"/>
            </w:rPr>
            <w:fldChar w:fldCharType="separate"/>
          </w:r>
          <w:r>
            <w:rPr>
              <w:rFonts w:eastAsia="Times New Roman"/>
              <w:b w:val="0"/>
              <w:i w:val="0"/>
              <w:color w:val="auto"/>
            </w:rPr>
            <w:t>11</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_Toc5812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2) Change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_Toc5812 \h </w:instrText>
          </w:r>
          <w:r>
            <w:rPr>
              <w:rFonts w:eastAsia="Times New Roman"/>
              <w:b w:val="0"/>
              <w:i w:val="0"/>
              <w:color w:val="auto"/>
            </w:rPr>
            <w:fldChar w:fldCharType="separate"/>
          </w:r>
          <w:r>
            <w:rPr>
              <w:rFonts w:eastAsia="Times New Roman"/>
              <w:b w:val="0"/>
              <w:i w:val="0"/>
              <w:color w:val="auto"/>
            </w:rPr>
            <w:t>12</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_Toc27228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3) Refreeze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_Toc27228 \h </w:instrText>
          </w:r>
          <w:r>
            <w:rPr>
              <w:rFonts w:eastAsia="Times New Roman"/>
              <w:b w:val="0"/>
              <w:i w:val="0"/>
              <w:color w:val="auto"/>
            </w:rPr>
            <w:fldChar w:fldCharType="separate"/>
          </w:r>
          <w:r>
            <w:rPr>
              <w:rFonts w:eastAsia="Times New Roman"/>
              <w:b w:val="0"/>
              <w:i w:val="0"/>
              <w:color w:val="auto"/>
            </w:rPr>
            <w:t>12</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_Toc22045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2.2.2 </w:t>
          </w:r>
          <w:r>
            <w:rPr>
              <w:rFonts w:hint="default" w:ascii="Times New Roman" w:hAnsi="Times New Roman" w:eastAsia="Times New Roman" w:cs="Times New Roman"/>
              <w:b w:val="0"/>
              <w:i w:val="0"/>
              <w:color w:val="auto"/>
              <w:szCs w:val="24"/>
              <w:lang w:val="en-MY"/>
            </w:rPr>
            <w:t>Kotter Eight Steps of Change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_Toc22045 \h </w:instrText>
          </w:r>
          <w:r>
            <w:rPr>
              <w:rFonts w:eastAsia="Times New Roman"/>
              <w:b w:val="0"/>
              <w:i w:val="0"/>
              <w:color w:val="auto"/>
            </w:rPr>
            <w:fldChar w:fldCharType="separate"/>
          </w:r>
          <w:r>
            <w:rPr>
              <w:rFonts w:eastAsia="Times New Roman"/>
              <w:b w:val="0"/>
              <w:i w:val="0"/>
              <w:color w:val="auto"/>
            </w:rPr>
            <w:t>13</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_Toc671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1) </w:t>
          </w:r>
          <w:r>
            <w:rPr>
              <w:rFonts w:hint="default" w:ascii="Times New Roman" w:hAnsi="Times New Roman" w:eastAsia="Times New Roman" w:cs="Times New Roman"/>
              <w:b w:val="0"/>
              <w:i w:val="0"/>
              <w:color w:val="auto"/>
              <w:szCs w:val="24"/>
              <w:lang w:val="en-MY"/>
            </w:rPr>
            <w:t>Creating a Sense of Urgency</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_Toc671 \h </w:instrText>
          </w:r>
          <w:r>
            <w:rPr>
              <w:rFonts w:eastAsia="Times New Roman"/>
              <w:b w:val="0"/>
              <w:i w:val="0"/>
              <w:color w:val="auto"/>
            </w:rPr>
            <w:fldChar w:fldCharType="separate"/>
          </w:r>
          <w:r>
            <w:rPr>
              <w:rFonts w:eastAsia="Times New Roman"/>
              <w:b w:val="0"/>
              <w:i w:val="0"/>
              <w:color w:val="auto"/>
            </w:rPr>
            <w:t>13</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_Toc500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2) Establishing the Guiding Coalition</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_Toc500 \h </w:instrText>
          </w:r>
          <w:r>
            <w:rPr>
              <w:rFonts w:eastAsia="Times New Roman"/>
              <w:b w:val="0"/>
              <w:i w:val="0"/>
              <w:color w:val="auto"/>
            </w:rPr>
            <w:fldChar w:fldCharType="separate"/>
          </w:r>
          <w:r>
            <w:rPr>
              <w:rFonts w:eastAsia="Times New Roman"/>
              <w:b w:val="0"/>
              <w:i w:val="0"/>
              <w:color w:val="auto"/>
            </w:rPr>
            <w:t>13</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_Toc14552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3) Developing a Change Vision</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_Toc14552 \h </w:instrText>
          </w:r>
          <w:r>
            <w:rPr>
              <w:rFonts w:eastAsia="Times New Roman"/>
              <w:b w:val="0"/>
              <w:i w:val="0"/>
              <w:color w:val="auto"/>
            </w:rPr>
            <w:fldChar w:fldCharType="separate"/>
          </w:r>
          <w:r>
            <w:rPr>
              <w:rFonts w:eastAsia="Times New Roman"/>
              <w:b w:val="0"/>
              <w:i w:val="0"/>
              <w:color w:val="auto"/>
            </w:rPr>
            <w:t>14</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_Toc27447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4) Communicating the Vision</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_Toc27447 \h </w:instrText>
          </w:r>
          <w:r>
            <w:rPr>
              <w:rFonts w:eastAsia="Times New Roman"/>
              <w:b w:val="0"/>
              <w:i w:val="0"/>
              <w:color w:val="auto"/>
            </w:rPr>
            <w:fldChar w:fldCharType="separate"/>
          </w:r>
          <w:r>
            <w:rPr>
              <w:rFonts w:eastAsia="Times New Roman"/>
              <w:b w:val="0"/>
              <w:i w:val="0"/>
              <w:color w:val="auto"/>
            </w:rPr>
            <w:t>14</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_Toc11752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5) Eliminate Barriers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_Toc11752 \h </w:instrText>
          </w:r>
          <w:r>
            <w:rPr>
              <w:rFonts w:eastAsia="Times New Roman"/>
              <w:b w:val="0"/>
              <w:i w:val="0"/>
              <w:color w:val="auto"/>
            </w:rPr>
            <w:fldChar w:fldCharType="separate"/>
          </w:r>
          <w:r>
            <w:rPr>
              <w:rFonts w:eastAsia="Times New Roman"/>
              <w:b w:val="0"/>
              <w:i w:val="0"/>
              <w:color w:val="auto"/>
            </w:rPr>
            <w:t>14</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_Toc31639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6) Achieving Short-term Success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_Toc31639 \h </w:instrText>
          </w:r>
          <w:r>
            <w:rPr>
              <w:rFonts w:eastAsia="Times New Roman"/>
              <w:b w:val="0"/>
              <w:i w:val="0"/>
              <w:color w:val="auto"/>
            </w:rPr>
            <w:fldChar w:fldCharType="separate"/>
          </w:r>
          <w:r>
            <w:rPr>
              <w:rFonts w:eastAsia="Times New Roman"/>
              <w:b w:val="0"/>
              <w:i w:val="0"/>
              <w:color w:val="auto"/>
            </w:rPr>
            <w:t>15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_Toc10163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7) Expanding on Transformation</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_Toc10163 \h </w:instrText>
          </w:r>
          <w:r>
            <w:rPr>
              <w:rFonts w:eastAsia="Times New Roman"/>
              <w:b w:val="0"/>
              <w:i w:val="0"/>
              <w:color w:val="auto"/>
            </w:rPr>
            <w:fldChar w:fldCharType="separate"/>
          </w:r>
          <w:r>
            <w:rPr>
              <w:rFonts w:eastAsia="Times New Roman"/>
              <w:b w:val="0"/>
              <w:i w:val="0"/>
              <w:color w:val="auto"/>
            </w:rPr>
            <w:t>15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5"/>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_Toc8344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8) Integrating Changes into the Company's Culture</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_Toc8344 \h </w:instrText>
          </w:r>
          <w:r>
            <w:rPr>
              <w:rFonts w:eastAsia="Times New Roman"/>
              <w:b w:val="0"/>
              <w:i w:val="0"/>
              <w:color w:val="auto"/>
            </w:rPr>
            <w:fldChar w:fldCharType="separate"/>
          </w:r>
          <w:r>
            <w:rPr>
              <w:rFonts w:eastAsia="Times New Roman"/>
              <w:b w:val="0"/>
              <w:i w:val="0"/>
              <w:color w:val="auto"/>
            </w:rPr>
            <w:t>15</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_Toc18475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3. Recommendations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_Toc18475 \h </w:instrText>
          </w:r>
          <w:r>
            <w:rPr>
              <w:rFonts w:eastAsia="Times New Roman"/>
              <w:b w:val="0"/>
              <w:i w:val="0"/>
              <w:color w:val="auto"/>
            </w:rPr>
            <w:fldChar w:fldCharType="separate"/>
          </w:r>
          <w:r>
            <w:rPr>
              <w:rFonts w:eastAsia="Times New Roman"/>
              <w:b w:val="0"/>
              <w:i w:val="0"/>
              <w:color w:val="auto"/>
            </w:rPr>
            <w:t>16</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_Toc15578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3.1 </w:t>
          </w:r>
          <w:r>
            <w:rPr>
              <w:rFonts w:hint="default" w:ascii="Times New Roman" w:hAnsi="Times New Roman" w:eastAsia="Times New Roman" w:cs="Times New Roman"/>
              <w:b w:val="0"/>
              <w:i w:val="0"/>
              <w:color w:val="auto"/>
              <w:szCs w:val="24"/>
              <w:lang w:val="en-MY"/>
            </w:rPr>
            <w:t>Enhancing Menu Localization for Diverse Palates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_Toc15578 \h </w:instrText>
          </w:r>
          <w:r>
            <w:rPr>
              <w:rFonts w:eastAsia="Times New Roman"/>
              <w:b w:val="0"/>
              <w:i w:val="0"/>
              <w:color w:val="auto"/>
            </w:rPr>
            <w:fldChar w:fldCharType="separate"/>
          </w:r>
          <w:r>
            <w:rPr>
              <w:rFonts w:eastAsia="Times New Roman"/>
              <w:b w:val="0"/>
              <w:i w:val="0"/>
              <w:color w:val="auto"/>
            </w:rPr>
            <w:t>16</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_Toc30216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3.2 </w:t>
          </w:r>
          <w:r>
            <w:rPr>
              <w:rFonts w:hint="default" w:ascii="Times New Roman" w:hAnsi="Times New Roman" w:eastAsia="Times New Roman" w:cs="Times New Roman"/>
              <w:b w:val="0"/>
              <w:i w:val="0"/>
              <w:color w:val="auto"/>
              <w:szCs w:val="24"/>
              <w:lang w:val="en-MY"/>
            </w:rPr>
            <w:t>Language Proficiency and Cultural Sensitivity Training</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_Toc30216 \h </w:instrText>
          </w:r>
          <w:r>
            <w:rPr>
              <w:rFonts w:eastAsia="Times New Roman"/>
              <w:b w:val="0"/>
              <w:i w:val="0"/>
              <w:color w:val="auto"/>
            </w:rPr>
            <w:fldChar w:fldCharType="separate"/>
          </w:r>
          <w:r>
            <w:rPr>
              <w:rFonts w:eastAsia="Times New Roman"/>
              <w:b w:val="0"/>
              <w:i w:val="0"/>
              <w:color w:val="auto"/>
            </w:rPr>
            <w:t>16</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9"/>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_Toc14465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3.3 </w:t>
          </w:r>
          <w:r>
            <w:rPr>
              <w:rFonts w:hint="default" w:ascii="Times New Roman" w:hAnsi="Times New Roman" w:eastAsia="Times New Roman" w:cs="Times New Roman"/>
              <w:b w:val="0"/>
              <w:i w:val="0"/>
              <w:color w:val="auto"/>
              <w:szCs w:val="24"/>
              <w:lang w:val="en-MY"/>
            </w:rPr>
            <w:t>Strengthening Customer Relations Through CRM</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_Toc14465 \h </w:instrText>
          </w:r>
          <w:r>
            <w:rPr>
              <w:rFonts w:eastAsia="Times New Roman"/>
              <w:b w:val="0"/>
              <w:i w:val="0"/>
              <w:color w:val="auto"/>
            </w:rPr>
            <w:fldChar w:fldCharType="separate"/>
          </w:r>
          <w:r>
            <w:rPr>
              <w:rFonts w:eastAsia="Times New Roman"/>
              <w:b w:val="0"/>
              <w:i w:val="0"/>
              <w:color w:val="auto"/>
            </w:rPr>
            <w:t>17</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_Toc19448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MY"/>
            </w:rPr>
            <w:t>4. Conclusion</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_Toc19448 \h </w:instrText>
          </w:r>
          <w:r>
            <w:rPr>
              <w:rFonts w:eastAsia="Times New Roman"/>
              <w:b w:val="0"/>
              <w:i w:val="0"/>
              <w:color w:val="auto"/>
            </w:rPr>
            <w:fldChar w:fldCharType="separate"/>
          </w:r>
          <w:r>
            <w:rPr>
              <w:rFonts w:eastAsia="Times New Roman"/>
              <w:b w:val="0"/>
              <w:i w:val="0"/>
              <w:color w:val="auto"/>
            </w:rPr>
            <w:t>17</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pStyle w:val="8"/>
            <w:tabs>
              <w:tab w:val="right" w:leader="dot" w:pos="8306"/>
            </w:tabs>
            <w:spacing w:line="480" w:lineRule="auto"/>
            <w:jc w:val="both"/>
            <w:rPr>
              <w:rFonts w:eastAsia="Times New Roman"/>
              <w:b w:val="0"/>
              <w:i w:val="0"/>
              <w:color w:val="auto"/>
            </w:rPr>
          </w:pPr>
          <w:r>
            <w:rPr>
              <w:rFonts w:hint="default" w:ascii="Times New Roman" w:hAnsi="Times New Roman" w:eastAsia="Times New Roman" w:cs="Times New Roman"/>
              <w:b w:val="0"/>
              <w:i w:val="0"/>
              <w:color w:val="auto"/>
              <w:szCs w:val="24"/>
              <w:lang w:val="en-MY"/>
            </w:rPr>
            <w:fldChar w:fldCharType="begin"/>
          </w:r>
          <w:r>
            <w:rPr>
              <w:rFonts w:hint="default" w:ascii="Times New Roman" w:hAnsi="Times New Roman" w:eastAsia="Times New Roman" w:cs="Times New Roman"/>
              <w:b w:val="0"/>
              <w:i w:val="0"/>
              <w:color w:val="auto"/>
              <w:szCs w:val="24"/>
              <w:lang w:val="en-MY"/>
            </w:rPr>
            <w:instrText xml:space="preserve"> HYPERLINK \l _Toc21021 </w:instrText>
          </w:r>
          <w:r>
            <w:rPr>
              <w:rFonts w:hint="default" w:ascii="Times New Roman" w:hAnsi="Times New Roman" w:eastAsia="Times New Roman" w:cs="Times New Roman"/>
              <w:b w:val="0"/>
              <w:i w:val="0"/>
              <w:color w:val="auto"/>
              <w:szCs w:val="24"/>
              <w:lang w:val="en-MY"/>
            </w:rPr>
            <w:fldChar w:fldCharType="separate"/>
          </w:r>
          <w:r>
            <w:rPr>
              <w:rFonts w:hint="default" w:ascii="Times New Roman" w:hAnsi="Times New Roman" w:eastAsia="Times New Roman" w:cs="Times New Roman"/>
              <w:b w:val="0"/>
              <w:i w:val="0"/>
              <w:color w:val="auto"/>
              <w:szCs w:val="24"/>
              <w:lang w:val="en-US" w:eastAsia="zh-CN"/>
            </w:rPr>
            <w:t xml:space="preserve">5. </w:t>
          </w:r>
          <w:r>
            <w:rPr>
              <w:rFonts w:hint="default" w:ascii="Times New Roman" w:hAnsi="Times New Roman" w:eastAsia="Times New Roman" w:cs="Times New Roman"/>
              <w:b w:val="0"/>
              <w:i w:val="0"/>
              <w:color w:val="auto"/>
              <w:szCs w:val="24"/>
              <w:lang w:val="en-MY"/>
            </w:rPr>
            <w:t>References</w:t>
          </w:r>
          <w:r>
            <w:rPr>
              <w:rFonts w:eastAsia="Times New Roman"/>
              <w:b w:val="0"/>
              <w:i w:val="0"/>
              <w:color w:val="auto"/>
            </w:rPr>
            <w:tab/>
          </w:r>
          <w:r>
            <w:rPr>
              <w:rFonts w:eastAsia="Times New Roman"/>
              <w:b w:val="0"/>
              <w:i w:val="0"/>
              <w:color w:val="auto"/>
            </w:rPr>
            <w:fldChar w:fldCharType="begin"/>
          </w:r>
          <w:r>
            <w:rPr>
              <w:rFonts w:eastAsia="Times New Roman"/>
              <w:b w:val="0"/>
              <w:i w:val="0"/>
              <w:color w:val="auto"/>
            </w:rPr>
            <w:instrText xml:space="preserve"> PAGEREF _Toc21021 \h </w:instrText>
          </w:r>
          <w:r>
            <w:rPr>
              <w:rFonts w:eastAsia="Times New Roman"/>
              <w:b w:val="0"/>
              <w:i w:val="0"/>
              <w:color w:val="auto"/>
            </w:rPr>
            <w:fldChar w:fldCharType="separate"/>
          </w:r>
          <w:r>
            <w:rPr>
              <w:rFonts w:eastAsia="Times New Roman"/>
              <w:b w:val="0"/>
              <w:i w:val="0"/>
              <w:color w:val="auto"/>
            </w:rPr>
            <w:t>18</w:t>
          </w:r>
          <w:r>
            <w:rPr>
              <w:rFonts w:eastAsia="Times New Roman"/>
              <w:b w:val="0"/>
              <w:i w:val="0"/>
              <w:color w:val="auto"/>
            </w:rPr>
            <w:fldChar w:fldCharType="end"/>
          </w:r>
          <w:r>
            <w:rPr>
              <w:rFonts w:hint="default" w:ascii="Times New Roman" w:hAnsi="Times New Roman" w:eastAsia="Times New Roman" w:cs="Times New Roman"/>
              <w:b w:val="0"/>
              <w:i w:val="0"/>
              <w:color w:val="auto"/>
              <w:szCs w:val="24"/>
              <w:lang w:val="en-MY"/>
            </w:rPr>
            <w:fldChar w:fldCharType="end"/>
          </w:r>
        </w:p>
        <w:p>
          <w:pPr>
            <w:spacing w:line="480" w:lineRule="auto"/>
            <w:jc w:val="both"/>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Cs w:val="24"/>
              <w:lang w:val="en-MY"/>
            </w:rPr>
            <w:fldChar w:fldCharType="end"/>
          </w:r>
        </w:p>
      </w:sdtContent>
    </w:sdt>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p>
    <w:p>
      <w:pPr>
        <w:pStyle w:val="2"/>
        <w:keepNext w:val="0"/>
        <w:keepLines w:val="0"/>
        <w:pageBreakBefore w:val="0"/>
        <w:widowControl w:val="0"/>
        <w:numPr>
          <w:ilvl w:val="0"/>
          <w:numId w:val="1"/>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bookmarkStart w:id="1" w:name="_Toc28873"/>
      <w:bookmarkStart w:id="2" w:name="_Toc23942"/>
      <w:r>
        <w:rPr>
          <w:rFonts w:hint="default" w:ascii="Times New Roman" w:hAnsi="Times New Roman" w:eastAsia="Times New Roman" w:cs="Times New Roman"/>
          <w:b/>
          <w:bCs w:val="0"/>
          <w:i w:val="0"/>
          <w:color w:val="auto"/>
          <w:sz w:val="28"/>
          <w:szCs w:val="28"/>
          <w:lang w:val="en-MY"/>
        </w:rPr>
        <w:t>Introduction</w:t>
      </w:r>
      <w:bookmarkEnd w:id="1"/>
      <w:bookmarkEnd w:id="2"/>
    </w:p>
    <w:p>
      <w:pPr>
        <w:pStyle w:val="2"/>
        <w:keepNext w:val="0"/>
        <w:keepLines w:val="0"/>
        <w:pageBreakBefore w:val="0"/>
        <w:widowControl w:val="0"/>
        <w:numPr>
          <w:numId w:val="0"/>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Banu Hot Pot, a prominent player in China's hot pot industry, boasts a rich history and deep-rooted traditions that have earned it a significant place in the hearts of consumers. In the face of a challenging market landscape, the company has not only weathered the storms but has also experienced growth, with the overall market size approaching an impressive 600 billion yuan in 2020. Founded by Du Zhongbing in 2001, Banu Hot Pot has consistently adhered to its original mission: to craft the most delectable hot pot experience with unwavering dedication (EqualOcean, n.d.). Central to the company's philosophy is the concept of "productism," championed by Du Zhongbing in 2014. This ideology places the product at the core of the service industry, emphasizing a commitment to excellence and the belief that every dish on the diner's table should tell a unique story. Banu's commitment to productism is exemplified by its relentless pursuit of quality ingredients and meticulous preparation processes. The brand has become synonymous with the finest hairy belly hot pot, mastering the art of this challenging dish with a dedication to health and taste. The introduction of papain bio-tenderization technology to the hairy belly sets Banu apart as a pioneer in the industry.</w:t>
      </w:r>
    </w:p>
    <w:p>
      <w:pPr>
        <w:pStyle w:val="2"/>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The global impact of Covid-19 has been detrimental to healthcare systems and all aspects of human life (Kaye, et al., 2021). Designated a global emergency by the World Health Organization on January 30, 2020, various governments implemented measures such as border closures, travel restrictions, and quarantine to flatten the curve. These restrictions have had far-reaching consequences on numerous countries, including the world's largest economies, leading to a global economic crisis (Onyeaka, et al., 2021). This crisis has significantly affected primary sectors like industries, secondary sectors such as manufacturing, and tertiary sectors involved in service provision. The hospitality sector, encompassing bars, restaurants, and hotels, has not been exempt from these challenges. This project specifically examines the impact of Covid-19 on the hospitality industry, with a focus on restaurants, and explores the future outlook after the pandemic. It aims to answer the question of how restaurants will change post-Covid-19 and elucidate the importance of these changes.</w:t>
      </w:r>
    </w:p>
    <w:p>
      <w:pPr>
        <w:pStyle w:val="4"/>
        <w:keepNext w:val="0"/>
        <w:keepLines w:val="0"/>
        <w:pageBreakBefore w:val="0"/>
        <w:widowControl w:val="0"/>
        <w:numPr>
          <w:ilvl w:val="0"/>
          <w:numId w:val="2"/>
        </w:numPr>
        <w:kinsoku w:val="0"/>
        <w:wordWrap/>
        <w:overflowPunct w:val="0"/>
        <w:topLinePunct w:val="0"/>
        <w:autoSpaceDE w:val="0"/>
        <w:autoSpaceDN w:val="0"/>
        <w:bidi w:val="0"/>
        <w:adjustRightInd/>
        <w:snapToGrid/>
        <w:spacing w:line="480" w:lineRule="auto"/>
        <w:jc w:val="both"/>
        <w:textAlignment w:val="auto"/>
        <w:rPr>
          <w:rFonts w:hint="default"/>
          <w:color w:val="auto"/>
          <w:sz w:val="28"/>
          <w:szCs w:val="28"/>
          <w:lang w:val="en-US"/>
        </w:rPr>
      </w:pPr>
      <w:bookmarkStart w:id="3" w:name="_Toc19829"/>
      <w:bookmarkStart w:id="4" w:name="_Toc1204"/>
      <w:bookmarkStart w:id="5" w:name="_Toc20497"/>
      <w:r>
        <w:rPr>
          <w:rFonts w:hint="default"/>
          <w:color w:val="auto"/>
          <w:sz w:val="28"/>
          <w:szCs w:val="28"/>
          <w:lang w:val="en-US"/>
        </w:rPr>
        <w:t>Main Findings</w:t>
      </w:r>
      <w:bookmarkEnd w:id="3"/>
      <w:bookmarkEnd w:id="4"/>
      <w:bookmarkEnd w:id="5"/>
    </w:p>
    <w:p>
      <w:pPr>
        <w:pStyle w:val="4"/>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jc w:val="both"/>
        <w:textAlignment w:val="auto"/>
        <w:rPr>
          <w:rFonts w:hint="default"/>
          <w:color w:val="auto"/>
          <w:lang w:val="en-US"/>
        </w:rPr>
      </w:pPr>
      <w:bookmarkStart w:id="6" w:name="_Toc25926"/>
      <w:bookmarkStart w:id="7" w:name="_Toc20700"/>
      <w:bookmarkStart w:id="8" w:name="_Toc27998"/>
      <w:r>
        <w:rPr>
          <w:rFonts w:hint="default"/>
          <w:color w:val="auto"/>
          <w:lang w:val="en-US" w:eastAsia="zh-CN"/>
        </w:rPr>
        <w:t xml:space="preserve">2.1 </w:t>
      </w:r>
      <w:r>
        <w:rPr>
          <w:rFonts w:hint="default"/>
          <w:color w:val="auto"/>
          <w:lang w:val="en-US"/>
        </w:rPr>
        <w:t>Considerations for Strategic Change and Implications for Response</w:t>
      </w:r>
      <w:bookmarkEnd w:id="6"/>
      <w:bookmarkEnd w:id="7"/>
      <w:bookmarkEnd w:id="8"/>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9" w:name="_Toc12785"/>
      <w:bookmarkStart w:id="10" w:name="_Toc1607"/>
      <w:r>
        <w:rPr>
          <w:rFonts w:hint="default" w:ascii="Times New Roman" w:hAnsi="Times New Roman" w:eastAsia="Times New Roman" w:cs="Times New Roman"/>
          <w:b/>
          <w:bCs w:val="0"/>
          <w:i w:val="0"/>
          <w:color w:val="auto"/>
          <w:sz w:val="24"/>
          <w:szCs w:val="24"/>
          <w:lang w:val="en-US" w:eastAsia="zh-CN"/>
        </w:rPr>
        <w:t xml:space="preserve">2.1.1 </w:t>
      </w:r>
      <w:r>
        <w:rPr>
          <w:rFonts w:hint="default" w:ascii="Times New Roman" w:hAnsi="Times New Roman" w:eastAsia="Times New Roman" w:cs="Times New Roman"/>
          <w:b/>
          <w:bCs w:val="0"/>
          <w:i w:val="0"/>
          <w:color w:val="auto"/>
          <w:sz w:val="24"/>
          <w:szCs w:val="24"/>
          <w:lang w:val="en-MY"/>
        </w:rPr>
        <w:t>PESTLE analysis</w:t>
      </w:r>
      <w:bookmarkEnd w:id="9"/>
      <w:bookmarkEnd w:id="10"/>
    </w:p>
    <w:p>
      <w:pPr>
        <w:pStyle w:val="4"/>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11" w:name="_Toc21525"/>
      <w:bookmarkStart w:id="12" w:name="_Toc23793"/>
      <w:r>
        <w:rPr>
          <w:rFonts w:hint="default" w:ascii="Times New Roman" w:hAnsi="Times New Roman" w:eastAsia="Times New Roman" w:cs="Times New Roman"/>
          <w:b/>
          <w:bCs w:val="0"/>
          <w:i w:val="0"/>
          <w:color w:val="auto"/>
          <w:sz w:val="24"/>
          <w:szCs w:val="24"/>
          <w:lang w:val="en-US" w:eastAsia="zh-CN"/>
        </w:rPr>
        <w:t xml:space="preserve">1) </w:t>
      </w:r>
      <w:r>
        <w:rPr>
          <w:rFonts w:hint="default" w:ascii="Times New Roman" w:hAnsi="Times New Roman" w:eastAsia="Times New Roman" w:cs="Times New Roman"/>
          <w:b/>
          <w:bCs w:val="0"/>
          <w:i w:val="0"/>
          <w:color w:val="auto"/>
          <w:sz w:val="24"/>
          <w:szCs w:val="24"/>
          <w:lang w:val="en-MY"/>
        </w:rPr>
        <w:t>Political</w:t>
      </w:r>
      <w:bookmarkEnd w:id="11"/>
      <w:bookmarkEnd w:id="1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bCs/>
          <w:i w:val="0"/>
          <w:color w:val="auto"/>
          <w:sz w:val="24"/>
          <w:szCs w:val="24"/>
          <w:lang w:val="en-MY"/>
        </w:rPr>
        <w:t>The conflict between Russia and Ukraine</w:t>
      </w:r>
      <w:r>
        <w:rPr>
          <w:rFonts w:hint="default" w:ascii="Times New Roman" w:hAnsi="Times New Roman" w:eastAsia="Times New Roman" w:cs="Times New Roman"/>
          <w:b w:val="0"/>
          <w:i w:val="0"/>
          <w:color w:val="auto"/>
          <w:sz w:val="24"/>
          <w:szCs w:val="24"/>
          <w:lang w:val="en-MY"/>
        </w:rPr>
        <w:t xml:space="preserve"> has brought geopolitics back to the forefront of international business (Henrikson, 2022). As the Chinese government is likely to </w:t>
      </w:r>
      <w:r>
        <w:rPr>
          <w:rFonts w:hint="default" w:ascii="Times New Roman" w:hAnsi="Times New Roman" w:eastAsia="Times New Roman" w:cs="Times New Roman"/>
          <w:b w:val="0"/>
          <w:bCs/>
          <w:i w:val="0"/>
          <w:color w:val="auto"/>
          <w:sz w:val="24"/>
          <w:szCs w:val="24"/>
          <w:lang w:val="en-MY"/>
        </w:rPr>
        <w:t>persist with its zero-COVID policy</w:t>
      </w:r>
      <w:r>
        <w:rPr>
          <w:rFonts w:hint="default" w:ascii="Times New Roman" w:hAnsi="Times New Roman" w:eastAsia="Times New Roman" w:cs="Times New Roman"/>
          <w:b w:val="0"/>
          <w:i w:val="0"/>
          <w:color w:val="auto"/>
          <w:sz w:val="24"/>
          <w:szCs w:val="24"/>
          <w:lang w:val="en-MY"/>
        </w:rPr>
        <w:t xml:space="preserve"> well into 2023, Banu hotpot needs a strategy not only for dealing with local lockdowns in the Chinese market but also for mitigating the impact on its global supply chain (Xiao, et al., 2023). In the restaurant industry, Banu hotpot must establish a diversified and flexible supply chain to address the challenges posed by the upcoming US recession and supply chain disruptions originating from China. In response to the Russian invasion of Ukraine,</w:t>
      </w:r>
      <w:r>
        <w:rPr>
          <w:rFonts w:hint="default" w:ascii="Times New Roman" w:hAnsi="Times New Roman" w:eastAsia="Times New Roman" w:cs="Times New Roman"/>
          <w:b w:val="0"/>
          <w:bCs/>
          <w:i w:val="0"/>
          <w:color w:val="auto"/>
          <w:sz w:val="24"/>
          <w:szCs w:val="24"/>
          <w:lang w:val="en-MY"/>
        </w:rPr>
        <w:t xml:space="preserve"> most Western governments have weaponized the currency and international finance systems through sanctions and restrictions </w:t>
      </w:r>
      <w:r>
        <w:rPr>
          <w:rFonts w:hint="default" w:ascii="Times New Roman" w:hAnsi="Times New Roman" w:eastAsia="Times New Roman" w:cs="Times New Roman"/>
          <w:b w:val="0"/>
          <w:bCs w:val="0"/>
          <w:i w:val="0"/>
          <w:color w:val="auto"/>
          <w:sz w:val="24"/>
          <w:szCs w:val="24"/>
          <w:lang w:val="en-MY"/>
        </w:rPr>
        <w:t>(Quaglia and Verdun, 2023)</w:t>
      </w:r>
      <w:r>
        <w:rPr>
          <w:rFonts w:hint="default" w:ascii="Times New Roman" w:hAnsi="Times New Roman" w:eastAsia="Times New Roman" w:cs="Times New Roman"/>
          <w:b w:val="0"/>
          <w:bCs/>
          <w:i w:val="0"/>
          <w:color w:val="auto"/>
          <w:sz w:val="24"/>
          <w:szCs w:val="24"/>
          <w:lang w:val="en-MY"/>
        </w:rPr>
        <w:t>.</w:t>
      </w:r>
      <w:r>
        <w:rPr>
          <w:rFonts w:hint="default" w:ascii="Times New Roman" w:hAnsi="Times New Roman" w:eastAsia="Times New Roman" w:cs="Times New Roman"/>
          <w:b w:val="0"/>
          <w:i w:val="0"/>
          <w:color w:val="auto"/>
          <w:sz w:val="24"/>
          <w:szCs w:val="24"/>
          <w:lang w:val="en-MY"/>
        </w:rPr>
        <w:t xml:space="preserve"> While this may have a significant short-term impact on weakening the Russian government's access to resources, it also risks undermining confidence in the international financial system for various other countries. Countries may reconsider keeping their foreign exchange reserves in US dollars. Russia's weaponization of energy will prompt EU countries to move away from Russian gas and oil, increasing pressure on energy prices. This not only results in high prices for customers in developed markets but also contributes to high levels of inflation in the developing world. The COVID-19 pandemic has revealed the world's dependence on China and how companies, such as Banul, rely on supply chains originating from China. Ban</w:t>
      </w:r>
      <w:r>
        <w:rPr>
          <w:rFonts w:hint="default" w:ascii="Times New Roman" w:hAnsi="Times New Roman" w:eastAsia="Times New Roman" w:cs="Times New Roman"/>
          <w:b w:val="0"/>
          <w:bCs/>
          <w:i w:val="0"/>
          <w:color w:val="auto"/>
          <w:sz w:val="24"/>
          <w:szCs w:val="24"/>
          <w:lang w:val="en-MY"/>
        </w:rPr>
        <w:t>u needs to diversify not only to other countries but also to other continents, ensuring that supply chain disruptions</w:t>
      </w:r>
      <w:r>
        <w:rPr>
          <w:rFonts w:hint="default" w:ascii="Times New Roman" w:hAnsi="Times New Roman" w:eastAsia="Times New Roman" w:cs="Times New Roman"/>
          <w:b w:val="0"/>
          <w:i w:val="0"/>
          <w:color w:val="auto"/>
          <w:sz w:val="24"/>
          <w:szCs w:val="24"/>
          <w:lang w:val="en-MY"/>
        </w:rPr>
        <w:t xml:space="preserve"> in one part of the world don't significantly impact its overall business in the restaurant industry.</w:t>
      </w:r>
    </w:p>
    <w:p>
      <w:pPr>
        <w:pStyle w:val="4"/>
        <w:keepNext w:val="0"/>
        <w:keepLines w:val="0"/>
        <w:pageBreakBefore w:val="0"/>
        <w:widowControl w:val="0"/>
        <w:numPr>
          <w:ilvl w:val="0"/>
          <w:numId w:val="3"/>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13" w:name="_Toc21623"/>
      <w:r>
        <w:rPr>
          <w:rFonts w:hint="default" w:ascii="Times New Roman" w:hAnsi="Times New Roman" w:eastAsia="Times New Roman" w:cs="Times New Roman"/>
          <w:b/>
          <w:bCs w:val="0"/>
          <w:i w:val="0"/>
          <w:color w:val="auto"/>
          <w:sz w:val="24"/>
          <w:szCs w:val="24"/>
          <w:lang w:val="en-US" w:eastAsia="zh-CN"/>
        </w:rPr>
        <w:t xml:space="preserve"> </w:t>
      </w:r>
      <w:bookmarkStart w:id="14" w:name="_Toc22952"/>
      <w:r>
        <w:rPr>
          <w:rFonts w:hint="default" w:ascii="Times New Roman" w:hAnsi="Times New Roman" w:eastAsia="Times New Roman" w:cs="Times New Roman"/>
          <w:b/>
          <w:bCs w:val="0"/>
          <w:i w:val="0"/>
          <w:color w:val="auto"/>
          <w:sz w:val="24"/>
          <w:szCs w:val="24"/>
          <w:lang w:val="en-MY"/>
        </w:rPr>
        <w:t>Economical</w:t>
      </w:r>
      <w:bookmarkEnd w:id="13"/>
      <w:bookmarkEnd w:id="14"/>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 xml:space="preserve">The recent </w:t>
      </w:r>
      <w:r>
        <w:rPr>
          <w:rFonts w:hint="default" w:ascii="Times New Roman" w:hAnsi="Times New Roman" w:eastAsia="Times New Roman" w:cs="Times New Roman"/>
          <w:b w:val="0"/>
          <w:bCs/>
          <w:i w:val="0"/>
          <w:color w:val="auto"/>
          <w:sz w:val="24"/>
          <w:szCs w:val="24"/>
          <w:lang w:val="en-MY"/>
        </w:rPr>
        <w:t>escalation of gas prices</w:t>
      </w:r>
      <w:r>
        <w:rPr>
          <w:rFonts w:hint="default" w:ascii="Times New Roman" w:hAnsi="Times New Roman" w:eastAsia="Times New Roman" w:cs="Times New Roman"/>
          <w:b w:val="0"/>
          <w:i w:val="0"/>
          <w:color w:val="auto"/>
          <w:sz w:val="24"/>
          <w:szCs w:val="24"/>
          <w:lang w:val="en-MY"/>
        </w:rPr>
        <w:t xml:space="preserve">, with an increase of over $5 per gallon in many U.S. states, contributes not only to inflation but also fosters heightened uncertainty within society (Ashraf, 2023). Banu hotpot must carefully manage operational costs amid these fluctuating energy prices. The confluence of </w:t>
      </w:r>
      <w:r>
        <w:rPr>
          <w:rFonts w:hint="default" w:ascii="Times New Roman" w:hAnsi="Times New Roman" w:eastAsia="Times New Roman" w:cs="Times New Roman"/>
          <w:b w:val="0"/>
          <w:bCs/>
          <w:i w:val="0"/>
          <w:color w:val="auto"/>
          <w:sz w:val="24"/>
          <w:szCs w:val="24"/>
          <w:lang w:val="en-MY"/>
        </w:rPr>
        <w:t xml:space="preserve">high inflation and employment levels </w:t>
      </w:r>
      <w:r>
        <w:rPr>
          <w:rFonts w:hint="default" w:ascii="Times New Roman" w:hAnsi="Times New Roman" w:eastAsia="Times New Roman" w:cs="Times New Roman"/>
          <w:b w:val="0"/>
          <w:i w:val="0"/>
          <w:color w:val="auto"/>
          <w:sz w:val="24"/>
          <w:szCs w:val="24"/>
          <w:lang w:val="en-MY"/>
        </w:rPr>
        <w:t>places immense pressure on wages and salaries, influencing Banu hotpot's overall profitability. Elevated costs stemming from inflation, coupled with increased labor expenses, pose notable challenges in the services industry where Banu hot pot operates. As the Federal Reserve initiates a cycle of r</w:t>
      </w:r>
      <w:r>
        <w:rPr>
          <w:rFonts w:hint="default" w:ascii="Times New Roman" w:hAnsi="Times New Roman" w:eastAsia="Times New Roman" w:cs="Times New Roman"/>
          <w:b w:val="0"/>
          <w:bCs/>
          <w:i w:val="0"/>
          <w:color w:val="auto"/>
          <w:sz w:val="24"/>
          <w:szCs w:val="24"/>
          <w:lang w:val="en-MY"/>
        </w:rPr>
        <w:t>aising interest rates,</w:t>
      </w:r>
      <w:r>
        <w:rPr>
          <w:rFonts w:hint="default" w:ascii="Times New Roman" w:hAnsi="Times New Roman" w:eastAsia="Times New Roman" w:cs="Times New Roman"/>
          <w:b w:val="0"/>
          <w:i w:val="0"/>
          <w:color w:val="auto"/>
          <w:sz w:val="24"/>
          <w:szCs w:val="24"/>
          <w:lang w:val="en-MY"/>
        </w:rPr>
        <w:t xml:space="preserve"> Banu hotpot faces implications such as reduced liquidity in the wider market and increased costs of capital, particularly in the restaurant industry. Amid these challenges, Banu 's management must prioritize efficient resource allocation and avoid broad-based spending cuts misaligned with the company's strategic objectives in the services market.</w:t>
      </w:r>
    </w:p>
    <w:p>
      <w:pPr>
        <w:pStyle w:val="4"/>
        <w:keepNext w:val="0"/>
        <w:keepLines w:val="0"/>
        <w:pageBreakBefore w:val="0"/>
        <w:widowControl w:val="0"/>
        <w:numPr>
          <w:ilvl w:val="0"/>
          <w:numId w:val="3"/>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15" w:name="_Toc7236"/>
      <w:bookmarkStart w:id="16" w:name="_Toc14253"/>
      <w:r>
        <w:rPr>
          <w:rFonts w:hint="default" w:ascii="Times New Roman" w:hAnsi="Times New Roman" w:eastAsia="Times New Roman" w:cs="Times New Roman"/>
          <w:b/>
          <w:bCs w:val="0"/>
          <w:i w:val="0"/>
          <w:color w:val="auto"/>
          <w:sz w:val="24"/>
          <w:szCs w:val="24"/>
          <w:lang w:val="en-MY"/>
        </w:rPr>
        <w:t>Social</w:t>
      </w:r>
      <w:bookmarkEnd w:id="15"/>
      <w:bookmarkEnd w:id="16"/>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 xml:space="preserve">The Housing Affordability Index for 2022 surpasses the levels seen in 2006, the peak of the subprime crisis (Coskun, 2023). </w:t>
      </w:r>
      <w:r>
        <w:rPr>
          <w:rFonts w:hint="default" w:ascii="Times New Roman" w:hAnsi="Times New Roman" w:eastAsia="Times New Roman" w:cs="Times New Roman"/>
          <w:b w:val="0"/>
          <w:bCs/>
          <w:i w:val="0"/>
          <w:color w:val="auto"/>
          <w:sz w:val="24"/>
          <w:szCs w:val="24"/>
          <w:lang w:val="en-MY"/>
        </w:rPr>
        <w:t>With diminishing supplies of new houses, rising interest rates, and inflation reaching a four-decade high, the cumulative effect is an increasing inability for people to afford homes.</w:t>
      </w:r>
      <w:r>
        <w:rPr>
          <w:rFonts w:hint="default" w:ascii="Times New Roman" w:hAnsi="Times New Roman" w:eastAsia="Times New Roman" w:cs="Times New Roman"/>
          <w:b w:val="0"/>
          <w:i w:val="0"/>
          <w:color w:val="auto"/>
          <w:sz w:val="24"/>
          <w:szCs w:val="24"/>
          <w:lang w:val="en-MY"/>
        </w:rPr>
        <w:t xml:space="preserve"> The </w:t>
      </w:r>
      <w:r>
        <w:rPr>
          <w:rFonts w:hint="default" w:ascii="Times New Roman" w:hAnsi="Times New Roman" w:eastAsia="Times New Roman" w:cs="Times New Roman"/>
          <w:b w:val="0"/>
          <w:bCs/>
          <w:i w:val="0"/>
          <w:color w:val="auto"/>
          <w:sz w:val="24"/>
          <w:szCs w:val="24"/>
          <w:lang w:val="en-MY"/>
        </w:rPr>
        <w:t>rapid retirement of baby boomers</w:t>
      </w:r>
      <w:r>
        <w:rPr>
          <w:rFonts w:hint="default" w:ascii="Times New Roman" w:hAnsi="Times New Roman" w:eastAsia="Times New Roman" w:cs="Times New Roman"/>
          <w:b w:val="0"/>
          <w:i w:val="0"/>
          <w:color w:val="auto"/>
          <w:sz w:val="24"/>
          <w:szCs w:val="24"/>
          <w:lang w:val="en-MY"/>
        </w:rPr>
        <w:t xml:space="preserve"> is reshaping demographics and intensifying pressure on both social spending and the working population. According to the Wall Street Journal, 58% of individuals over 80 in 2022 are living alone, currently comprising 4.7 million people. The American Association of Retired Persons predicts that this number will exceed 10 million in the next 15 years, causing a transformative impact across various markets.</w:t>
      </w:r>
    </w:p>
    <w:p>
      <w:pPr>
        <w:pStyle w:val="4"/>
        <w:keepNext w:val="0"/>
        <w:keepLines w:val="0"/>
        <w:pageBreakBefore w:val="0"/>
        <w:widowControl w:val="0"/>
        <w:numPr>
          <w:ilvl w:val="0"/>
          <w:numId w:val="3"/>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17" w:name="_Toc24147"/>
      <w:bookmarkStart w:id="18" w:name="_Toc12782"/>
      <w:r>
        <w:rPr>
          <w:rFonts w:hint="default" w:ascii="Times New Roman" w:hAnsi="Times New Roman" w:eastAsia="Times New Roman" w:cs="Times New Roman"/>
          <w:b/>
          <w:bCs w:val="0"/>
          <w:i w:val="0"/>
          <w:color w:val="auto"/>
          <w:sz w:val="24"/>
          <w:szCs w:val="24"/>
          <w:lang w:val="en-MY"/>
        </w:rPr>
        <w:t>Technological</w:t>
      </w:r>
      <w:bookmarkEnd w:id="17"/>
      <w:bookmarkEnd w:id="18"/>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 xml:space="preserve">Considering current trends, marketing in the Metaverse is likely to be more cost-effective on digital platforms. </w:t>
      </w:r>
      <w:r>
        <w:rPr>
          <w:rFonts w:hint="default" w:ascii="Times New Roman" w:hAnsi="Times New Roman" w:eastAsia="Times New Roman" w:cs="Times New Roman"/>
          <w:b w:val="0"/>
          <w:bCs/>
          <w:i w:val="0"/>
          <w:color w:val="auto"/>
          <w:sz w:val="24"/>
          <w:szCs w:val="24"/>
          <w:lang w:val="en-MY"/>
        </w:rPr>
        <w:t>The advancements in artificial intelligence over the next decade will redefine the restaurant industry</w:t>
      </w:r>
      <w:r>
        <w:rPr>
          <w:rFonts w:hint="default" w:ascii="Times New Roman" w:hAnsi="Times New Roman" w:eastAsia="Times New Roman" w:cs="Times New Roman"/>
          <w:b w:val="0"/>
          <w:i w:val="0"/>
          <w:color w:val="auto"/>
          <w:sz w:val="24"/>
          <w:szCs w:val="24"/>
          <w:lang w:val="en-MY"/>
        </w:rPr>
        <w:t xml:space="preserve">. Banu hotpot should prioritize investment in research and development to leverage artificial intelligence for not only improving products but also establishing a more immersive and comprehensive service network for customers. With liquidity drying up in the market, startups that were once valued at billions are now trading at significantly lower prices. </w:t>
      </w:r>
      <w:r>
        <w:rPr>
          <w:rFonts w:hint="default" w:ascii="Times New Roman" w:hAnsi="Times New Roman" w:eastAsia="Times New Roman" w:cs="Times New Roman"/>
          <w:b w:val="0"/>
          <w:bCs/>
          <w:i w:val="0"/>
          <w:color w:val="auto"/>
          <w:sz w:val="24"/>
          <w:szCs w:val="24"/>
          <w:lang w:val="en-MY"/>
        </w:rPr>
        <w:t xml:space="preserve">This situation creates an environment where companies with available cash can acquire promising startups at a fraction of their previous costs. </w:t>
      </w:r>
      <w:r>
        <w:rPr>
          <w:rFonts w:hint="default" w:ascii="Times New Roman" w:hAnsi="Times New Roman" w:eastAsia="Times New Roman" w:cs="Times New Roman"/>
          <w:b w:val="0"/>
          <w:i w:val="0"/>
          <w:color w:val="auto"/>
          <w:sz w:val="24"/>
          <w:szCs w:val="24"/>
          <w:lang w:val="en-MY"/>
        </w:rPr>
        <w:t>The reduced acquisition costs for financially sound companies will drive consolidation in various industries.</w:t>
      </w:r>
    </w:p>
    <w:p>
      <w:pPr>
        <w:pStyle w:val="4"/>
        <w:keepNext w:val="0"/>
        <w:keepLines w:val="0"/>
        <w:pageBreakBefore w:val="0"/>
        <w:widowControl w:val="0"/>
        <w:numPr>
          <w:ilvl w:val="0"/>
          <w:numId w:val="3"/>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19" w:name="_Toc307"/>
      <w:bookmarkStart w:id="20" w:name="_Toc16754"/>
      <w:r>
        <w:rPr>
          <w:rFonts w:hint="default" w:ascii="Times New Roman" w:hAnsi="Times New Roman" w:eastAsia="Times New Roman" w:cs="Times New Roman"/>
          <w:b/>
          <w:bCs w:val="0"/>
          <w:i w:val="0"/>
          <w:color w:val="auto"/>
          <w:sz w:val="24"/>
          <w:szCs w:val="24"/>
          <w:lang w:val="en-MY"/>
        </w:rPr>
        <w:t>Legal</w:t>
      </w:r>
      <w:bookmarkEnd w:id="19"/>
      <w:bookmarkEnd w:id="20"/>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 xml:space="preserve">As the world becomes more fragmented into different power zones, we can anticipate a rise in assaults on intellectual property rights and piracy. This is because </w:t>
      </w:r>
      <w:r>
        <w:rPr>
          <w:rFonts w:hint="default" w:ascii="Times New Roman" w:hAnsi="Times New Roman" w:eastAsia="Times New Roman" w:cs="Times New Roman"/>
          <w:b w:val="0"/>
          <w:bCs/>
          <w:i w:val="0"/>
          <w:color w:val="auto"/>
          <w:sz w:val="24"/>
          <w:szCs w:val="24"/>
          <w:lang w:val="en-MY"/>
        </w:rPr>
        <w:t xml:space="preserve">governments in one region may show disregard for the intellectual property rights of companies from rival nations </w:t>
      </w:r>
      <w:r>
        <w:rPr>
          <w:rFonts w:hint="default" w:ascii="Times New Roman" w:hAnsi="Times New Roman" w:eastAsia="Times New Roman" w:cs="Times New Roman"/>
          <w:b w:val="0"/>
          <w:bCs w:val="0"/>
          <w:i w:val="0"/>
          <w:color w:val="auto"/>
          <w:sz w:val="24"/>
          <w:szCs w:val="24"/>
          <w:lang w:val="en-MY"/>
        </w:rPr>
        <w:t>(Brandl, et al., 2019)</w:t>
      </w:r>
      <w:r>
        <w:rPr>
          <w:rFonts w:hint="default" w:ascii="Times New Roman" w:hAnsi="Times New Roman" w:eastAsia="Times New Roman" w:cs="Times New Roman"/>
          <w:b w:val="0"/>
          <w:bCs/>
          <w:i w:val="0"/>
          <w:color w:val="auto"/>
          <w:sz w:val="24"/>
          <w:szCs w:val="24"/>
          <w:lang w:val="en-MY"/>
        </w:rPr>
        <w:t xml:space="preserve">. </w:t>
      </w:r>
      <w:r>
        <w:rPr>
          <w:rFonts w:hint="default" w:ascii="Times New Roman" w:hAnsi="Times New Roman" w:eastAsia="Times New Roman" w:cs="Times New Roman"/>
          <w:b w:val="0"/>
          <w:i w:val="0"/>
          <w:color w:val="auto"/>
          <w:sz w:val="24"/>
          <w:szCs w:val="24"/>
          <w:lang w:val="en-MY"/>
        </w:rPr>
        <w:t>Consequently, there will likely be a surge in trade protectionism, a decline in innovation, and an increase in legal disputes among corporations. The</w:t>
      </w:r>
      <w:r>
        <w:rPr>
          <w:rFonts w:hint="default" w:ascii="Times New Roman" w:hAnsi="Times New Roman" w:eastAsia="Times New Roman" w:cs="Times New Roman"/>
          <w:b w:val="0"/>
          <w:bCs/>
          <w:i w:val="0"/>
          <w:color w:val="auto"/>
          <w:sz w:val="24"/>
          <w:szCs w:val="24"/>
          <w:lang w:val="en-MY"/>
        </w:rPr>
        <w:t xml:space="preserve"> withdrawal of numerous western companies from Russia is setting a precedent, and companies from other regions may also face significant risks of secondary sanctions if they engage in business with Russian companies.</w:t>
      </w:r>
      <w:r>
        <w:rPr>
          <w:rFonts w:hint="default" w:ascii="Times New Roman" w:hAnsi="Times New Roman" w:eastAsia="Times New Roman" w:cs="Times New Roman"/>
          <w:b w:val="0"/>
          <w:i w:val="0"/>
          <w:color w:val="auto"/>
          <w:sz w:val="24"/>
          <w:szCs w:val="24"/>
          <w:lang w:val="en-MY"/>
        </w:rPr>
        <w:t xml:space="preserve"> This scenario is expected to create an environment where the existing structure of the World Trade Organization and its rules begins to erode at the periphery.</w:t>
      </w:r>
    </w:p>
    <w:p>
      <w:pPr>
        <w:pStyle w:val="4"/>
        <w:keepNext w:val="0"/>
        <w:keepLines w:val="0"/>
        <w:pageBreakBefore w:val="0"/>
        <w:widowControl w:val="0"/>
        <w:numPr>
          <w:ilvl w:val="0"/>
          <w:numId w:val="3"/>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21" w:name="_Toc7244"/>
      <w:bookmarkStart w:id="22" w:name="_Toc1871"/>
      <w:r>
        <w:rPr>
          <w:rFonts w:hint="default" w:ascii="Times New Roman" w:hAnsi="Times New Roman" w:eastAsia="Times New Roman" w:cs="Times New Roman"/>
          <w:b/>
          <w:bCs w:val="0"/>
          <w:i w:val="0"/>
          <w:color w:val="auto"/>
          <w:sz w:val="24"/>
          <w:szCs w:val="24"/>
          <w:lang w:val="en-MY"/>
        </w:rPr>
        <w:t>Environment</w:t>
      </w:r>
      <w:bookmarkEnd w:id="21"/>
      <w:bookmarkEnd w:id="2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bCs/>
          <w:i w:val="0"/>
          <w:color w:val="auto"/>
          <w:sz w:val="24"/>
          <w:szCs w:val="24"/>
          <w:lang w:val="en-MY"/>
        </w:rPr>
        <w:t xml:space="preserve">Due to Russia's refusal to supply gas and energy, Germany has faced a shortage, prompting a return to coal usage </w:t>
      </w:r>
      <w:r>
        <w:rPr>
          <w:rFonts w:hint="default" w:ascii="Times New Roman" w:hAnsi="Times New Roman" w:eastAsia="Times New Roman" w:cs="Times New Roman"/>
          <w:b w:val="0"/>
          <w:bCs w:val="0"/>
          <w:i w:val="0"/>
          <w:color w:val="auto"/>
          <w:sz w:val="24"/>
          <w:szCs w:val="24"/>
          <w:lang w:val="en-MY"/>
        </w:rPr>
        <w:t>(Rokicki, et al., 2023)</w:t>
      </w:r>
      <w:r>
        <w:rPr>
          <w:rFonts w:hint="default" w:ascii="Times New Roman" w:hAnsi="Times New Roman" w:eastAsia="Times New Roman" w:cs="Times New Roman"/>
          <w:b w:val="0"/>
          <w:i w:val="0"/>
          <w:color w:val="auto"/>
          <w:sz w:val="24"/>
          <w:szCs w:val="24"/>
          <w:lang w:val="en-MY"/>
        </w:rPr>
        <w:t>. This shift has led to a diminished resistance among politicians to impose stricter regulations on fossil fuel entities. Interestingly, the fossil fuel industry has emerged as the primary beneficiaries of the Russia-Ukraine war. The conflict has bolstered their profitability, mitigated the threat of regulatory actions, and reinstated these companies in decision-making processes. As the world witnesses a renewed power struggle between the United States and China, a global division into blocs is underway.</w:t>
      </w:r>
      <w:r>
        <w:rPr>
          <w:rFonts w:hint="default" w:ascii="Times New Roman" w:hAnsi="Times New Roman" w:eastAsia="Times New Roman" w:cs="Times New Roman"/>
          <w:b w:val="0"/>
          <w:bCs/>
          <w:i w:val="0"/>
          <w:color w:val="auto"/>
          <w:sz w:val="24"/>
          <w:szCs w:val="24"/>
          <w:lang w:val="en-MY"/>
        </w:rPr>
        <w:t xml:space="preserve"> Different countries are adopting diverse standards for products and services, r</w:t>
      </w:r>
      <w:r>
        <w:rPr>
          <w:rFonts w:hint="default" w:ascii="Times New Roman" w:hAnsi="Times New Roman" w:eastAsia="Times New Roman" w:cs="Times New Roman"/>
          <w:b w:val="0"/>
          <w:i w:val="0"/>
          <w:color w:val="auto"/>
          <w:sz w:val="24"/>
          <w:szCs w:val="24"/>
          <w:lang w:val="en-MY"/>
        </w:rPr>
        <w:t xml:space="preserve">esulting in heightened capital costs and restricted supply chain options for businesses. Major investment firms, including BlackRock, Vanguard, and the UBS Group, are contemplating the </w:t>
      </w:r>
      <w:r>
        <w:rPr>
          <w:rFonts w:hint="default" w:ascii="Times New Roman" w:hAnsi="Times New Roman" w:eastAsia="Times New Roman" w:cs="Times New Roman"/>
          <w:b w:val="0"/>
          <w:bCs/>
          <w:i w:val="0"/>
          <w:color w:val="auto"/>
          <w:sz w:val="24"/>
          <w:szCs w:val="24"/>
          <w:lang w:val="en-MY"/>
        </w:rPr>
        <w:t>incorporation of Environmental, Social, and Governance (ESG) strategies</w:t>
      </w:r>
      <w:r>
        <w:rPr>
          <w:rFonts w:hint="default" w:ascii="Times New Roman" w:hAnsi="Times New Roman" w:eastAsia="Times New Roman" w:cs="Times New Roman"/>
          <w:b w:val="0"/>
          <w:i w:val="0"/>
          <w:color w:val="auto"/>
          <w:sz w:val="24"/>
          <w:szCs w:val="24"/>
          <w:lang w:val="en-MY"/>
        </w:rPr>
        <w:t xml:space="preserve"> into their investment approaches. This development is set to exert additional pressure on companies across various sectors to formulate more comprehensive strategies, given that the combined investment portfolio of these three companies exceeds 23 trillion USD.</w:t>
      </w:r>
      <w:bookmarkStart w:id="23" w:name="_Toc19134"/>
      <w:bookmarkStart w:id="24" w:name="_Toc17207"/>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r>
        <w:rPr>
          <w:rFonts w:hint="default" w:ascii="Times New Roman" w:hAnsi="Times New Roman" w:eastAsia="Times New Roman" w:cs="Times New Roman"/>
          <w:b/>
          <w:bCs w:val="0"/>
          <w:i w:val="0"/>
          <w:color w:val="auto"/>
          <w:sz w:val="24"/>
          <w:szCs w:val="24"/>
          <w:lang w:val="en-US" w:eastAsia="zh-CN"/>
        </w:rPr>
        <w:t xml:space="preserve">2.1.2 </w:t>
      </w:r>
      <w:r>
        <w:rPr>
          <w:rFonts w:hint="default" w:ascii="Times New Roman" w:hAnsi="Times New Roman" w:eastAsia="Times New Roman" w:cs="Times New Roman"/>
          <w:b/>
          <w:bCs w:val="0"/>
          <w:i w:val="0"/>
          <w:color w:val="auto"/>
          <w:sz w:val="24"/>
          <w:szCs w:val="24"/>
          <w:lang w:val="en-MY"/>
        </w:rPr>
        <w:t>Stakeholder Analysis</w:t>
      </w:r>
      <w:bookmarkEnd w:id="23"/>
      <w:bookmarkEnd w:id="24"/>
      <w:bookmarkStart w:id="25" w:name="_Toc22864"/>
      <w:bookmarkStart w:id="26" w:name="_Toc27902"/>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r>
        <w:rPr>
          <w:rFonts w:hint="default" w:ascii="Times New Roman" w:hAnsi="Times New Roman" w:eastAsia="Times New Roman" w:cs="Times New Roman"/>
          <w:b/>
          <w:bCs w:val="0"/>
          <w:i w:val="0"/>
          <w:color w:val="auto"/>
          <w:sz w:val="24"/>
          <w:szCs w:val="24"/>
          <w:lang w:val="en-US" w:eastAsia="zh-CN"/>
        </w:rPr>
        <w:t xml:space="preserve">1) </w:t>
      </w:r>
      <w:r>
        <w:rPr>
          <w:rFonts w:hint="default" w:ascii="Times New Roman" w:hAnsi="Times New Roman" w:eastAsia="Times New Roman" w:cs="Times New Roman"/>
          <w:b/>
          <w:bCs w:val="0"/>
          <w:i w:val="0"/>
          <w:color w:val="auto"/>
          <w:sz w:val="24"/>
          <w:szCs w:val="24"/>
          <w:lang w:val="en-MY"/>
        </w:rPr>
        <w:t>Customers</w:t>
      </w:r>
      <w:bookmarkEnd w:id="25"/>
      <w:bookmarkEnd w:id="26"/>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the quality, variety, and safety of the hot pot offerings. Concerned about the dining experience, pricing, and convenience. High in power, as their choices directly impact the success of Banu hotpot. Their feedback can influence the reputation and future patronage of the restaurant.</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27" w:name="_Toc16001"/>
      <w:r>
        <w:rPr>
          <w:rFonts w:hint="default" w:ascii="Times New Roman" w:hAnsi="Times New Roman" w:eastAsia="Times New Roman" w:cs="Times New Roman"/>
          <w:b/>
          <w:bCs w:val="0"/>
          <w:i w:val="0"/>
          <w:color w:val="auto"/>
          <w:sz w:val="24"/>
          <w:szCs w:val="24"/>
          <w:lang w:val="en-US" w:eastAsia="zh-CN"/>
        </w:rPr>
        <w:t xml:space="preserve"> </w:t>
      </w:r>
      <w:bookmarkStart w:id="28" w:name="_Toc6952"/>
      <w:r>
        <w:rPr>
          <w:rFonts w:hint="default" w:ascii="Times New Roman" w:hAnsi="Times New Roman" w:eastAsia="Times New Roman" w:cs="Times New Roman"/>
          <w:b/>
          <w:bCs w:val="0"/>
          <w:i w:val="0"/>
          <w:color w:val="auto"/>
          <w:sz w:val="24"/>
          <w:szCs w:val="24"/>
          <w:lang w:val="en-MY"/>
        </w:rPr>
        <w:t>Employees and Management of Banu Hotpot</w:t>
      </w:r>
      <w:bookmarkEnd w:id="27"/>
      <w:bookmarkEnd w:id="28"/>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job security, work environment, and potential changes in company policies. Management is concerned with the overall performance and profitability of the business. Moderate to high in power, as employees collectively contribute to the daily operations, and management holds decision-making authority.</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29" w:name="_Toc7711"/>
      <w:r>
        <w:rPr>
          <w:rFonts w:hint="default" w:ascii="Times New Roman" w:hAnsi="Times New Roman" w:eastAsia="Times New Roman" w:cs="Times New Roman"/>
          <w:b/>
          <w:bCs w:val="0"/>
          <w:i w:val="0"/>
          <w:color w:val="auto"/>
          <w:sz w:val="24"/>
          <w:szCs w:val="24"/>
          <w:lang w:val="en-US" w:eastAsia="zh-CN"/>
        </w:rPr>
        <w:t xml:space="preserve"> </w:t>
      </w:r>
      <w:bookmarkStart w:id="30" w:name="_Toc25700"/>
      <w:r>
        <w:rPr>
          <w:rFonts w:hint="default" w:ascii="Times New Roman" w:hAnsi="Times New Roman" w:eastAsia="Times New Roman" w:cs="Times New Roman"/>
          <w:b/>
          <w:bCs w:val="0"/>
          <w:i w:val="0"/>
          <w:color w:val="auto"/>
          <w:sz w:val="24"/>
          <w:szCs w:val="24"/>
          <w:lang w:val="en-MY"/>
        </w:rPr>
        <w:t>Investors</w:t>
      </w:r>
      <w:bookmarkEnd w:id="29"/>
      <w:bookmarkEnd w:id="30"/>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the financial performance and growth prospects of Banu Hotpot. Concerned about returns on investment and the ability of the company to navigate economic challenges. High in power, as they have invested capital and may influence strategic decisions through their financial stake in the company.</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31" w:name="_Toc194"/>
      <w:r>
        <w:rPr>
          <w:rFonts w:hint="default" w:ascii="Times New Roman" w:hAnsi="Times New Roman" w:eastAsia="Times New Roman" w:cs="Times New Roman"/>
          <w:b/>
          <w:bCs w:val="0"/>
          <w:i w:val="0"/>
          <w:color w:val="auto"/>
          <w:sz w:val="24"/>
          <w:szCs w:val="24"/>
          <w:lang w:val="en-US" w:eastAsia="zh-CN"/>
        </w:rPr>
        <w:t xml:space="preserve"> </w:t>
      </w:r>
      <w:bookmarkStart w:id="32" w:name="_Toc5656"/>
      <w:r>
        <w:rPr>
          <w:rFonts w:hint="default" w:ascii="Times New Roman" w:hAnsi="Times New Roman" w:eastAsia="Times New Roman" w:cs="Times New Roman"/>
          <w:b/>
          <w:bCs w:val="0"/>
          <w:i w:val="0"/>
          <w:color w:val="auto"/>
          <w:sz w:val="24"/>
          <w:szCs w:val="24"/>
          <w:lang w:val="en-MY"/>
        </w:rPr>
        <w:t>Suppliers</w:t>
      </w:r>
      <w:bookmarkEnd w:id="31"/>
      <w:bookmarkEnd w:id="3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consistent and reliable business from Banu Hotpot. Concerned about payment terms, volume of orders, and potential changes in the business relationship.</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Moderate level of power, as their ability to supply quality ingredients contributes to the restaurant's offerings, but Banu Hotpot may have alternative suppliers.</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33" w:name="_Toc6806"/>
      <w:r>
        <w:rPr>
          <w:rFonts w:hint="default" w:ascii="Times New Roman" w:hAnsi="Times New Roman" w:eastAsia="Times New Roman" w:cs="Times New Roman"/>
          <w:b/>
          <w:bCs w:val="0"/>
          <w:i w:val="0"/>
          <w:color w:val="auto"/>
          <w:sz w:val="24"/>
          <w:szCs w:val="24"/>
          <w:lang w:val="en-US" w:eastAsia="zh-CN"/>
        </w:rPr>
        <w:t xml:space="preserve"> </w:t>
      </w:r>
      <w:bookmarkStart w:id="34" w:name="_Toc27571"/>
      <w:r>
        <w:rPr>
          <w:rFonts w:hint="default" w:ascii="Times New Roman" w:hAnsi="Times New Roman" w:eastAsia="Times New Roman" w:cs="Times New Roman"/>
          <w:b/>
          <w:bCs w:val="0"/>
          <w:i w:val="0"/>
          <w:color w:val="auto"/>
          <w:sz w:val="24"/>
          <w:szCs w:val="24"/>
          <w:lang w:val="en-MY"/>
        </w:rPr>
        <w:t>Government and Regulatory Bodies</w:t>
      </w:r>
      <w:bookmarkEnd w:id="33"/>
      <w:bookmarkEnd w:id="34"/>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compliance with health and safety regulations, tax payments, and adherence to employment laws. Their power level is moderate to high, as they can impose fines, penalties, or legal actions for non-compliance, impacting the business operations.</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35" w:name="_Toc30035"/>
      <w:r>
        <w:rPr>
          <w:rFonts w:hint="default" w:ascii="Times New Roman" w:hAnsi="Times New Roman" w:eastAsia="Times New Roman" w:cs="Times New Roman"/>
          <w:b/>
          <w:bCs w:val="0"/>
          <w:i w:val="0"/>
          <w:color w:val="auto"/>
          <w:sz w:val="24"/>
          <w:szCs w:val="24"/>
          <w:lang w:val="en-US" w:eastAsia="zh-CN"/>
        </w:rPr>
        <w:t xml:space="preserve"> </w:t>
      </w:r>
      <w:bookmarkStart w:id="36" w:name="_Toc12778"/>
      <w:r>
        <w:rPr>
          <w:rFonts w:hint="default" w:ascii="Times New Roman" w:hAnsi="Times New Roman" w:eastAsia="Times New Roman" w:cs="Times New Roman"/>
          <w:b/>
          <w:bCs w:val="0"/>
          <w:i w:val="0"/>
          <w:color w:val="auto"/>
          <w:sz w:val="24"/>
          <w:szCs w:val="24"/>
          <w:lang w:val="en-MY"/>
        </w:rPr>
        <w:t>Competitors</w:t>
      </w:r>
      <w:bookmarkEnd w:id="35"/>
      <w:bookmarkEnd w:id="36"/>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Banu Hotpot's market share, strategies, and customer base. Concerned about potential competitive advantages gained by Banu. Power level of moderate, as they can influence market dynamics and may react strategically to changes initiated by Banu Hotpot.</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37" w:name="_Toc25631"/>
      <w:r>
        <w:rPr>
          <w:rFonts w:hint="default" w:ascii="Times New Roman" w:hAnsi="Times New Roman" w:eastAsia="Times New Roman" w:cs="Times New Roman"/>
          <w:b/>
          <w:bCs w:val="0"/>
          <w:i w:val="0"/>
          <w:color w:val="auto"/>
          <w:sz w:val="24"/>
          <w:szCs w:val="24"/>
          <w:lang w:val="en-US" w:eastAsia="zh-CN"/>
        </w:rPr>
        <w:t xml:space="preserve"> </w:t>
      </w:r>
      <w:bookmarkStart w:id="38" w:name="_Toc13470"/>
      <w:r>
        <w:rPr>
          <w:rFonts w:hint="default" w:ascii="Times New Roman" w:hAnsi="Times New Roman" w:eastAsia="Times New Roman" w:cs="Times New Roman"/>
          <w:b/>
          <w:bCs w:val="0"/>
          <w:i w:val="0"/>
          <w:color w:val="auto"/>
          <w:sz w:val="24"/>
          <w:szCs w:val="24"/>
          <w:lang w:val="en-MY"/>
        </w:rPr>
        <w:t>Media and Public</w:t>
      </w:r>
      <w:bookmarkEnd w:id="37"/>
      <w:bookmarkEnd w:id="38"/>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the reputation, ethical practices, and social responsibility of Banu Hotpot. Their perceptions can influence public opinion. Moderate to high level of power, as negative publicity can impact the brand image and customer trust.</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39" w:name="_Toc29606"/>
      <w:r>
        <w:rPr>
          <w:rFonts w:hint="default" w:ascii="Times New Roman" w:hAnsi="Times New Roman" w:eastAsia="Times New Roman" w:cs="Times New Roman"/>
          <w:b/>
          <w:bCs w:val="0"/>
          <w:i w:val="0"/>
          <w:color w:val="auto"/>
          <w:sz w:val="24"/>
          <w:szCs w:val="24"/>
          <w:lang w:val="en-US" w:eastAsia="zh-CN"/>
        </w:rPr>
        <w:t xml:space="preserve"> </w:t>
      </w:r>
      <w:bookmarkStart w:id="40" w:name="_Toc27944"/>
      <w:r>
        <w:rPr>
          <w:rFonts w:hint="default" w:ascii="Times New Roman" w:hAnsi="Times New Roman" w:eastAsia="Times New Roman" w:cs="Times New Roman"/>
          <w:b/>
          <w:bCs w:val="0"/>
          <w:i w:val="0"/>
          <w:color w:val="auto"/>
          <w:sz w:val="24"/>
          <w:szCs w:val="24"/>
          <w:lang w:val="en-MY"/>
        </w:rPr>
        <w:t>Industry Associations</w:t>
      </w:r>
      <w:bookmarkEnd w:id="39"/>
      <w:bookmarkEnd w:id="40"/>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the overall health and sustainability of the hot pot industry. Concerned about industry standards, regulations, and collaborative initiatives. Moderate level of power, as they may have collective influence on industry practices and could advocate for or against certain policies affecting Banu Hotpot.</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41" w:name="_Toc26237"/>
      <w:r>
        <w:rPr>
          <w:rFonts w:hint="default" w:ascii="Times New Roman" w:hAnsi="Times New Roman" w:eastAsia="Times New Roman" w:cs="Times New Roman"/>
          <w:b/>
          <w:bCs w:val="0"/>
          <w:i w:val="0"/>
          <w:color w:val="auto"/>
          <w:sz w:val="24"/>
          <w:szCs w:val="24"/>
          <w:lang w:val="en-US" w:eastAsia="zh-CN"/>
        </w:rPr>
        <w:t xml:space="preserve"> </w:t>
      </w:r>
      <w:bookmarkStart w:id="42" w:name="_Toc32645"/>
      <w:r>
        <w:rPr>
          <w:rFonts w:hint="default" w:ascii="Times New Roman" w:hAnsi="Times New Roman" w:eastAsia="Times New Roman" w:cs="Times New Roman"/>
          <w:b/>
          <w:bCs w:val="0"/>
          <w:i w:val="0"/>
          <w:color w:val="auto"/>
          <w:sz w:val="24"/>
          <w:szCs w:val="24"/>
          <w:lang w:val="en-MY"/>
        </w:rPr>
        <w:t>Local Communities</w:t>
      </w:r>
      <w:bookmarkEnd w:id="41"/>
      <w:bookmarkEnd w:id="4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Banu Hotpot's contribution to the local economy, employment opportunities, and adherence to community values. Moderate in power, as they may influence local sentiment and could engage in community-driven actions that impact the restaurant.</w:t>
      </w:r>
    </w:p>
    <w:p>
      <w:pPr>
        <w:pStyle w:val="4"/>
        <w:keepNext w:val="0"/>
        <w:keepLines w:val="0"/>
        <w:pageBreakBefore w:val="0"/>
        <w:widowControl w:val="0"/>
        <w:numPr>
          <w:ilvl w:val="0"/>
          <w:numId w:val="4"/>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43" w:name="_Toc18976"/>
      <w:r>
        <w:rPr>
          <w:rFonts w:hint="default" w:ascii="Times New Roman" w:hAnsi="Times New Roman" w:eastAsia="Times New Roman" w:cs="Times New Roman"/>
          <w:b/>
          <w:bCs w:val="0"/>
          <w:i w:val="0"/>
          <w:color w:val="auto"/>
          <w:sz w:val="24"/>
          <w:szCs w:val="24"/>
          <w:lang w:val="en-US" w:eastAsia="zh-CN"/>
        </w:rPr>
        <w:t xml:space="preserve"> </w:t>
      </w:r>
      <w:bookmarkStart w:id="44" w:name="_Toc23211"/>
      <w:r>
        <w:rPr>
          <w:rFonts w:hint="default" w:ascii="Times New Roman" w:hAnsi="Times New Roman" w:eastAsia="Times New Roman" w:cs="Times New Roman"/>
          <w:b/>
          <w:bCs w:val="0"/>
          <w:i w:val="0"/>
          <w:color w:val="auto"/>
          <w:sz w:val="24"/>
          <w:szCs w:val="24"/>
          <w:lang w:val="en-MY"/>
        </w:rPr>
        <w:t>NGOs and Advocacy Groups</w:t>
      </w:r>
      <w:bookmarkEnd w:id="43"/>
      <w:bookmarkEnd w:id="44"/>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Interested in Banu Hotpot's social and environmental practices. Concerned about issues such as sustainability, fair labor practices, and ethical sourcing. Moderate in power, as they may exert influence through public awareness campaigns and advocacy efforts.</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p>
    <w:p>
      <w:pPr>
        <w:pStyle w:val="2"/>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outlineLvl w:val="3"/>
        <w:rPr>
          <w:rFonts w:hint="default" w:ascii="Times New Roman" w:hAnsi="Times New Roman" w:eastAsia="Times New Roman" w:cs="Times New Roman"/>
          <w:b/>
          <w:bCs w:val="0"/>
          <w:i w:val="0"/>
          <w:color w:val="auto"/>
          <w:sz w:val="24"/>
          <w:szCs w:val="24"/>
          <w:lang w:val="en-MY"/>
        </w:rPr>
      </w:pPr>
      <w:bookmarkStart w:id="45" w:name="_Toc32755"/>
      <w:bookmarkStart w:id="46" w:name="_Toc18801"/>
      <w:r>
        <w:rPr>
          <w:rFonts w:hint="default" w:ascii="Times New Roman" w:hAnsi="Times New Roman" w:eastAsia="Times New Roman" w:cs="Times New Roman"/>
          <w:b/>
          <w:bCs w:val="0"/>
          <w:i w:val="0"/>
          <w:color w:val="auto"/>
          <w:sz w:val="24"/>
          <w:szCs w:val="24"/>
          <w:lang w:val="en-US" w:eastAsia="zh-CN"/>
        </w:rPr>
        <w:t xml:space="preserve">2.2 </w:t>
      </w:r>
      <w:r>
        <w:rPr>
          <w:rFonts w:hint="default" w:ascii="Times New Roman" w:hAnsi="Times New Roman" w:eastAsia="Times New Roman" w:cs="Times New Roman"/>
          <w:b/>
          <w:bCs w:val="0"/>
          <w:i w:val="0"/>
          <w:color w:val="auto"/>
          <w:sz w:val="24"/>
          <w:szCs w:val="24"/>
          <w:lang w:val="en-MY"/>
        </w:rPr>
        <w:t>Models of Change</w:t>
      </w:r>
      <w:bookmarkEnd w:id="45"/>
      <w:bookmarkEnd w:id="46"/>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47" w:name="_Toc25502"/>
      <w:bookmarkStart w:id="48" w:name="_Toc28869"/>
      <w:r>
        <w:rPr>
          <w:rFonts w:hint="default" w:ascii="Times New Roman" w:hAnsi="Times New Roman" w:eastAsia="Times New Roman" w:cs="Times New Roman"/>
          <w:b/>
          <w:bCs w:val="0"/>
          <w:i w:val="0"/>
          <w:color w:val="auto"/>
          <w:sz w:val="24"/>
          <w:szCs w:val="24"/>
          <w:lang w:val="en-US" w:eastAsia="zh-CN"/>
        </w:rPr>
        <w:t xml:space="preserve">2.2.1 </w:t>
      </w:r>
      <w:r>
        <w:rPr>
          <w:rFonts w:hint="default" w:ascii="Times New Roman" w:hAnsi="Times New Roman" w:eastAsia="Times New Roman" w:cs="Times New Roman"/>
          <w:b/>
          <w:bCs w:val="0"/>
          <w:i w:val="0"/>
          <w:color w:val="auto"/>
          <w:sz w:val="24"/>
          <w:szCs w:val="24"/>
          <w:lang w:val="en-MY"/>
        </w:rPr>
        <w:t>Kurt Lewin's Change Model</w:t>
      </w:r>
      <w:bookmarkEnd w:id="47"/>
      <w:bookmarkEnd w:id="48"/>
      <w:r>
        <w:rPr>
          <w:rFonts w:hint="default" w:ascii="Times New Roman" w:hAnsi="Times New Roman" w:eastAsia="Times New Roman" w:cs="Times New Roman"/>
          <w:b/>
          <w:bCs w:val="0"/>
          <w:i w:val="0"/>
          <w:color w:val="auto"/>
          <w:sz w:val="24"/>
          <w:szCs w:val="24"/>
          <w:lang w:val="en-MY"/>
        </w:rPr>
        <w:t xml:space="preserve"> </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It involves a three-step process: Unfreeze, Change, and Refreeze. This model is particularly useful for organizations undergoing significant changes. Applying this model to Banu Hot Pot's current situation involves understanding how the company can navigate challenges and implement necessary adaptations.</w:t>
      </w:r>
    </w:p>
    <w:p>
      <w:pPr>
        <w:pStyle w:val="4"/>
        <w:keepNext w:val="0"/>
        <w:keepLines w:val="0"/>
        <w:pageBreakBefore w:val="0"/>
        <w:widowControl w:val="0"/>
        <w:numPr>
          <w:ilvl w:val="0"/>
          <w:numId w:val="5"/>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49" w:name="_Toc24356"/>
      <w:r>
        <w:rPr>
          <w:rFonts w:hint="default" w:ascii="Times New Roman" w:hAnsi="Times New Roman" w:eastAsia="Times New Roman" w:cs="Times New Roman"/>
          <w:b/>
          <w:bCs w:val="0"/>
          <w:i w:val="0"/>
          <w:color w:val="auto"/>
          <w:sz w:val="24"/>
          <w:szCs w:val="24"/>
          <w:lang w:val="en-US" w:eastAsia="zh-CN"/>
        </w:rPr>
        <w:t xml:space="preserve"> </w:t>
      </w:r>
      <w:bookmarkStart w:id="50" w:name="_Toc5897"/>
      <w:r>
        <w:rPr>
          <w:rFonts w:hint="default" w:ascii="Times New Roman" w:hAnsi="Times New Roman" w:eastAsia="Times New Roman" w:cs="Times New Roman"/>
          <w:b/>
          <w:bCs w:val="0"/>
          <w:i w:val="0"/>
          <w:color w:val="auto"/>
          <w:sz w:val="24"/>
          <w:szCs w:val="24"/>
          <w:lang w:val="en-MY"/>
        </w:rPr>
        <w:t>Unfreeze</w:t>
      </w:r>
      <w:bookmarkEnd w:id="49"/>
      <w:bookmarkEnd w:id="50"/>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Banu Hot Pot needs to foster a deep understanding among its employees and stakeholders regarding the necessity for change. This involves communicating the challenges posed by the COVID-19 pandemic, geopolitical tensions, and economic uncertainties. Besides, emphasize the critical nature of the challenges and the need for prompt and effective responses. This may involve sharing data on the impact of the pandemic on the hospitality industry and the potential risks associated with geopolitical and economic shifts.</w:t>
      </w:r>
    </w:p>
    <w:p>
      <w:pPr>
        <w:pStyle w:val="4"/>
        <w:keepNext w:val="0"/>
        <w:keepLines w:val="0"/>
        <w:pageBreakBefore w:val="0"/>
        <w:widowControl w:val="0"/>
        <w:numPr>
          <w:ilvl w:val="0"/>
          <w:numId w:val="5"/>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51" w:name="_Toc10856"/>
      <w:r>
        <w:rPr>
          <w:rFonts w:hint="default" w:ascii="Times New Roman" w:hAnsi="Times New Roman" w:eastAsia="Times New Roman" w:cs="Times New Roman"/>
          <w:b/>
          <w:bCs w:val="0"/>
          <w:i w:val="0"/>
          <w:color w:val="auto"/>
          <w:sz w:val="24"/>
          <w:szCs w:val="24"/>
          <w:lang w:val="en-US" w:eastAsia="zh-CN"/>
        </w:rPr>
        <w:t xml:space="preserve"> </w:t>
      </w:r>
      <w:bookmarkStart w:id="52" w:name="_Toc5812"/>
      <w:r>
        <w:rPr>
          <w:rFonts w:hint="default" w:ascii="Times New Roman" w:hAnsi="Times New Roman" w:eastAsia="Times New Roman" w:cs="Times New Roman"/>
          <w:b/>
          <w:bCs w:val="0"/>
          <w:i w:val="0"/>
          <w:color w:val="auto"/>
          <w:sz w:val="24"/>
          <w:szCs w:val="24"/>
          <w:lang w:val="en-MY"/>
        </w:rPr>
        <w:t>Change</w:t>
      </w:r>
      <w:bookmarkEnd w:id="51"/>
      <w:bookmarkEnd w:id="5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Banu should initiate strategic changes in response to the identified challenges. This may include diversifying the supply chain to mitigate geopolitical risks, adopting cost-effective operational measures to address economic challenges, and leveraging technology for enhanced customer experiences. Moreover, Involve employees in the change process by seeking their input and feedback. This not only promotes a sense of ownership but also brings valuable insights into the challenges faced by different departments.</w:t>
      </w:r>
    </w:p>
    <w:p>
      <w:pPr>
        <w:pStyle w:val="4"/>
        <w:keepNext w:val="0"/>
        <w:keepLines w:val="0"/>
        <w:pageBreakBefore w:val="0"/>
        <w:widowControl w:val="0"/>
        <w:numPr>
          <w:ilvl w:val="0"/>
          <w:numId w:val="5"/>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53" w:name="_Toc31525"/>
      <w:r>
        <w:rPr>
          <w:rFonts w:hint="default" w:ascii="Times New Roman" w:hAnsi="Times New Roman" w:eastAsia="Times New Roman" w:cs="Times New Roman"/>
          <w:b/>
          <w:bCs w:val="0"/>
          <w:i w:val="0"/>
          <w:color w:val="auto"/>
          <w:sz w:val="24"/>
          <w:szCs w:val="24"/>
          <w:lang w:val="en-US" w:eastAsia="zh-CN"/>
        </w:rPr>
        <w:t xml:space="preserve"> </w:t>
      </w:r>
      <w:bookmarkStart w:id="54" w:name="_Toc27228"/>
      <w:r>
        <w:rPr>
          <w:rFonts w:hint="default" w:ascii="Times New Roman" w:hAnsi="Times New Roman" w:eastAsia="Times New Roman" w:cs="Times New Roman"/>
          <w:b/>
          <w:bCs w:val="0"/>
          <w:i w:val="0"/>
          <w:color w:val="auto"/>
          <w:sz w:val="24"/>
          <w:szCs w:val="24"/>
          <w:lang w:val="en-MY"/>
        </w:rPr>
        <w:t>Refreeze</w:t>
      </w:r>
      <w:bookmarkEnd w:id="53"/>
      <w:bookmarkEnd w:id="54"/>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Once the strategic changes are implemented, focus on stabilizing the new processes and procedures. Ensure that the organization adapts effectively to the changes and that employees are comfortable with the new ways of working. Communicate the successes and positive outcomes resulting from the changes. This helps in reinforcing the new behaviors and ensures that the organization remains aligned with its strategic objectives. Banu is also advised to pffer training programs to equip employees with the skills and knowledge needed for the new initiatives. This can be particularly important if Banu is adopting new technologies or making significant operational changes.</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By applying the Unfreeze-Change-Refreeze model, Banu Hot Pot can navigate the complexities of the current business environment, adapt to the challenges posed by COVID-19, geopolitical tensions, and economic uncertainties, and position itself for sustained success in the evolving landscape of the hospitality industry.</w:t>
      </w:r>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55" w:name="_Toc22045"/>
      <w:bookmarkStart w:id="56" w:name="_Toc20542"/>
      <w:r>
        <w:rPr>
          <w:rFonts w:hint="default" w:ascii="Times New Roman" w:hAnsi="Times New Roman" w:eastAsia="Times New Roman" w:cs="Times New Roman"/>
          <w:b/>
          <w:bCs w:val="0"/>
          <w:i w:val="0"/>
          <w:color w:val="auto"/>
          <w:sz w:val="24"/>
          <w:szCs w:val="24"/>
          <w:lang w:val="en-US" w:eastAsia="zh-CN"/>
        </w:rPr>
        <w:t xml:space="preserve">2.2.2 </w:t>
      </w:r>
      <w:r>
        <w:rPr>
          <w:rFonts w:hint="default" w:ascii="Times New Roman" w:hAnsi="Times New Roman" w:eastAsia="Times New Roman" w:cs="Times New Roman"/>
          <w:b/>
          <w:bCs w:val="0"/>
          <w:i w:val="0"/>
          <w:color w:val="auto"/>
          <w:sz w:val="24"/>
          <w:szCs w:val="24"/>
          <w:lang w:val="en-MY"/>
        </w:rPr>
        <w:t>Kotter Eight Steps of Change</w:t>
      </w:r>
      <w:bookmarkEnd w:id="55"/>
      <w:bookmarkEnd w:id="56"/>
    </w:p>
    <w:p>
      <w:pPr>
        <w:pStyle w:val="4"/>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57" w:name="_Toc7733"/>
      <w:bookmarkStart w:id="58" w:name="_Toc671"/>
      <w:r>
        <w:rPr>
          <w:rFonts w:hint="default" w:ascii="Times New Roman" w:hAnsi="Times New Roman" w:eastAsia="Times New Roman" w:cs="Times New Roman"/>
          <w:b/>
          <w:bCs w:val="0"/>
          <w:i w:val="0"/>
          <w:color w:val="auto"/>
          <w:sz w:val="24"/>
          <w:szCs w:val="24"/>
          <w:lang w:val="en-US" w:eastAsia="zh-CN"/>
        </w:rPr>
        <w:t xml:space="preserve">1) </w:t>
      </w:r>
      <w:r>
        <w:rPr>
          <w:rFonts w:hint="default" w:ascii="Times New Roman" w:hAnsi="Times New Roman" w:eastAsia="Times New Roman" w:cs="Times New Roman"/>
          <w:b/>
          <w:bCs w:val="0"/>
          <w:i w:val="0"/>
          <w:color w:val="auto"/>
          <w:sz w:val="24"/>
          <w:szCs w:val="24"/>
          <w:lang w:val="en-MY"/>
        </w:rPr>
        <w:t>Creating a Sense of Urgency</w:t>
      </w:r>
      <w:bookmarkEnd w:id="57"/>
      <w:bookmarkEnd w:id="58"/>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For a meaningful transformation to take place, the entire company needs to be engaged. It is crucial to instill and disseminate a sense of urgency among all employees and managers, ensuring that no individuals impede the progression. This goes beyond merely presenting poor sales statistics or discussing heightened competition; it involves initiating an open, honest, and persuasive dialogue about the current state of the marketplace and the competitive landscape. This dialogue should occur in meetings that involve all employees and are supported by pertinent and accurate data. During these sessions, attention should be directed toward identifying threats arising from evolving external environments and emerging trends. Employees need assurance that failure to adapt to these trends could result in significantly reduced occupancy rates for the restaurant. Additionally, management should spotlight competitors who have already embraced new approaches and achieved notable success.</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59" w:name="_Toc8952"/>
      <w:r>
        <w:rPr>
          <w:rFonts w:hint="default" w:ascii="Times New Roman" w:hAnsi="Times New Roman" w:eastAsia="Times New Roman" w:cs="Times New Roman"/>
          <w:b/>
          <w:bCs w:val="0"/>
          <w:i w:val="0"/>
          <w:color w:val="auto"/>
          <w:sz w:val="24"/>
          <w:szCs w:val="24"/>
          <w:lang w:val="en-US" w:eastAsia="zh-CN"/>
        </w:rPr>
        <w:t xml:space="preserve"> </w:t>
      </w:r>
      <w:bookmarkStart w:id="60" w:name="_Toc500"/>
      <w:r>
        <w:rPr>
          <w:rFonts w:hint="default" w:ascii="Times New Roman" w:hAnsi="Times New Roman" w:eastAsia="Times New Roman" w:cs="Times New Roman"/>
          <w:b/>
          <w:bCs w:val="0"/>
          <w:i w:val="0"/>
          <w:color w:val="auto"/>
          <w:sz w:val="24"/>
          <w:szCs w:val="24"/>
          <w:lang w:val="en-MY"/>
        </w:rPr>
        <w:t>Establishing the Guiding Coalition</w:t>
      </w:r>
      <w:bookmarkEnd w:id="59"/>
      <w:bookmarkEnd w:id="60"/>
      <w:r>
        <w:rPr>
          <w:rFonts w:hint="default" w:ascii="Times New Roman" w:hAnsi="Times New Roman" w:eastAsia="Times New Roman" w:cs="Times New Roman"/>
          <w:b/>
          <w:bCs w:val="0"/>
          <w:i w:val="0"/>
          <w:color w:val="auto"/>
          <w:sz w:val="24"/>
          <w:szCs w:val="24"/>
          <w:lang w:val="en-MY"/>
        </w:rPr>
        <w:t xml:space="preserve"> </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To spearhead the change, the restaurant needs to form a robust coalition comprising individuals from each department. The management should seek personal commitment from these key staff members for their involvement in the change process. This commitment enables them to motivate others and underscore the significance of the change. Another crucial aspect of coalition formation is fostering teamwork among its members. The management must ensure that the key leaders can collaborate effectively, potentially organizing team-building meetings to align all members towards the common goal.</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61" w:name="_Toc1385"/>
      <w:r>
        <w:rPr>
          <w:rFonts w:hint="default" w:ascii="Times New Roman" w:hAnsi="Times New Roman" w:eastAsia="Times New Roman" w:cs="Times New Roman"/>
          <w:b/>
          <w:bCs w:val="0"/>
          <w:i w:val="0"/>
          <w:color w:val="auto"/>
          <w:sz w:val="24"/>
          <w:szCs w:val="24"/>
          <w:lang w:val="en-US" w:eastAsia="zh-CN"/>
        </w:rPr>
        <w:t xml:space="preserve"> </w:t>
      </w:r>
      <w:bookmarkStart w:id="62" w:name="_Toc14552"/>
      <w:r>
        <w:rPr>
          <w:rFonts w:hint="default" w:ascii="Times New Roman" w:hAnsi="Times New Roman" w:eastAsia="Times New Roman" w:cs="Times New Roman"/>
          <w:b/>
          <w:bCs w:val="0"/>
          <w:i w:val="0"/>
          <w:color w:val="auto"/>
          <w:sz w:val="24"/>
          <w:szCs w:val="24"/>
          <w:lang w:val="en-MY"/>
        </w:rPr>
        <w:t>Developing a Change Vision</w:t>
      </w:r>
      <w:bookmarkEnd w:id="61"/>
      <w:bookmarkEnd w:id="6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To craft a compelling vision for the change at Banu Hotpot, it is crucial to identify the core values essential for the restaurant's desired destination. These values should align with the new personalized service approach, emphasizing customer satisfaction, customer relationships, and individualized service. The vision should be succinct, encapsulated within one or two sentences to ensure clarity and easy comprehension by all staff members.</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Vision: Transforming the perception of hospitality by uncovering customers' fundamental desires and turning them into memorable experiences, thereby revolutionizing the way customers experience our service. Once the vision is articulated, the next step involves devising a strategy to guide employees in effectively executing the envisioned transformation.</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63" w:name="_Toc5594"/>
      <w:r>
        <w:rPr>
          <w:rFonts w:hint="default" w:ascii="Times New Roman" w:hAnsi="Times New Roman" w:eastAsia="Times New Roman" w:cs="Times New Roman"/>
          <w:b/>
          <w:bCs w:val="0"/>
          <w:i w:val="0"/>
          <w:color w:val="auto"/>
          <w:sz w:val="24"/>
          <w:szCs w:val="24"/>
          <w:lang w:val="en-US" w:eastAsia="zh-CN"/>
        </w:rPr>
        <w:t xml:space="preserve"> </w:t>
      </w:r>
      <w:bookmarkStart w:id="64" w:name="_Toc27447"/>
      <w:r>
        <w:rPr>
          <w:rFonts w:hint="default" w:ascii="Times New Roman" w:hAnsi="Times New Roman" w:eastAsia="Times New Roman" w:cs="Times New Roman"/>
          <w:b/>
          <w:bCs w:val="0"/>
          <w:i w:val="0"/>
          <w:color w:val="auto"/>
          <w:sz w:val="24"/>
          <w:szCs w:val="24"/>
          <w:lang w:val="en-MY"/>
        </w:rPr>
        <w:t>Communicating the Vision</w:t>
      </w:r>
      <w:bookmarkEnd w:id="63"/>
      <w:bookmarkEnd w:id="64"/>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The success of Banu hotpot's future hinges on how effectively the restaurant's management conveys the vision once it has been formulated. Given the likelihood of the vision message facing stiff competition from other day-to-day communications within the company, managers must prioritize frequent and impactful communication. It is imperative to embed the vision within every aspect of employees' work, ensuring its constant presence and reinforcement in the organizational narrative.</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65" w:name="_Toc11752"/>
      <w:bookmarkStart w:id="66" w:name="_Toc24430"/>
      <w:r>
        <w:rPr>
          <w:rFonts w:hint="default" w:ascii="Times New Roman" w:hAnsi="Times New Roman" w:eastAsia="Times New Roman" w:cs="Times New Roman"/>
          <w:b/>
          <w:bCs w:val="0"/>
          <w:i w:val="0"/>
          <w:color w:val="auto"/>
          <w:sz w:val="24"/>
          <w:szCs w:val="24"/>
          <w:lang w:val="en-MY"/>
        </w:rPr>
        <w:t>Eliminate Barriers</w:t>
      </w:r>
      <w:bookmarkEnd w:id="65"/>
      <w:bookmarkEnd w:id="66"/>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Once the entire staff has been informed and has grasped the company's new vision, the hotel's management needs to address two essential questions:</w:t>
      </w:r>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 Is there an employee who is opposing the change among the staff?</w:t>
      </w:r>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 Are there any processes or structures hindering the implementation of the change?</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67" w:name="_Toc27498"/>
      <w:r>
        <w:rPr>
          <w:rFonts w:hint="default" w:ascii="Times New Roman" w:hAnsi="Times New Roman" w:eastAsia="Times New Roman" w:cs="Times New Roman"/>
          <w:b/>
          <w:bCs w:val="0"/>
          <w:i w:val="0"/>
          <w:color w:val="auto"/>
          <w:sz w:val="24"/>
          <w:szCs w:val="24"/>
          <w:lang w:val="en-US" w:eastAsia="zh-CN"/>
        </w:rPr>
        <w:t xml:space="preserve"> </w:t>
      </w:r>
      <w:bookmarkStart w:id="68" w:name="_Toc31639"/>
      <w:r>
        <w:rPr>
          <w:rFonts w:hint="default" w:ascii="Times New Roman" w:hAnsi="Times New Roman" w:eastAsia="Times New Roman" w:cs="Times New Roman"/>
          <w:b/>
          <w:bCs w:val="0"/>
          <w:i w:val="0"/>
          <w:color w:val="auto"/>
          <w:sz w:val="24"/>
          <w:szCs w:val="24"/>
          <w:lang w:val="en-MY"/>
        </w:rPr>
        <w:t>Achieving Short-term Success</w:t>
      </w:r>
      <w:bookmarkEnd w:id="67"/>
      <w:bookmarkEnd w:id="68"/>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Nothing inspires more than success. The restaurant should experience victory early in the change process. Within a brief timeframe (perhaps a month or a year, but ideally less than a month in this case due to the short working season), managers need to produce tangible results visible to the staff. Failing to do so may allow critics and pessimists to undermine the progress of the change.</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69" w:name="_Toc16636"/>
      <w:r>
        <w:rPr>
          <w:rFonts w:hint="default" w:ascii="Times New Roman" w:hAnsi="Times New Roman" w:eastAsia="Times New Roman" w:cs="Times New Roman"/>
          <w:b/>
          <w:bCs w:val="0"/>
          <w:i w:val="0"/>
          <w:color w:val="auto"/>
          <w:sz w:val="24"/>
          <w:szCs w:val="24"/>
          <w:lang w:val="en-US" w:eastAsia="zh-CN"/>
        </w:rPr>
        <w:t xml:space="preserve"> </w:t>
      </w:r>
      <w:bookmarkStart w:id="70" w:name="_Toc10163"/>
      <w:r>
        <w:rPr>
          <w:rFonts w:hint="default" w:ascii="Times New Roman" w:hAnsi="Times New Roman" w:eastAsia="Times New Roman" w:cs="Times New Roman"/>
          <w:b/>
          <w:bCs w:val="0"/>
          <w:i w:val="0"/>
          <w:color w:val="auto"/>
          <w:sz w:val="24"/>
          <w:szCs w:val="24"/>
          <w:lang w:val="en-MY"/>
        </w:rPr>
        <w:t>Expanding on Transformation</w:t>
      </w:r>
      <w:bookmarkEnd w:id="69"/>
      <w:bookmarkEnd w:id="70"/>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John Kotter contends that numerous change initiatives fall short due to premature declarations of success. True transformation delves into the core. Swift victories mark just the initial phase of the comprehensive actions necessary for sustained, long-term change. Following the accomplishment of each objective, it is imperative for management to scrutinize the results. Identifying the strengths of the employees and potential pitfalls in the future is crucial. This approach enhances the effectiveness of the process, leading to more incremental successes. Setting new objectives after each accomplishment is vital. This ensures ongoing improvement and significantly improves the likelihood of successfully implementing the desired change.</w:t>
      </w:r>
    </w:p>
    <w:p>
      <w:pPr>
        <w:pStyle w:val="4"/>
        <w:keepNext w:val="0"/>
        <w:keepLines w:val="0"/>
        <w:pageBreakBefore w:val="0"/>
        <w:widowControl w:val="0"/>
        <w:numPr>
          <w:ilvl w:val="0"/>
          <w:numId w:val="6"/>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71" w:name="_Toc30887"/>
      <w:r>
        <w:rPr>
          <w:rFonts w:hint="default" w:ascii="Times New Roman" w:hAnsi="Times New Roman" w:eastAsia="Times New Roman" w:cs="Times New Roman"/>
          <w:b/>
          <w:bCs w:val="0"/>
          <w:i w:val="0"/>
          <w:color w:val="auto"/>
          <w:sz w:val="24"/>
          <w:szCs w:val="24"/>
          <w:lang w:val="en-US" w:eastAsia="zh-CN"/>
        </w:rPr>
        <w:t xml:space="preserve"> </w:t>
      </w:r>
      <w:bookmarkStart w:id="72" w:name="_Toc8344"/>
      <w:r>
        <w:rPr>
          <w:rFonts w:hint="default" w:ascii="Times New Roman" w:hAnsi="Times New Roman" w:eastAsia="Times New Roman" w:cs="Times New Roman"/>
          <w:b/>
          <w:bCs w:val="0"/>
          <w:i w:val="0"/>
          <w:color w:val="auto"/>
          <w:sz w:val="24"/>
          <w:szCs w:val="24"/>
          <w:lang w:val="en-MY"/>
        </w:rPr>
        <w:t>Integrating Changes into the Company's Culture</w:t>
      </w:r>
      <w:bookmarkEnd w:id="71"/>
      <w:bookmarkEnd w:id="72"/>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Managers should regularly communicate the progress and success of the change to solidify it in the minds of the employees. Additionally, when hiring new personnel or training existing staff, it is crucial to incorporate the ideals and values of the change. This ensures that all team members are informed about the new concept. Acknowledging the significant role of key employees in the change process is another vital aspect of ingraining the new vision in the company's culture. Publicly recognizing their contributions helps other employees remember their importance and encourages them to emulate such actions. Managers should also identify backup individuals capable of stepping into leadership roles if someone departs, serving as role models for others. This proactive approach guarantees that the staff always has a capable leader, ready to facilitate the next change.</w:t>
      </w:r>
    </w:p>
    <w:p>
      <w:pPr>
        <w:pStyle w:val="2"/>
        <w:keepNext w:val="0"/>
        <w:keepLines w:val="0"/>
        <w:pageBreakBefore w:val="0"/>
        <w:widowControl w:val="0"/>
        <w:numPr>
          <w:ilvl w:val="0"/>
          <w:numId w:val="2"/>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4"/>
          <w:szCs w:val="24"/>
          <w:lang w:val="en-MY"/>
        </w:rPr>
      </w:pPr>
      <w:bookmarkStart w:id="73" w:name="_Toc31152"/>
      <w:r>
        <w:rPr>
          <w:rFonts w:hint="default" w:ascii="Times New Roman" w:hAnsi="Times New Roman" w:eastAsia="Times New Roman" w:cs="Times New Roman"/>
          <w:b/>
          <w:bCs w:val="0"/>
          <w:i w:val="0"/>
          <w:color w:val="auto"/>
          <w:sz w:val="24"/>
          <w:szCs w:val="24"/>
          <w:lang w:val="en-US" w:eastAsia="zh-CN"/>
        </w:rPr>
        <w:t xml:space="preserve"> </w:t>
      </w:r>
      <w:bookmarkStart w:id="74" w:name="_Toc18475"/>
      <w:r>
        <w:rPr>
          <w:rFonts w:hint="default" w:ascii="Times New Roman" w:hAnsi="Times New Roman" w:eastAsia="Times New Roman" w:cs="Times New Roman"/>
          <w:b/>
          <w:bCs w:val="0"/>
          <w:i w:val="0"/>
          <w:color w:val="auto"/>
          <w:sz w:val="24"/>
          <w:szCs w:val="24"/>
          <w:lang w:val="en-MY"/>
        </w:rPr>
        <w:t>Recommendations</w:t>
      </w:r>
      <w:bookmarkEnd w:id="73"/>
      <w:bookmarkEnd w:id="74"/>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75" w:name="_Toc15578"/>
      <w:bookmarkStart w:id="76" w:name="_Toc19179"/>
      <w:r>
        <w:rPr>
          <w:rFonts w:hint="default" w:ascii="Times New Roman" w:hAnsi="Times New Roman" w:eastAsia="Times New Roman" w:cs="Times New Roman"/>
          <w:b/>
          <w:bCs w:val="0"/>
          <w:i w:val="0"/>
          <w:color w:val="auto"/>
          <w:sz w:val="24"/>
          <w:szCs w:val="24"/>
          <w:lang w:val="en-US" w:eastAsia="zh-CN"/>
        </w:rPr>
        <w:t xml:space="preserve">3.1 </w:t>
      </w:r>
      <w:r>
        <w:rPr>
          <w:rFonts w:hint="default" w:ascii="Times New Roman" w:hAnsi="Times New Roman" w:eastAsia="Times New Roman" w:cs="Times New Roman"/>
          <w:b/>
          <w:bCs w:val="0"/>
          <w:i w:val="0"/>
          <w:color w:val="auto"/>
          <w:sz w:val="24"/>
          <w:szCs w:val="24"/>
          <w:lang w:val="en-MY"/>
        </w:rPr>
        <w:t>Enhancing Menu Localization for Diverse Palates</w:t>
      </w:r>
      <w:bookmarkEnd w:id="75"/>
      <w:bookmarkEnd w:id="76"/>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Banu Hotpot's success is rooted in its Chinese Hotpot flavors, but recognizing the rich diversity of food cultures in different countries is imperative for global expansion. To better resonate with local tastes.  For instance, considering the fattier cuisine in Chiang Mai due to its cooler climate, Banu Hotpot can tailor its offerings to align with specific regional preferences. This strategic move aims to establish a deeper connection with local markets by diversifying menu items and adapting hotpot bases to reflect the unique characteristics of each city.</w:t>
      </w:r>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77" w:name="_Toc30216"/>
      <w:bookmarkStart w:id="78" w:name="_Toc13542"/>
      <w:r>
        <w:rPr>
          <w:rFonts w:hint="default" w:ascii="Times New Roman" w:hAnsi="Times New Roman" w:eastAsia="Times New Roman" w:cs="Times New Roman"/>
          <w:b/>
          <w:bCs w:val="0"/>
          <w:i w:val="0"/>
          <w:color w:val="auto"/>
          <w:sz w:val="24"/>
          <w:szCs w:val="24"/>
          <w:lang w:val="en-US" w:eastAsia="zh-CN"/>
        </w:rPr>
        <w:t xml:space="preserve">3.2 </w:t>
      </w:r>
      <w:r>
        <w:rPr>
          <w:rFonts w:hint="default" w:ascii="Times New Roman" w:hAnsi="Times New Roman" w:eastAsia="Times New Roman" w:cs="Times New Roman"/>
          <w:b/>
          <w:bCs w:val="0"/>
          <w:i w:val="0"/>
          <w:color w:val="auto"/>
          <w:sz w:val="24"/>
          <w:szCs w:val="24"/>
          <w:lang w:val="en-MY"/>
        </w:rPr>
        <w:t>Language Proficiency and Cultural Sensitivity Training</w:t>
      </w:r>
      <w:bookmarkEnd w:id="77"/>
      <w:bookmarkEnd w:id="78"/>
    </w:p>
    <w:p>
      <w:pPr>
        <w:keepNext w:val="0"/>
        <w:keepLines w:val="0"/>
        <w:pageBreakBefore w:val="0"/>
        <w:widowControl w:val="0"/>
        <w:numPr>
          <w:ilvl w:val="0"/>
          <w:numId w:val="0"/>
        </w:numPr>
        <w:kinsoku w:val="0"/>
        <w:wordWrap/>
        <w:overflowPunct w:val="0"/>
        <w:topLinePunct w:val="0"/>
        <w:autoSpaceDE w:val="0"/>
        <w:autoSpaceDN w:val="0"/>
        <w:bidi w:val="0"/>
        <w:adjustRightInd/>
        <w:snapToGrid/>
        <w:spacing w:line="480" w:lineRule="auto"/>
        <w:ind w:leftChars="0"/>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Expanding globally means encountering customers with diverse languages and cultures. To enhance customer experience and communication, Banu Hotpot should invest in language training for its staff. By the end of 2020, all Banu Hotpot staff should undergo compulsory English classes to cater to non-Mandarin speaking customers. Additionally, sending 40% of the staff for basic courses in the main spoken language of the country further ensures effective communication and cultural sensitivity. This initiative not only addresses language barriers but also reflects Banu Hotpot's commitment to providing an inclusive and welcoming dining experience for customers of various linguistic backgrounds.</w:t>
      </w:r>
    </w:p>
    <w:p>
      <w:pPr>
        <w:pStyle w:val="3"/>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bCs w:val="0"/>
          <w:i w:val="0"/>
          <w:color w:val="auto"/>
          <w:sz w:val="24"/>
          <w:szCs w:val="24"/>
          <w:lang w:val="en-MY"/>
        </w:rPr>
      </w:pPr>
      <w:bookmarkStart w:id="79" w:name="_Toc3554"/>
      <w:bookmarkStart w:id="80" w:name="_Toc14465"/>
      <w:r>
        <w:rPr>
          <w:rFonts w:hint="default" w:ascii="Times New Roman" w:hAnsi="Times New Roman" w:eastAsia="Times New Roman" w:cs="Times New Roman"/>
          <w:b/>
          <w:bCs w:val="0"/>
          <w:i w:val="0"/>
          <w:color w:val="auto"/>
          <w:sz w:val="24"/>
          <w:szCs w:val="24"/>
          <w:lang w:val="en-US" w:eastAsia="zh-CN"/>
        </w:rPr>
        <w:t xml:space="preserve">3.3 </w:t>
      </w:r>
      <w:r>
        <w:rPr>
          <w:rFonts w:hint="default" w:ascii="Times New Roman" w:hAnsi="Times New Roman" w:eastAsia="Times New Roman" w:cs="Times New Roman"/>
          <w:b/>
          <w:bCs w:val="0"/>
          <w:i w:val="0"/>
          <w:color w:val="auto"/>
          <w:sz w:val="24"/>
          <w:szCs w:val="24"/>
          <w:lang w:val="en-MY"/>
        </w:rPr>
        <w:t>Strengthening Customer Relations Through CRM</w:t>
      </w:r>
      <w:bookmarkEnd w:id="79"/>
      <w:bookmarkEnd w:id="80"/>
      <w:r>
        <w:rPr>
          <w:rFonts w:hint="default" w:ascii="Times New Roman" w:hAnsi="Times New Roman" w:eastAsia="Times New Roman" w:cs="Times New Roman"/>
          <w:b/>
          <w:bCs w:val="0"/>
          <w:i w:val="0"/>
          <w:color w:val="auto"/>
          <w:sz w:val="24"/>
          <w:szCs w:val="24"/>
          <w:lang w:val="en-MY"/>
        </w:rPr>
        <w:t xml:space="preserve"> </w:t>
      </w:r>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 order to fortify its market position and loyalty, Banu Hotpot should focus on re-evaluating and improving its Customer Relationship Management (CRM) strategies. By setting a target of achieving a 30% repeat purchase rate by 2021, Banu Hotpot can leverage its strong brand awareness to maintain lasting customer relations. This proactive approach is essential to prevent customers from being swayed by competitors. A robust CRM strategy will not only encourage repeat business but also contribute to positive word-of-mouth marketing, reinforcing Banu Hotpot's status as a preferred choice in the highly competitive restaurant industry.</w:t>
      </w:r>
    </w:p>
    <w:p>
      <w:pPr>
        <w:pStyle w:val="2"/>
        <w:keepNext w:val="0"/>
        <w:keepLines w:val="0"/>
        <w:pageBreakBefore w:val="0"/>
        <w:widowControl w:val="0"/>
        <w:numPr>
          <w:ilvl w:val="0"/>
          <w:numId w:val="2"/>
        </w:numPr>
        <w:kinsoku w:val="0"/>
        <w:wordWrap/>
        <w:overflowPunct w:val="0"/>
        <w:topLinePunct w:val="0"/>
        <w:autoSpaceDE w:val="0"/>
        <w:autoSpaceDN w:val="0"/>
        <w:bidi w:val="0"/>
        <w:adjustRightInd/>
        <w:snapToGrid/>
        <w:spacing w:line="480" w:lineRule="auto"/>
        <w:ind w:left="0" w:leftChars="0" w:firstLine="0" w:firstLineChars="0"/>
        <w:jc w:val="both"/>
        <w:textAlignment w:val="auto"/>
        <w:rPr>
          <w:rFonts w:hint="default" w:ascii="Times New Roman" w:hAnsi="Times New Roman" w:eastAsia="Times New Roman" w:cs="Times New Roman"/>
          <w:b/>
          <w:bCs w:val="0"/>
          <w:i w:val="0"/>
          <w:color w:val="auto"/>
          <w:sz w:val="28"/>
          <w:szCs w:val="28"/>
          <w:lang w:val="en-MY"/>
        </w:rPr>
      </w:pPr>
      <w:bookmarkStart w:id="81" w:name="_Toc28243"/>
      <w:r>
        <w:rPr>
          <w:rFonts w:hint="default" w:ascii="Times New Roman" w:hAnsi="Times New Roman" w:eastAsia="Times New Roman" w:cs="Times New Roman"/>
          <w:b/>
          <w:bCs w:val="0"/>
          <w:i w:val="0"/>
          <w:color w:val="auto"/>
          <w:sz w:val="28"/>
          <w:szCs w:val="28"/>
          <w:lang w:val="en-US" w:eastAsia="zh-CN"/>
        </w:rPr>
        <w:t xml:space="preserve"> </w:t>
      </w:r>
      <w:bookmarkStart w:id="82" w:name="_Toc19448"/>
      <w:r>
        <w:rPr>
          <w:rFonts w:hint="default" w:ascii="Times New Roman" w:hAnsi="Times New Roman" w:eastAsia="Times New Roman" w:cs="Times New Roman"/>
          <w:b/>
          <w:bCs w:val="0"/>
          <w:i w:val="0"/>
          <w:color w:val="auto"/>
          <w:sz w:val="28"/>
          <w:szCs w:val="28"/>
          <w:lang w:val="en-MY"/>
        </w:rPr>
        <w:t>Conclusion</w:t>
      </w:r>
      <w:bookmarkEnd w:id="81"/>
      <w:bookmarkEnd w:id="82"/>
    </w:p>
    <w:p>
      <w:pPr>
        <w:keepNext w:val="0"/>
        <w:keepLines w:val="0"/>
        <w:pageBreakBefore w:val="0"/>
        <w:widowControl w:val="0"/>
        <w:kinsoku w:val="0"/>
        <w:wordWrap/>
        <w:overflowPunct w:val="0"/>
        <w:topLinePunct w:val="0"/>
        <w:autoSpaceDE w:val="0"/>
        <w:autoSpaceDN w:val="0"/>
        <w:bidi w:val="0"/>
        <w:adjustRightInd/>
        <w:snapToGrid/>
        <w:spacing w:line="480" w:lineRule="auto"/>
        <w:jc w:val="both"/>
        <w:textAlignment w:val="auto"/>
        <w:rPr>
          <w:rFonts w:hint="default" w:ascii="Times New Roman" w:hAnsi="Times New Roman" w:eastAsia="Times New Roman" w:cs="Times New Roman"/>
          <w:b w:val="0"/>
          <w:i w:val="0"/>
          <w:color w:val="auto"/>
          <w:sz w:val="24"/>
          <w:szCs w:val="24"/>
          <w:lang w:val="en-MY"/>
        </w:rPr>
      </w:pPr>
      <w:r>
        <w:rPr>
          <w:rFonts w:hint="default" w:ascii="Times New Roman" w:hAnsi="Times New Roman" w:eastAsia="Times New Roman" w:cs="Times New Roman"/>
          <w:b w:val="0"/>
          <w:i w:val="0"/>
          <w:color w:val="auto"/>
          <w:sz w:val="24"/>
          <w:szCs w:val="24"/>
          <w:lang w:val="en-MY"/>
        </w:rPr>
        <w:t>In conclusion, Banu Hot pot’s unwavering commitment to productism and innovative practices has fortified its position in the hot pot industry. However, the disruptions caused by the global pandemic, geopolitical tensions, and economic uncertainties demand strategic adaptability. The comprehensive analysis, incorporating PESTLE factors, stakeholder dynamics, and models of change, provides a roadmap for Banu Hotpot's evolution. The recommendations underscore the importance of localization, cultural sensitivity, and customer relationship management. As Banu Hot Pot embraces these insights, it has the potential not only to weather the current challenges but also to emerge as a resilient and customer-centric leader in the ever-changing hospitality landscape.</w:t>
      </w: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val="0"/>
          <w:i w:val="0"/>
          <w:color w:val="auto"/>
          <w:sz w:val="24"/>
          <w:szCs w:val="24"/>
          <w:lang w:val="en-MY"/>
        </w:rPr>
      </w:pPr>
    </w:p>
    <w:p>
      <w:pPr>
        <w:spacing w:line="480" w:lineRule="auto"/>
        <w:jc w:val="both"/>
        <w:rPr>
          <w:rFonts w:hint="default" w:ascii="Times New Roman" w:hAnsi="Times New Roman" w:eastAsia="Times New Roman" w:cs="Times New Roman"/>
          <w:b/>
          <w:bCs/>
          <w:i w:val="0"/>
          <w:color w:val="auto"/>
          <w:sz w:val="24"/>
          <w:szCs w:val="24"/>
          <w:lang w:val="en-MY"/>
        </w:rPr>
      </w:pPr>
    </w:p>
    <w:p>
      <w:pPr>
        <w:pStyle w:val="2"/>
        <w:bidi w:val="0"/>
        <w:spacing w:line="480" w:lineRule="auto"/>
        <w:jc w:val="both"/>
        <w:rPr>
          <w:rFonts w:hint="default" w:ascii="Times New Roman" w:hAnsi="Times New Roman" w:eastAsia="Times New Roman" w:cs="Times New Roman"/>
          <w:b/>
          <w:bCs w:val="0"/>
          <w:i w:val="0"/>
          <w:color w:val="auto"/>
          <w:sz w:val="28"/>
          <w:szCs w:val="28"/>
          <w:lang w:val="en-US" w:eastAsia="zh-CN"/>
        </w:rPr>
      </w:pPr>
      <w:bookmarkStart w:id="83" w:name="_Toc14913"/>
      <w:bookmarkStart w:id="84" w:name="_Toc21021"/>
    </w:p>
    <w:p>
      <w:pPr>
        <w:pStyle w:val="2"/>
        <w:bidi w:val="0"/>
        <w:spacing w:line="480" w:lineRule="auto"/>
        <w:jc w:val="both"/>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p>
    <w:p>
      <w:pPr>
        <w:rPr>
          <w:rFonts w:hint="default" w:ascii="Times New Roman" w:hAnsi="Times New Roman" w:eastAsia="Times New Roman" w:cs="Times New Roman"/>
          <w:b/>
          <w:bCs w:val="0"/>
          <w:i w:val="0"/>
          <w:color w:val="auto"/>
          <w:sz w:val="28"/>
          <w:szCs w:val="28"/>
          <w:lang w:val="en-US" w:eastAsia="zh-CN"/>
        </w:rPr>
      </w:pPr>
      <w:bookmarkStart w:id="85" w:name="_GoBack"/>
      <w:bookmarkEnd w:id="85"/>
    </w:p>
    <w:p>
      <w:pPr>
        <w:pStyle w:val="2"/>
        <w:bidi w:val="0"/>
        <w:spacing w:line="480" w:lineRule="auto"/>
        <w:jc w:val="both"/>
        <w:rPr>
          <w:rFonts w:hint="default" w:ascii="Times New Roman" w:hAnsi="Times New Roman" w:eastAsia="Times New Roman" w:cs="Times New Roman"/>
          <w:b/>
          <w:bCs w:val="0"/>
          <w:i w:val="0"/>
          <w:color w:val="auto"/>
          <w:sz w:val="28"/>
          <w:szCs w:val="28"/>
          <w:lang w:val="en-MY"/>
        </w:rPr>
      </w:pPr>
      <w:r>
        <w:rPr>
          <w:rFonts w:hint="default" w:ascii="Times New Roman" w:hAnsi="Times New Roman" w:eastAsia="Times New Roman" w:cs="Times New Roman"/>
          <w:b/>
          <w:bCs w:val="0"/>
          <w:i w:val="0"/>
          <w:color w:val="auto"/>
          <w:sz w:val="28"/>
          <w:szCs w:val="28"/>
          <w:lang w:val="en-US" w:eastAsia="zh-CN"/>
        </w:rPr>
        <w:t xml:space="preserve">5. </w:t>
      </w:r>
      <w:r>
        <w:rPr>
          <w:rFonts w:hint="default" w:ascii="Times New Roman" w:hAnsi="Times New Roman" w:eastAsia="Times New Roman" w:cs="Times New Roman"/>
          <w:b/>
          <w:bCs w:val="0"/>
          <w:i w:val="0"/>
          <w:color w:val="auto"/>
          <w:sz w:val="28"/>
          <w:szCs w:val="28"/>
          <w:lang w:val="en-MY"/>
        </w:rPr>
        <w:t>Reference</w:t>
      </w:r>
      <w:bookmarkEnd w:id="83"/>
      <w:r>
        <w:rPr>
          <w:rFonts w:hint="default" w:ascii="Times New Roman" w:hAnsi="Times New Roman" w:eastAsia="Times New Roman" w:cs="Times New Roman"/>
          <w:b/>
          <w:bCs w:val="0"/>
          <w:i w:val="0"/>
          <w:color w:val="auto"/>
          <w:sz w:val="28"/>
          <w:szCs w:val="28"/>
          <w:lang w:val="en-MY"/>
        </w:rPr>
        <w:t>s</w:t>
      </w:r>
      <w:bookmarkEnd w:id="84"/>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Ahmad, A.B. and Cheng, Z., 2018. The role of change content, context, process, and leadership in understanding employees’ commitment to change: The case of public organizations in Kurdistan region of Iraq. </w:t>
      </w:r>
      <w:r>
        <w:rPr>
          <w:rFonts w:hint="default" w:ascii="Times New Roman" w:hAnsi="Times New Roman" w:eastAsia="宋体" w:cs="Times New Roman"/>
          <w:i/>
          <w:iCs/>
          <w:caps w:val="0"/>
          <w:color w:val="auto"/>
          <w:spacing w:val="0"/>
          <w:sz w:val="24"/>
          <w:szCs w:val="24"/>
          <w:shd w:val="clear" w:fill="FFFFFF"/>
        </w:rPr>
        <w:t>Public Personnel Management</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47</w:t>
      </w:r>
      <w:r>
        <w:rPr>
          <w:rFonts w:hint="default" w:ascii="Times New Roman" w:hAnsi="Times New Roman" w:eastAsia="宋体" w:cs="Times New Roman"/>
          <w:i w:val="0"/>
          <w:iCs w:val="0"/>
          <w:caps w:val="0"/>
          <w:color w:val="auto"/>
          <w:spacing w:val="0"/>
          <w:sz w:val="24"/>
          <w:szCs w:val="24"/>
          <w:shd w:val="clear" w:fill="FFFFFF"/>
        </w:rPr>
        <w:t>(2), pp.195-216.</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"https://doi.org/10.1177/0091026017753645"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https://doi.org/10.1177/0091026017753645</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Ashraf Hassan Soltan, N., 2023. Do The Impacts of Oil and Natural Gas Price Shocks on Economic Growth Differ Among Arab OPEC Countries? A panel Data Study.</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"http://repository.msa.edu.eg/xmlui/bitstream/handle/123456789/5706/ECO%20-%20Dr.%20Heba%20Helmy%202%20-%20Nermin.GradII.Final%20after%20EE%20comments2.20.6.2023.pdf?sequence=1"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http://repository.msa.edu.eg/xmlui/bitstream/handle/123456789/5706/ECO%20-%20Dr.%20Heba%20Helmy%202%20-%20Nermin.GradII.Final%20after%20EE%20comments2.20.6.2023.pdf?sequence=1</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Basu, S.K., Thomas, J.E. and Acharya, S.N., 2007. Prospects for growth in global nutraceutical and functional food markets: a Canadian perspective. </w:t>
      </w:r>
      <w:r>
        <w:rPr>
          <w:rFonts w:hint="default" w:ascii="Times New Roman" w:hAnsi="Times New Roman" w:eastAsia="宋体" w:cs="Times New Roman"/>
          <w:i/>
          <w:iCs/>
          <w:caps w:val="0"/>
          <w:color w:val="auto"/>
          <w:spacing w:val="0"/>
          <w:sz w:val="24"/>
          <w:szCs w:val="24"/>
          <w:shd w:val="clear" w:fill="FFFFFF"/>
        </w:rPr>
        <w:t>Australian Journal of Basic and Applied Sciences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1</w:t>
      </w:r>
      <w:r>
        <w:rPr>
          <w:rFonts w:hint="default" w:ascii="Times New Roman" w:hAnsi="Times New Roman" w:eastAsia="宋体" w:cs="Times New Roman"/>
          <w:i w:val="0"/>
          <w:iCs w:val="0"/>
          <w:caps w:val="0"/>
          <w:color w:val="auto"/>
          <w:spacing w:val="0"/>
          <w:sz w:val="24"/>
          <w:szCs w:val="24"/>
          <w:shd w:val="clear" w:fill="FFFFFF"/>
        </w:rPr>
        <w:t>(4), pp.637-649.</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"https://citeseerx.ist.psu.edu/document?repid=rep1&amp;type=pdf&amp;doi=ba2144017c005aa8d6a7258c354790d24a9f2132"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https://citeseerx.ist.psu.edu/document?repid=rep1&amp;type=pdf&amp;doi=ba2144017c005aa8d6a7258c354790d24a9f2132</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Brandl, K., Darendeli, I. and Mudambi, R., 2019. Foreign actors and intellectual property protection regulations in developing countries. </w:t>
      </w:r>
      <w:r>
        <w:rPr>
          <w:rFonts w:hint="default" w:ascii="Times New Roman" w:hAnsi="Times New Roman" w:eastAsia="宋体" w:cs="Times New Roman"/>
          <w:i/>
          <w:iCs/>
          <w:caps w:val="0"/>
          <w:color w:val="auto"/>
          <w:spacing w:val="0"/>
          <w:sz w:val="24"/>
          <w:szCs w:val="24"/>
          <w:shd w:val="clear" w:fill="FFFFFF"/>
        </w:rPr>
        <w:t>Journal of International Business Studies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50</w:t>
      </w:r>
      <w:r>
        <w:rPr>
          <w:rFonts w:hint="default" w:ascii="Times New Roman" w:hAnsi="Times New Roman" w:eastAsia="宋体" w:cs="Times New Roman"/>
          <w:i w:val="0"/>
          <w:iCs w:val="0"/>
          <w:caps w:val="0"/>
          <w:color w:val="auto"/>
          <w:spacing w:val="0"/>
          <w:sz w:val="24"/>
          <w:szCs w:val="24"/>
          <w:shd w:val="clear" w:fill="FFFFFF"/>
        </w:rPr>
        <w:t>, pp.826-846.</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"https://link.springer.com/article/10.1057/s41267-018-0172-6"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https://link.springer.com/article/10.1057/s41267-018-0172-6</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Caligiuri, P., De Cieri, H., Minbaeva, D., Verbeke, A. and Zimmermann, A., 2020. International HRM insights for navigating the COVID-19 pandemic: Implications for future research and practice. </w:t>
      </w:r>
      <w:r>
        <w:rPr>
          <w:rFonts w:hint="default" w:ascii="Times New Roman" w:hAnsi="Times New Roman" w:eastAsia="宋体" w:cs="Times New Roman"/>
          <w:i/>
          <w:iCs/>
          <w:caps w:val="0"/>
          <w:color w:val="auto"/>
          <w:spacing w:val="0"/>
          <w:sz w:val="24"/>
          <w:szCs w:val="24"/>
          <w:shd w:val="clear" w:fill="FFFFFF"/>
        </w:rPr>
        <w:t>Journal of international business studies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51</w:t>
      </w:r>
      <w:r>
        <w:rPr>
          <w:rFonts w:hint="default" w:ascii="Times New Roman" w:hAnsi="Times New Roman" w:eastAsia="宋体" w:cs="Times New Roman"/>
          <w:i w:val="0"/>
          <w:iCs w:val="0"/>
          <w:caps w:val="0"/>
          <w:color w:val="auto"/>
          <w:spacing w:val="0"/>
          <w:sz w:val="24"/>
          <w:szCs w:val="24"/>
          <w:shd w:val="clear" w:fill="FFFFFF"/>
        </w:rPr>
        <w:t>, pp.697-713.</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"https://doi.org/10.1057/s41267-020-00335-9"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https://doi.org/10.1057/s41267-020-00335-9</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Carrillo, R.A., 2019. </w:t>
      </w:r>
      <w:r>
        <w:rPr>
          <w:rFonts w:hint="default" w:ascii="Times New Roman" w:hAnsi="Times New Roman" w:eastAsia="宋体" w:cs="Times New Roman"/>
          <w:i/>
          <w:iCs/>
          <w:caps w:val="0"/>
          <w:color w:val="auto"/>
          <w:spacing w:val="0"/>
          <w:sz w:val="24"/>
          <w:szCs w:val="24"/>
          <w:shd w:val="clear" w:fill="FFFFFF"/>
        </w:rPr>
        <w:t>The relationship factor in safety leadership: Achieving success through employee engagement</w:t>
      </w:r>
      <w:r>
        <w:rPr>
          <w:rFonts w:hint="default" w:ascii="Times New Roman" w:hAnsi="Times New Roman" w:eastAsia="宋体" w:cs="Times New Roman"/>
          <w:i w:val="0"/>
          <w:iCs w:val="0"/>
          <w:caps w:val="0"/>
          <w:color w:val="auto"/>
          <w:spacing w:val="0"/>
          <w:sz w:val="24"/>
          <w:szCs w:val="24"/>
          <w:shd w:val="clear" w:fill="FFFFFF"/>
        </w:rPr>
        <w:t>. Routledge.</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"https://carrilloconsultants.com/wp-content/uploads/2019/11/Walaski-Review-Rel-Factor.pdf"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https://carrilloconsultants.com/wp-content/uploads/2019/11/Walaski-Review-Rel-Factor.pdf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Chang, K.C., 2013. How reputation creates loyalty in the restaurant sector. </w:t>
      </w:r>
      <w:r>
        <w:rPr>
          <w:rFonts w:hint="default" w:ascii="Times New Roman" w:hAnsi="Times New Roman" w:eastAsia="宋体" w:cs="Times New Roman"/>
          <w:i/>
          <w:iCs/>
          <w:caps w:val="0"/>
          <w:color w:val="auto"/>
          <w:spacing w:val="0"/>
          <w:sz w:val="24"/>
          <w:szCs w:val="24"/>
          <w:shd w:val="clear" w:fill="FFFFFF"/>
        </w:rPr>
        <w:t>International Journal of Contemporary Hospitality Management</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25</w:t>
      </w:r>
      <w:r>
        <w:rPr>
          <w:rFonts w:hint="default" w:ascii="Times New Roman" w:hAnsi="Times New Roman" w:eastAsia="宋体" w:cs="Times New Roman"/>
          <w:i w:val="0"/>
          <w:iCs w:val="0"/>
          <w:caps w:val="0"/>
          <w:color w:val="auto"/>
          <w:spacing w:val="0"/>
          <w:sz w:val="24"/>
          <w:szCs w:val="24"/>
          <w:shd w:val="clear" w:fill="FFFFFF"/>
        </w:rPr>
        <w:t>(4), pp.536-557.</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"https://doi.org/10.1108/09596111311322916"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https://doi.org/10.1108/09596111311322916</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Cooremans, C., 2011. Make it strategic! Financial investment logic is not enough. </w:t>
      </w:r>
      <w:r>
        <w:rPr>
          <w:rFonts w:hint="default" w:ascii="Times New Roman" w:hAnsi="Times New Roman" w:eastAsia="宋体" w:cs="Times New Roman"/>
          <w:i/>
          <w:iCs/>
          <w:caps w:val="0"/>
          <w:color w:val="auto"/>
          <w:spacing w:val="0"/>
          <w:sz w:val="24"/>
          <w:szCs w:val="24"/>
          <w:shd w:val="clear" w:fill="FFFFFF"/>
        </w:rPr>
        <w:t>Energy Efficiency</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4</w:t>
      </w:r>
      <w:r>
        <w:rPr>
          <w:rFonts w:hint="default" w:ascii="Times New Roman" w:hAnsi="Times New Roman" w:eastAsia="宋体" w:cs="Times New Roman"/>
          <w:i w:val="0"/>
          <w:iCs w:val="0"/>
          <w:caps w:val="0"/>
          <w:color w:val="auto"/>
          <w:spacing w:val="0"/>
          <w:sz w:val="24"/>
          <w:szCs w:val="24"/>
          <w:shd w:val="clear" w:fill="FFFFFF"/>
        </w:rPr>
        <w:t>(4), pp.473-492.</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"https://doc.rero.ch/record/319528/files/12053_2011_Article_9125.pdf"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https://doc.rero.ch/record/319528/files/12053_2011_Article_9125.pdf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Coskun, Y., 2023. Housing affordability: an econometric framing for policy discussions. </w:t>
      </w:r>
      <w:r>
        <w:rPr>
          <w:rFonts w:hint="default" w:ascii="Times New Roman" w:hAnsi="Times New Roman" w:eastAsia="宋体" w:cs="Times New Roman"/>
          <w:i/>
          <w:iCs/>
          <w:caps w:val="0"/>
          <w:color w:val="auto"/>
          <w:spacing w:val="0"/>
          <w:sz w:val="24"/>
          <w:szCs w:val="24"/>
          <w:shd w:val="clear" w:fill="FFFFFF"/>
        </w:rPr>
        <w:t>International Journal of Housing Markets and Analysis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16</w:t>
      </w:r>
      <w:r>
        <w:rPr>
          <w:rFonts w:hint="default" w:ascii="Times New Roman" w:hAnsi="Times New Roman" w:eastAsia="宋体" w:cs="Times New Roman"/>
          <w:i w:val="0"/>
          <w:iCs w:val="0"/>
          <w:caps w:val="0"/>
          <w:color w:val="auto"/>
          <w:spacing w:val="0"/>
          <w:sz w:val="24"/>
          <w:szCs w:val="24"/>
          <w:shd w:val="clear" w:fill="FFFFFF"/>
        </w:rPr>
        <w:t>(2), pp.374-407.</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"https://drive.google.com/file/d/1XQN26I_4N7xxqRgWPv8-XLImBQyuxFMe/view"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https://drive.google.com/file/d/1XQN26I_4N7xxqRgWPv8-XLImBQyuxFMe/view</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Daskalaki, E., 2016. </w:t>
      </w:r>
      <w:r>
        <w:rPr>
          <w:rFonts w:hint="default" w:ascii="Times New Roman" w:hAnsi="Times New Roman" w:eastAsia="宋体" w:cs="Times New Roman"/>
          <w:i/>
          <w:iCs/>
          <w:caps w:val="0"/>
          <w:color w:val="auto"/>
          <w:spacing w:val="0"/>
          <w:sz w:val="24"/>
          <w:szCs w:val="24"/>
          <w:shd w:val="clear" w:fill="FFFFFF"/>
        </w:rPr>
        <w:t>Communication across cultures? An intercultural approach to customer service in the hotel industry: A study with globally branded hotels in the United Kingdom</w:t>
      </w:r>
      <w:r>
        <w:rPr>
          <w:rFonts w:hint="default" w:ascii="Times New Roman" w:hAnsi="Times New Roman" w:eastAsia="宋体" w:cs="Times New Roman"/>
          <w:i w:val="0"/>
          <w:iCs w:val="0"/>
          <w:caps w:val="0"/>
          <w:color w:val="auto"/>
          <w:spacing w:val="0"/>
          <w:sz w:val="24"/>
          <w:szCs w:val="24"/>
          <w:shd w:val="clear" w:fill="FFFFFF"/>
        </w:rPr>
        <w:t> (Doctoral dissertation, University of Glasgow).</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"https://theses.gla.ac.uk/7753/1/2016DaskalakiPhD.pdf"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https://theses.gla.ac.uk/7753/1/2016DaskalakiPhD.pdf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Dewnarain, S., Ramkissoon, H. and Mavondo, F., 2019. Social customer relationship management: An integrated conceptual framework. </w:t>
      </w:r>
      <w:r>
        <w:rPr>
          <w:rFonts w:hint="default" w:ascii="Times New Roman" w:hAnsi="Times New Roman" w:eastAsia="宋体" w:cs="Times New Roman"/>
          <w:i/>
          <w:iCs/>
          <w:caps w:val="0"/>
          <w:color w:val="auto"/>
          <w:spacing w:val="0"/>
          <w:sz w:val="24"/>
          <w:szCs w:val="24"/>
          <w:shd w:val="clear" w:fill="FFFFFF"/>
        </w:rPr>
        <w:t>Journal of Hospitality Marketing &amp; Management</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28</w:t>
      </w:r>
      <w:r>
        <w:rPr>
          <w:rFonts w:hint="default" w:ascii="Times New Roman" w:hAnsi="Times New Roman" w:eastAsia="宋体" w:cs="Times New Roman"/>
          <w:i w:val="0"/>
          <w:iCs w:val="0"/>
          <w:caps w:val="0"/>
          <w:color w:val="auto"/>
          <w:spacing w:val="0"/>
          <w:sz w:val="24"/>
          <w:szCs w:val="24"/>
          <w:shd w:val="clear" w:fill="FFFFFF"/>
        </w:rPr>
        <w:t>(2), pp.172-188.</w:t>
      </w:r>
      <w:r>
        <w:rPr>
          <w:rFonts w:hint="default" w:ascii="Times New Roman" w:hAnsi="Times New Roman" w:eastAsia="宋体" w:cs="Times New Roman"/>
          <w:i w:val="0"/>
          <w:iCs w:val="0"/>
          <w:caps w:val="0"/>
          <w:color w:val="auto"/>
          <w:spacing w:val="0"/>
          <w:sz w:val="24"/>
          <w:szCs w:val="24"/>
          <w:shd w:val="clear" w:fill="FFFFFF"/>
          <w:lang w:val="en-MY"/>
        </w:rPr>
        <w:t xml:space="preserve"> https://d1wqtxts1xzle7.cloudfront.net/57575462/Social_customer_relationship_management_An_integrated_conceptual_framework-libre.pdf?1539697658=&amp;response-content-disposition=inline%3B+filename%3DSocial_customer_relationship_management.pdf&amp;Expires=1701261061&amp;Signature=ANUP9m2xNvDRpM~A0Y2zagVPhuCZaRPSq0Wcu~RsVwyNMe3i61te2F8Zx~I6lbX1H8j1taANrjMf2uOBMTPrHHLll~54H1tOwhZqU1j8JfQV9fUJzHZS6mwLksG8a--OvJP~pEUEtdAoS0Z-tAFG0SH7T7c-nt~r4SfUGoF-j43RWRNlEzUYE~MkoTV3EpoA2MvDxRpnyNblWpi585sXzw7-5uybTT5TpDsVocmQe3sq2ZKtN26rl6Xq5jvRDrJiVz5iGa0pWic-tcvFPl0k0BHFgSLCJ9m34eDhEp9cc8I2CKyPZgZcILbnqMLl1ASVPcPYHONolBKbd-BEdkOecQ__&amp;Key-Pair-Id=APKAJLOHF5GGSLRBV4ZA</w:t>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cs="Times New Roman"/>
          <w:color w:val="auto"/>
          <w:sz w:val="24"/>
          <w:szCs w:val="24"/>
          <w:lang w:val="en-MY"/>
        </w:rPr>
      </w:pPr>
      <w:r>
        <w:rPr>
          <w:rFonts w:hint="default" w:ascii="Times New Roman" w:hAnsi="Times New Roman" w:cs="Times New Roman"/>
          <w:color w:val="auto"/>
          <w:sz w:val="24"/>
          <w:szCs w:val="24"/>
          <w:lang w:val="en-MY"/>
        </w:rPr>
        <w:t xml:space="preserve">EqualOcean. (n.d.). </w:t>
      </w:r>
      <w:r>
        <w:rPr>
          <w:rFonts w:hint="default" w:ascii="Times New Roman" w:hAnsi="Times New Roman" w:cs="Times New Roman"/>
          <w:i/>
          <w:iCs/>
          <w:color w:val="auto"/>
          <w:sz w:val="24"/>
          <w:szCs w:val="24"/>
          <w:lang w:val="en-MY"/>
        </w:rPr>
        <w:t xml:space="preserve">Du zhongbing, founder of Banu: he has contacted with a number of institutions and a new round of financing has not yet been completed. </w:t>
      </w:r>
      <w:r>
        <w:rPr>
          <w:rFonts w:hint="default" w:ascii="Times New Roman" w:hAnsi="Times New Roman" w:cs="Times New Roman"/>
          <w:color w:val="auto"/>
          <w:sz w:val="24"/>
          <w:szCs w:val="24"/>
          <w:lang w:val="en-MY"/>
        </w:rPr>
        <w:t>[online] Available at: https://equalocean.com/briefing/20210624230055861 [Accessed 24 Nov. 2023].</w:t>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Galford, R.M. and Drapeau, A.S., 2003. </w:t>
      </w:r>
      <w:r>
        <w:rPr>
          <w:rFonts w:hint="default" w:ascii="Times New Roman" w:hAnsi="Times New Roman" w:eastAsia="宋体" w:cs="Times New Roman"/>
          <w:i/>
          <w:iCs/>
          <w:caps w:val="0"/>
          <w:color w:val="auto"/>
          <w:spacing w:val="0"/>
          <w:sz w:val="24"/>
          <w:szCs w:val="24"/>
          <w:shd w:val="clear" w:fill="FFFFFF"/>
        </w:rPr>
        <w:t>The trusted leader</w:t>
      </w:r>
      <w:r>
        <w:rPr>
          <w:rFonts w:hint="default" w:ascii="Times New Roman" w:hAnsi="Times New Roman" w:eastAsia="宋体" w:cs="Times New Roman"/>
          <w:i w:val="0"/>
          <w:iCs w:val="0"/>
          <w:caps w:val="0"/>
          <w:color w:val="auto"/>
          <w:spacing w:val="0"/>
          <w:sz w:val="24"/>
          <w:szCs w:val="24"/>
          <w:shd w:val="clear" w:fill="FFFFFF"/>
        </w:rPr>
        <w:t>. Simon and Schuster.</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"http://www.thetrustedleader.com/press-release.doc"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http://www.thetrustedleader.com/press-release.doc</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Gavin, J.H. and Mason, R.O., 2004. The Virtuous Organization:: The Value of Happiness in the Workplace. </w:t>
      </w:r>
      <w:r>
        <w:rPr>
          <w:rFonts w:hint="default" w:ascii="Times New Roman" w:hAnsi="Times New Roman" w:eastAsia="宋体" w:cs="Times New Roman"/>
          <w:i/>
          <w:iCs/>
          <w:caps w:val="0"/>
          <w:color w:val="auto"/>
          <w:spacing w:val="0"/>
          <w:sz w:val="24"/>
          <w:szCs w:val="24"/>
          <w:shd w:val="clear" w:fill="FFFFFF"/>
        </w:rPr>
        <w:t>Organizational dynamics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33</w:t>
      </w:r>
      <w:r>
        <w:rPr>
          <w:rFonts w:hint="default" w:ascii="Times New Roman" w:hAnsi="Times New Roman" w:eastAsia="宋体" w:cs="Times New Roman"/>
          <w:i w:val="0"/>
          <w:iCs w:val="0"/>
          <w:caps w:val="0"/>
          <w:color w:val="auto"/>
          <w:spacing w:val="0"/>
          <w:sz w:val="24"/>
          <w:szCs w:val="24"/>
          <w:shd w:val="clear" w:fill="FFFFFF"/>
        </w:rPr>
        <w:t>(4), pp.379-392.</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"file://C:\\Users\\asus\\Desktop\\Downloads\\the_value_of_happiness_in_the_workplace.pdf"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file:///C:/Users/asus/Desktop/Downloads/the_value_of_happiness_in_the_workplace.pdf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Henrikson, A.K., 2022. The trauma of territorial break-up: The Russia-Ukraine conflict and its international management–geopolitical strategy and diplomatic therapy. </w:t>
      </w:r>
      <w:r>
        <w:rPr>
          <w:rFonts w:hint="default" w:ascii="Times New Roman" w:hAnsi="Times New Roman" w:eastAsia="宋体" w:cs="Times New Roman"/>
          <w:i/>
          <w:iCs/>
          <w:caps w:val="0"/>
          <w:color w:val="auto"/>
          <w:spacing w:val="0"/>
          <w:sz w:val="24"/>
          <w:szCs w:val="24"/>
          <w:shd w:val="clear" w:fill="FFFFFF"/>
        </w:rPr>
        <w:t>Geopolítica (s)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13</w:t>
      </w:r>
      <w:r>
        <w:rPr>
          <w:rFonts w:hint="default" w:ascii="Times New Roman" w:hAnsi="Times New Roman" w:eastAsia="宋体" w:cs="Times New Roman"/>
          <w:i w:val="0"/>
          <w:iCs w:val="0"/>
          <w:caps w:val="0"/>
          <w:color w:val="auto"/>
          <w:spacing w:val="0"/>
          <w:sz w:val="24"/>
          <w:szCs w:val="24"/>
          <w:shd w:val="clear" w:fill="FFFFFF"/>
        </w:rPr>
        <w:t>(1), pp.11-36.</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"https://sites.tufts.edu/fletcherrussia/files/2022/05/HENRIKSON-The-Trauma-of-Territorial-Break-up-Geopoliticas-1.pdf"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https://sites.tufts.edu/fletcherrussia/files/2022/05/HENRIKSON-The-Trauma-of-Territorial-Break-up-Geopoliticas-1.pdf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Hickman, C.R. and Silva, M.A., 2018. </w:t>
      </w:r>
      <w:r>
        <w:rPr>
          <w:rFonts w:hint="default" w:ascii="Times New Roman" w:hAnsi="Times New Roman" w:eastAsia="宋体" w:cs="Times New Roman"/>
          <w:i/>
          <w:iCs/>
          <w:caps w:val="0"/>
          <w:color w:val="auto"/>
          <w:spacing w:val="0"/>
          <w:sz w:val="24"/>
          <w:szCs w:val="24"/>
          <w:shd w:val="clear" w:fill="FFFFFF"/>
        </w:rPr>
        <w:t>Creating excellence: Managing corporate culture, strategy, and change in the new age</w:t>
      </w:r>
      <w:r>
        <w:rPr>
          <w:rFonts w:hint="default" w:ascii="Times New Roman" w:hAnsi="Times New Roman" w:eastAsia="宋体" w:cs="Times New Roman"/>
          <w:i w:val="0"/>
          <w:iCs w:val="0"/>
          <w:caps w:val="0"/>
          <w:color w:val="auto"/>
          <w:spacing w:val="0"/>
          <w:sz w:val="24"/>
          <w:szCs w:val="24"/>
          <w:shd w:val="clear" w:fill="FFFFFF"/>
        </w:rPr>
        <w:t>. Routledge.</w:t>
      </w:r>
      <w:r>
        <w:rPr>
          <w:rFonts w:hint="default" w:ascii="Times New Roman" w:hAnsi="Times New Roman" w:eastAsia="宋体" w:cs="Times New Roman"/>
          <w:i w:val="0"/>
          <w:iCs w:val="0"/>
          <w:caps w:val="0"/>
          <w:color w:val="auto"/>
          <w:spacing w:val="0"/>
          <w:sz w:val="24"/>
          <w:szCs w:val="24"/>
          <w:shd w:val="clear" w:fill="FFFFFF"/>
          <w:lang w:val="en-MY"/>
        </w:rPr>
        <w:t xml:space="preserve"> https://books.google.com/books?hl=en&amp;lr=&amp;id=-R9WDwAAQBAJ&amp;oi=fnd&amp;pg=PT12&amp;dq=ollowing+the+accomplishment+of+each+objective,+it+is+imperative+for+management+to+scrutinize+the+results.+Identifying+the+strengths+of+the+employees+and+potential+pitfalls+in+the+future+is+crucia&amp;ots=jdV9eN4WxH&amp;sig=oheRVXosCspGY65-1v8usgG2TAA</w:t>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Kaushik, M. and Guleria, N., 2020. The impact of pandemic COVID-19 in workplace. </w:t>
      </w:r>
      <w:r>
        <w:rPr>
          <w:rFonts w:hint="default" w:ascii="Times New Roman" w:hAnsi="Times New Roman" w:eastAsia="宋体" w:cs="Times New Roman"/>
          <w:i/>
          <w:iCs/>
          <w:caps w:val="0"/>
          <w:color w:val="auto"/>
          <w:spacing w:val="0"/>
          <w:sz w:val="24"/>
          <w:szCs w:val="24"/>
          <w:shd w:val="clear" w:fill="FFFFFF"/>
        </w:rPr>
        <w:t>European Journal of Business and Management</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12</w:t>
      </w:r>
      <w:r>
        <w:rPr>
          <w:rFonts w:hint="default" w:ascii="Times New Roman" w:hAnsi="Times New Roman" w:eastAsia="宋体" w:cs="Times New Roman"/>
          <w:i w:val="0"/>
          <w:iCs w:val="0"/>
          <w:caps w:val="0"/>
          <w:color w:val="auto"/>
          <w:spacing w:val="0"/>
          <w:sz w:val="24"/>
          <w:szCs w:val="24"/>
          <w:shd w:val="clear" w:fill="FFFFFF"/>
        </w:rPr>
        <w:t>(15), pp.1-10.</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"https://www.researchgate.net/profile/Neha-Guleria-2/publication/353659460_The_Impact_of_Pandemic_COVID_-19_in_Workplace/links/6109085c1ca20f6f86f718be/The-Impact-of-Pandemic-COVID-19-in-Workplace.pdf"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https://www.researchgate.net/profile/Neha-Guleria-2/publication/353659460_The_Impact_of_Pandemic_COVID_-19_in_Workplace/links/6109085c1ca20f6f86f718be/The-Impact-of-Pandemic-COVID-19-in-Workplace.pdf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Kaye, A.D., Okeagu, C.N., Pham, A.D., Silva, R.A., Hurley, J.J., Arron, B.L., Sarfraz, N., Lee, H.N., Ghali, G.E., Gamble, J.W. and Liu, H., 2021. Economic impact of COVID-19 pandemic on healthcare facilities and systems: International perspectives. </w:t>
      </w:r>
      <w:r>
        <w:rPr>
          <w:rFonts w:hint="default" w:ascii="Times New Roman" w:hAnsi="Times New Roman" w:eastAsia="宋体" w:cs="Times New Roman"/>
          <w:i/>
          <w:iCs/>
          <w:caps w:val="0"/>
          <w:color w:val="auto"/>
          <w:spacing w:val="0"/>
          <w:sz w:val="24"/>
          <w:szCs w:val="24"/>
          <w:shd w:val="clear" w:fill="FFFFFF"/>
        </w:rPr>
        <w:t>Best Practice &amp; Research Clinical Anaesthesiology</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35</w:t>
      </w:r>
      <w:r>
        <w:rPr>
          <w:rFonts w:hint="default" w:ascii="Times New Roman" w:hAnsi="Times New Roman" w:eastAsia="宋体" w:cs="Times New Roman"/>
          <w:i w:val="0"/>
          <w:iCs w:val="0"/>
          <w:caps w:val="0"/>
          <w:color w:val="auto"/>
          <w:spacing w:val="0"/>
          <w:sz w:val="24"/>
          <w:szCs w:val="24"/>
          <w:shd w:val="clear" w:fill="FFFFFF"/>
        </w:rPr>
        <w:t>(3), pp.293-306.</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"https://doi.org/10.1016/j.bpa.2020.11.009"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https://doi.org/10.1016/j.bpa.2020.11.009</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Kingma, S., 2019. New ways of working (NWW): work space and cultural change in virtualizing organizations. </w:t>
      </w:r>
      <w:r>
        <w:rPr>
          <w:rFonts w:hint="default" w:ascii="Times New Roman" w:hAnsi="Times New Roman" w:eastAsia="宋体" w:cs="Times New Roman"/>
          <w:i/>
          <w:iCs/>
          <w:caps w:val="0"/>
          <w:color w:val="auto"/>
          <w:spacing w:val="0"/>
          <w:sz w:val="24"/>
          <w:szCs w:val="24"/>
          <w:shd w:val="clear" w:fill="FFFFFF"/>
        </w:rPr>
        <w:t>Culture and Organization</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25</w:t>
      </w:r>
      <w:r>
        <w:rPr>
          <w:rFonts w:hint="default" w:ascii="Times New Roman" w:hAnsi="Times New Roman" w:eastAsia="宋体" w:cs="Times New Roman"/>
          <w:i w:val="0"/>
          <w:iCs w:val="0"/>
          <w:caps w:val="0"/>
          <w:color w:val="auto"/>
          <w:spacing w:val="0"/>
          <w:sz w:val="24"/>
          <w:szCs w:val="24"/>
          <w:shd w:val="clear" w:fill="FFFFFF"/>
        </w:rPr>
        <w:t>(5), pp.383-406.</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"https://www.tandfonline.com/doi/pdf/10.1080/14759551.2018.1427747"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https://www.tandfonline.com/doi/pdf/10.1080/14759551.2018.1427747</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Ongori, J.K., Iravo, M. and Munene, C.E., 2013. Factors affecting performance of hotels and restaurants in Kenya: A case of Kisii County.</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"http://41.89.101.166:8080/xmlui/bitstream/handle/123456789/9285/FACTORS%20AFFECTING%20PERFORMANCE%20OF%20HOTELS%20AND%20RESTAURANTS.pdf?sequence=1&amp;isAllowed=y"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http://41.89.101.166:8080/xmlui/bitstream/handle/123456789/9285/FACTORS%20AFFECTING%20PERFORMANCE%20OF%20HOTELS%20AND%20RESTAURANTS.pdf?sequence=1&amp;isAllowed=y</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Onyeaka, H., Anumudu, C.K., Al-Sharify, Z.T., Egele-Godswill, E. and Mbaegbu, P., 2021. COVID-19 pandemic: A review of the global lockdown and its far-reaching effects. </w:t>
      </w:r>
      <w:r>
        <w:rPr>
          <w:rFonts w:hint="default" w:ascii="Times New Roman" w:hAnsi="Times New Roman" w:eastAsia="宋体" w:cs="Times New Roman"/>
          <w:i/>
          <w:iCs/>
          <w:caps w:val="0"/>
          <w:color w:val="auto"/>
          <w:spacing w:val="0"/>
          <w:sz w:val="24"/>
          <w:szCs w:val="24"/>
          <w:shd w:val="clear" w:fill="FFFFFF"/>
        </w:rPr>
        <w:t>Science progress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104</w:t>
      </w:r>
      <w:r>
        <w:rPr>
          <w:rFonts w:hint="default" w:ascii="Times New Roman" w:hAnsi="Times New Roman" w:eastAsia="宋体" w:cs="Times New Roman"/>
          <w:i w:val="0"/>
          <w:iCs w:val="0"/>
          <w:caps w:val="0"/>
          <w:color w:val="auto"/>
          <w:spacing w:val="0"/>
          <w:sz w:val="24"/>
          <w:szCs w:val="24"/>
          <w:shd w:val="clear" w:fill="FFFFFF"/>
        </w:rPr>
        <w:t>(2), p.00368504211019854.</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"https://doi.org/10.1177/00368504211019854"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https://doi.org/10.1177/00368504211019854</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Ottenbacher, M.C. and Harrington, R.J., 2009. The product innovation process of quick‐service restaurant chains. </w:t>
      </w:r>
      <w:r>
        <w:rPr>
          <w:rFonts w:hint="default" w:ascii="Times New Roman" w:hAnsi="Times New Roman" w:eastAsia="宋体" w:cs="Times New Roman"/>
          <w:i/>
          <w:iCs/>
          <w:caps w:val="0"/>
          <w:color w:val="auto"/>
          <w:spacing w:val="0"/>
          <w:sz w:val="24"/>
          <w:szCs w:val="24"/>
          <w:shd w:val="clear" w:fill="FFFFFF"/>
        </w:rPr>
        <w:t>International Journal of Contemporary Hospitality Management</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21</w:t>
      </w:r>
      <w:r>
        <w:rPr>
          <w:rFonts w:hint="default" w:ascii="Times New Roman" w:hAnsi="Times New Roman" w:eastAsia="宋体" w:cs="Times New Roman"/>
          <w:i w:val="0"/>
          <w:iCs w:val="0"/>
          <w:caps w:val="0"/>
          <w:color w:val="auto"/>
          <w:spacing w:val="0"/>
          <w:sz w:val="24"/>
          <w:szCs w:val="24"/>
          <w:shd w:val="clear" w:fill="FFFFFF"/>
        </w:rPr>
        <w:t>(5), pp.523-541.</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"https://www.researchgate.net/profile/Michael-Ottenbacher/publication/235297422_The_Product_Innovation_Process_of_Quick-Service_Restaurant_Chains/links/5c461c96458515a4c736702c/The-Product-Innovation-Process-of-Quick-Service-Restaurant-Chains.pdf"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https://www.researchgate.net/profile/Michael-Ottenbacher/publication/235297422_The_Product_Innovation_Process_of_Quick-Service_Restaurant_Chains/links/5c461c96458515a4c736702c/The-Product-Innovation-Process-of-Quick-Service-Restaurant-Chains.pdf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Parker, C., 2006. The “compliance” trap: The moral message in responsive regulatory enforcement. </w:t>
      </w:r>
      <w:r>
        <w:rPr>
          <w:rFonts w:hint="default" w:ascii="Times New Roman" w:hAnsi="Times New Roman" w:eastAsia="宋体" w:cs="Times New Roman"/>
          <w:i/>
          <w:iCs/>
          <w:caps w:val="0"/>
          <w:color w:val="auto"/>
          <w:spacing w:val="0"/>
          <w:sz w:val="24"/>
          <w:szCs w:val="24"/>
          <w:shd w:val="clear" w:fill="FFFFFF"/>
        </w:rPr>
        <w:t>Law &amp; Society Review</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40</w:t>
      </w:r>
      <w:r>
        <w:rPr>
          <w:rFonts w:hint="default" w:ascii="Times New Roman" w:hAnsi="Times New Roman" w:eastAsia="宋体" w:cs="Times New Roman"/>
          <w:i w:val="0"/>
          <w:iCs w:val="0"/>
          <w:caps w:val="0"/>
          <w:color w:val="auto"/>
          <w:spacing w:val="0"/>
          <w:sz w:val="24"/>
          <w:szCs w:val="24"/>
          <w:shd w:val="clear" w:fill="FFFFFF"/>
        </w:rPr>
        <w:t>(3), pp.591-622.</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"https://scholar.archive.org/work/udfcg5tnuveddkgj5zps2obihe/access/wayback/http:/regnet.anu.edu.au/program/pastevents/link_documents/papers/2004/regnetconf04/paper/Parker.pdf"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https://scholar.archive.org/work/udfcg5tnuveddkgj5zps2obihe/access/wayback/http://regnet.anu.edu.au/program/pastevents/link_documents/papers/2004/regnetconf04/paper/Parker.pdf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Payne, A. and Frow, P., 2016. Customer relationship management: Strategy and implementation. In </w:t>
      </w:r>
      <w:r>
        <w:rPr>
          <w:rFonts w:hint="default" w:ascii="Times New Roman" w:hAnsi="Times New Roman" w:eastAsia="宋体" w:cs="Times New Roman"/>
          <w:i/>
          <w:iCs/>
          <w:caps w:val="0"/>
          <w:color w:val="auto"/>
          <w:spacing w:val="0"/>
          <w:sz w:val="24"/>
          <w:szCs w:val="24"/>
          <w:shd w:val="clear" w:fill="FFFFFF"/>
        </w:rPr>
        <w:t>The Marketing Book</w:t>
      </w:r>
      <w:r>
        <w:rPr>
          <w:rFonts w:hint="default" w:ascii="Times New Roman" w:hAnsi="Times New Roman" w:eastAsia="宋体" w:cs="Times New Roman"/>
          <w:i w:val="0"/>
          <w:iCs w:val="0"/>
          <w:caps w:val="0"/>
          <w:color w:val="auto"/>
          <w:spacing w:val="0"/>
          <w:sz w:val="24"/>
          <w:szCs w:val="24"/>
          <w:shd w:val="clear" w:fill="FFFFFF"/>
        </w:rPr>
        <w:t> (pp. 439-466). Routledge.</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"https://www.academia.edu/download/47997144/7-Payne.pdf"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https://www.academia.edu/download/47997144/7-Payne.pdf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Quaglia, L. and Verdun, A., 2023. Weaponisation of finance: the role of European central banks and financial sanctions against Russia. </w:t>
      </w:r>
      <w:r>
        <w:rPr>
          <w:rFonts w:hint="default" w:ascii="Times New Roman" w:hAnsi="Times New Roman" w:eastAsia="宋体" w:cs="Times New Roman"/>
          <w:i/>
          <w:iCs/>
          <w:caps w:val="0"/>
          <w:color w:val="auto"/>
          <w:spacing w:val="0"/>
          <w:sz w:val="24"/>
          <w:szCs w:val="24"/>
          <w:shd w:val="clear" w:fill="FFFFFF"/>
        </w:rPr>
        <w:t>West European Politics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46</w:t>
      </w:r>
      <w:r>
        <w:rPr>
          <w:rFonts w:hint="default" w:ascii="Times New Roman" w:hAnsi="Times New Roman" w:eastAsia="宋体" w:cs="Times New Roman"/>
          <w:i w:val="0"/>
          <w:iCs w:val="0"/>
          <w:caps w:val="0"/>
          <w:color w:val="auto"/>
          <w:spacing w:val="0"/>
          <w:sz w:val="24"/>
          <w:szCs w:val="24"/>
          <w:shd w:val="clear" w:fill="FFFFFF"/>
        </w:rPr>
        <w:t>(5), pp.872-895.</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"https://www.tandfonline.com/doi/pdf/10.1080/01402382.2022.2155906"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https://www.tandfonline.com/doi/pdf/10.1080/01402382.2022.2155906</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Rokicki, T., Bórawski, P. and Szeberényi, A., 2023. The impact of the 2020–2022 crises on eu countries’ independence from energy imports, particularly from russia. </w:t>
      </w:r>
      <w:r>
        <w:rPr>
          <w:rFonts w:hint="default" w:ascii="Times New Roman" w:hAnsi="Times New Roman" w:eastAsia="宋体" w:cs="Times New Roman"/>
          <w:i/>
          <w:iCs/>
          <w:caps w:val="0"/>
          <w:color w:val="auto"/>
          <w:spacing w:val="0"/>
          <w:sz w:val="24"/>
          <w:szCs w:val="24"/>
          <w:shd w:val="clear" w:fill="FFFFFF"/>
        </w:rPr>
        <w:t>Energies</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16</w:t>
      </w:r>
      <w:r>
        <w:rPr>
          <w:rFonts w:hint="default" w:ascii="Times New Roman" w:hAnsi="Times New Roman" w:eastAsia="宋体" w:cs="Times New Roman"/>
          <w:i w:val="0"/>
          <w:iCs w:val="0"/>
          <w:caps w:val="0"/>
          <w:color w:val="auto"/>
          <w:spacing w:val="0"/>
          <w:sz w:val="24"/>
          <w:szCs w:val="24"/>
          <w:shd w:val="clear" w:fill="FFFFFF"/>
        </w:rPr>
        <w:t>(18), p.6629.</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"https://www.mdpi.com/1996-1073/16/18/6629"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https://www.mdpi.com/1996-1073/16/18/6629</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Sturm, S., 2004. Second generation employment discrimination: A structural approach. In </w:t>
      </w:r>
      <w:r>
        <w:rPr>
          <w:rFonts w:hint="default" w:ascii="Times New Roman" w:hAnsi="Times New Roman" w:eastAsia="宋体" w:cs="Times New Roman"/>
          <w:i/>
          <w:iCs/>
          <w:caps w:val="0"/>
          <w:color w:val="auto"/>
          <w:spacing w:val="0"/>
          <w:sz w:val="24"/>
          <w:szCs w:val="24"/>
          <w:shd w:val="clear" w:fill="FFFFFF"/>
        </w:rPr>
        <w:t>Women and the US Constitution: History, Interpretation, and Practice</w:t>
      </w:r>
      <w:r>
        <w:rPr>
          <w:rFonts w:hint="default" w:ascii="Times New Roman" w:hAnsi="Times New Roman" w:eastAsia="宋体" w:cs="Times New Roman"/>
          <w:i w:val="0"/>
          <w:iCs w:val="0"/>
          <w:caps w:val="0"/>
          <w:color w:val="auto"/>
          <w:spacing w:val="0"/>
          <w:sz w:val="24"/>
          <w:szCs w:val="24"/>
          <w:shd w:val="clear" w:fill="FFFFFF"/>
        </w:rPr>
        <w:t> (pp. 292-313). Columbia University Press.</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"https://scholarship.law.columbia.edu/cgi/viewcontent.cgi?article=1220&amp;context=faculty_scholarship"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https://scholarship.law.columbia.edu/cgi/viewcontent.cgi?article=1220&amp;context=faculty_scholarship</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Volk, S.C., Berger, K., Zerfass, A., Bisswanger, L., Fetzer, M. and Koehler, K., 2017. </w:t>
      </w:r>
      <w:r>
        <w:rPr>
          <w:rFonts w:hint="default" w:ascii="Times New Roman" w:hAnsi="Times New Roman" w:eastAsia="宋体" w:cs="Times New Roman"/>
          <w:i/>
          <w:iCs/>
          <w:caps w:val="0"/>
          <w:color w:val="auto"/>
          <w:spacing w:val="0"/>
          <w:sz w:val="24"/>
          <w:szCs w:val="24"/>
          <w:shd w:val="clear" w:fill="FFFFFF"/>
        </w:rPr>
        <w:t>How to play the game. Strategic tools for managing corporate communications and creating value for your organization</w:t>
      </w:r>
      <w:r>
        <w:rPr>
          <w:rFonts w:hint="default" w:ascii="Times New Roman" w:hAnsi="Times New Roman" w:eastAsia="宋体" w:cs="Times New Roman"/>
          <w:i w:val="0"/>
          <w:iCs w:val="0"/>
          <w:caps w:val="0"/>
          <w:color w:val="auto"/>
          <w:spacing w:val="0"/>
          <w:sz w:val="24"/>
          <w:szCs w:val="24"/>
          <w:shd w:val="clear" w:fill="FFFFFF"/>
        </w:rPr>
        <w:t> (No. 3). Communication Insights.</w:t>
      </w:r>
      <w:r>
        <w:rPr>
          <w:rFonts w:hint="default" w:ascii="Times New Roman" w:hAnsi="Times New Roman" w:eastAsia="宋体" w:cs="Times New Roman"/>
          <w:i w:val="0"/>
          <w:iCs w:val="0"/>
          <w:caps w:val="0"/>
          <w:color w:val="auto"/>
          <w:spacing w:val="0"/>
          <w:sz w:val="24"/>
          <w:szCs w:val="24"/>
          <w:shd w:val="clear" w:fill="FFFFFF"/>
          <w:lang w:val="en-MY"/>
        </w:rPr>
        <w:t xml:space="preserve"> </w:t>
      </w:r>
      <w:r>
        <w:rPr>
          <w:rFonts w:hint="default" w:ascii="Times New Roman" w:hAnsi="Times New Roman" w:eastAsia="宋体" w:cs="Times New Roman"/>
          <w:i w:val="0"/>
          <w:iCs w:val="0"/>
          <w:caps w:val="0"/>
          <w:color w:val="auto"/>
          <w:spacing w:val="0"/>
          <w:sz w:val="24"/>
          <w:szCs w:val="24"/>
          <w:shd w:val="clear" w:fill="FFFFFF"/>
          <w:lang w:val="en-MY"/>
        </w:rPr>
        <w:fldChar w:fldCharType="begin"/>
      </w:r>
      <w:r>
        <w:rPr>
          <w:rFonts w:hint="default" w:ascii="Times New Roman" w:hAnsi="Times New Roman" w:eastAsia="宋体" w:cs="Times New Roman"/>
          <w:i w:val="0"/>
          <w:iCs w:val="0"/>
          <w:caps w:val="0"/>
          <w:color w:val="auto"/>
          <w:spacing w:val="0"/>
          <w:sz w:val="24"/>
          <w:szCs w:val="24"/>
          <w:shd w:val="clear" w:fill="FFFFFF"/>
          <w:lang w:val="en-MY"/>
        </w:rPr>
        <w:instrText xml:space="preserve"> HYPERLINK "https://www.econstor.eu/bitstream/10419/178665/1/communication-insights-3.pdf" </w:instrText>
      </w:r>
      <w:r>
        <w:rPr>
          <w:rFonts w:hint="default" w:ascii="Times New Roman" w:hAnsi="Times New Roman" w:eastAsia="宋体" w:cs="Times New Roman"/>
          <w:i w:val="0"/>
          <w:iCs w:val="0"/>
          <w:caps w:val="0"/>
          <w:color w:val="auto"/>
          <w:spacing w:val="0"/>
          <w:sz w:val="24"/>
          <w:szCs w:val="24"/>
          <w:shd w:val="clear" w:fill="FFFFFF"/>
          <w:lang w:val="en-MY"/>
        </w:rPr>
        <w:fldChar w:fldCharType="separate"/>
      </w:r>
      <w:r>
        <w:rPr>
          <w:rStyle w:val="12"/>
          <w:rFonts w:hint="default" w:ascii="Times New Roman" w:hAnsi="Times New Roman" w:eastAsia="宋体" w:cs="Times New Roman"/>
          <w:i w:val="0"/>
          <w:iCs w:val="0"/>
          <w:caps w:val="0"/>
          <w:color w:val="auto"/>
          <w:spacing w:val="0"/>
          <w:sz w:val="24"/>
          <w:szCs w:val="24"/>
          <w:shd w:val="clear" w:fill="FFFFFF"/>
          <w:lang w:val="en-MY"/>
        </w:rPr>
        <w:t>https://www.econstor.eu/bitstream/10419/178665/1/communication-insights-3.pdf</w:t>
      </w:r>
      <w:r>
        <w:rPr>
          <w:rFonts w:hint="default" w:ascii="Times New Roman" w:hAnsi="Times New Roman" w:eastAsia="宋体" w:cs="Times New Roman"/>
          <w:i w:val="0"/>
          <w:iCs w:val="0"/>
          <w:caps w:val="0"/>
          <w:color w:val="auto"/>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Xiao, H., Wang, Z., Liu, F. and Unger, J.M., 2023. Excess all-cause mortality in china after ending the zero COVID policy. </w:t>
      </w:r>
      <w:r>
        <w:rPr>
          <w:rFonts w:hint="default" w:ascii="Times New Roman" w:hAnsi="Times New Roman" w:eastAsia="宋体" w:cs="Times New Roman"/>
          <w:i/>
          <w:iCs/>
          <w:caps w:val="0"/>
          <w:color w:val="auto"/>
          <w:spacing w:val="0"/>
          <w:sz w:val="24"/>
          <w:szCs w:val="24"/>
          <w:shd w:val="clear" w:fill="FFFFFF"/>
        </w:rPr>
        <w:t>JAMA Network Open</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6</w:t>
      </w:r>
      <w:r>
        <w:rPr>
          <w:rFonts w:hint="default" w:ascii="Times New Roman" w:hAnsi="Times New Roman" w:eastAsia="宋体" w:cs="Times New Roman"/>
          <w:i w:val="0"/>
          <w:iCs w:val="0"/>
          <w:caps w:val="0"/>
          <w:color w:val="auto"/>
          <w:spacing w:val="0"/>
          <w:sz w:val="24"/>
          <w:szCs w:val="24"/>
          <w:shd w:val="clear" w:fill="FFFFFF"/>
        </w:rPr>
        <w:t>(8), pp.e2330877-e2330877.</w:t>
      </w:r>
      <w:r>
        <w:rPr>
          <w:rFonts w:hint="default" w:ascii="Times New Roman" w:hAnsi="Times New Roman" w:eastAsia="宋体" w:cs="Times New Roman"/>
          <w:i w:val="0"/>
          <w:iCs w:val="0"/>
          <w:caps w:val="0"/>
          <w:color w:val="auto"/>
          <w:spacing w:val="0"/>
          <w:sz w:val="24"/>
          <w:szCs w:val="24"/>
          <w:shd w:val="clear" w:fill="FFFFFF"/>
          <w:lang w:val="en-MY"/>
        </w:rPr>
        <w:t xml:space="preserve"> doi:10.1001/jamanetworkopen.2023.30877</w:t>
      </w:r>
    </w:p>
    <w:p>
      <w:pPr>
        <w:keepNext w:val="0"/>
        <w:keepLines w:val="0"/>
        <w:pageBreakBefore w:val="0"/>
        <w:widowControl/>
        <w:kinsoku/>
        <w:wordWrap/>
        <w:overflowPunct/>
        <w:topLinePunct w:val="0"/>
        <w:autoSpaceDE/>
        <w:autoSpaceDN/>
        <w:bidi w:val="0"/>
        <w:adjustRightInd/>
        <w:snapToGrid/>
        <w:spacing w:before="181" w:beforeLines="50" w:after="361" w:afterLines="100"/>
        <w:textAlignment w:val="auto"/>
        <w:rPr>
          <w:rFonts w:hint="default" w:ascii="Times New Roman" w:hAnsi="Times New Roman" w:eastAsia="宋体" w:cs="Times New Roman"/>
          <w:i w:val="0"/>
          <w:iCs w:val="0"/>
          <w:caps w:val="0"/>
          <w:color w:val="auto"/>
          <w:spacing w:val="0"/>
          <w:sz w:val="24"/>
          <w:szCs w:val="24"/>
          <w:shd w:val="clear" w:fill="FFFFFF"/>
          <w:lang w:val="en-MY"/>
        </w:rPr>
      </w:pPr>
      <w:r>
        <w:rPr>
          <w:rFonts w:hint="default" w:ascii="Times New Roman" w:hAnsi="Times New Roman" w:eastAsia="宋体" w:cs="Times New Roman"/>
          <w:i w:val="0"/>
          <w:iCs w:val="0"/>
          <w:caps w:val="0"/>
          <w:color w:val="auto"/>
          <w:spacing w:val="0"/>
          <w:sz w:val="24"/>
          <w:szCs w:val="24"/>
          <w:shd w:val="clear" w:fill="FFFFFF"/>
        </w:rPr>
        <w:t>Yu, M., Liu, F., Lee, J. and Soutar, G., 2018. The influence of negative publicity on brand equity: attribution, image, attitude and purchase intention. </w:t>
      </w:r>
      <w:r>
        <w:rPr>
          <w:rFonts w:hint="default" w:ascii="Times New Roman" w:hAnsi="Times New Roman" w:eastAsia="宋体" w:cs="Times New Roman"/>
          <w:i/>
          <w:iCs/>
          <w:caps w:val="0"/>
          <w:color w:val="auto"/>
          <w:spacing w:val="0"/>
          <w:sz w:val="24"/>
          <w:szCs w:val="24"/>
          <w:shd w:val="clear" w:fill="FFFFFF"/>
        </w:rPr>
        <w:t>Journal of Product &amp; Brand Management</w:t>
      </w:r>
      <w:r>
        <w:rPr>
          <w:rFonts w:hint="default" w:ascii="Times New Roman" w:hAnsi="Times New Roman" w:eastAsia="宋体" w:cs="Times New Roman"/>
          <w:i w:val="0"/>
          <w:iCs w:val="0"/>
          <w:caps w:val="0"/>
          <w:color w:val="auto"/>
          <w:spacing w:val="0"/>
          <w:sz w:val="24"/>
          <w:szCs w:val="24"/>
          <w:shd w:val="clear" w:fill="FFFFFF"/>
        </w:rPr>
        <w:t>, </w:t>
      </w:r>
      <w:r>
        <w:rPr>
          <w:rFonts w:hint="default" w:ascii="Times New Roman" w:hAnsi="Times New Roman" w:eastAsia="宋体" w:cs="Times New Roman"/>
          <w:i/>
          <w:iCs/>
          <w:caps w:val="0"/>
          <w:color w:val="auto"/>
          <w:spacing w:val="0"/>
          <w:sz w:val="24"/>
          <w:szCs w:val="24"/>
          <w:shd w:val="clear" w:fill="FFFFFF"/>
        </w:rPr>
        <w:t>27</w:t>
      </w:r>
      <w:r>
        <w:rPr>
          <w:rFonts w:hint="default" w:ascii="Times New Roman" w:hAnsi="Times New Roman" w:eastAsia="宋体" w:cs="Times New Roman"/>
          <w:i w:val="0"/>
          <w:iCs w:val="0"/>
          <w:caps w:val="0"/>
          <w:color w:val="auto"/>
          <w:spacing w:val="0"/>
          <w:sz w:val="24"/>
          <w:szCs w:val="24"/>
          <w:shd w:val="clear" w:fill="FFFFFF"/>
        </w:rPr>
        <w:t>(4), pp.440-451.</w:t>
      </w:r>
      <w:r>
        <w:rPr>
          <w:rFonts w:hint="default" w:ascii="Times New Roman" w:hAnsi="Times New Roman" w:eastAsia="宋体" w:cs="Times New Roman"/>
          <w:i w:val="0"/>
          <w:iCs w:val="0"/>
          <w:caps w:val="0"/>
          <w:color w:val="auto"/>
          <w:spacing w:val="0"/>
          <w:sz w:val="24"/>
          <w:szCs w:val="24"/>
          <w:shd w:val="clear" w:fill="FFFFFF"/>
          <w:lang w:val="en-MY"/>
        </w:rPr>
        <w:t xml:space="preserve"> https://www.researchgate.net/profile/Mingzhou-Yu-2/publication/328467368_The_influence_of_negative_publicity_on_brand_equity_attribution_image_attitude_and_purchase_intention/links/6276826fb1ad9f66c8a9c1ed/The-influence-of-negative-publicity-on-brand-equity-attribution-image-attitude-and-purchase-intention.pdf</w:t>
      </w:r>
    </w:p>
    <w:p>
      <w:pPr>
        <w:keepNext w:val="0"/>
        <w:keepLines w:val="0"/>
        <w:pageBreakBefore w:val="0"/>
        <w:widowControl/>
        <w:kinsoku/>
        <w:wordWrap/>
        <w:overflowPunct/>
        <w:topLinePunct w:val="0"/>
        <w:autoSpaceDE/>
        <w:autoSpaceDN/>
        <w:bidi w:val="0"/>
        <w:adjustRightInd/>
        <w:snapToGrid/>
        <w:spacing w:before="181" w:beforeLines="50" w:after="361" w:afterLines="100" w:line="480" w:lineRule="auto"/>
        <w:jc w:val="both"/>
        <w:textAlignment w:val="auto"/>
        <w:rPr>
          <w:rFonts w:hint="default" w:ascii="Times New Roman" w:hAnsi="Times New Roman" w:eastAsia="Times New Roman" w:cs="Times New Roman"/>
          <w:b w:val="0"/>
          <w:i w:val="0"/>
          <w:iCs w:val="0"/>
          <w:caps w:val="0"/>
          <w:color w:val="auto"/>
          <w:spacing w:val="0"/>
          <w:sz w:val="24"/>
          <w:szCs w:val="24"/>
          <w:shd w:val="clear" w:fill="FFFFFF"/>
          <w:lang w:val="en-MY"/>
        </w:rPr>
      </w:pPr>
    </w:p>
    <w:sectPr>
      <w:footerReference r:id="rId5" w:type="default"/>
      <w:pgSz w:w="11906" w:h="16838"/>
      <w:pgMar w:top="1417" w:right="1417" w:bottom="1417" w:left="1417" w:header="720" w:footer="720"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CrT0k4hAgAA&#10;YAQAAA4AAAAAAAAAAQAgAAAAHwEAAGRycy9lMm9Eb2MueG1sUEsFBgAAAAAGAAYAWQEAALIFAAAA&#10;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1AFAEC"/>
    <w:multiLevelType w:val="singleLevel"/>
    <w:tmpl w:val="AC1AFAEC"/>
    <w:lvl w:ilvl="0" w:tentative="0">
      <w:start w:val="2"/>
      <w:numFmt w:val="decimal"/>
      <w:suff w:val="space"/>
      <w:lvlText w:val="%1)"/>
      <w:lvlJc w:val="left"/>
    </w:lvl>
  </w:abstractNum>
  <w:abstractNum w:abstractNumId="1">
    <w:nsid w:val="D86CD154"/>
    <w:multiLevelType w:val="singleLevel"/>
    <w:tmpl w:val="D86CD154"/>
    <w:lvl w:ilvl="0" w:tentative="0">
      <w:start w:val="2"/>
      <w:numFmt w:val="decimal"/>
      <w:suff w:val="space"/>
      <w:lvlText w:val="%1)"/>
      <w:lvlJc w:val="left"/>
    </w:lvl>
  </w:abstractNum>
  <w:abstractNum w:abstractNumId="2">
    <w:nsid w:val="1C97F2FF"/>
    <w:multiLevelType w:val="singleLevel"/>
    <w:tmpl w:val="1C97F2FF"/>
    <w:lvl w:ilvl="0" w:tentative="0">
      <w:start w:val="1"/>
      <w:numFmt w:val="decimal"/>
      <w:lvlText w:val="%1."/>
      <w:lvlJc w:val="left"/>
      <w:pPr>
        <w:tabs>
          <w:tab w:val="left" w:pos="312"/>
        </w:tabs>
      </w:pPr>
    </w:lvl>
  </w:abstractNum>
  <w:abstractNum w:abstractNumId="3">
    <w:nsid w:val="28B460B5"/>
    <w:multiLevelType w:val="singleLevel"/>
    <w:tmpl w:val="28B460B5"/>
    <w:lvl w:ilvl="0" w:tentative="0">
      <w:start w:val="2"/>
      <w:numFmt w:val="decimal"/>
      <w:suff w:val="space"/>
      <w:lvlText w:val="%1."/>
      <w:lvlJc w:val="left"/>
    </w:lvl>
  </w:abstractNum>
  <w:abstractNum w:abstractNumId="4">
    <w:nsid w:val="411097A1"/>
    <w:multiLevelType w:val="singleLevel"/>
    <w:tmpl w:val="411097A1"/>
    <w:lvl w:ilvl="0" w:tentative="0">
      <w:start w:val="1"/>
      <w:numFmt w:val="decimal"/>
      <w:suff w:val="space"/>
      <w:lvlText w:val="%1)"/>
      <w:lvlJc w:val="left"/>
    </w:lvl>
  </w:abstractNum>
  <w:abstractNum w:abstractNumId="5">
    <w:nsid w:val="624B5A4E"/>
    <w:multiLevelType w:val="singleLevel"/>
    <w:tmpl w:val="624B5A4E"/>
    <w:lvl w:ilvl="0" w:tentative="0">
      <w:start w:val="2"/>
      <w:numFmt w:val="decimal"/>
      <w:suff w:val="space"/>
      <w:lvlText w:val="%1)"/>
      <w:lvlJc w:val="left"/>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zY2I5MjYxNDdlZGUxYWUxYjg1MzhlOTU4ZTk0ZjkifQ=="/>
  </w:docVars>
  <w:rsids>
    <w:rsidRoot w:val="06497325"/>
    <w:rsid w:val="01A97C0C"/>
    <w:rsid w:val="055872D1"/>
    <w:rsid w:val="05961BB9"/>
    <w:rsid w:val="05D97E86"/>
    <w:rsid w:val="06497325"/>
    <w:rsid w:val="08F57137"/>
    <w:rsid w:val="09EF451D"/>
    <w:rsid w:val="10B52FF9"/>
    <w:rsid w:val="19407488"/>
    <w:rsid w:val="1B50231D"/>
    <w:rsid w:val="215A59F1"/>
    <w:rsid w:val="282F7C8B"/>
    <w:rsid w:val="29E15E23"/>
    <w:rsid w:val="30867D4D"/>
    <w:rsid w:val="337551E4"/>
    <w:rsid w:val="342D50A6"/>
    <w:rsid w:val="39921977"/>
    <w:rsid w:val="3A2A75FA"/>
    <w:rsid w:val="3BCE13F5"/>
    <w:rsid w:val="3E143768"/>
    <w:rsid w:val="489B79E8"/>
    <w:rsid w:val="4B6127C6"/>
    <w:rsid w:val="53D426CF"/>
    <w:rsid w:val="592259AB"/>
    <w:rsid w:val="5BDF2D3B"/>
    <w:rsid w:val="5FD4310E"/>
    <w:rsid w:val="66E41EC6"/>
    <w:rsid w:val="6A137AA5"/>
    <w:rsid w:val="6D7C039E"/>
    <w:rsid w:val="6DED5596"/>
    <w:rsid w:val="6EAB5982"/>
    <w:rsid w:val="724007D8"/>
    <w:rsid w:val="79490104"/>
    <w:rsid w:val="7C383D31"/>
    <w:rsid w:val="7CA14209"/>
    <w:rsid w:val="7E085B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heme="minorEastAsia" w:cstheme="minorBidi"/>
      <w:sz w:val="24"/>
      <w:lang w:val="en-US" w:eastAsia="zh-CN" w:bidi="ar-SA"/>
    </w:rPr>
  </w:style>
  <w:style w:type="paragraph" w:styleId="2">
    <w:name w:val="heading 1"/>
    <w:basedOn w:val="1"/>
    <w:next w:val="1"/>
    <w:qFormat/>
    <w:uiPriority w:val="0"/>
    <w:pPr>
      <w:keepNext/>
      <w:keepLines/>
      <w:spacing w:before="340" w:after="330" w:line="360" w:lineRule="auto"/>
      <w:outlineLvl w:val="0"/>
    </w:pPr>
    <w:rPr>
      <w:b/>
      <w:bCs/>
      <w:kern w:val="44"/>
      <w:sz w:val="24"/>
      <w:szCs w:val="44"/>
    </w:rPr>
  </w:style>
  <w:style w:type="paragraph" w:styleId="3">
    <w:name w:val="heading 2"/>
    <w:basedOn w:val="1"/>
    <w:next w:val="1"/>
    <w:link w:val="17"/>
    <w:unhideWhenUsed/>
    <w:qFormat/>
    <w:uiPriority w:val="0"/>
    <w:pPr>
      <w:keepNext/>
      <w:keepLines/>
      <w:spacing w:before="260" w:after="260" w:line="360" w:lineRule="auto"/>
      <w:outlineLvl w:val="1"/>
    </w:pPr>
    <w:rPr>
      <w:b/>
      <w:bCs/>
      <w:sz w:val="24"/>
      <w:szCs w:val="32"/>
    </w:rPr>
  </w:style>
  <w:style w:type="paragraph" w:styleId="4">
    <w:name w:val="heading 3"/>
    <w:basedOn w:val="1"/>
    <w:next w:val="1"/>
    <w:unhideWhenUsed/>
    <w:qFormat/>
    <w:uiPriority w:val="0"/>
    <w:pPr>
      <w:keepNext/>
      <w:keepLines/>
      <w:spacing w:before="260" w:after="260" w:line="360" w:lineRule="auto"/>
      <w:outlineLvl w:val="2"/>
    </w:pPr>
    <w:rPr>
      <w:b/>
      <w:bCs/>
      <w:sz w:val="24"/>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tabs>
        <w:tab w:val="center" w:pos="4153"/>
        <w:tab w:val="right" w:pos="8306"/>
      </w:tabs>
      <w:snapToGrid w:val="0"/>
    </w:pPr>
    <w:rPr>
      <w:sz w:val="18"/>
      <w:szCs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styleId="12">
    <w:name w:val="Hyperlink"/>
    <w:basedOn w:val="11"/>
    <w:qFormat/>
    <w:uiPriority w:val="0"/>
    <w:rPr>
      <w:color w:val="0000FF"/>
      <w:u w:val="single"/>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 w:type="paragraph" w:customStyle="1" w:styleId="15">
    <w:name w:val="WPSOffice手动目录 3"/>
    <w:qFormat/>
    <w:uiPriority w:val="0"/>
    <w:pPr>
      <w:ind w:leftChars="400"/>
    </w:pPr>
    <w:rPr>
      <w:rFonts w:ascii="Times New Roman" w:hAnsi="Times New Roman" w:eastAsia="宋体" w:cs="Times New Roman"/>
      <w:sz w:val="20"/>
      <w:szCs w:val="20"/>
    </w:rPr>
  </w:style>
  <w:style w:type="paragraph" w:styleId="16">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7">
    <w:name w:val="Heading 2 Char"/>
    <w:basedOn w:val="11"/>
    <w:link w:val="3"/>
    <w:qFormat/>
    <w:uiPriority w:val="9"/>
    <w:rPr>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88cf9db-83a7-4221-88db-f4215dafef66}"/>
        <w:style w:val=""/>
        <w:category>
          <w:name w:val="General"/>
          <w:gallery w:val="placeholder"/>
        </w:category>
        <w:types>
          <w:type w:val="bbPlcHdr"/>
        </w:types>
        <w:behaviors>
          <w:behavior w:val="content"/>
        </w:behaviors>
        <w:description w:val=""/>
        <w:guid w:val="{188cf9db-83a7-4221-88db-f4215dafef66}"/>
      </w:docPartPr>
      <w:docPartBody>
        <w:p>
          <w:pPr>
            <w:pStyle w:val="1"/>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 w:type="paragraph" w:customStyle="1" w:styleId="1">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2023-11-26T15:54:00Z</dcterms:created>
  <dc:creator>asus</dc:creator>
  <cp:lastModifiedBy>123</cp:lastModifiedBy>
  <dcterms:modified xsi:type="dcterms:W3CDTF">2023-11-29T11:45:45Z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EC19865F84B242BABA07CA43DB76E9B0_13</vt:lpwstr>
  </property>
</Properties>
</file>