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jc w:val="both"/>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fr-FR"/>
          <w14:textFill>
            <w14:solidFill>
              <w14:srgbClr w14:val="000000"/>
            </w14:solidFill>
          </w14:textFill>
        </w:rPr>
        <w:t>Introduction</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Quality in early childhood education (ECE) is a multi-faceted concept that plays a crucial role in shaping children's development and future success (Siraj-Blatchford &amp; Siraj-Blatchford, 2010). It is a cornerstone of Wales' commitment to ensuring positive outcomes for children (Early Years Wales, 2013). It encompasses various dimensions, including cognitive stimulation, emotional support, physical safety, and social interaction, aligning with the principles of the Foundation Phase curriculum (Welsh Government, Year). High-quality ECE programs in Wales aim to provide children with a holistic and child-centred approach to learning, rooted in Welsh cultural values and language (Siraj-Blatchford, 2010). It encompasses various dimensions, including cognitive stimulation, emotional support, physical safety, and social interaction (Penn, 2016). High-quality ECE programs provide a nurturing environment that fosters children's holistic growth and prepares them for lifelong learning (Burchinal et al., 2010).</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This critical analysis, seeks to explore the benefits of promoting and ensuring quality in ECE beyond statutory requirements, focusing on two prominent quality assurance methods: Baby Effective Early Learning (BEEL) and Sustained Shared Thinking and Emotional Well-being Scale (STEEL). This critical analysis seeks to examine these methods, compare and contrast their advantages and disadvantages, discuss the information needed for improvement, and explore their utility in driving quality in early childhood settings.</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b w:val="1"/>
          <w:bCs w:val="1"/>
          <w:outline w:val="0"/>
          <w:color w:val="000000"/>
          <w:u w:color="000000"/>
          <w:rtl w:val="0"/>
          <w:lang w:val="en-US"/>
          <w14:textFill>
            <w14:solidFill>
              <w14:srgbClr w14:val="000000"/>
            </w14:solidFill>
          </w14:textFill>
        </w:rPr>
        <w:t>Benefits of Additional Methods of Promoting and Ensuring Quality Above Statutory Requirements</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 xml:space="preserve">In Wales, going beyond statutory requirements in ECE promotes innovation and excellence in early childhood provision, aligning with the Welsh Government's vision for education. By exceeding minimum standards, ECE providers demonstrate their commitment to the well-being and development of children, fostering a culture of continuous improvement and reflective practice (Early Years Wales, 2013). Moreover, promoting quality above statutory requirements enhances parental confidence and engagement, empowering families to actively participate in their children's learning journey. Meeting minimum regulatory standards, striving for excellence in ECE has numerous benefits for children, families, educators, and society </w:t>
      </w:r>
      <w:r>
        <w:rPr>
          <w:rFonts w:ascii="Arial" w:hAnsi="Arial"/>
          <w:rtl w:val="0"/>
          <w:lang w:val="en-US"/>
        </w:rPr>
        <w:t xml:space="preserve">(Dahlberg, Moss and Pence, 2013) </w:t>
      </w:r>
      <w:r>
        <w:rPr>
          <w:rFonts w:ascii="Arial" w:hAnsi="Arial"/>
          <w:outline w:val="0"/>
          <w:color w:val="000000"/>
          <w:u w:color="000000"/>
          <w:rtl w:val="0"/>
          <w:lang w:val="en-US"/>
          <w14:textFill>
            <w14:solidFill>
              <w14:srgbClr w14:val="000000"/>
            </w14:solidFill>
          </w14:textFill>
        </w:rPr>
        <w:t>and, by exceeding statutory requirements, ECE providers demonstrate a commitment to continuous improvement and innovation (Penn, 2016). They have the flexibility to adopt evidence-based practices and adapt to emerging research findings, thereby enhancing the quality of learning experiences for children (Burchinal et al., 2010). Moreover, going beyond regulatory compliance can lead to greater parental satisfaction and trust (Laevers, 2005). Parents are more likely to entrust their children to ECE settings that demonstrate a commitment to quality and prioritise children's well-being and development (Neuman &amp; Cunningham, 2009). Additionally, investing in quality ECE programs contributes to the professionalisation of the early childhood workforce (Pascal et al., 2010). Educators in high-quality settings receive ongoing training and support, enabling them to provide responsive and stimulating environments that optimise children's learning and development (Siraj-Blatchford &amp; Siraj-Blatchford, 2010).</w:t>
      </w:r>
    </w:p>
    <w:p>
      <w:pPr>
        <w:pStyle w:val="Body"/>
        <w:spacing w:after="0"/>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b w:val="1"/>
          <w:bCs w:val="1"/>
          <w:outline w:val="0"/>
          <w:color w:val="000000"/>
          <w:u w:color="000000"/>
          <w:rtl w:val="0"/>
          <w:lang w:val="en-US"/>
          <w14:textFill>
            <w14:solidFill>
              <w14:srgbClr w14:val="000000"/>
            </w14:solidFill>
          </w14:textFill>
        </w:rPr>
        <w:t>Critical Analysis of Quality Assurance Methods: BEEL and STEEL</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BEEL and STEEL are two widely used quality assurance methods in ECE settings, each focusing on different aspects of adult-child interactions and developmental outcomes.</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BEEL, developed by Pascal and Bertram (2009), is designed to assess the quality of interactions between caregivers and infants in early childhood settings. It emphasizes the importance of responsive caregiving, language-rich environments, and stimulating interactions that support early learning and development (Pascal &amp; Bertram, 2009). BEEL employs observation-based assessments to evaluate the quality and quantity of caregiver-infant interactions, including verbal and nonverbal communication, responsiveness to cues, and provision of stimulating activities (Siraj-Blatchford et al., 2002). The tool provides valuable insights into the extent to which caregivers facilitate learning opportunities and promote positive attachment relationships with infants (Pascal et al., 2007).</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Conversely, STEEL, developed by Siraj-Blatchford and colleagues (2017), focuses on assessing the quality of adult-child interactions in early childhood settings, with a particular emphasis on sustained shared thinking and emotional well-being. Sustained shared thinking refers to interactions in which adults and children engage collaboratively in problem-solving, critical thinking, and exploring new ideas (Siraj-Blatchford et al., 2017). Emotional well-being encompasses the provision of nurturing and supportive environments that promote children's social and emotional development (Sylva et al., 2004). STEEL employs structured observations and rating scales to assess the frequency and quality of sustained shared thinking interactions and the emotional climate of the classroom or setting (Siraj-Blatchford et al., 2008).</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p>
    <w:p>
      <w:pPr>
        <w:pStyle w:val="Body"/>
        <w:spacing w:after="0"/>
        <w:jc w:val="both"/>
      </w:pPr>
    </w:p>
    <w:p>
      <w:pPr>
        <w:pStyle w:val="Body"/>
        <w:spacing w:after="0"/>
        <w:jc w:val="both"/>
      </w:pPr>
    </w:p>
    <w:p>
      <w:pPr>
        <w:pStyle w:val="Body"/>
        <w:spacing w:after="0"/>
        <w:jc w:val="both"/>
      </w:pPr>
    </w:p>
    <w:p>
      <w:pPr>
        <w:pStyle w:val="Body"/>
        <w:spacing w:after="0"/>
        <w:jc w:val="both"/>
      </w:pPr>
      <w:r>
        <w:rPr>
          <w:rFonts w:ascii="Arial" w:hAnsi="Arial"/>
          <w:b w:val="1"/>
          <w:bCs w:val="1"/>
          <w:outline w:val="0"/>
          <w:color w:val="000000"/>
          <w:u w:color="000000"/>
          <w:rtl w:val="0"/>
          <w:lang w:val="en-US"/>
          <w14:textFill>
            <w14:solidFill>
              <w14:srgbClr w14:val="000000"/>
            </w14:solidFill>
          </w14:textFill>
        </w:rPr>
        <w:t>Comparing BEEL and STEEL</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Whilst BEEL and STEEL share a common goal of assessing and improving the quality of adult-child interactions in early childhood settings, they differ in their focus, methodology, and age range.</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fr-FR"/>
          <w14:textFill>
            <w14:solidFill>
              <w14:srgbClr w14:val="000000"/>
            </w14:solidFill>
          </w14:textFill>
        </w:rPr>
        <w:t>BEEL</w:t>
      </w:r>
      <w:r>
        <w:rPr>
          <w:rFonts w:ascii="Arial" w:hAnsi="Arial"/>
          <w:outline w:val="0"/>
          <w:color w:val="000000"/>
          <w:u w:color="000000"/>
          <w:rtl w:val="0"/>
          <w:lang w:val="en-US"/>
          <w14:textFill>
            <w14:solidFill>
              <w14:srgbClr w14:val="000000"/>
            </w14:solidFill>
          </w14:textFill>
        </w:rPr>
        <w:t>`s focus primarily targets interactions between caregivers and infants, with a specific emphasis on promoting early learning and development during the critical first years of life (Pascal et al., 2010). In contrast, STEEL assesses interactions across a broader age range, encompassing preschool and early primary years, and emphasises the importance of sustained shared thinking and emotional well-being for children's overall development (Siraj-Blatchford et al., 2008).</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From a methodology perspective, BEEL employs observation-based assessments to capture the quality and quantity of caregiver-infant interactions, focusing on factors such as responsiveness, language stimulation, and provision of learning opportunities (Pascal &amp; Bertram, 2009). However, i</w:t>
      </w:r>
      <w:r>
        <w:rPr>
          <w:rFonts w:ascii="Arial" w:hAnsi="Arial"/>
          <w:outline w:val="0"/>
          <w:color w:val="000000"/>
          <w:u w:color="000000"/>
          <w:rtl w:val="0"/>
          <w:lang w:val="fr-FR"/>
          <w14:textFill>
            <w14:solidFill>
              <w14:srgbClr w14:val="000000"/>
            </w14:solidFill>
          </w14:textFill>
        </w:rPr>
        <w:t xml:space="preserve">n contrast, STEEL </w:t>
      </w:r>
      <w:r>
        <w:rPr>
          <w:rFonts w:ascii="Arial" w:hAnsi="Arial"/>
          <w:outline w:val="0"/>
          <w:color w:val="000000"/>
          <w:u w:color="000000"/>
          <w:rtl w:val="0"/>
          <w:lang w:val="en-US"/>
          <w14:textFill>
            <w14:solidFill>
              <w14:srgbClr w14:val="000000"/>
            </w14:solidFill>
          </w14:textFill>
        </w:rPr>
        <w:t>uses structured observations and rating scales to assess the frequency and quality of sustained shared thinking interactions, as well as the emotional climate of the classroom or setting (Siraj-Blatchford et al., 2017).</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b w:val="1"/>
          <w:bCs w:val="1"/>
          <w:outline w:val="0"/>
          <w:color w:val="000000"/>
          <w:u w:color="000000"/>
          <w:rtl w:val="0"/>
          <w:lang w:val="en-US"/>
          <w14:textFill>
            <w14:solidFill>
              <w14:srgbClr w14:val="000000"/>
            </w14:solidFill>
          </w14:textFill>
        </w:rPr>
        <w:t>Advantages and Disadvantages</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pPr>
      <w:r>
        <w:rPr>
          <w:rFonts w:ascii="Arial" w:hAnsi="Arial"/>
          <w:outline w:val="0"/>
          <w:color w:val="000000"/>
          <w:u w:color="000000"/>
          <w:rtl w:val="0"/>
          <w:lang w:val="en-US"/>
          <w14:textFill>
            <w14:solidFill>
              <w14:srgbClr w14:val="000000"/>
            </w14:solidFill>
          </w14:textFill>
        </w:rPr>
        <w:t>While both BEEL and STEEL offer valuable insights into the quality of adult-child interactions in early childhood settings, they have distinct advantages and limitations.  Here are the advantages and disadvantages of both methodologies:</w:t>
      </w:r>
    </w:p>
    <w:p>
      <w:pPr>
        <w:pStyle w:val="Body"/>
        <w:spacing w:after="0"/>
        <w:jc w:val="both"/>
      </w:pPr>
      <w:r>
        <w:rPr>
          <w:rFonts w:ascii="Arial" w:hAnsi="Arial"/>
          <w:outline w:val="0"/>
          <w:color w:val="000000"/>
          <w:u w:color="000000"/>
          <w:rtl w:val="0"/>
          <w14:textFill>
            <w14:solidFill>
              <w14:srgbClr w14:val="000000"/>
            </w14:solidFill>
          </w14:textFill>
        </w:rPr>
        <w:t xml:space="preserve"> </w:t>
      </w:r>
    </w:p>
    <w:p>
      <w:pPr>
        <w:pStyle w:val="Body"/>
        <w:spacing w:after="0"/>
        <w:jc w:val="both"/>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Advantages of BEEL</w:t>
      </w:r>
    </w:p>
    <w:p>
      <w:pPr>
        <w:pStyle w:val="Body"/>
        <w:spacing w:after="0"/>
        <w:jc w:val="both"/>
      </w:pPr>
    </w:p>
    <w:p>
      <w:pPr>
        <w:pStyle w:val="List Paragraph"/>
        <w:numPr>
          <w:ilvl w:val="0"/>
          <w:numId w:val="2"/>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Specific focus on interactions between caregivers and infants, allowing for early identification and intervention in critical developmental stages (Pascal et al., 2010).</w:t>
      </w:r>
    </w:p>
    <w:p>
      <w:pPr>
        <w:pStyle w:val="List Paragraph"/>
        <w:numPr>
          <w:ilvl w:val="0"/>
          <w:numId w:val="2"/>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Emphasis on responsive caregiving and language-rich environments, which are essential for promoting early learning and development (Pascal &amp; Bertram, 2009).</w:t>
      </w:r>
    </w:p>
    <w:p>
      <w:pPr>
        <w:pStyle w:val="List Paragraph"/>
        <w:numPr>
          <w:ilvl w:val="0"/>
          <w:numId w:val="2"/>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Utilises observation-based assessments, providing rich qualitative data on caregiver-infant interactions in naturalistic settings (Siraj-Blatchford et al., 2002).</w:t>
      </w:r>
      <w:r>
        <w:rPr>
          <w:rFonts w:ascii="Aptos" w:cs="Aptos" w:hAnsi="Aptos" w:eastAsia="Aptos"/>
        </w:rPr>
        <w:br w:type="textWrapping"/>
        <w:br w:type="textWrapping"/>
      </w:r>
      <w:r>
        <w:rPr>
          <w:rFonts w:ascii="Arial" w:hAnsi="Arial"/>
          <w:outline w:val="0"/>
          <w:color w:val="000000"/>
          <w:u w:color="000000"/>
          <w:rtl w:val="0"/>
          <w:lang w:val="en-US"/>
          <w14:textFill>
            <w14:solidFill>
              <w14:srgbClr w14:val="000000"/>
            </w14:solidFill>
          </w14:textFill>
        </w:rPr>
        <w:t xml:space="preserve"> </w:t>
      </w:r>
      <w:r>
        <w:rPr>
          <w:rFonts w:ascii="Aptos" w:cs="Aptos" w:hAnsi="Aptos" w:eastAsia="Aptos"/>
        </w:rPr>
        <w:br w:type="textWrapping"/>
      </w:r>
    </w:p>
    <w:p>
      <w:pPr>
        <w:pStyle w:val="List Paragraph"/>
        <w:bidi w:val="0"/>
        <w:spacing w:after="0"/>
        <w:ind w:left="0" w:right="0" w:firstLine="0"/>
        <w:jc w:val="both"/>
        <w:rPr>
          <w:rFonts w:ascii="Arial" w:cs="Arial" w:hAnsi="Arial" w:eastAsia="Arial"/>
          <w:outline w:val="0"/>
          <w:color w:val="000000"/>
          <w:u w:color="000000"/>
          <w:rtl w:val="0"/>
          <w14:textFill>
            <w14:solidFill>
              <w14:srgbClr w14:val="000000"/>
            </w14:solidFill>
          </w14:textFill>
        </w:rPr>
      </w:pPr>
      <w:r>
        <w:rPr>
          <w:rFonts w:ascii="Aptos" w:cs="Aptos" w:hAnsi="Aptos" w:eastAsia="Aptos"/>
        </w:rPr>
        <w:br w:type="textWrapping"/>
      </w:r>
      <w:r>
        <w:rPr>
          <w:rFonts w:ascii="Arial" w:hAnsi="Arial"/>
          <w:b w:val="1"/>
          <w:bCs w:val="1"/>
          <w:outline w:val="0"/>
          <w:color w:val="000000"/>
          <w:u w:color="000000"/>
          <w:rtl w:val="0"/>
          <w:lang w:val="en-US"/>
          <w14:textFill>
            <w14:solidFill>
              <w14:srgbClr w14:val="000000"/>
            </w14:solidFill>
          </w14:textFill>
        </w:rPr>
        <w:t>Disadvantages of BEEL</w:t>
      </w:r>
      <w:r>
        <w:rPr>
          <w:rFonts w:ascii="Aptos" w:cs="Aptos" w:hAnsi="Aptos" w:eastAsia="Aptos"/>
        </w:rPr>
        <w:br w:type="textWrapping"/>
      </w:r>
      <w:r>
        <w:rPr>
          <w:rFonts w:ascii="Arial" w:hAnsi="Arial"/>
          <w:outline w:val="0"/>
          <w:color w:val="000000"/>
          <w:u w:color="000000"/>
          <w:rtl w:val="0"/>
          <w:lang w:val="en-US"/>
          <w14:textFill>
            <w14:solidFill>
              <w14:srgbClr w14:val="000000"/>
            </w14:solidFill>
          </w14:textFill>
        </w:rPr>
        <w:t xml:space="preserve"> </w:t>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Narrow focus on infancy may limit applicability to older age groups and settings serving mixed-age groups (Sylva et al., 2010).</w:t>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Reliance on observational data may be time-consuming and resource-intensive, requiring trained observers and standardised protocols for data collection and analysis (Pascal et al., 2009).</w:t>
      </w:r>
      <w:r>
        <w:rPr>
          <w:rFonts w:ascii="Aptos" w:cs="Aptos" w:hAnsi="Aptos" w:eastAsia="Aptos"/>
          <w:lang w:val="en-US"/>
        </w:rPr>
        <w:br w:type="textWrapping"/>
        <w:br w:type="textWrapping"/>
      </w:r>
      <w:r>
        <w:rPr>
          <w:rFonts w:ascii="Arial" w:hAnsi="Arial"/>
          <w:b w:val="1"/>
          <w:bCs w:val="1"/>
          <w:outline w:val="0"/>
          <w:color w:val="000000"/>
          <w:u w:color="000000"/>
          <w:rtl w:val="0"/>
          <w:lang w:val="en-US"/>
          <w14:textFill>
            <w14:solidFill>
              <w14:srgbClr w14:val="000000"/>
            </w14:solidFill>
          </w14:textFill>
        </w:rPr>
        <w:t xml:space="preserve">Advantages of </w:t>
      </w:r>
      <w:r>
        <w:rPr>
          <w:rFonts w:ascii="Arial" w:hAnsi="Arial"/>
          <w:b w:val="1"/>
          <w:bCs w:val="1"/>
          <w:outline w:val="0"/>
          <w:color w:val="000000"/>
          <w:u w:color="000000"/>
          <w:rtl w:val="0"/>
          <w:lang w:val="fr-FR"/>
          <w14:textFill>
            <w14:solidFill>
              <w14:srgbClr w14:val="000000"/>
            </w14:solidFill>
          </w14:textFill>
        </w:rPr>
        <w:t>STEEL</w:t>
      </w:r>
      <w:r>
        <w:rPr>
          <w:rFonts w:ascii="Aptos" w:cs="Aptos" w:hAnsi="Aptos" w:eastAsia="Aptos"/>
          <w:lang w:val="en-US"/>
        </w:rPr>
        <w:br w:type="textWrapping"/>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Comprehensive assessment of adult-child interactions across a broad age range, capturing diverse aspects of sustained shared thinking and emotional well-being (Siraj-Blatchford et al., 2008).</w:t>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Emphasis on collaborative problem-solving and critical thinking, fostering children's cognitive development and social competence (Siraj-Blatchford et al., 2017).</w:t>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Provides actionable feedback to educators and caregivers, guiding targeted interventions to enhance interaction quality and emotional support (Siraj-Blatchford et al., 2011).</w:t>
      </w:r>
      <w:r>
        <w:rPr>
          <w:rFonts w:ascii="Aptos" w:cs="Aptos" w:hAnsi="Aptos" w:eastAsia="Aptos"/>
        </w:rPr>
        <w:br w:type="textWrapping"/>
        <w:br w:type="textWrapping"/>
      </w:r>
      <w:r>
        <w:rPr>
          <w:rFonts w:ascii="Arial" w:hAnsi="Arial"/>
          <w:b w:val="1"/>
          <w:bCs w:val="1"/>
          <w:outline w:val="0"/>
          <w:color w:val="000000"/>
          <w:u w:color="000000"/>
          <w:rtl w:val="0"/>
          <w:lang w:val="en-US"/>
          <w14:textFill>
            <w14:solidFill>
              <w14:srgbClr w14:val="000000"/>
            </w14:solidFill>
          </w14:textFill>
        </w:rPr>
        <w:t>Disadvantages of STEEL</w:t>
      </w:r>
      <w:r>
        <w:rPr>
          <w:rFonts w:ascii="Aptos" w:cs="Aptos" w:hAnsi="Aptos" w:eastAsia="Aptos"/>
        </w:rPr>
        <w:br w:type="textWrapping"/>
      </w:r>
    </w:p>
    <w:p>
      <w:pPr>
        <w:pStyle w:val="List Paragraph"/>
        <w:numPr>
          <w:ilvl w:val="0"/>
          <w:numId w:val="4"/>
        </w:numPr>
        <w:bidi w:val="0"/>
        <w:spacing w:after="0"/>
        <w:ind w:right="0"/>
        <w:jc w:val="both"/>
        <w:rPr>
          <w:rFonts w:ascii="Arial" w:hAnsi="Arial"/>
          <w:rtl w:val="0"/>
          <w:lang w:val="en-US"/>
        </w:rPr>
      </w:pPr>
      <w:r>
        <w:rPr>
          <w:rFonts w:ascii="Arial" w:hAnsi="Arial"/>
          <w:outline w:val="0"/>
          <w:color w:val="000000"/>
          <w:u w:color="000000"/>
          <w:rtl w:val="0"/>
          <w:lang w:val="en-US"/>
          <w14:textFill>
            <w14:solidFill>
              <w14:srgbClr w14:val="000000"/>
            </w14:solidFill>
          </w14:textFill>
        </w:rPr>
        <w:t>Requires trained observers and standardised protocols for reliable and valid data collection, which may be challenging to implement consistently across diverse settings (Siraj-Blatchford et al., 2008). Focus on sustained shared thinking may overlook other aspects of interaction quality, such as responsiveness and sensitivity to children's needs (Siraj-Blatchford et al., 2017).</w:t>
      </w:r>
      <w:r>
        <w:rPr>
          <w:rFonts w:ascii="Aptos" w:cs="Aptos" w:hAnsi="Aptos" w:eastAsia="Aptos"/>
          <w:lang w:val="en-US"/>
        </w:rPr>
        <w:br w:type="textWrapping"/>
        <w:br w:type="textWrapping"/>
      </w:r>
      <w:r>
        <w:rPr>
          <w:rFonts w:ascii="Arial" w:hAnsi="Arial"/>
          <w:b w:val="1"/>
          <w:bCs w:val="1"/>
          <w:outline w:val="0"/>
          <w:color w:val="000000"/>
          <w:u w:color="000000"/>
          <w:rtl w:val="0"/>
          <w:lang w:val="en-US"/>
          <w14:textFill>
            <w14:solidFill>
              <w14:srgbClr w14:val="000000"/>
            </w14:solidFill>
          </w14:textFill>
        </w:rPr>
        <w:t>Information Needed for Improvement</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 xml:space="preserve">To enhance the quality of early childhood provision, it is essential to gather comprehensive information on various dimensions of interaction quality, environmental factors, and child outcomes (Siraj-Blatchford et al., 2002). BEEL and STEEL provide valuable data on specific aspects of adult-child interactions, guiding targeted interventions to enhance interaction quality and emotional support (Pascal &amp; Bertram, 2009; Siraj-Blatchford et al., 2017). However, they may not capture contextual factors such as cultural diversity, community resources, and programmatic structures, which also influence overall quality (Pianta et al., 2005). Therefore, it is crucial to supplement their use with other assessment tools and methods that provide a more comprehensive understanding of ECE quality </w:t>
      </w:r>
      <w:r>
        <w:rPr>
          <w:rFonts w:ascii="Arial" w:hAnsi="Arial"/>
          <w:rtl w:val="0"/>
          <w:lang w:val="en-US"/>
        </w:rPr>
        <w:t>(Ishimine, Tayler and Bennett, 2010)</w:t>
      </w:r>
      <w:r>
        <w:rPr>
          <w:rFonts w:ascii="Arial" w:hAnsi="Arial"/>
          <w:outline w:val="0"/>
          <w:color w:val="000000"/>
          <w:u w:color="000000"/>
          <w:rtl w:val="0"/>
          <w:lang w:val="en-US"/>
          <w14:textFill>
            <w14:solidFill>
              <w14:srgbClr w14:val="000000"/>
            </w14:solidFill>
          </w14:textFill>
        </w:rPr>
        <w:t>.</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For example, whilst BEEL and STEEL provide valuable data on specific aspects of adult-child interactions and guiding targeted interventions to enhance interaction quality and emotional support (Pascal &amp; Bertram, 2009; Siraj-Blatchford et al., 2017), they may not capture contextual factors such as cultural diversity, community resources, and programmatic structures, which also influence overall quality (Pianta et al., 2005). Therefore, it is crucial to supplement their use with other assessment tools and methods that provide a more comprehensive understanding of ECE quality.</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 xml:space="preserve">For example, the Early Childhood Environment Rating Scale (ECERS) assesses the overall quality of ECE environments by examining various domains, including space and furnishings, personal care routines, language and literacy, and interactions </w:t>
      </w:r>
      <w:r>
        <w:rPr>
          <w:rFonts w:ascii="Arial" w:hAnsi="Arial"/>
          <w:rtl w:val="0"/>
          <w:lang w:val="en-US"/>
        </w:rPr>
        <w:t>(Harms, Clifford and Debcryer, 2005)</w:t>
      </w:r>
      <w:r>
        <w:rPr>
          <w:rFonts w:ascii="Arial" w:hAnsi="Arial"/>
          <w:outline w:val="0"/>
          <w:color w:val="000000"/>
          <w:u w:color="000000"/>
          <w:rtl w:val="0"/>
          <w:lang w:val="en-US"/>
          <w14:textFill>
            <w14:solidFill>
              <w14:srgbClr w14:val="000000"/>
            </w14:solidFill>
          </w14:textFill>
        </w:rPr>
        <w:t xml:space="preserve">. Similarly, the Classroom Assessment Scoring System (CLASS) measures the quality of teacher-child interactions across multiple dimensions, such as emotional support, classroom organisation, and instructional support (Pianta et al., 2008). Additionally, tools like the Early Learning Environment Observation (ELEOT) focus on evaluating the physical environment, learning activities, and teacher-child interactions in early childhood classrooms (Winton et al., 2011). By integrating multiple assessment tools and methods, ECE providers can gain a more comprehensive understanding of the strengths and areas for improvement within their programs, facilitating targeted interventions and continuous quality improvement efforts </w:t>
      </w:r>
      <w:r>
        <w:rPr>
          <w:rFonts w:ascii="Arial" w:hAnsi="Arial"/>
          <w:rtl w:val="0"/>
          <w:lang w:val="en-US"/>
        </w:rPr>
        <w:t>(Ishimine, Tayler and Bennett, 2010)</w:t>
      </w:r>
      <w:r>
        <w:rPr>
          <w:rFonts w:ascii="Arial" w:hAnsi="Arial"/>
          <w:outline w:val="0"/>
          <w:color w:val="000000"/>
          <w:u w:color="000000"/>
          <w:rtl w:val="0"/>
          <w:lang w:val="en-US"/>
          <w14:textFill>
            <w14:solidFill>
              <w14:srgbClr w14:val="000000"/>
            </w14:solidFill>
          </w14:textFill>
        </w:rPr>
        <w:t>.</w:t>
      </w:r>
      <w:r>
        <w:rPr>
          <w:rFonts w:ascii="Aptos" w:cs="Aptos" w:hAnsi="Aptos" w:eastAsia="Aptos"/>
          <w:lang w:val="en-US"/>
        </w:rPr>
        <w:br w:type="textWrapping"/>
        <w:br w:type="textWrapping"/>
      </w:r>
      <w:r>
        <w:rPr>
          <w:rFonts w:ascii="Arial" w:hAnsi="Arial"/>
          <w:b w:val="1"/>
          <w:bCs w:val="1"/>
          <w:outline w:val="0"/>
          <w:color w:val="000000"/>
          <w:u w:color="000000"/>
          <w:rtl w:val="0"/>
          <w:lang w:val="en-US"/>
          <w14:textFill>
            <w14:solidFill>
              <w14:srgbClr w14:val="000000"/>
            </w14:solidFill>
          </w14:textFill>
        </w:rPr>
        <w:t>Limitations and Use of BEEL and STEEL</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While BEEL and STEEL offer valuable insights into interaction quality in early childhood settings, they have limitations that must be considered when interpreting findings and guiding quality improvement efforts.</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According to Penn (2014), the limitations for both BEEL and STEEL rely on observational data, which may be subject to observer bias and limited in capturing the full complexity of adult-child interactions in naturalistic settings (Penn, 2014).  Moreover, BEEL's narrow focus on interactions between caregivers and infants may overlook other important aspects of interaction quality, such as peer interactions and group dynamics (Sylva et al., 2010).</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 xml:space="preserve"> </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 xml:space="preserve">Siraj-Blatchford, et al. (2017) assert that </w:t>
      </w:r>
      <w:r>
        <w:rPr>
          <w:rFonts w:ascii="Arial" w:hAnsi="Arial"/>
          <w:outline w:val="0"/>
          <w:color w:val="000000"/>
          <w:u w:color="000000"/>
          <w:rtl w:val="0"/>
          <w:lang w:val="fr-FR"/>
          <w14:textFill>
            <w14:solidFill>
              <w14:srgbClr w14:val="000000"/>
            </w14:solidFill>
          </w14:textFill>
        </w:rPr>
        <w:t>STEEL</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s emphasis on sustained shared thinking may prioritise cognitive aspects of interaction quality over emotional support and responsiveness, potentially overlooking the importance of nurturing and supportive relationships (Siraj-Blatchford et al., 2017).</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On utility, BEEL and STEEL provide valuable data on specific aspects of interaction quality, guiding targeted interventions to enhance caregiver-child interactions and emotional support (Pascal &amp; Bertram, 2009; Siraj-Blatchford et al., 2017) and, by focusing on early learning opportunities and emotional well-being, BEEL and STEEL contribute to the optimisation of children's developmental outcomes and school readiness (Sylva et al., 2006; Siraj-Blatchford et al., 2017).  Consequently, the systematic use of BEEL and STEEL can facilitate ongoing monitoring and evaluation of ECE quality, guiding continuous improvement efforts and promoting accountability (Pascal et al., 2010; Siraj-Blatchford &amp; Siraj-Blatchford, 2010).</w:t>
      </w:r>
      <w:r>
        <w:rPr>
          <w:rFonts w:ascii="Aptos" w:cs="Aptos" w:hAnsi="Aptos" w:eastAsia="Aptos"/>
          <w:lang w:val="en-US"/>
        </w:rPr>
        <w:br w:type="textWrapping"/>
        <w:br w:type="textWrapping"/>
      </w:r>
      <w:r>
        <w:rPr>
          <w:rFonts w:ascii="Arial" w:hAnsi="Arial"/>
          <w:b w:val="1"/>
          <w:bCs w:val="1"/>
          <w:outline w:val="0"/>
          <w:color w:val="000000"/>
          <w:u w:color="000000"/>
          <w:rtl w:val="0"/>
          <w:lang w:val="en-US"/>
          <w14:textFill>
            <w14:solidFill>
              <w14:srgbClr w14:val="000000"/>
            </w14:solidFill>
          </w14:textFill>
        </w:rPr>
        <w:t>Using Information to Improve</w:t>
      </w:r>
      <w:r>
        <w:rPr>
          <w:rFonts w:ascii="Arial" w:hAnsi="Arial"/>
          <w:b w:val="1"/>
          <w:bCs w:val="1"/>
          <w:outline w:val="0"/>
          <w:color w:val="000000"/>
          <w:u w:color="000000"/>
          <w:rtl w:val="0"/>
          <w:lang w:val="it-IT"/>
          <w14:textFill>
            <w14:solidFill>
              <w14:srgbClr w14:val="000000"/>
            </w14:solidFill>
          </w14:textFill>
        </w:rPr>
        <w:t xml:space="preserve"> Quality</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To improve quality improvement in early childhood settings, stakeholders must effectively use assessment data and collaborate to inform decision-making and guide targeted interventions (Neuman &amp; Cunningham, 2009). BEEL and STEEL provide valuable insights into interaction quality and emotional support, guiding educators, administrators, and policymakers in identifying areas for improvement and implementing evidence-based practices (Siraj-Blatchford et al., 2011). By analysing assessment data systematically, developing action plans, and fostering collaboration among stakeholders, ECE providers can drive continuous improvement and optimise children's learning experiences and outcomes (Burchinal et al., 2010).</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 xml:space="preserve"> </w:t>
      </w:r>
      <w:r>
        <w:rPr>
          <w:rFonts w:ascii="Arial" w:hAnsi="Arial"/>
          <w:b w:val="1"/>
          <w:bCs w:val="1"/>
          <w:outline w:val="0"/>
          <w:color w:val="000000"/>
          <w:u w:color="000000"/>
          <w:rtl w:val="0"/>
          <w:lang w:val="en-US"/>
          <w14:textFill>
            <w14:solidFill>
              <w14:srgbClr w14:val="000000"/>
            </w14:solidFill>
          </w14:textFill>
        </w:rPr>
        <w:t>Conclusion</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In conclusion, promoting and ensuring quality in early childhood education requires a multifaceted approach that encompasses various dimensions of child development, pedagogy, and environmental factors (Penn, 2016). This approach goes beyond mere compliance with statutory requirements and necessitates a commitment to ongoing assessment, reflection, and improvement (</w:t>
      </w:r>
      <w:r>
        <w:rPr>
          <w:rFonts w:ascii="Arial" w:hAnsi="Arial"/>
          <w:rtl w:val="0"/>
          <w:lang w:val="en-US"/>
        </w:rPr>
        <w:t xml:space="preserve">Dahlberg, Moss and Pence, 2013). </w:t>
      </w:r>
      <w:r>
        <w:rPr>
          <w:rFonts w:ascii="Arial" w:hAnsi="Arial"/>
          <w:outline w:val="0"/>
          <w:color w:val="000000"/>
          <w:u w:color="000000"/>
          <w:rtl w:val="0"/>
          <w:lang w:val="en-US"/>
          <w14:textFill>
            <w14:solidFill>
              <w14:srgbClr w14:val="000000"/>
            </w14:solidFill>
          </w14:textFill>
        </w:rPr>
        <w:t>Quality assurance methods such as BEEL and STEEL, among others, play vital roles in this process by providing valuable insights into the quality of adult-child interactions in ECE settings (Sylva et al., 2006). By systematically evaluating interaction quality and emotional support, these tools enable educators and administrators to identify areas for improvement and implement targeted interventions (Pascal &amp; Bertram, 2009).</w:t>
      </w:r>
      <w:r>
        <w:rPr>
          <w:rFonts w:ascii="Aptos" w:cs="Aptos" w:hAnsi="Aptos" w:eastAsia="Aptos"/>
          <w:lang w:val="en-US"/>
        </w:rPr>
        <w:br w:type="textWrapping"/>
      </w:r>
      <w:r>
        <w:rPr>
          <w:rFonts w:ascii="Arial" w:hAnsi="Arial"/>
          <w:outline w:val="0"/>
          <w:color w:val="000000"/>
          <w:u w:color="000000"/>
          <w:rtl w:val="0"/>
          <w:lang w:val="en-US"/>
          <w14:textFill>
            <w14:solidFill>
              <w14:srgbClr w14:val="000000"/>
            </w14:solidFill>
          </w14:textFill>
        </w:rPr>
        <w:t>However, effective quality assurance goes beyond the mere collection of assessment data; it requires stakeholders to use this information effectively and collaboratively (Neuman &amp; Cunningham, 2009). By fostering collaborative partnerships among educators, administrators, families, and policymakers, stakeholders can create a shared vision of quality and work together to achieve it (Pascal &amp; Bertram, 2009). This collaborative approach not only enhances communication and transparency but also fosters a culture of continuous improvement and shared accountability (Laevers, 2005).</w:t>
      </w:r>
      <w:r>
        <w:rPr>
          <w:rFonts w:ascii="Aptos" w:cs="Aptos" w:hAnsi="Aptos" w:eastAsia="Aptos"/>
          <w:lang w:val="en-US"/>
        </w:rPr>
        <w:br w:type="textWrapping"/>
        <w:br w:type="textWrapping"/>
      </w:r>
      <w:r>
        <w:rPr>
          <w:rFonts w:ascii="Arial" w:hAnsi="Arial"/>
          <w:outline w:val="0"/>
          <w:color w:val="000000"/>
          <w:u w:color="000000"/>
          <w:rtl w:val="0"/>
          <w:lang w:val="en-US"/>
          <w14:textFill>
            <w14:solidFill>
              <w14:srgbClr w14:val="000000"/>
            </w14:solidFill>
          </w14:textFill>
        </w:rPr>
        <w:t>Moreover, driving continuous improvement in early childhood education requires a commitment to ongoing professional development, reflective practice, and innovation (Burchinal et al., 2010). Educators must engage in regular reflection on their practices, seek feedback from colleagues and families, and pursue opportunities for professional growth (Pascal et al., 2010). Similarly, administrators and policymakers must provide the necessary resources, training, and support to enable educators to implement evidence-based practices and respond effectively to the evolving needs of children and families (Siraj-Blatchford &amp; Siraj-Blatchford, 2010).</w:t>
      </w:r>
      <w:r>
        <w:rPr>
          <w:rFonts w:ascii="Aptos" w:cs="Aptos" w:hAnsi="Aptos" w:eastAsia="Aptos"/>
          <w:lang w:val="en-US"/>
        </w:rPr>
        <w:br w:type="textWrapping"/>
      </w:r>
      <w:r>
        <w:rPr>
          <w:rFonts w:ascii="Arial" w:hAnsi="Arial"/>
          <w:outline w:val="0"/>
          <w:color w:val="000000"/>
          <w:u w:color="000000"/>
          <w:rtl w:val="0"/>
          <w:lang w:val="en-US"/>
          <w14:textFill>
            <w14:solidFill>
              <w14:srgbClr w14:val="000000"/>
            </w14:solidFill>
          </w14:textFill>
        </w:rPr>
        <w:t xml:space="preserve"> </w:t>
      </w:r>
      <w:r>
        <w:rPr>
          <w:rFonts w:ascii="Aptos" w:cs="Aptos" w:hAnsi="Aptos" w:eastAsia="Aptos"/>
          <w:lang w:val="en-US"/>
        </w:rPr>
        <w:br w:type="textWrapping"/>
      </w:r>
      <w:r>
        <w:rPr>
          <w:rFonts w:ascii="Arial" w:hAnsi="Arial"/>
          <w:outline w:val="0"/>
          <w:color w:val="000000"/>
          <w:u w:color="000000"/>
          <w:rtl w:val="0"/>
          <w:lang w:val="en-US"/>
          <w14:textFill>
            <w14:solidFill>
              <w14:srgbClr w14:val="000000"/>
            </w14:solidFill>
          </w14:textFill>
        </w:rPr>
        <w:t>Ultimately, the goal of promoting and ensuring quality in early childhood education is to optimise children's learning experiences and outcomes (Burchinal et al., 2010). High-quality ECE programs provide children with a strong foundation for future success, fostering their cognitive, social, emotional, and physical development (Siraj-Blatchford &amp; Siraj-Blatchford, 2010). By prioritising quality assurance, continuous improvement, and collaborative partnerships, stakeholders can create environments where all children thrive and reach their full potential.</w:t>
      </w:r>
      <w:r>
        <w:rPr>
          <w:rFonts w:ascii="Aptos" w:cs="Aptos" w:hAnsi="Aptos" w:eastAsia="Aptos"/>
          <w:lang w:val="en-US"/>
        </w:rPr>
        <w:br w:type="textWrapping"/>
      </w:r>
    </w:p>
    <w:p>
      <w:pPr>
        <w:pStyle w:val="Body"/>
        <w:spacing w:after="0"/>
        <w:jc w:val="both"/>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Body"/>
        <w:spacing w:after="0"/>
        <w:jc w:val="both"/>
        <w:rPr>
          <w:rFonts w:ascii="Arial" w:cs="Arial" w:hAnsi="Arial" w:eastAsia="Arial"/>
          <w:outline w:val="0"/>
          <w:color w:val="000000"/>
          <w:u w:color="000000"/>
          <w14:textFill>
            <w14:solidFill>
              <w14:srgbClr w14:val="000000"/>
            </w14:solidFill>
          </w14:textFill>
        </w:rPr>
      </w:pPr>
    </w:p>
    <w:p>
      <w:pPr>
        <w:pStyle w:val="Body"/>
        <w:jc w:val="center"/>
        <w:rPr>
          <w:rFonts w:ascii="Arial Nova" w:cs="Arial Nova" w:hAnsi="Arial Nova" w:eastAsia="Arial Nova"/>
          <w:outline w:val="0"/>
          <w:color w:val="000000"/>
          <w:u w:color="000000"/>
          <w14:textFill>
            <w14:solidFill>
              <w14:srgbClr w14:val="000000"/>
            </w14:solidFill>
          </w14:textFill>
        </w:rPr>
      </w:pPr>
      <w:r>
        <w:rPr>
          <w:rFonts w:ascii="Arial Nova" w:cs="Arial Nova" w:hAnsi="Arial Nova" w:eastAsia="Arial Nova"/>
          <w:b w:val="1"/>
          <w:bCs w:val="1"/>
          <w:outline w:val="0"/>
          <w:color w:val="000000"/>
          <w:u w:color="000000"/>
          <w:rtl w:val="0"/>
          <w:lang w:val="pt-PT"/>
          <w14:textFill>
            <w14:solidFill>
              <w14:srgbClr w14:val="000000"/>
            </w14:solidFill>
          </w14:textFill>
        </w:rPr>
        <w:t>Reference List</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Dahlberg, G., Moss, P. and Pence, A. (2013). </w:t>
      </w:r>
      <w:r>
        <w:rPr>
          <w:rFonts w:ascii="Arial" w:hAnsi="Arial"/>
          <w:i w:val="1"/>
          <w:iCs w:val="1"/>
          <w:outline w:val="0"/>
          <w:color w:val="000000"/>
          <w:u w:color="000000"/>
          <w:rtl w:val="0"/>
          <w:lang w:val="en-US"/>
          <w14:textFill>
            <w14:solidFill>
              <w14:srgbClr w14:val="000000"/>
            </w14:solidFill>
          </w14:textFill>
        </w:rPr>
        <w:t>Beyond Quality in Early Childhood Education and Care</w:t>
      </w:r>
      <w:r>
        <w:rPr>
          <w:rFonts w:ascii="Arial" w:hAnsi="Arial"/>
          <w:outline w:val="0"/>
          <w:color w:val="000000"/>
          <w:u w:color="000000"/>
          <w:rtl w:val="0"/>
          <w:lang w:val="en-US"/>
          <w14:textFill>
            <w14:solidFill>
              <w14:srgbClr w14:val="000000"/>
            </w14:solidFill>
          </w14:textFill>
        </w:rPr>
        <w:t>. Routledge. doi:https://doi.org/10.4324/9780203371114. (Accessed: 16</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Ishimine, K., Tayler, C. and Bennett, J. (2010). Quality and Early Childhood Education and Care: a Policy Initiative for the 21st Century. </w:t>
      </w:r>
      <w:r>
        <w:rPr>
          <w:rFonts w:ascii="Arial" w:hAnsi="Arial"/>
          <w:i w:val="1"/>
          <w:iCs w:val="1"/>
          <w:outline w:val="0"/>
          <w:color w:val="000000"/>
          <w:u w:color="000000"/>
          <w:rtl w:val="0"/>
          <w:lang w:val="en-US"/>
          <w14:textFill>
            <w14:solidFill>
              <w14:srgbClr w14:val="000000"/>
            </w14:solidFill>
          </w14:textFill>
        </w:rPr>
        <w:t>International Journal of Child Care and Education Policy</w:t>
      </w:r>
      <w:r>
        <w:rPr>
          <w:rFonts w:ascii="Arial" w:hAnsi="Arial"/>
          <w:outline w:val="0"/>
          <w:color w:val="000000"/>
          <w:u w:color="000000"/>
          <w:rtl w:val="0"/>
          <w:lang w:val="pt-PT"/>
          <w14:textFill>
            <w14:solidFill>
              <w14:srgbClr w14:val="000000"/>
            </w14:solidFill>
          </w14:textFill>
        </w:rPr>
        <w:t>, [online] 4(2), pp.67</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80. doi:https://doi.org/10.1007/2288-6729-4-2-67. (Accessed: 16</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Burchinal, M., Vandergrift, N., Pianta, R. and Mashburn, A. (2010). Threshold Analysis of Association between Child Care Quality and Child Outcomes for low-income Children in pre-kindergarten Programs. </w:t>
      </w:r>
      <w:r>
        <w:rPr>
          <w:rFonts w:ascii="Arial" w:hAnsi="Arial"/>
          <w:i w:val="1"/>
          <w:iCs w:val="1"/>
          <w:outline w:val="0"/>
          <w:color w:val="000000"/>
          <w:u w:color="000000"/>
          <w:rtl w:val="0"/>
          <w:lang w:val="en-US"/>
          <w14:textFill>
            <w14:solidFill>
              <w14:srgbClr w14:val="000000"/>
            </w14:solidFill>
          </w14:textFill>
        </w:rPr>
        <w:t>Early Childhood Research Quarterly</w:t>
      </w:r>
      <w:r>
        <w:rPr>
          <w:rFonts w:ascii="Arial" w:hAnsi="Arial"/>
          <w:outline w:val="0"/>
          <w:color w:val="000000"/>
          <w:u w:color="000000"/>
          <w:rtl w:val="0"/>
          <w14:textFill>
            <w14:solidFill>
              <w14:srgbClr w14:val="000000"/>
            </w14:solidFill>
          </w14:textFill>
        </w:rPr>
        <w:t>, 25(2), pp.166</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176. doi:https://doi.org/10.1016/j.ecresq.2009.10.004. (Accessed: 16</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Harms, T., Clifford, R.M. and Debcryer (2005). </w:t>
      </w:r>
      <w:r>
        <w:rPr>
          <w:rFonts w:ascii="Arial" w:hAnsi="Arial"/>
          <w:i w:val="1"/>
          <w:iCs w:val="1"/>
          <w:outline w:val="0"/>
          <w:color w:val="000000"/>
          <w:u w:color="000000"/>
          <w:rtl w:val="0"/>
          <w:lang w:val="en-US"/>
          <w14:textFill>
            <w14:solidFill>
              <w14:srgbClr w14:val="000000"/>
            </w14:solidFill>
          </w14:textFill>
        </w:rPr>
        <w:t>Early Childhood Environment Rating Scale</w:t>
      </w:r>
      <w:r>
        <w:rPr>
          <w:rFonts w:ascii="Arial" w:hAnsi="Arial"/>
          <w:outline w:val="0"/>
          <w:color w:val="000000"/>
          <w:u w:color="000000"/>
          <w:rtl w:val="0"/>
          <w:lang w:val="en-US"/>
          <w14:textFill>
            <w14:solidFill>
              <w14:srgbClr w14:val="000000"/>
            </w14:solidFill>
          </w14:textFill>
        </w:rPr>
        <w:t>. New York: Teachers College, Columbia University. (Accessed: 16</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Laevers, F. (2005). Well-being and Involvement in Care settings. a process-oriented Self-evaluation Instrument (SIC</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14:textFill>
            <w14:solidFill>
              <w14:srgbClr w14:val="000000"/>
            </w14:solidFill>
          </w14:textFill>
        </w:rPr>
        <w:t xml:space="preserve">s). </w:t>
      </w:r>
      <w:r>
        <w:rPr>
          <w:rFonts w:ascii="Arial" w:hAnsi="Arial"/>
          <w:i w:val="1"/>
          <w:iCs w:val="1"/>
          <w:outline w:val="0"/>
          <w:color w:val="000000"/>
          <w:u w:color="000000"/>
          <w:rtl w:val="0"/>
          <w:lang w:val="en-US"/>
          <w14:textFill>
            <w14:solidFill>
              <w14:srgbClr w14:val="000000"/>
            </w14:solidFill>
          </w14:textFill>
        </w:rPr>
        <w:t>Undefined</w:t>
      </w:r>
      <w:r>
        <w:rPr>
          <w:rFonts w:ascii="Arial" w:hAnsi="Arial"/>
          <w:outline w:val="0"/>
          <w:color w:val="000000"/>
          <w:u w:color="000000"/>
          <w:rtl w:val="0"/>
          <w:lang w:val="en-US"/>
          <w14:textFill>
            <w14:solidFill>
              <w14:srgbClr w14:val="000000"/>
            </w14:solidFill>
          </w14:textFill>
        </w:rPr>
        <w:t xml:space="preserve">. [online] Available at: </w:t>
      </w:r>
      <w:r>
        <w:rPr>
          <w:rStyle w:val="Hyperlink.0"/>
        </w:rPr>
        <w:fldChar w:fldCharType="begin" w:fldLock="0"/>
      </w:r>
      <w:r>
        <w:rPr>
          <w:rStyle w:val="Hyperlink.0"/>
        </w:rPr>
        <w:instrText xml:space="preserve"> HYPERLINK "https://www.semanticscholar.org/paper/Well-being-and-Involvement-in-care-settings.-A-Laevers/5c9a5f3d9b80d112a87331729df11bd7bb431aa4"</w:instrText>
      </w:r>
      <w:r>
        <w:rPr>
          <w:rStyle w:val="Hyperlink.0"/>
        </w:rPr>
        <w:fldChar w:fldCharType="separate" w:fldLock="0"/>
      </w:r>
      <w:r>
        <w:rPr>
          <w:rStyle w:val="Hyperlink.0"/>
          <w:rtl w:val="0"/>
          <w:lang w:val="en-US"/>
        </w:rPr>
        <w:t>https://www.semanticscholar.org/paper/Well-being-and-Involvement-in-care-settings.-A-Laevers/5c9a5f3d9b80d112a87331729df11bd7bb431aa4</w:t>
      </w:r>
      <w:r>
        <w:rPr/>
        <w:fldChar w:fldCharType="end" w:fldLock="0"/>
      </w:r>
      <w:r>
        <w:rPr>
          <w:rFonts w:ascii="Arial" w:hAnsi="Arial"/>
          <w:outline w:val="0"/>
          <w:color w:val="000000"/>
          <w:u w:color="000000"/>
          <w:rtl w:val="0"/>
          <w:lang w:val="en-US"/>
          <w14:textFill>
            <w14:solidFill>
              <w14:srgbClr w14:val="000000"/>
            </w14:solidFill>
          </w14:textFill>
        </w:rPr>
        <w:t>. (Accessed: 16</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Neuman, S.B. and Cunningham, L. (2009) </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The Impact of Professional Development and Coaching on Early Language and Literacy Instructional Practices,</w:t>
      </w:r>
      <w:r>
        <w:rPr>
          <w:rFonts w:ascii="Arial" w:hAnsi="Arial" w:hint="default"/>
          <w:outline w:val="0"/>
          <w:color w:val="000000"/>
          <w:u w:color="000000"/>
          <w:rtl w:val="0"/>
          <w:lang w:val="en-US"/>
          <w14:textFill>
            <w14:solidFill>
              <w14:srgbClr w14:val="000000"/>
            </w14:solidFill>
          </w14:textFill>
        </w:rPr>
        <w:t xml:space="preserve">” </w:t>
      </w:r>
      <w:r>
        <w:rPr>
          <w:rFonts w:ascii="Arial" w:hAnsi="Arial"/>
          <w:i w:val="1"/>
          <w:iCs w:val="1"/>
          <w:outline w:val="0"/>
          <w:color w:val="000000"/>
          <w:u w:color="000000"/>
          <w:rtl w:val="0"/>
          <w:lang w:val="en-US"/>
          <w14:textFill>
            <w14:solidFill>
              <w14:srgbClr w14:val="000000"/>
            </w14:solidFill>
          </w14:textFill>
        </w:rPr>
        <w:t>American educational research journal</w:t>
      </w:r>
      <w:r>
        <w:rPr>
          <w:rFonts w:ascii="Arial" w:hAnsi="Arial"/>
          <w:outline w:val="0"/>
          <w:color w:val="000000"/>
          <w:u w:color="000000"/>
          <w:rtl w:val="0"/>
          <w14:textFill>
            <w14:solidFill>
              <w14:srgbClr w14:val="000000"/>
            </w14:solidFill>
          </w14:textFill>
        </w:rPr>
        <w:t>, 46(2), pp. 532</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566. Available at: </w:t>
      </w:r>
      <w:r>
        <w:rPr>
          <w:rStyle w:val="Hyperlink.0"/>
        </w:rPr>
        <w:fldChar w:fldCharType="begin" w:fldLock="0"/>
      </w:r>
      <w:r>
        <w:rPr>
          <w:rStyle w:val="Hyperlink.0"/>
        </w:rPr>
        <w:instrText xml:space="preserve"> HYPERLINK "https://doi.org/10.3102/0002831208328088"</w:instrText>
      </w:r>
      <w:r>
        <w:rPr>
          <w:rStyle w:val="Hyperlink.0"/>
        </w:rPr>
        <w:fldChar w:fldCharType="separate" w:fldLock="0"/>
      </w:r>
      <w:r>
        <w:rPr>
          <w:rStyle w:val="Hyperlink.0"/>
          <w:rtl w:val="0"/>
          <w:lang w:val="en-US"/>
        </w:rPr>
        <w:t>https://doi.org/10.3102/0002831208328088</w:t>
      </w:r>
      <w:r>
        <w:rPr/>
        <w:fldChar w:fldCharType="end" w:fldLock="0"/>
      </w:r>
      <w:r>
        <w:rPr>
          <w:rFonts w:ascii="Arial" w:hAnsi="Arial"/>
          <w:outline w:val="0"/>
          <w:color w:val="000000"/>
          <w:u w:color="000000"/>
          <w:rtl w:val="0"/>
          <w:lang w:val="en-US"/>
          <w14:textFill>
            <w14:solidFill>
              <w14:srgbClr w14:val="000000"/>
            </w14:solidFill>
          </w14:textFill>
        </w:rPr>
        <w:t>. (Accessed: 18</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C Pascal and Bertram, T. (2009). </w:t>
      </w:r>
      <w:r>
        <w:rPr>
          <w:rFonts w:ascii="Arial" w:hAnsi="Arial"/>
          <w:i w:val="1"/>
          <w:iCs w:val="1"/>
          <w:outline w:val="0"/>
          <w:color w:val="000000"/>
          <w:u w:color="000000"/>
          <w:rtl w:val="0"/>
          <w:lang w:val="en-US"/>
          <w14:textFill>
            <w14:solidFill>
              <w14:srgbClr w14:val="000000"/>
            </w14:solidFill>
          </w14:textFill>
        </w:rPr>
        <w:t>Effective Early learning: Case Studies in improvement.</w:t>
      </w:r>
      <w:r>
        <w:rPr>
          <w:rFonts w:ascii="Arial" w:hAnsi="Arial"/>
          <w:outline w:val="0"/>
          <w:color w:val="000000"/>
          <w:u w:color="000000"/>
          <w:rtl w:val="0"/>
          <w14:textFill>
            <w14:solidFill>
              <w14:srgbClr w14:val="000000"/>
            </w14:solidFill>
          </w14:textFill>
        </w:rPr>
        <w:t xml:space="preserve"> London: Paul Chapman. (Accessed: 18</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240" w:line="360" w:lineRule="auto"/>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Pascal, C. and Bertram, T. (2018). EFFECTIVE EARLY LEARNING: a PRAXEOLOGICAL AND PARTICIPATORY APPROACH TO EVALUATING AND IMPROVING QUALITY IN EARLY CHILDHOOD EDUCATION. </w:t>
      </w:r>
      <w:r>
        <w:rPr>
          <w:rFonts w:ascii="Arial" w:hAnsi="Arial"/>
          <w:i w:val="1"/>
          <w:iCs w:val="1"/>
          <w:outline w:val="0"/>
          <w:color w:val="000000"/>
          <w:u w:color="000000"/>
          <w:rtl w:val="0"/>
          <w:lang w:val="pt-PT"/>
          <w14:textFill>
            <w14:solidFill>
              <w14:srgbClr w14:val="000000"/>
            </w14:solidFill>
          </w14:textFill>
        </w:rPr>
        <w:t>Revista da FAEEBA. Educa</w:t>
      </w:r>
      <w:r>
        <w:rPr>
          <w:rFonts w:ascii="Arial" w:hAnsi="Arial" w:hint="default"/>
          <w:i w:val="1"/>
          <w:iCs w:val="1"/>
          <w:outline w:val="0"/>
          <w:color w:val="000000"/>
          <w:u w:color="000000"/>
          <w:rtl w:val="0"/>
          <w:lang w:val="en-US"/>
          <w14:textFill>
            <w14:solidFill>
              <w14:srgbClr w14:val="000000"/>
            </w14:solidFill>
          </w14:textFill>
        </w:rPr>
        <w:t>çã</w:t>
      </w:r>
      <w:r>
        <w:rPr>
          <w:rFonts w:ascii="Arial" w:hAnsi="Arial"/>
          <w:i w:val="1"/>
          <w:iCs w:val="1"/>
          <w:outline w:val="0"/>
          <w:color w:val="000000"/>
          <w:u w:color="000000"/>
          <w:rtl w:val="0"/>
          <w:lang w:val="pt-PT"/>
          <w14:textFill>
            <w14:solidFill>
              <w14:srgbClr w14:val="000000"/>
            </w14:solidFill>
          </w14:textFill>
        </w:rPr>
        <w:t>o e Contemporaneidade</w:t>
      </w:r>
      <w:r>
        <w:rPr>
          <w:rFonts w:ascii="Arial" w:hAnsi="Arial"/>
          <w:outline w:val="0"/>
          <w:color w:val="000000"/>
          <w:u w:color="000000"/>
          <w:rtl w:val="0"/>
          <w14:textFill>
            <w14:solidFill>
              <w14:srgbClr w14:val="000000"/>
            </w14:solidFill>
          </w14:textFill>
        </w:rPr>
        <w:t>, 27(51), pp.105</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120. doi:https://doi.org/10.21879/faeeba2358-0194.2018.v27.n51.p105-120. (Accessed: 18</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Pascal, C., Bertram, T., &amp; Adkins, M. (2010). Effective early learning: Case studies from England. London, UK: Sage. (Accessed: 19</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Penn, H. (2014). The nature and structure of quality in early childhood education. Early Child Development and Care, 184(7), 1013-1028. (Accessed: 19</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Penn, H. (2016). Quality in early childhood education: An international review and guide for policy makers. London, UK: Sage. (Accessed: 19</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it-IT"/>
          <w14:textFill>
            <w14:solidFill>
              <w14:srgbClr w14:val="000000"/>
            </w14:solidFill>
          </w14:textFill>
        </w:rPr>
        <w:t xml:space="preserve">Pianta, R.C. </w:t>
      </w:r>
      <w:r>
        <w:rPr>
          <w:rFonts w:ascii="Arial" w:hAnsi="Arial"/>
          <w:i w:val="1"/>
          <w:iCs w:val="1"/>
          <w:outline w:val="0"/>
          <w:color w:val="000000"/>
          <w:u w:color="000000"/>
          <w:rtl w:val="0"/>
          <w14:textFill>
            <w14:solidFill>
              <w14:srgbClr w14:val="000000"/>
            </w14:solidFill>
          </w14:textFill>
        </w:rPr>
        <w:t>et al.</w:t>
      </w:r>
      <w:r>
        <w:rPr>
          <w:rFonts w:ascii="Arial" w:hAnsi="Arial"/>
          <w:outline w:val="0"/>
          <w:color w:val="000000"/>
          <w:u w:color="000000"/>
          <w:rtl w:val="0"/>
          <w14:textFill>
            <w14:solidFill>
              <w14:srgbClr w14:val="000000"/>
            </w14:solidFill>
          </w14:textFill>
        </w:rPr>
        <w:t xml:space="preserve"> (2009) </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The Effects of Preschool Education: What We Know, How Public Policy Is or Is Not Aligned With the Evidence Base, and What We Need to Know,</w:t>
      </w:r>
      <w:r>
        <w:rPr>
          <w:rFonts w:ascii="Arial" w:hAnsi="Arial" w:hint="default"/>
          <w:outline w:val="0"/>
          <w:color w:val="000000"/>
          <w:u w:color="000000"/>
          <w:rtl w:val="0"/>
          <w:lang w:val="en-US"/>
          <w14:textFill>
            <w14:solidFill>
              <w14:srgbClr w14:val="000000"/>
            </w14:solidFill>
          </w14:textFill>
        </w:rPr>
        <w:t xml:space="preserve">” </w:t>
      </w:r>
      <w:r>
        <w:rPr>
          <w:rFonts w:ascii="Arial" w:hAnsi="Arial"/>
          <w:i w:val="1"/>
          <w:iCs w:val="1"/>
          <w:outline w:val="0"/>
          <w:color w:val="000000"/>
          <w:u w:color="000000"/>
          <w:rtl w:val="0"/>
          <w:lang w:val="en-US"/>
          <w14:textFill>
            <w14:solidFill>
              <w14:srgbClr w14:val="000000"/>
            </w14:solidFill>
          </w14:textFill>
        </w:rPr>
        <w:t>Psychological Science in the Public Interest</w:t>
      </w:r>
      <w:r>
        <w:rPr>
          <w:rFonts w:ascii="Arial" w:hAnsi="Arial"/>
          <w:outline w:val="0"/>
          <w:color w:val="000000"/>
          <w:u w:color="000000"/>
          <w:rtl w:val="0"/>
          <w14:textFill>
            <w14:solidFill>
              <w14:srgbClr w14:val="000000"/>
            </w14:solidFill>
          </w14:textFill>
        </w:rPr>
        <w:t>, 10(2), pp. 49</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88. Available at: </w:t>
      </w:r>
      <w:r>
        <w:rPr>
          <w:rStyle w:val="Hyperlink.0"/>
        </w:rPr>
        <w:fldChar w:fldCharType="begin" w:fldLock="0"/>
      </w:r>
      <w:r>
        <w:rPr>
          <w:rStyle w:val="Hyperlink.0"/>
        </w:rPr>
        <w:instrText xml:space="preserve"> HYPERLINK "https://doi.org/10.1177/1529100610381908"</w:instrText>
      </w:r>
      <w:r>
        <w:rPr>
          <w:rStyle w:val="Hyperlink.0"/>
        </w:rPr>
        <w:fldChar w:fldCharType="separate" w:fldLock="0"/>
      </w:r>
      <w:r>
        <w:rPr>
          <w:rStyle w:val="Hyperlink.0"/>
          <w:rtl w:val="0"/>
          <w:lang w:val="en-US"/>
        </w:rPr>
        <w:t>https://doi.org/10.1177/1529100610381908</w:t>
      </w:r>
      <w:r>
        <w:rPr/>
        <w:fldChar w:fldCharType="end" w:fldLock="0"/>
      </w:r>
      <w:r>
        <w:rPr>
          <w:rFonts w:ascii="Arial" w:hAnsi="Arial"/>
          <w:outline w:val="0"/>
          <w:color w:val="000000"/>
          <w:u w:color="000000"/>
          <w:rtl w:val="0"/>
          <w:lang w:val="en-US"/>
          <w14:textFill>
            <w14:solidFill>
              <w14:srgbClr w14:val="000000"/>
            </w14:solidFill>
          </w14:textFill>
        </w:rPr>
        <w:t>. (Accessed: 19</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Nova" w:cs="Arial Nova" w:hAnsi="Arial Nova" w:eastAsia="Arial Nova"/>
          <w:outline w:val="0"/>
          <w:color w:val="000000"/>
          <w:u w:color="000000"/>
          <w:rtl w:val="0"/>
          <w:lang w:val="it-IT"/>
          <w14:textFill>
            <w14:solidFill>
              <w14:srgbClr w14:val="000000"/>
            </w14:solidFill>
          </w14:textFill>
        </w:rPr>
        <w:t>Pianta, R. C., La Paro, K. M., &amp; Hamre, B. K. (2008)</w:t>
      </w:r>
      <w:r>
        <w:rPr>
          <w:rFonts w:ascii="Times New Roman" w:hAnsi="Times New Roman"/>
          <w:outline w:val="0"/>
          <w:color w:val="000000"/>
          <w:u w:color="000000"/>
          <w:rtl w:val="0"/>
          <w14:textFill>
            <w14:solidFill>
              <w14:srgbClr w14:val="000000"/>
            </w14:solidFill>
          </w14:textFill>
        </w:rPr>
        <w:t xml:space="preserve">. </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Classroom assessment scoring system (CLASS) manual, pre-K</w:t>
      </w:r>
      <w:r>
        <w:rPr>
          <w:rFonts w:ascii="Arial" w:hAnsi="Arial" w:hint="default"/>
          <w:outline w:val="0"/>
          <w:color w:val="000000"/>
          <w:u w:color="000000"/>
          <w:rtl w:val="0"/>
          <w:lang w:val="en-US"/>
          <w14:textFill>
            <w14:solidFill>
              <w14:srgbClr w14:val="000000"/>
            </w14:solidFill>
          </w14:textFill>
        </w:rPr>
        <w:t xml:space="preserve">” </w:t>
      </w:r>
      <w:r>
        <w:rPr>
          <w:rFonts w:ascii="Arial" w:hAnsi="Arial"/>
          <w:outline w:val="0"/>
          <w:color w:val="000000"/>
          <w:u w:color="000000"/>
          <w:rtl w:val="0"/>
          <w14:textFill>
            <w14:solidFill>
              <w14:srgbClr w14:val="000000"/>
            </w14:solidFill>
          </w14:textFill>
        </w:rPr>
        <w:t xml:space="preserve">(2008) </w:t>
      </w:r>
      <w:r>
        <w:rPr>
          <w:rFonts w:ascii="Arial" w:hAnsi="Arial"/>
          <w:i w:val="1"/>
          <w:iCs w:val="1"/>
          <w:outline w:val="0"/>
          <w:color w:val="000000"/>
          <w:u w:color="000000"/>
          <w:rtl w:val="0"/>
          <w:lang w:val="en-US"/>
          <w14:textFill>
            <w14:solidFill>
              <w14:srgbClr w14:val="000000"/>
            </w14:solidFill>
          </w14:textFill>
        </w:rPr>
        <w:t>Reference and Research Book News</w:t>
      </w:r>
      <w:r>
        <w:rPr>
          <w:rFonts w:ascii="Arial" w:hAnsi="Arial"/>
          <w:outline w:val="0"/>
          <w:color w:val="000000"/>
          <w:u w:color="000000"/>
          <w:rtl w:val="0"/>
          <w:lang w:val="en-US"/>
          <w14:textFill>
            <w14:solidFill>
              <w14:srgbClr w14:val="000000"/>
            </w14:solidFill>
          </w14:textFill>
        </w:rPr>
        <w:t>. Portland: Copyright Clearance Center. (Accessed: 19</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Siraj-Blatchford, I., &amp; Siraj-Blatchford, J. (2010). Improving quality in early childhood education and care: An international perspective. London, UK: Sage. (Accessed: 20</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Winton, P. J., McCollum, J. A., &amp; Catlett, C. (2011). Early Learning Environment Observation Tool (ELEOT). Baltimore, MD: Brookes Publishing. (Accessed: 20</w:t>
      </w:r>
      <w:r>
        <w:rPr>
          <w:rFonts w:ascii="Arial" w:hAnsi="Arial"/>
          <w:outline w:val="0"/>
          <w:color w:val="000000"/>
          <w:u w:color="000000"/>
          <w:vertAlign w:val="superscript"/>
          <w:rtl w:val="0"/>
          <w:lang w:val="en-US"/>
          <w14:textFill>
            <w14:solidFill>
              <w14:srgbClr w14:val="000000"/>
            </w14:solidFill>
          </w14:textFill>
        </w:rPr>
        <w:t>th</w:t>
      </w:r>
      <w:r>
        <w:rPr>
          <w:rFonts w:ascii="Arial" w:hAnsi="Arial"/>
          <w:outline w:val="0"/>
          <w:color w:val="000000"/>
          <w:u w:color="000000"/>
          <w:rtl w:val="0"/>
          <w:lang w:val="en-US"/>
          <w14:textFill>
            <w14:solidFill>
              <w14:srgbClr w14:val="000000"/>
            </w14:solidFill>
          </w14:textFill>
        </w:rPr>
        <w:t xml:space="preserve"> April 2024).</w:t>
      </w: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rPr>
          <w:rFonts w:ascii="Arial" w:cs="Arial" w:hAnsi="Arial" w:eastAsia="Arial"/>
          <w:outline w:val="0"/>
          <w:color w:val="000000"/>
          <w:u w:color="000000"/>
          <w14:textFill>
            <w14:solidFill>
              <w14:srgbClr w14:val="000000"/>
            </w14:solidFill>
          </w14:textFill>
        </w:rPr>
      </w:pPr>
    </w:p>
    <w:p>
      <w:pPr>
        <w:pStyle w:val="Body"/>
        <w:spacing w:after="0"/>
        <w:jc w:val="both"/>
      </w:pPr>
      <w:r>
        <w:br w:type="textWrapping"/>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Aptos">
    <w:charset w:val="00"/>
    <w:family w:val="roman"/>
    <w:pitch w:val="default"/>
  </w:font>
  <w:font w:name="Arial Nov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r>
    <w:r>
      <w:rPr>
        <w:shd w:val="nil" w:color="auto" w:fill="auto"/>
        <w:rtl w:val="0"/>
        <w:lang w:val="en-US"/>
      </w:rPr>
      <w:fldChar w:fldCharType="begin" w:fldLock="0"/>
    </w:r>
    <w:r>
      <w:rPr>
        <w:shd w:val="nil" w:color="auto" w:fill="auto"/>
        <w:rtl w:val="0"/>
        <w:lang w:val="en-US"/>
      </w:rPr>
      <w:instrText xml:space="preserve"> PAGE </w:instrText>
    </w:r>
    <w:r>
      <w:rPr>
        <w:shd w:val="nil" w:color="auto" w:fill="auto"/>
        <w:rtl w:val="0"/>
        <w:lang w:val="en-US"/>
      </w:rPr>
      <w:fldChar w:fldCharType="separate" w:fldLock="0"/>
    </w:r>
    <w:r>
      <w:rPr>
        <w:shd w:val="nil" w:color="auto" w:fill="auto"/>
        <w:rtl w:val="0"/>
        <w:lang w:val="en-US"/>
      </w:rPr>
    </w:r>
    <w:r>
      <w:rPr>
        <w:shd w:val="nil" w:color="auto" w:fill="auto"/>
        <w:rtl w:val="0"/>
        <w:lang w:val="en-US"/>
      </w:rPr>
      <w:fldChar w:fldCharType="end" w:fldLock="0"/>
    </w:r>
    <w:r>
      <w:rPr>
        <w:shd w:val="nil" w:color="auto" w:fill="auto"/>
        <w:rtl w:val="0"/>
        <w:lang w:val="en-US"/>
      </w:rPr>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rPr>
        <w:rFonts w:ascii="Aptos" w:cs="Aptos" w:hAnsi="Aptos" w:eastAsia="Aptos"/>
        <w:sz w:val="24"/>
        <w:szCs w:val="24"/>
        <w:shd w:val="nil" w:color="auto" w:fill="auto"/>
        <w:rtl w:val="0"/>
        <w:lang w:val="en-US"/>
      </w:rPr>
      <w:t>ECEY6011</w:t>
      <w:tab/>
      <w:t>6613369</w:t>
      <w:tab/>
    </w:r>
    <w:r>
      <w:rPr>
        <w:rFonts w:ascii="Arial" w:hAnsi="Arial"/>
        <w:sz w:val="22"/>
        <w:szCs w:val="22"/>
        <w:shd w:val="nil" w:color="auto" w:fill="auto"/>
        <w:rtl w:val="0"/>
        <w:lang w:val="en-US"/>
      </w:rPr>
      <w:t xml:space="preserve">Word count: 2,120 </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
  </w:abstractNum>
  <w:abstractNum w:abstractNumId="3">
    <w:multiLevelType w:val="hybridMultilevel"/>
    <w:styleLink w:val="Imported Style 1"/>
    <w:lvl w:ilvl="0">
      <w:start w:val="1"/>
      <w:numFmt w:val="bullet"/>
      <w:suff w:val="tab"/>
      <w:lvlText w:val="·"/>
      <w:lvlJc w:val="left"/>
      <w:pPr>
        <w:ind w:left="19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91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63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35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07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79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51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23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956" w:hanging="1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9"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9"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Bullets">
    <w:name w:val="Bullets"/>
    <w:pPr>
      <w:numPr>
        <w:numId w:val="1"/>
      </w:numPr>
    </w:pPr>
  </w:style>
  <w:style w:type="numbering" w:styleId="Imported Style 1">
    <w:name w:val="Imported Style 1"/>
    <w:pPr>
      <w:numPr>
        <w:numId w:val="3"/>
      </w:numPr>
    </w:pPr>
  </w:style>
  <w:style w:type="character" w:styleId="Link">
    <w:name w:val="Link"/>
    <w:rPr>
      <w:outline w:val="0"/>
      <w:color w:val="467886"/>
      <w:u w:val="single" w:color="467886"/>
      <w14:textFill>
        <w14:solidFill>
          <w14:srgbClr w14:val="467886"/>
        </w14:solidFill>
      </w14:textFill>
    </w:rPr>
  </w:style>
  <w:style w:type="character" w:styleId="Hyperlink.0">
    <w:name w:val="Hyperlink.0"/>
    <w:basedOn w:val="Link"/>
    <w:next w:val="Hyperlink.0"/>
    <w:rPr>
      <w:rFonts w:ascii="Arial" w:cs="Arial" w:hAnsi="Arial" w:eastAsia="Aria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Arial"/>
        <a:ea typeface="Arial"/>
        <a:cs typeface="Arial"/>
      </a:majorFont>
      <a:minorFont>
        <a:latin typeface="Arial"/>
        <a:ea typeface="Arial"/>
        <a:cs typeface="Arial"/>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