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523D59" w14:textId="4F8B5101" w:rsidR="00A543CE" w:rsidRPr="008771DF" w:rsidRDefault="00A543CE" w:rsidP="00824428">
      <w:pPr>
        <w:spacing w:before="100" w:beforeAutospacing="1" w:after="100" w:afterAutospacing="1" w:line="360" w:lineRule="auto"/>
        <w:rPr>
          <w:rFonts w:ascii="Arial" w:hAnsi="Arial" w:cs="Arial"/>
          <w:b/>
          <w:bCs/>
          <w:kern w:val="0"/>
          <w:sz w:val="22"/>
          <w:szCs w:val="22"/>
          <w14:ligatures w14:val="none"/>
        </w:rPr>
      </w:pPr>
      <w:r w:rsidRPr="008771DF">
        <w:rPr>
          <w:rFonts w:ascii="Arial" w:hAnsi="Arial" w:cs="Arial"/>
          <w:b/>
          <w:bCs/>
          <w:kern w:val="0"/>
          <w:sz w:val="22"/>
          <w:szCs w:val="22"/>
          <w14:ligatures w14:val="none"/>
        </w:rPr>
        <w:t xml:space="preserve">Mohammed </w:t>
      </w:r>
      <w:proofErr w:type="spellStart"/>
      <w:r w:rsidRPr="008771DF">
        <w:rPr>
          <w:rFonts w:ascii="Arial" w:hAnsi="Arial" w:cs="Arial"/>
          <w:b/>
          <w:bCs/>
          <w:kern w:val="0"/>
          <w:sz w:val="22"/>
          <w:szCs w:val="22"/>
          <w14:ligatures w14:val="none"/>
        </w:rPr>
        <w:t>Ashfaq</w:t>
      </w:r>
      <w:proofErr w:type="spellEnd"/>
      <w:r w:rsidRPr="008771DF">
        <w:rPr>
          <w:rFonts w:ascii="Arial" w:hAnsi="Arial" w:cs="Arial"/>
          <w:b/>
          <w:bCs/>
          <w:kern w:val="0"/>
          <w:sz w:val="22"/>
          <w:szCs w:val="22"/>
          <w14:ligatures w14:val="none"/>
        </w:rPr>
        <w:t xml:space="preserve"> - 2315557</w:t>
      </w:r>
    </w:p>
    <w:p w14:paraId="41ECB033" w14:textId="1555595F" w:rsidR="00532903" w:rsidRPr="008771DF" w:rsidRDefault="00532903" w:rsidP="00824428">
      <w:pPr>
        <w:spacing w:before="100" w:beforeAutospacing="1" w:after="100" w:afterAutospacing="1" w:line="360" w:lineRule="auto"/>
        <w:rPr>
          <w:rFonts w:ascii="Arial" w:hAnsi="Arial" w:cs="Arial"/>
          <w:b/>
          <w:bCs/>
          <w:kern w:val="0"/>
          <w:sz w:val="22"/>
          <w:szCs w:val="22"/>
          <w14:ligatures w14:val="none"/>
        </w:rPr>
      </w:pPr>
      <w:r w:rsidRPr="008771DF">
        <w:rPr>
          <w:rFonts w:ascii="Arial" w:hAnsi="Arial" w:cs="Arial"/>
          <w:b/>
          <w:bCs/>
          <w:kern w:val="0"/>
          <w:sz w:val="22"/>
          <w:szCs w:val="22"/>
          <w14:ligatures w14:val="none"/>
        </w:rPr>
        <w:t xml:space="preserve">Module: </w:t>
      </w:r>
      <w:r w:rsidR="00A543CE" w:rsidRPr="008771DF">
        <w:rPr>
          <w:rFonts w:ascii="Arial" w:hAnsi="Arial" w:cs="Arial"/>
          <w:b/>
          <w:bCs/>
          <w:kern w:val="0"/>
          <w:sz w:val="22"/>
          <w:szCs w:val="22"/>
          <w14:ligatures w14:val="none"/>
        </w:rPr>
        <w:t>LCHS7002</w:t>
      </w:r>
    </w:p>
    <w:p w14:paraId="1E6FADDD" w14:textId="12FA2C7D" w:rsidR="00A543CE" w:rsidRPr="008771DF" w:rsidRDefault="00FD4F6F" w:rsidP="00824428">
      <w:pPr>
        <w:spacing w:before="100" w:beforeAutospacing="1" w:after="100" w:afterAutospacing="1" w:line="360" w:lineRule="auto"/>
        <w:rPr>
          <w:rFonts w:ascii="Arial" w:hAnsi="Arial" w:cs="Arial"/>
          <w:b/>
          <w:bCs/>
          <w:kern w:val="0"/>
          <w:sz w:val="22"/>
          <w:szCs w:val="22"/>
          <w14:ligatures w14:val="none"/>
        </w:rPr>
      </w:pPr>
      <w:r w:rsidRPr="008771DF">
        <w:rPr>
          <w:rFonts w:ascii="Arial" w:hAnsi="Arial" w:cs="Arial"/>
          <w:b/>
          <w:bCs/>
          <w:kern w:val="0"/>
          <w:sz w:val="22"/>
          <w:szCs w:val="22"/>
          <w14:ligatures w14:val="none"/>
        </w:rPr>
        <w:t>Health</w:t>
      </w:r>
      <w:r w:rsidR="00CD66FD" w:rsidRPr="008771DF">
        <w:rPr>
          <w:rFonts w:ascii="Arial" w:hAnsi="Arial" w:cs="Arial"/>
          <w:b/>
          <w:bCs/>
          <w:kern w:val="0"/>
          <w:sz w:val="22"/>
          <w:szCs w:val="22"/>
          <w14:ligatures w14:val="none"/>
        </w:rPr>
        <w:t xml:space="preserve"> Care System </w:t>
      </w:r>
      <w:r w:rsidR="00AA2DFA" w:rsidRPr="008771DF">
        <w:rPr>
          <w:rFonts w:ascii="Arial" w:hAnsi="Arial" w:cs="Arial"/>
          <w:b/>
          <w:bCs/>
          <w:kern w:val="0"/>
          <w:sz w:val="22"/>
          <w:szCs w:val="22"/>
          <w14:ligatures w14:val="none"/>
        </w:rPr>
        <w:t xml:space="preserve">Organisation </w:t>
      </w:r>
      <w:r w:rsidR="00EB17E5" w:rsidRPr="008771DF">
        <w:rPr>
          <w:rFonts w:ascii="Arial" w:hAnsi="Arial" w:cs="Arial"/>
          <w:b/>
          <w:bCs/>
          <w:kern w:val="0"/>
          <w:sz w:val="22"/>
          <w:szCs w:val="22"/>
          <w14:ligatures w14:val="none"/>
        </w:rPr>
        <w:t>and Leadership</w:t>
      </w:r>
    </w:p>
    <w:p w14:paraId="0E4C0754" w14:textId="46AFF10F" w:rsidR="00EB17E5" w:rsidRPr="008771DF" w:rsidRDefault="00EB17E5" w:rsidP="00824428">
      <w:pPr>
        <w:spacing w:before="100" w:beforeAutospacing="1" w:after="100" w:afterAutospacing="1" w:line="360" w:lineRule="auto"/>
        <w:rPr>
          <w:rFonts w:ascii="Arial" w:hAnsi="Arial" w:cs="Arial"/>
          <w:b/>
          <w:bCs/>
          <w:kern w:val="0"/>
          <w:sz w:val="22"/>
          <w:szCs w:val="22"/>
          <w14:ligatures w14:val="none"/>
        </w:rPr>
      </w:pPr>
      <w:r w:rsidRPr="008771DF">
        <w:rPr>
          <w:rFonts w:ascii="Arial" w:hAnsi="Arial" w:cs="Arial"/>
          <w:b/>
          <w:bCs/>
          <w:kern w:val="0"/>
          <w:sz w:val="22"/>
          <w:szCs w:val="22"/>
          <w14:ligatures w14:val="none"/>
        </w:rPr>
        <w:t>Lecturer</w:t>
      </w:r>
      <w:r w:rsidR="00FE09A9" w:rsidRPr="008771DF">
        <w:rPr>
          <w:rFonts w:ascii="Arial" w:hAnsi="Arial" w:cs="Arial"/>
          <w:b/>
          <w:bCs/>
          <w:kern w:val="0"/>
          <w:sz w:val="22"/>
          <w:szCs w:val="22"/>
          <w14:ligatures w14:val="none"/>
        </w:rPr>
        <w:t>: Dr Fahad Khan</w:t>
      </w:r>
    </w:p>
    <w:p w14:paraId="5EF9D1F8" w14:textId="77777777" w:rsidR="00FE09A9" w:rsidRPr="008771DF" w:rsidRDefault="00FE09A9" w:rsidP="00824428">
      <w:pPr>
        <w:spacing w:before="100" w:beforeAutospacing="1" w:after="100" w:afterAutospacing="1" w:line="360" w:lineRule="auto"/>
        <w:rPr>
          <w:rFonts w:ascii="Arial" w:hAnsi="Arial" w:cs="Arial"/>
          <w:b/>
          <w:bCs/>
          <w:kern w:val="0"/>
          <w:sz w:val="22"/>
          <w:szCs w:val="22"/>
          <w14:ligatures w14:val="none"/>
        </w:rPr>
      </w:pPr>
    </w:p>
    <w:p w14:paraId="4E2650E3" w14:textId="7F2ACA3E" w:rsidR="00532903" w:rsidRPr="008771DF" w:rsidRDefault="00804C17" w:rsidP="00824428">
      <w:pPr>
        <w:spacing w:before="100" w:beforeAutospacing="1" w:after="100" w:afterAutospacing="1" w:line="360" w:lineRule="auto"/>
        <w:rPr>
          <w:rFonts w:ascii="Arial" w:hAnsi="Arial" w:cs="Arial"/>
          <w:b/>
          <w:bCs/>
          <w:kern w:val="0"/>
          <w:sz w:val="22"/>
          <w:szCs w:val="22"/>
          <w14:ligatures w14:val="none"/>
        </w:rPr>
      </w:pPr>
      <w:r w:rsidRPr="008771DF">
        <w:rPr>
          <w:rFonts w:ascii="Arial" w:hAnsi="Arial" w:cs="Arial"/>
          <w:b/>
          <w:bCs/>
          <w:kern w:val="0"/>
          <w:sz w:val="22"/>
          <w:szCs w:val="22"/>
          <w14:ligatures w14:val="none"/>
        </w:rPr>
        <w:t xml:space="preserve">CASE STUDY ANALYSIS </w:t>
      </w:r>
    </w:p>
    <w:p w14:paraId="46A227B6" w14:textId="77777777" w:rsidR="00532903" w:rsidRPr="008771DF" w:rsidRDefault="00532903" w:rsidP="00824428">
      <w:pPr>
        <w:spacing w:before="100" w:beforeAutospacing="1" w:after="100" w:afterAutospacing="1" w:line="360" w:lineRule="auto"/>
        <w:rPr>
          <w:rFonts w:ascii="Arial" w:hAnsi="Arial" w:cs="Arial"/>
          <w:b/>
          <w:bCs/>
          <w:kern w:val="0"/>
          <w:sz w:val="22"/>
          <w:szCs w:val="22"/>
          <w14:ligatures w14:val="none"/>
        </w:rPr>
      </w:pPr>
    </w:p>
    <w:p w14:paraId="4B740392" w14:textId="2EF9F7BF" w:rsidR="00532903" w:rsidRPr="008771DF" w:rsidRDefault="00532903" w:rsidP="00824428">
      <w:pPr>
        <w:spacing w:before="100" w:beforeAutospacing="1" w:after="100" w:afterAutospacing="1" w:line="360" w:lineRule="auto"/>
        <w:rPr>
          <w:rFonts w:ascii="Arial" w:hAnsi="Arial" w:cs="Arial"/>
          <w:kern w:val="0"/>
          <w:sz w:val="22"/>
          <w:szCs w:val="22"/>
          <w14:ligatures w14:val="none"/>
        </w:rPr>
      </w:pPr>
      <w:r w:rsidRPr="008771DF">
        <w:rPr>
          <w:rFonts w:ascii="Arial" w:hAnsi="Arial" w:cs="Arial"/>
          <w:b/>
          <w:bCs/>
          <w:kern w:val="0"/>
          <w:sz w:val="22"/>
          <w:szCs w:val="22"/>
          <w14:ligatures w14:val="none"/>
        </w:rPr>
        <w:t>Introduction</w:t>
      </w:r>
    </w:p>
    <w:p w14:paraId="3CB9D793" w14:textId="0254C209" w:rsidR="00532903" w:rsidRPr="008771DF" w:rsidRDefault="00532903" w:rsidP="00824428">
      <w:pPr>
        <w:spacing w:before="100" w:beforeAutospacing="1" w:after="100" w:afterAutospacing="1" w:line="360" w:lineRule="auto"/>
        <w:rPr>
          <w:rFonts w:ascii="Arial" w:hAnsi="Arial" w:cs="Arial"/>
          <w:kern w:val="0"/>
          <w:sz w:val="22"/>
          <w:szCs w:val="22"/>
          <w14:ligatures w14:val="none"/>
        </w:rPr>
      </w:pPr>
      <w:r w:rsidRPr="008771DF">
        <w:rPr>
          <w:rFonts w:ascii="Arial" w:hAnsi="Arial" w:cs="Arial"/>
          <w:kern w:val="0"/>
          <w:sz w:val="22"/>
          <w:szCs w:val="22"/>
          <w14:ligatures w14:val="none"/>
        </w:rPr>
        <w:t xml:space="preserve">The provision of safe healthcare relies fundamentally on effective systems and the individuals who lead them. This report analyses a critical patient safety incident involving Len, an 89-year-old man with Charcot-Marie-Tooth (CMT) disease. Len experienced a fatal unintentional overdose of morphine </w:t>
      </w:r>
      <w:r w:rsidR="00597C51" w:rsidRPr="008771DF">
        <w:rPr>
          <w:rFonts w:ascii="Arial" w:hAnsi="Arial" w:cs="Arial"/>
          <w:kern w:val="0"/>
          <w:sz w:val="22"/>
          <w:szCs w:val="22"/>
          <w14:ligatures w14:val="none"/>
        </w:rPr>
        <w:t>sulphate</w:t>
      </w:r>
      <w:r w:rsidRPr="008771DF">
        <w:rPr>
          <w:rFonts w:ascii="Arial" w:hAnsi="Arial" w:cs="Arial"/>
          <w:kern w:val="0"/>
          <w:sz w:val="22"/>
          <w:szCs w:val="22"/>
          <w14:ligatures w14:val="none"/>
        </w:rPr>
        <w:t xml:space="preserve"> oral solution following a hospital discharge (HSSIB, 2024). The incident occurred because Len and his wife misunderstood the medication label instructions. This catastrophic event highlights profound systemic weaknesses in prescribing practices, patient communication, and transitions of care.</w:t>
      </w:r>
    </w:p>
    <w:p w14:paraId="408FEC95" w14:textId="77777777" w:rsidR="00532903" w:rsidRPr="008771DF" w:rsidRDefault="00532903" w:rsidP="00824428">
      <w:pPr>
        <w:spacing w:before="100" w:beforeAutospacing="1" w:after="100" w:afterAutospacing="1" w:line="360" w:lineRule="auto"/>
        <w:rPr>
          <w:rFonts w:ascii="Arial" w:hAnsi="Arial" w:cs="Arial"/>
          <w:kern w:val="0"/>
          <w:sz w:val="22"/>
          <w:szCs w:val="22"/>
          <w14:ligatures w14:val="none"/>
        </w:rPr>
      </w:pPr>
      <w:r w:rsidRPr="008771DF">
        <w:rPr>
          <w:rFonts w:ascii="Arial" w:hAnsi="Arial" w:cs="Arial"/>
          <w:kern w:val="0"/>
          <w:sz w:val="22"/>
          <w:szCs w:val="22"/>
          <w14:ligatures w14:val="none"/>
        </w:rPr>
        <w:t>Leadership within health and social care is the process of influencing others to achieve shared safety and operational goals (West, 2021). It requires navigating complex clinical environments to foster continuous improvement. In large healthcare structures, governance often oscillates between centralisation and decentralisation. Centralisation involves concentrating decision-making authority at the top levels of management to ensure standardisation (</w:t>
      </w:r>
      <w:proofErr w:type="spellStart"/>
      <w:r w:rsidRPr="008771DF">
        <w:rPr>
          <w:rFonts w:ascii="Arial" w:hAnsi="Arial" w:cs="Arial"/>
          <w:kern w:val="0"/>
          <w:sz w:val="22"/>
          <w:szCs w:val="22"/>
          <w14:ligatures w14:val="none"/>
        </w:rPr>
        <w:t>Mintzberg</w:t>
      </w:r>
      <w:proofErr w:type="spellEnd"/>
      <w:r w:rsidRPr="008771DF">
        <w:rPr>
          <w:rFonts w:ascii="Arial" w:hAnsi="Arial" w:cs="Arial"/>
          <w:kern w:val="0"/>
          <w:sz w:val="22"/>
          <w:szCs w:val="22"/>
          <w14:ligatures w14:val="none"/>
        </w:rPr>
        <w:t>, 1979). Decentralisation distributes authority closer to the frontline staff providing direct care, allowing for rapid adaptation to specific patient needs (</w:t>
      </w:r>
      <w:proofErr w:type="spellStart"/>
      <w:r w:rsidRPr="008771DF">
        <w:rPr>
          <w:rFonts w:ascii="Arial" w:hAnsi="Arial" w:cs="Arial"/>
          <w:kern w:val="0"/>
          <w:sz w:val="22"/>
          <w:szCs w:val="22"/>
          <w14:ligatures w14:val="none"/>
        </w:rPr>
        <w:t>Saltman</w:t>
      </w:r>
      <w:proofErr w:type="spellEnd"/>
      <w:r w:rsidRPr="008771DF">
        <w:rPr>
          <w:rFonts w:ascii="Arial" w:hAnsi="Arial" w:cs="Arial"/>
          <w:kern w:val="0"/>
          <w:sz w:val="22"/>
          <w:szCs w:val="22"/>
          <w14:ligatures w14:val="none"/>
        </w:rPr>
        <w:t xml:space="preserve"> and </w:t>
      </w:r>
      <w:proofErr w:type="spellStart"/>
      <w:r w:rsidRPr="008771DF">
        <w:rPr>
          <w:rFonts w:ascii="Arial" w:hAnsi="Arial" w:cs="Arial"/>
          <w:kern w:val="0"/>
          <w:sz w:val="22"/>
          <w:szCs w:val="22"/>
          <w14:ligatures w14:val="none"/>
        </w:rPr>
        <w:t>Bankauskaite</w:t>
      </w:r>
      <w:proofErr w:type="spellEnd"/>
      <w:r w:rsidRPr="008771DF">
        <w:rPr>
          <w:rFonts w:ascii="Arial" w:hAnsi="Arial" w:cs="Arial"/>
          <w:kern w:val="0"/>
          <w:sz w:val="22"/>
          <w:szCs w:val="22"/>
          <w14:ligatures w14:val="none"/>
        </w:rPr>
        <w:t>, 2006).</w:t>
      </w:r>
    </w:p>
    <w:p w14:paraId="6C73E339" w14:textId="77777777" w:rsidR="00532903" w:rsidRPr="008771DF" w:rsidRDefault="00532903" w:rsidP="00824428">
      <w:pPr>
        <w:spacing w:before="100" w:beforeAutospacing="1" w:after="100" w:afterAutospacing="1" w:line="360" w:lineRule="auto"/>
        <w:rPr>
          <w:rFonts w:ascii="Arial" w:hAnsi="Arial" w:cs="Arial"/>
          <w:kern w:val="0"/>
          <w:sz w:val="22"/>
          <w:szCs w:val="22"/>
          <w14:ligatures w14:val="none"/>
        </w:rPr>
      </w:pPr>
      <w:r w:rsidRPr="008771DF">
        <w:rPr>
          <w:rFonts w:ascii="Arial" w:hAnsi="Arial" w:cs="Arial"/>
          <w:kern w:val="0"/>
          <w:sz w:val="22"/>
          <w:szCs w:val="22"/>
          <w14:ligatures w14:val="none"/>
        </w:rPr>
        <w:t>Effective crisis and change management depends entirely on selecting an appropriate leadership style. Transformational leadership inspires staff through a shared vision of patient safety (Bass, 1985). Transactional leadership relies on compliance with established protocols through reward and penalty mechanisms (</w:t>
      </w:r>
      <w:proofErr w:type="spellStart"/>
      <w:r w:rsidRPr="008771DF">
        <w:rPr>
          <w:rFonts w:ascii="Arial" w:hAnsi="Arial" w:cs="Arial"/>
          <w:kern w:val="0"/>
          <w:sz w:val="22"/>
          <w:szCs w:val="22"/>
          <w14:ligatures w14:val="none"/>
        </w:rPr>
        <w:t>Avolio</w:t>
      </w:r>
      <w:proofErr w:type="spellEnd"/>
      <w:r w:rsidRPr="008771DF">
        <w:rPr>
          <w:rFonts w:ascii="Arial" w:hAnsi="Arial" w:cs="Arial"/>
          <w:kern w:val="0"/>
          <w:sz w:val="22"/>
          <w:szCs w:val="22"/>
          <w14:ligatures w14:val="none"/>
        </w:rPr>
        <w:t xml:space="preserve"> et al., 1991). Situational leadership demands that managers adapt their style based on the readiness and competence of their team (Hersey and Blanchard, 1969). The failure to apply the correct leadership framework directly impacts patient morbidity.</w:t>
      </w:r>
    </w:p>
    <w:p w14:paraId="34E0EC68" w14:textId="77777777" w:rsidR="00532903" w:rsidRPr="008771DF" w:rsidRDefault="00532903" w:rsidP="00824428">
      <w:pPr>
        <w:spacing w:before="100" w:beforeAutospacing="1" w:after="100" w:afterAutospacing="1" w:line="360" w:lineRule="auto"/>
        <w:rPr>
          <w:rFonts w:ascii="Arial" w:hAnsi="Arial" w:cs="Arial"/>
          <w:kern w:val="0"/>
          <w:sz w:val="22"/>
          <w:szCs w:val="22"/>
          <w14:ligatures w14:val="none"/>
        </w:rPr>
      </w:pPr>
      <w:r w:rsidRPr="008771DF">
        <w:rPr>
          <w:rFonts w:ascii="Arial" w:hAnsi="Arial" w:cs="Arial"/>
          <w:kern w:val="0"/>
          <w:sz w:val="22"/>
          <w:szCs w:val="22"/>
          <w14:ligatures w14:val="none"/>
        </w:rPr>
        <w:t>This report will systematically deconstruct Len’s case. It will first explore the problem using systems thinking and a Rich Picture analysis. It will then evaluate the impact of centralised versus decentralised structures on the incident. Subsequent sections will critically apply leadership theories to the failure in care delivery before proposing evidence-based recommendations to prevent future harm.</w:t>
      </w:r>
    </w:p>
    <w:p w14:paraId="33DA1E6F" w14:textId="77777777" w:rsidR="00532903" w:rsidRPr="008771DF" w:rsidRDefault="00532903" w:rsidP="00824428">
      <w:pPr>
        <w:spacing w:before="100" w:beforeAutospacing="1" w:after="100" w:afterAutospacing="1" w:line="360" w:lineRule="auto"/>
        <w:rPr>
          <w:rFonts w:ascii="Arial" w:hAnsi="Arial" w:cs="Arial"/>
          <w:kern w:val="0"/>
          <w:sz w:val="22"/>
          <w:szCs w:val="22"/>
          <w14:ligatures w14:val="none"/>
        </w:rPr>
      </w:pPr>
      <w:r w:rsidRPr="008771DF">
        <w:rPr>
          <w:rFonts w:ascii="Arial" w:hAnsi="Arial" w:cs="Arial"/>
          <w:b/>
          <w:bCs/>
          <w:kern w:val="0"/>
          <w:sz w:val="22"/>
          <w:szCs w:val="22"/>
          <w14:ligatures w14:val="none"/>
        </w:rPr>
        <w:t>Main Body and Analysis</w:t>
      </w:r>
    </w:p>
    <w:p w14:paraId="51CE5B32" w14:textId="77777777" w:rsidR="00532903" w:rsidRPr="008771DF" w:rsidRDefault="00532903" w:rsidP="00824428">
      <w:pPr>
        <w:spacing w:before="100" w:beforeAutospacing="1" w:after="100" w:afterAutospacing="1" w:line="360" w:lineRule="auto"/>
        <w:rPr>
          <w:rFonts w:ascii="Arial" w:hAnsi="Arial" w:cs="Arial"/>
          <w:kern w:val="0"/>
          <w:sz w:val="22"/>
          <w:szCs w:val="22"/>
          <w14:ligatures w14:val="none"/>
        </w:rPr>
      </w:pPr>
      <w:r w:rsidRPr="008771DF">
        <w:rPr>
          <w:rFonts w:ascii="Arial" w:hAnsi="Arial" w:cs="Arial"/>
          <w:b/>
          <w:bCs/>
          <w:kern w:val="0"/>
          <w:sz w:val="22"/>
          <w:szCs w:val="22"/>
          <w14:ligatures w14:val="none"/>
        </w:rPr>
        <w:t>a. Identifying the Problem and Setting the System Context</w:t>
      </w:r>
    </w:p>
    <w:p w14:paraId="748D62F4" w14:textId="77777777" w:rsidR="00532903" w:rsidRPr="008771DF" w:rsidRDefault="00532903" w:rsidP="00824428">
      <w:pPr>
        <w:spacing w:before="100" w:beforeAutospacing="1" w:after="100" w:afterAutospacing="1" w:line="360" w:lineRule="auto"/>
        <w:rPr>
          <w:rFonts w:ascii="Arial" w:hAnsi="Arial" w:cs="Arial"/>
          <w:kern w:val="0"/>
          <w:sz w:val="22"/>
          <w:szCs w:val="22"/>
          <w14:ligatures w14:val="none"/>
        </w:rPr>
      </w:pPr>
      <w:r w:rsidRPr="008771DF">
        <w:rPr>
          <w:rFonts w:ascii="Arial" w:hAnsi="Arial" w:cs="Arial"/>
          <w:kern w:val="0"/>
          <w:sz w:val="22"/>
          <w:szCs w:val="22"/>
          <w14:ligatures w14:val="none"/>
        </w:rPr>
        <w:t>The central problem in Len’s case is a catastrophic failure in medication safety caused by poor communication during a transition of care. Len was prescribed morphine oral solution, but the label generated by the hospital pharmacy was misunderstood by both the patient and his family (HSSIB, 2024). The patient consumed a lethal dose. This local incident is emblematic of a broader global crisis in patient safety. The World Health Organization (WHO, 2019) reports that adverse events occur in one in ten hospital admissions globally, with medication errors constituting the leading cause of preventable harm.</w:t>
      </w:r>
    </w:p>
    <w:p w14:paraId="6F1A2A04" w14:textId="22DBD8C8" w:rsidR="00532903" w:rsidRPr="008771DF" w:rsidRDefault="00532903" w:rsidP="00824428">
      <w:pPr>
        <w:spacing w:before="100" w:beforeAutospacing="1" w:after="100" w:afterAutospacing="1" w:line="360" w:lineRule="auto"/>
        <w:rPr>
          <w:rFonts w:ascii="Arial" w:hAnsi="Arial" w:cs="Arial"/>
          <w:kern w:val="0"/>
          <w:sz w:val="22"/>
          <w:szCs w:val="22"/>
          <w14:ligatures w14:val="none"/>
        </w:rPr>
      </w:pPr>
      <w:r w:rsidRPr="008771DF">
        <w:rPr>
          <w:rFonts w:ascii="Arial" w:hAnsi="Arial" w:cs="Arial"/>
          <w:kern w:val="0"/>
          <w:sz w:val="22"/>
          <w:szCs w:val="22"/>
          <w14:ligatures w14:val="none"/>
        </w:rPr>
        <w:t xml:space="preserve">National statistics mirror this global presentation. NHS England (2022) data </w:t>
      </w:r>
      <w:r w:rsidR="001A5426" w:rsidRPr="008771DF">
        <w:rPr>
          <w:rFonts w:ascii="Arial" w:hAnsi="Arial" w:cs="Arial"/>
          <w:kern w:val="0"/>
          <w:sz w:val="22"/>
          <w:szCs w:val="22"/>
          <w14:ligatures w14:val="none"/>
        </w:rPr>
        <w:t>indicate</w:t>
      </w:r>
      <w:r w:rsidRPr="008771DF">
        <w:rPr>
          <w:rFonts w:ascii="Arial" w:hAnsi="Arial" w:cs="Arial"/>
          <w:kern w:val="0"/>
          <w:sz w:val="22"/>
          <w:szCs w:val="22"/>
          <w14:ligatures w14:val="none"/>
        </w:rPr>
        <w:t xml:space="preserve"> that over 237 million medication errors occur annually in the United Kingdom, costing the health service hundreds of millions of pounds and causing significant patient mortality (Elliott et al., 2021). Furthermore, the Institute for Healthcare Improvement (IHI, 2020) identifies medication discrepancies during hospital discharge as a primary driver of preventable readmissions and deaths. These figures position Len’s death not as an isolated anomaly but as a predictable manifestation of systemic vulnerability.</w:t>
      </w:r>
    </w:p>
    <w:p w14:paraId="59CAD390" w14:textId="77777777" w:rsidR="00532903" w:rsidRPr="008771DF" w:rsidRDefault="00532903" w:rsidP="00824428">
      <w:pPr>
        <w:spacing w:before="100" w:beforeAutospacing="1" w:after="100" w:afterAutospacing="1" w:line="360" w:lineRule="auto"/>
        <w:rPr>
          <w:rFonts w:ascii="Arial" w:hAnsi="Arial" w:cs="Arial"/>
          <w:kern w:val="0"/>
          <w:sz w:val="22"/>
          <w:szCs w:val="22"/>
          <w14:ligatures w14:val="none"/>
        </w:rPr>
      </w:pPr>
      <w:r w:rsidRPr="008771DF">
        <w:rPr>
          <w:rFonts w:ascii="Arial" w:hAnsi="Arial" w:cs="Arial"/>
          <w:kern w:val="0"/>
          <w:sz w:val="22"/>
          <w:szCs w:val="22"/>
          <w14:ligatures w14:val="none"/>
        </w:rPr>
        <w:t>This problem reflects deeply ingrained systemic weaknesses in communication and accountability. When healthcare operates in silos, the responsibility for ensuring patient comprehension is frequently lost (Reason, 2000). The governance level influencing this problem spans from national regulatory bodies standardising drug labelling (MHRA, 2023) to local NHS Trust policies dictating discharge procedures (NICE, 2015). Data on underlying challenges reveals that chronic staff shortages and time pressures severely limit the ability of nurses and pharmacists to conduct thorough medication counselling (Buchan et al., 2019). The Care Quality Commission (CQC, 2022) notes that constrained budgets and high bed occupancy rates force rushed discharges, directly compromising safety outcomes.</w:t>
      </w:r>
    </w:p>
    <w:p w14:paraId="55231BBF" w14:textId="77777777" w:rsidR="00532903" w:rsidRPr="008771DF" w:rsidRDefault="00532903" w:rsidP="00824428">
      <w:pPr>
        <w:spacing w:before="100" w:beforeAutospacing="1" w:after="100" w:afterAutospacing="1" w:line="360" w:lineRule="auto"/>
        <w:rPr>
          <w:rFonts w:ascii="Arial" w:hAnsi="Arial" w:cs="Arial"/>
          <w:kern w:val="0"/>
          <w:sz w:val="22"/>
          <w:szCs w:val="22"/>
          <w14:ligatures w14:val="none"/>
        </w:rPr>
      </w:pPr>
      <w:r w:rsidRPr="008771DF">
        <w:rPr>
          <w:rFonts w:ascii="Arial" w:hAnsi="Arial" w:cs="Arial"/>
          <w:kern w:val="0"/>
          <w:sz w:val="22"/>
          <w:szCs w:val="22"/>
          <w14:ligatures w14:val="none"/>
        </w:rPr>
        <w:t>Applying systems thinking requires looking beyond individual blame to understand how various elements interact (</w:t>
      </w:r>
      <w:proofErr w:type="spellStart"/>
      <w:r w:rsidRPr="008771DF">
        <w:rPr>
          <w:rFonts w:ascii="Arial" w:hAnsi="Arial" w:cs="Arial"/>
          <w:kern w:val="0"/>
          <w:sz w:val="22"/>
          <w:szCs w:val="22"/>
          <w14:ligatures w14:val="none"/>
        </w:rPr>
        <w:t>Checkland</w:t>
      </w:r>
      <w:proofErr w:type="spellEnd"/>
      <w:r w:rsidRPr="008771DF">
        <w:rPr>
          <w:rFonts w:ascii="Arial" w:hAnsi="Arial" w:cs="Arial"/>
          <w:kern w:val="0"/>
          <w:sz w:val="22"/>
          <w:szCs w:val="22"/>
          <w14:ligatures w14:val="none"/>
        </w:rPr>
        <w:t xml:space="preserve">, 1999; </w:t>
      </w:r>
      <w:proofErr w:type="spellStart"/>
      <w:r w:rsidRPr="008771DF">
        <w:rPr>
          <w:rFonts w:ascii="Arial" w:hAnsi="Arial" w:cs="Arial"/>
          <w:kern w:val="0"/>
          <w:sz w:val="22"/>
          <w:szCs w:val="22"/>
          <w14:ligatures w14:val="none"/>
        </w:rPr>
        <w:t>Senge</w:t>
      </w:r>
      <w:proofErr w:type="spellEnd"/>
      <w:r w:rsidRPr="008771DF">
        <w:rPr>
          <w:rFonts w:ascii="Arial" w:hAnsi="Arial" w:cs="Arial"/>
          <w:kern w:val="0"/>
          <w:sz w:val="22"/>
          <w:szCs w:val="22"/>
          <w14:ligatures w14:val="none"/>
        </w:rPr>
        <w:t>, 1990). A Rich Picture of Len’s case visualises a fractured network of actors, processes, and structures. The actors include Len, his anxious wife, the prescribing physician, the dispensing pharmacist, and the discharging nurse. The core process is the transition from secondary to primary care. The structures involved include the hospital’s electronic prescribing system, which generated an ambiguous label, and the rigid hierarchy that discouraged cross-disciplinary checking.</w:t>
      </w:r>
    </w:p>
    <w:p w14:paraId="05BFFAB6" w14:textId="13B0304E" w:rsidR="009F7946" w:rsidRDefault="002C15DB" w:rsidP="00532903">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drawing>
          <wp:anchor distT="0" distB="0" distL="114300" distR="114300" simplePos="0" relativeHeight="251658240" behindDoc="0" locked="0" layoutInCell="1" allowOverlap="1" wp14:anchorId="2C8A0763" wp14:editId="17CE5181">
            <wp:simplePos x="0" y="0"/>
            <wp:positionH relativeFrom="margin">
              <wp:align>right</wp:align>
            </wp:positionH>
            <wp:positionV relativeFrom="paragraph">
              <wp:posOffset>0</wp:posOffset>
            </wp:positionV>
            <wp:extent cx="5905500" cy="3145155"/>
            <wp:effectExtent l="0" t="0" r="0" b="0"/>
            <wp:wrapThrough wrapText="bothSides">
              <wp:wrapPolygon edited="0">
                <wp:start x="0" y="0"/>
                <wp:lineTo x="0" y="21456"/>
                <wp:lineTo x="21530" y="21456"/>
                <wp:lineTo x="21530" y="0"/>
                <wp:lineTo x="0" y="0"/>
              </wp:wrapPolygon>
            </wp:wrapThrough>
            <wp:docPr id="1522992533" name="Picture 1">
              <a:extLst xmlns:a="http://schemas.openxmlformats.org/drawingml/2006/main">
                <a:ext uri="{FF2B5EF4-FFF2-40B4-BE49-F238E27FC236}">
                  <a16:creationId xmlns:a16="http://schemas.microsoft.com/office/drawing/2014/main" id="{F8FFA7F9-2C11-4BBB-B1D2-FDFAC9514C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992533" name="Picture 1522992533"/>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05500" cy="3145155"/>
                    </a:xfrm>
                    <a:prstGeom prst="rect">
                      <a:avLst/>
                    </a:prstGeom>
                  </pic:spPr>
                </pic:pic>
              </a:graphicData>
            </a:graphic>
            <wp14:sizeRelH relativeFrom="margin">
              <wp14:pctWidth>0</wp14:pctWidth>
            </wp14:sizeRelH>
            <wp14:sizeRelV relativeFrom="margin">
              <wp14:pctHeight>0</wp14:pctHeight>
            </wp14:sizeRelV>
          </wp:anchor>
        </w:drawing>
      </w:r>
    </w:p>
    <w:p w14:paraId="2B570A21" w14:textId="77777777" w:rsidR="009F7946" w:rsidRDefault="009F7946" w:rsidP="00532903">
      <w:pPr>
        <w:spacing w:before="100" w:beforeAutospacing="1" w:after="100" w:afterAutospacing="1" w:line="240" w:lineRule="auto"/>
        <w:rPr>
          <w:rFonts w:ascii="Times New Roman" w:hAnsi="Times New Roman" w:cs="Times New Roman"/>
          <w:kern w:val="0"/>
          <w14:ligatures w14:val="none"/>
        </w:rPr>
      </w:pPr>
    </w:p>
    <w:p w14:paraId="3EEC3F76" w14:textId="3101C10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Crucially, the Rich Picture reveals broken feedback loops. Once Len left the hospital, there was no immediate community follow-up mechanism to verify his understanding of the high-risk medication. The emotional landscape of the Rich Picture is equally important (Monk and Howard, 1998). Len and his wife were dealing with the stress of his declining health and the anxiety of managing new medication without adequate support. The interaction of an ambiguous physical label, a rushed discharge process, and an overwhelmed primary care sector created a perfect storm for a fatal overdose (HSSIB, 2024).</w:t>
      </w:r>
    </w:p>
    <w:p w14:paraId="084B59E1"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b/>
          <w:bCs/>
          <w:kern w:val="0"/>
          <w:sz w:val="22"/>
          <w:szCs w:val="22"/>
          <w14:ligatures w14:val="none"/>
        </w:rPr>
        <w:t>b. Centralisation or Decentralisation within the Case Study</w:t>
      </w:r>
    </w:p>
    <w:p w14:paraId="4DC3AF34"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The environment surrounding Len’s care operates within a hybrid system of centralisation and decentralisation. Understanding how these forces interact is critical to diagnosing the root causes of the incident. The NHS is heavily centralised regarding policy formulation and standard setting (Department of Health and Social Care, 2021). For example, the parameters for safe medication dispensing and the formatting of pharmacy labels are governed by national regulations set by the Medicines and Healthcare products Regulatory Agency (MHRA, 2023).</w:t>
      </w:r>
    </w:p>
    <w:p w14:paraId="67254D02"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The primary advantage of this centralised decision-making is uniformity. A patient should theoretically receive the same standard of care and identical safety warnings regardless of their location (Ham, 2014). However, the disadvantage within Len’s case is that rigid, centralised IT systems often produce generic labels that lack patient-specific clarity (Franklin et al., 2018). Data from the National Reporting and Learning System demonstrates that over-reliance on automated, centralised dispensing systems contributes to thousands of adverse events annually when the generated instructions do not match the patient's health literacy level (NHS England, 2019).</w:t>
      </w:r>
    </w:p>
    <w:p w14:paraId="1D082DE1"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Conversely, authority regarding the actual execution of the discharge process is highly decentralised. Individual hospital wards and community care teams retain autonomy over how they communicate with patients (</w:t>
      </w:r>
      <w:proofErr w:type="spellStart"/>
      <w:r w:rsidRPr="00086834">
        <w:rPr>
          <w:rFonts w:ascii="Arial" w:hAnsi="Arial" w:cs="Arial"/>
          <w:kern w:val="0"/>
          <w:sz w:val="22"/>
          <w:szCs w:val="22"/>
          <w14:ligatures w14:val="none"/>
        </w:rPr>
        <w:t>Exworthy</w:t>
      </w:r>
      <w:proofErr w:type="spellEnd"/>
      <w:r w:rsidRPr="00086834">
        <w:rPr>
          <w:rFonts w:ascii="Arial" w:hAnsi="Arial" w:cs="Arial"/>
          <w:kern w:val="0"/>
          <w:sz w:val="22"/>
          <w:szCs w:val="22"/>
          <w14:ligatures w14:val="none"/>
        </w:rPr>
        <w:t xml:space="preserve"> et al., 2010). In Len’s situation, the responsibility to explain the morphine dosage was decentralised to the frontline clinical staff. The advantage of decentralisation is that staff can tailor their communication to the specific cognitive and physical needs of an 89-year-old patient with CMT disease (Naylor et al., 2012). The profound disadvantage is the immense variability in practice quality.</w:t>
      </w:r>
    </w:p>
    <w:p w14:paraId="5DD4D6A5"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A critical analysis reveals that the system structure hindered effective crisis prevention. The centralised generation of the medication label provided a false sense of security, assuming the printed word was sufficient. Simultaneously, the decentralised reality of the ward meant that time-poor nurses lacked a standardised, mandatory framework for verifying patient understanding (Vincent, 2010). Numerical evidence from the OECD (2022) indicates that health systems with highly decentralised care transitions experience a 15 percent higher rate of post-discharge adverse events compared to those with integrated transition pathways. The lack of bridging governance between the centralised pharmacy systems and decentralised ward practices directly enabled Len’s fatal misunderstanding.</w:t>
      </w:r>
    </w:p>
    <w:p w14:paraId="493B63D7"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b/>
          <w:bCs/>
          <w:kern w:val="0"/>
          <w:sz w:val="22"/>
          <w:szCs w:val="22"/>
          <w14:ligatures w14:val="none"/>
        </w:rPr>
        <w:t>c. Leadership Theories and Application to the Case Study</w:t>
      </w:r>
    </w:p>
    <w:p w14:paraId="0671F82A"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The tragedy of Len’s death is intrinsically linked to leadership failures at the clinical micro-system level. Applying established leadership theories illuminates how human resource management and team dynamics compromised patient safety. Transformational leadership theory suggests that leaders must inspire their followers to transcend their immediate self-interests for the sake of higher goals, such as absolute patient safety (Bass and </w:t>
      </w:r>
      <w:proofErr w:type="spellStart"/>
      <w:r w:rsidRPr="00086834">
        <w:rPr>
          <w:rFonts w:ascii="Arial" w:hAnsi="Arial" w:cs="Arial"/>
          <w:kern w:val="0"/>
          <w:sz w:val="22"/>
          <w:szCs w:val="22"/>
          <w14:ligatures w14:val="none"/>
        </w:rPr>
        <w:t>Riggio</w:t>
      </w:r>
      <w:proofErr w:type="spellEnd"/>
      <w:r w:rsidRPr="00086834">
        <w:rPr>
          <w:rFonts w:ascii="Arial" w:hAnsi="Arial" w:cs="Arial"/>
          <w:kern w:val="0"/>
          <w:sz w:val="22"/>
          <w:szCs w:val="22"/>
          <w14:ligatures w14:val="none"/>
        </w:rPr>
        <w:t>, 2006). In a high-functioning clinical environment, a transformational ward manager fosters a culture of psychological safety where staff feel empowered to spend extra time educating patients (Edmondson, 2018).</w:t>
      </w:r>
    </w:p>
    <w:p w14:paraId="5D4A1A8E"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In Len’s case, evidence suggests a lack of transformational leadership. Staff were likely driven by transactional leadership principles. Transactional leaders focus on routine, compliance, and hitting specific targets (</w:t>
      </w:r>
      <w:proofErr w:type="spellStart"/>
      <w:r w:rsidRPr="00086834">
        <w:rPr>
          <w:rFonts w:ascii="Arial" w:hAnsi="Arial" w:cs="Arial"/>
          <w:kern w:val="0"/>
          <w:sz w:val="22"/>
          <w:szCs w:val="22"/>
          <w14:ligatures w14:val="none"/>
        </w:rPr>
        <w:t>Avolio</w:t>
      </w:r>
      <w:proofErr w:type="spellEnd"/>
      <w:r w:rsidRPr="00086834">
        <w:rPr>
          <w:rFonts w:ascii="Arial" w:hAnsi="Arial" w:cs="Arial"/>
          <w:kern w:val="0"/>
          <w:sz w:val="22"/>
          <w:szCs w:val="22"/>
          <w14:ligatures w14:val="none"/>
        </w:rPr>
        <w:t xml:space="preserve"> et al., 1991). The target on the ward was discharging the patient to free up bed capacity. The hospital staff completed the transactional requirement of handing over the medication but failed the transformational goal of ensuring the patient was genuinely safe. Data from </w:t>
      </w:r>
      <w:proofErr w:type="spellStart"/>
      <w:r w:rsidRPr="00086834">
        <w:rPr>
          <w:rFonts w:ascii="Arial" w:hAnsi="Arial" w:cs="Arial"/>
          <w:kern w:val="0"/>
          <w:sz w:val="22"/>
          <w:szCs w:val="22"/>
          <w14:ligatures w14:val="none"/>
        </w:rPr>
        <w:t>Boamah</w:t>
      </w:r>
      <w:proofErr w:type="spellEnd"/>
      <w:r w:rsidRPr="00086834">
        <w:rPr>
          <w:rFonts w:ascii="Arial" w:hAnsi="Arial" w:cs="Arial"/>
          <w:kern w:val="0"/>
          <w:sz w:val="22"/>
          <w:szCs w:val="22"/>
          <w14:ligatures w14:val="none"/>
        </w:rPr>
        <w:t xml:space="preserve"> et al. (2018) shows that hospitals lacking transformational leadership report significantly higher rates of medication errors and lower staff engagement scores.</w:t>
      </w:r>
    </w:p>
    <w:p w14:paraId="7EE9955F"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Situational leadership theory provides another vital lens. This theory dictates that a leader must adapt their style to the maturity and competence of the individual being led (Hersey and Blanchard, 1969). In a healthcare context, this extends to how clinicians lead patients through their care journey. Len, an elderly man with cognitive and physical vulnerabilities due to his age and CMT disease, required a highly supportive and directive approach regarding his new opioid prescription. The clinicians failed to assess Len’s "readiness" to manage liquid morphine independently.</w:t>
      </w:r>
    </w:p>
    <w:p w14:paraId="62144AE8"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The </w:t>
      </w:r>
      <w:proofErr w:type="spellStart"/>
      <w:r w:rsidRPr="00086834">
        <w:rPr>
          <w:rFonts w:ascii="Arial" w:hAnsi="Arial" w:cs="Arial"/>
          <w:kern w:val="0"/>
          <w:sz w:val="22"/>
          <w:szCs w:val="22"/>
          <w14:ligatures w14:val="none"/>
        </w:rPr>
        <w:t>Tannenbaum</w:t>
      </w:r>
      <w:proofErr w:type="spellEnd"/>
      <w:r w:rsidRPr="00086834">
        <w:rPr>
          <w:rFonts w:ascii="Arial" w:hAnsi="Arial" w:cs="Arial"/>
          <w:kern w:val="0"/>
          <w:sz w:val="22"/>
          <w:szCs w:val="22"/>
          <w14:ligatures w14:val="none"/>
        </w:rPr>
        <w:t xml:space="preserve"> and Schmidt Continuum (1973) evaluates the balance between manager authority and team freedom. In the context of multidisciplinary healthcare, a highly authoritative environment prevents nurses from challenging doctors or pharmacists about ambiguous prescriptions (</w:t>
      </w:r>
      <w:proofErr w:type="spellStart"/>
      <w:r w:rsidRPr="00086834">
        <w:rPr>
          <w:rFonts w:ascii="Arial" w:hAnsi="Arial" w:cs="Arial"/>
          <w:kern w:val="0"/>
          <w:sz w:val="22"/>
          <w:szCs w:val="22"/>
          <w14:ligatures w14:val="none"/>
        </w:rPr>
        <w:t>Flin</w:t>
      </w:r>
      <w:proofErr w:type="spellEnd"/>
      <w:r w:rsidRPr="00086834">
        <w:rPr>
          <w:rFonts w:ascii="Arial" w:hAnsi="Arial" w:cs="Arial"/>
          <w:kern w:val="0"/>
          <w:sz w:val="22"/>
          <w:szCs w:val="22"/>
          <w14:ligatures w14:val="none"/>
        </w:rPr>
        <w:t xml:space="preserve"> et al., 2008). If a more participatory leadership style had been cultivated, a ward nurse might have felt confident pausing the discharge to question the confusing label design.</w:t>
      </w:r>
    </w:p>
    <w:p w14:paraId="3F8A879D" w14:textId="373CBEF1"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The leadership style present during Len’s discharge was overwhelmingly reactive and </w:t>
      </w:r>
      <w:r w:rsidR="00203C3C" w:rsidRPr="00086834">
        <w:rPr>
          <w:rFonts w:ascii="Arial" w:hAnsi="Arial" w:cs="Arial"/>
          <w:kern w:val="0"/>
          <w:sz w:val="22"/>
          <w:szCs w:val="22"/>
          <w14:ligatures w14:val="none"/>
        </w:rPr>
        <w:t>command driven</w:t>
      </w:r>
      <w:r w:rsidRPr="00086834">
        <w:rPr>
          <w:rFonts w:ascii="Arial" w:hAnsi="Arial" w:cs="Arial"/>
          <w:kern w:val="0"/>
          <w:sz w:val="22"/>
          <w:szCs w:val="22"/>
          <w14:ligatures w14:val="none"/>
        </w:rPr>
        <w:t>. Leaders managed the immediate operational pressure of patient flow rather than proactively anticipating the risks associated with high</w:t>
      </w:r>
      <w:r w:rsidR="0028559A">
        <w:rPr>
          <w:rFonts w:ascii="Arial" w:hAnsi="Arial" w:cs="Arial"/>
          <w:kern w:val="0"/>
          <w:sz w:val="22"/>
          <w:szCs w:val="22"/>
          <w14:ligatures w14:val="none"/>
        </w:rPr>
        <w:t xml:space="preserve"> </w:t>
      </w:r>
      <w:r w:rsidRPr="00086834">
        <w:rPr>
          <w:rFonts w:ascii="Arial" w:hAnsi="Arial" w:cs="Arial"/>
          <w:kern w:val="0"/>
          <w:sz w:val="22"/>
          <w:szCs w:val="22"/>
          <w14:ligatures w14:val="none"/>
        </w:rPr>
        <w:t>alert medications in the community (Kotter, 1996). Staff surveys frequently reveal that command</w:t>
      </w:r>
      <w:r w:rsidR="00955701">
        <w:rPr>
          <w:rFonts w:ascii="Arial" w:hAnsi="Arial" w:cs="Arial"/>
          <w:kern w:val="0"/>
          <w:sz w:val="22"/>
          <w:szCs w:val="22"/>
          <w14:ligatures w14:val="none"/>
        </w:rPr>
        <w:t xml:space="preserve"> </w:t>
      </w:r>
      <w:r w:rsidRPr="00086834">
        <w:rPr>
          <w:rFonts w:ascii="Arial" w:hAnsi="Arial" w:cs="Arial"/>
          <w:kern w:val="0"/>
          <w:sz w:val="22"/>
          <w:szCs w:val="22"/>
          <w14:ligatures w14:val="none"/>
        </w:rPr>
        <w:t>driven environments reduce proactive safety behaviours by up to 30 percent (West et al., 2015). A more distributed leadership model, where accountability for patient education is shared equally among pharmacists and nurses, could have intercepted the error (Spillane, 2006). Emotionally intelligent leadership was required to recognise the immense anxiety Len and his wife faced, which severely inhibited their ability to process complex medical instructions (Goleman, 2004).</w:t>
      </w:r>
    </w:p>
    <w:p w14:paraId="40816A00"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b/>
          <w:bCs/>
          <w:kern w:val="0"/>
          <w:sz w:val="22"/>
          <w:szCs w:val="22"/>
          <w14:ligatures w14:val="none"/>
        </w:rPr>
        <w:t>d. Improvement, and Lessons Learned</w:t>
      </w:r>
    </w:p>
    <w:p w14:paraId="3FCC6548" w14:textId="2E096E4F"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The interaction between weak governance and reactive leadership produced the fatal outcome in this case. Addressing these failures requires </w:t>
      </w:r>
      <w:r w:rsidR="0021636E" w:rsidRPr="00086834">
        <w:rPr>
          <w:rFonts w:ascii="Arial" w:hAnsi="Arial" w:cs="Arial"/>
          <w:kern w:val="0"/>
          <w:sz w:val="22"/>
          <w:szCs w:val="22"/>
          <w14:ligatures w14:val="none"/>
        </w:rPr>
        <w:t>evidence</w:t>
      </w:r>
      <w:r w:rsidR="0021636E">
        <w:rPr>
          <w:rFonts w:ascii="Arial" w:hAnsi="Arial" w:cs="Arial"/>
          <w:kern w:val="0"/>
          <w:sz w:val="22"/>
          <w:szCs w:val="22"/>
          <w14:ligatures w14:val="none"/>
        </w:rPr>
        <w:t>-based</w:t>
      </w:r>
      <w:r w:rsidRPr="00086834">
        <w:rPr>
          <w:rFonts w:ascii="Arial" w:hAnsi="Arial" w:cs="Arial"/>
          <w:kern w:val="0"/>
          <w:sz w:val="22"/>
          <w:szCs w:val="22"/>
          <w14:ligatures w14:val="none"/>
        </w:rPr>
        <w:t xml:space="preserve"> solutions grounded in systems thinking. The primary problem identified is the hazardous ambiguity of medication labelling combined with inadequate discharge counselling.</w:t>
      </w:r>
    </w:p>
    <w:p w14:paraId="1F56487C"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Data from the Royal Pharmaceutical Society (2021) audits indicate that a significant percentage of patients leave the hospital without a clear understanding of their new medications. The improvement strategy must target both the technical system and human behaviour. The technical solution requires national, centralised redesign of opioid labelling to include explicit, plain-English warnings alongside visual aids (</w:t>
      </w:r>
      <w:proofErr w:type="spellStart"/>
      <w:r w:rsidRPr="00086834">
        <w:rPr>
          <w:rFonts w:ascii="Arial" w:hAnsi="Arial" w:cs="Arial"/>
          <w:kern w:val="0"/>
          <w:sz w:val="22"/>
          <w:szCs w:val="22"/>
          <w14:ligatures w14:val="none"/>
        </w:rPr>
        <w:t>Kripalani</w:t>
      </w:r>
      <w:proofErr w:type="spellEnd"/>
      <w:r w:rsidRPr="00086834">
        <w:rPr>
          <w:rFonts w:ascii="Arial" w:hAnsi="Arial" w:cs="Arial"/>
          <w:kern w:val="0"/>
          <w:sz w:val="22"/>
          <w:szCs w:val="22"/>
          <w14:ligatures w14:val="none"/>
        </w:rPr>
        <w:t xml:space="preserve"> et al., 2007). The human solution requires decentralised empowerment of nursing staff to implement the 'teach-back' method. This method requires the patient to explain the instructions back to the clinician, confirming comprehension (Schillinger et al., 2003).</w:t>
      </w:r>
    </w:p>
    <w:p w14:paraId="4C2781E8"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Another critical problem is the delayed recognition of the overdose in the community. Data highlights that fragmented communication between hospitals and general practitioners leads to delays in primary care follow-up for 40 percent of high-risk discharges (NHS Digital, 2022). The improvement here involves strengthening integrated care systems (ICS). Digital reporting and shared electronic health records must be mandated to ensure community teams receive immediate alerts when a vulnerable patient is discharged with high-risk drugs (</w:t>
      </w:r>
      <w:proofErr w:type="spellStart"/>
      <w:r w:rsidRPr="00086834">
        <w:rPr>
          <w:rFonts w:ascii="Arial" w:hAnsi="Arial" w:cs="Arial"/>
          <w:kern w:val="0"/>
          <w:sz w:val="22"/>
          <w:szCs w:val="22"/>
          <w14:ligatures w14:val="none"/>
        </w:rPr>
        <w:t>Greenhalgh</w:t>
      </w:r>
      <w:proofErr w:type="spellEnd"/>
      <w:r w:rsidRPr="00086834">
        <w:rPr>
          <w:rFonts w:ascii="Arial" w:hAnsi="Arial" w:cs="Arial"/>
          <w:kern w:val="0"/>
          <w:sz w:val="22"/>
          <w:szCs w:val="22"/>
          <w14:ligatures w14:val="none"/>
        </w:rPr>
        <w:t xml:space="preserve"> et al., 2017).</w:t>
      </w:r>
    </w:p>
    <w:p w14:paraId="22AF785A"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System structure, leadership style, and feedback mechanisms interacted disastrously for Len. The centralised technology created a confusing label. The transactional leadership on the ward prioritised speed over safety. The lack of a community feedback loop meant the error remained hidden until it was fatal.</w:t>
      </w:r>
    </w:p>
    <w:p w14:paraId="40A8CAB8"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Health organisations must learn that discharging a patient is a high-risk procedure requiring meticulous governance, not merely an administrative task. Systems cannot rely on the individual vigilance of an elderly patient to interpret complex clinical instructions (</w:t>
      </w:r>
      <w:proofErr w:type="spellStart"/>
      <w:r w:rsidRPr="00086834">
        <w:rPr>
          <w:rFonts w:ascii="Arial" w:hAnsi="Arial" w:cs="Arial"/>
          <w:kern w:val="0"/>
          <w:sz w:val="22"/>
          <w:szCs w:val="22"/>
          <w14:ligatures w14:val="none"/>
        </w:rPr>
        <w:t>Kahneman</w:t>
      </w:r>
      <w:proofErr w:type="spellEnd"/>
      <w:r w:rsidRPr="00086834">
        <w:rPr>
          <w:rFonts w:ascii="Arial" w:hAnsi="Arial" w:cs="Arial"/>
          <w:kern w:val="0"/>
          <w:sz w:val="22"/>
          <w:szCs w:val="22"/>
          <w14:ligatures w14:val="none"/>
        </w:rPr>
        <w:t>, 2011). Evidence and data must drive continuous improvement through regular audits of discharge comprehension. Healthcare providers must utilize incident data to map risk pathways proactively rather than waiting for mortality to force a retrospective investigation (MacKinnon, 2001).</w:t>
      </w:r>
    </w:p>
    <w:p w14:paraId="2675CD43"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b/>
          <w:bCs/>
          <w:kern w:val="0"/>
          <w:sz w:val="22"/>
          <w:szCs w:val="22"/>
          <w14:ligatures w14:val="none"/>
        </w:rPr>
        <w:t>Recommendation</w:t>
      </w:r>
    </w:p>
    <w:p w14:paraId="105043B5"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To prevent future incidents mirroring Len’s tragic death, the organisation must implement targeted, evidence-based interventions addressing leadership, governance, and clinical systems.</w:t>
      </w:r>
    </w:p>
    <w:p w14:paraId="72422B5A"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Firstly, the organisation must transition towards a transformational and distributed leadership model (Bass and </w:t>
      </w:r>
      <w:proofErr w:type="spellStart"/>
      <w:r w:rsidRPr="00086834">
        <w:rPr>
          <w:rFonts w:ascii="Arial" w:hAnsi="Arial" w:cs="Arial"/>
          <w:kern w:val="0"/>
          <w:sz w:val="22"/>
          <w:szCs w:val="22"/>
          <w14:ligatures w14:val="none"/>
        </w:rPr>
        <w:t>Riggio</w:t>
      </w:r>
      <w:proofErr w:type="spellEnd"/>
      <w:r w:rsidRPr="00086834">
        <w:rPr>
          <w:rFonts w:ascii="Arial" w:hAnsi="Arial" w:cs="Arial"/>
          <w:kern w:val="0"/>
          <w:sz w:val="22"/>
          <w:szCs w:val="22"/>
          <w14:ligatures w14:val="none"/>
        </w:rPr>
        <w:t>, 2006). Executive boards must actively measure and reward safety behaviours rather than solely focusing on operational flow and bed clearance metrics. Ward managers should be trained in psychological safety principles to ensure all staff members feel completely empowered to halt a discharge if they suspect a patient does not understand their medication regimen (Edmondson, 2018). The most effective leadership style for sustaining this change is situational leadership, allowing managers to provide high support to junior staff navigating complex patient discharges while granting autonomy to experienced community liaisons.</w:t>
      </w:r>
    </w:p>
    <w:p w14:paraId="6F86092A"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Secondly, governance and communication structures require immediate strengthening. The Trust must mandate the use of the teach-back communication method for all patients discharged with high-alert medications, including opioids (Schillinger et al., 2003). Governance audits must randomly sample patient understanding post-discharge to verify compliance with this policy. Furthermore, the organisation must implement a closed-loop digital communication system between the hospital pharmacy, the discharging ward, and the patient's primary care provider (</w:t>
      </w:r>
      <w:proofErr w:type="spellStart"/>
      <w:r w:rsidRPr="00086834">
        <w:rPr>
          <w:rFonts w:ascii="Arial" w:hAnsi="Arial" w:cs="Arial"/>
          <w:kern w:val="0"/>
          <w:sz w:val="22"/>
          <w:szCs w:val="22"/>
          <w14:ligatures w14:val="none"/>
        </w:rPr>
        <w:t>Greenhalgh</w:t>
      </w:r>
      <w:proofErr w:type="spellEnd"/>
      <w:r w:rsidRPr="00086834">
        <w:rPr>
          <w:rFonts w:ascii="Arial" w:hAnsi="Arial" w:cs="Arial"/>
          <w:kern w:val="0"/>
          <w:sz w:val="22"/>
          <w:szCs w:val="22"/>
          <w14:ligatures w14:val="none"/>
        </w:rPr>
        <w:t xml:space="preserve"> et al., 2017). This ensures that community nurses receive automated alerts prompting a follow-up call within 24 hours of an elderly patient being discharged with morphine.</w:t>
      </w:r>
    </w:p>
    <w:p w14:paraId="041A78A3"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Thirdly, to enhance technical and allocative efficiency, the Trust should invest in barcode medication administration technology and smart-labelling software (Franklin et al., 2018). Technical efficiency will be vastly improved by upgrading the pharmacy IT system to automatically generate supplementary warning sheets with clear visual pictograms for liquid doses. Allocative efficiency demands that funding is redirected from reactive incident investigations towards funding dedicated discharge pharmacists who physically visit wards to counsel high-risk patients.</w:t>
      </w:r>
    </w:p>
    <w:p w14:paraId="0692B9BE"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Finally, continuous learning must be embedded through co-production with patients. The Trust should establish a patient safety advisory panel including individuals with chronic conditions to review and redesign all outpatient medication packaging and instructions (</w:t>
      </w:r>
      <w:proofErr w:type="spellStart"/>
      <w:r w:rsidRPr="00086834">
        <w:rPr>
          <w:rFonts w:ascii="Arial" w:hAnsi="Arial" w:cs="Arial"/>
          <w:kern w:val="0"/>
          <w:sz w:val="22"/>
          <w:szCs w:val="22"/>
          <w14:ligatures w14:val="none"/>
        </w:rPr>
        <w:t>Batalden</w:t>
      </w:r>
      <w:proofErr w:type="spellEnd"/>
      <w:r w:rsidRPr="00086834">
        <w:rPr>
          <w:rFonts w:ascii="Arial" w:hAnsi="Arial" w:cs="Arial"/>
          <w:kern w:val="0"/>
          <w:sz w:val="22"/>
          <w:szCs w:val="22"/>
          <w14:ligatures w14:val="none"/>
        </w:rPr>
        <w:t xml:space="preserve"> et al., 2016). Implementing Plan-Do-Study-Act (PDSA) cycles will allow the organisation to test new label designs rapidly and refine them based on direct patient feedback before widespread implementation (Taylor et al., 2014).</w:t>
      </w:r>
    </w:p>
    <w:p w14:paraId="45EC6E29"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b/>
          <w:bCs/>
          <w:kern w:val="0"/>
          <w:sz w:val="22"/>
          <w:szCs w:val="22"/>
          <w14:ligatures w14:val="none"/>
        </w:rPr>
        <w:t>Conclusion</w:t>
      </w:r>
    </w:p>
    <w:p w14:paraId="1A4B0752"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The fatal overdose of Len represents a profound failure of both clinical systems and organisational leadership. The analysis demonstrates that the incident was not simply a patient misunderstanding a label. It was the endpoint of a fractured system characterised by poor communication protocols, rigid centralised technologies, and immense operational pressures.</w:t>
      </w:r>
    </w:p>
    <w:p w14:paraId="4B6481E5"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Systems thinking reveals that the absence of feedback loops between secondary and primary care left a vulnerable patient isolated with a high-risk medication. The application of leadership theory highlights that a transactional focus on discharge speed actively suppressed the proactive, transformational behaviours required to ensure patient comprehension. Health systems must recognise that robust governance and psychologically safe leadership are not abstract concepts. They are the essential mechanisms that protect patients from the inherent risks of complex medical care. Sustainable improvement requires continuous data monitoring, integrated communication systems, and a relentless commitment to treating patient education as a critical clinical intervention.</w:t>
      </w:r>
    </w:p>
    <w:p w14:paraId="69D8155E"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b/>
          <w:bCs/>
          <w:kern w:val="0"/>
          <w:sz w:val="22"/>
          <w:szCs w:val="22"/>
          <w14:ligatures w14:val="none"/>
        </w:rPr>
        <w:t>References</w:t>
      </w:r>
    </w:p>
    <w:p w14:paraId="21B8958F"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Avolio</w:t>
      </w:r>
      <w:proofErr w:type="spellEnd"/>
      <w:r w:rsidRPr="00086834">
        <w:rPr>
          <w:rFonts w:ascii="Arial" w:hAnsi="Arial" w:cs="Arial"/>
          <w:kern w:val="0"/>
          <w:sz w:val="22"/>
          <w:szCs w:val="22"/>
          <w14:ligatures w14:val="none"/>
        </w:rPr>
        <w:t xml:space="preserve">, B.J., Waldman, D.A. and </w:t>
      </w:r>
      <w:proofErr w:type="spellStart"/>
      <w:r w:rsidRPr="00086834">
        <w:rPr>
          <w:rFonts w:ascii="Arial" w:hAnsi="Arial" w:cs="Arial"/>
          <w:kern w:val="0"/>
          <w:sz w:val="22"/>
          <w:szCs w:val="22"/>
          <w14:ligatures w14:val="none"/>
        </w:rPr>
        <w:t>Yammarino</w:t>
      </w:r>
      <w:proofErr w:type="spellEnd"/>
      <w:r w:rsidRPr="00086834">
        <w:rPr>
          <w:rFonts w:ascii="Arial" w:hAnsi="Arial" w:cs="Arial"/>
          <w:kern w:val="0"/>
          <w:sz w:val="22"/>
          <w:szCs w:val="22"/>
          <w14:ligatures w14:val="none"/>
        </w:rPr>
        <w:t xml:space="preserve">, F.J. (1991) 'Leading in the 1990s: The four I's of transformational leadership', </w:t>
      </w:r>
      <w:r w:rsidRPr="00086834">
        <w:rPr>
          <w:rFonts w:ascii="Arial" w:hAnsi="Arial" w:cs="Arial"/>
          <w:i/>
          <w:iCs/>
          <w:kern w:val="0"/>
          <w:sz w:val="22"/>
          <w:szCs w:val="22"/>
          <w14:ligatures w14:val="none"/>
        </w:rPr>
        <w:t>Journal of European Industrial Training</w:t>
      </w:r>
      <w:r w:rsidRPr="00086834">
        <w:rPr>
          <w:rFonts w:ascii="Arial" w:hAnsi="Arial" w:cs="Arial"/>
          <w:kern w:val="0"/>
          <w:sz w:val="22"/>
          <w:szCs w:val="22"/>
          <w14:ligatures w14:val="none"/>
        </w:rPr>
        <w:t>, 15(4), pp. 9-16.</w:t>
      </w:r>
    </w:p>
    <w:p w14:paraId="414E63B2"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Bass, B.M. (1985) </w:t>
      </w:r>
      <w:r w:rsidRPr="00086834">
        <w:rPr>
          <w:rFonts w:ascii="Arial" w:hAnsi="Arial" w:cs="Arial"/>
          <w:i/>
          <w:iCs/>
          <w:kern w:val="0"/>
          <w:sz w:val="22"/>
          <w:szCs w:val="22"/>
          <w14:ligatures w14:val="none"/>
        </w:rPr>
        <w:t>Leadership and performance beyond expectations</w:t>
      </w:r>
      <w:r w:rsidRPr="00086834">
        <w:rPr>
          <w:rFonts w:ascii="Arial" w:hAnsi="Arial" w:cs="Arial"/>
          <w:kern w:val="0"/>
          <w:sz w:val="22"/>
          <w:szCs w:val="22"/>
          <w14:ligatures w14:val="none"/>
        </w:rPr>
        <w:t>. New York: Free Press.</w:t>
      </w:r>
    </w:p>
    <w:p w14:paraId="775367D9"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Bass, B.M. and </w:t>
      </w:r>
      <w:proofErr w:type="spellStart"/>
      <w:r w:rsidRPr="00086834">
        <w:rPr>
          <w:rFonts w:ascii="Arial" w:hAnsi="Arial" w:cs="Arial"/>
          <w:kern w:val="0"/>
          <w:sz w:val="22"/>
          <w:szCs w:val="22"/>
          <w14:ligatures w14:val="none"/>
        </w:rPr>
        <w:t>Riggio</w:t>
      </w:r>
      <w:proofErr w:type="spellEnd"/>
      <w:r w:rsidRPr="00086834">
        <w:rPr>
          <w:rFonts w:ascii="Arial" w:hAnsi="Arial" w:cs="Arial"/>
          <w:kern w:val="0"/>
          <w:sz w:val="22"/>
          <w:szCs w:val="22"/>
          <w14:ligatures w14:val="none"/>
        </w:rPr>
        <w:t xml:space="preserve">, R.E. (2006) </w:t>
      </w:r>
      <w:r w:rsidRPr="00086834">
        <w:rPr>
          <w:rFonts w:ascii="Arial" w:hAnsi="Arial" w:cs="Arial"/>
          <w:i/>
          <w:iCs/>
          <w:kern w:val="0"/>
          <w:sz w:val="22"/>
          <w:szCs w:val="22"/>
          <w14:ligatures w14:val="none"/>
        </w:rPr>
        <w:t>Transformational leadership</w:t>
      </w:r>
      <w:r w:rsidRPr="00086834">
        <w:rPr>
          <w:rFonts w:ascii="Arial" w:hAnsi="Arial" w:cs="Arial"/>
          <w:kern w:val="0"/>
          <w:sz w:val="22"/>
          <w:szCs w:val="22"/>
          <w14:ligatures w14:val="none"/>
        </w:rPr>
        <w:t xml:space="preserve">. 2nd </w:t>
      </w:r>
      <w:proofErr w:type="spellStart"/>
      <w:r w:rsidRPr="00086834">
        <w:rPr>
          <w:rFonts w:ascii="Arial" w:hAnsi="Arial" w:cs="Arial"/>
          <w:kern w:val="0"/>
          <w:sz w:val="22"/>
          <w:szCs w:val="22"/>
          <w14:ligatures w14:val="none"/>
        </w:rPr>
        <w:t>edn</w:t>
      </w:r>
      <w:proofErr w:type="spellEnd"/>
      <w:r w:rsidRPr="00086834">
        <w:rPr>
          <w:rFonts w:ascii="Arial" w:hAnsi="Arial" w:cs="Arial"/>
          <w:kern w:val="0"/>
          <w:sz w:val="22"/>
          <w:szCs w:val="22"/>
          <w14:ligatures w14:val="none"/>
        </w:rPr>
        <w:t>. Mahwah, NJ: Lawrence Erlbaum Associates.</w:t>
      </w:r>
    </w:p>
    <w:p w14:paraId="55C3D4E9"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Batalden</w:t>
      </w:r>
      <w:proofErr w:type="spellEnd"/>
      <w:r w:rsidRPr="00086834">
        <w:rPr>
          <w:rFonts w:ascii="Arial" w:hAnsi="Arial" w:cs="Arial"/>
          <w:kern w:val="0"/>
          <w:sz w:val="22"/>
          <w:szCs w:val="22"/>
          <w14:ligatures w14:val="none"/>
        </w:rPr>
        <w:t xml:space="preserve">, M., </w:t>
      </w:r>
      <w:proofErr w:type="spellStart"/>
      <w:r w:rsidRPr="00086834">
        <w:rPr>
          <w:rFonts w:ascii="Arial" w:hAnsi="Arial" w:cs="Arial"/>
          <w:kern w:val="0"/>
          <w:sz w:val="22"/>
          <w:szCs w:val="22"/>
          <w14:ligatures w14:val="none"/>
        </w:rPr>
        <w:t>Batalden</w:t>
      </w:r>
      <w:proofErr w:type="spellEnd"/>
      <w:r w:rsidRPr="00086834">
        <w:rPr>
          <w:rFonts w:ascii="Arial" w:hAnsi="Arial" w:cs="Arial"/>
          <w:kern w:val="0"/>
          <w:sz w:val="22"/>
          <w:szCs w:val="22"/>
          <w14:ligatures w14:val="none"/>
        </w:rPr>
        <w:t xml:space="preserve">, P., Margolis, P., </w:t>
      </w:r>
      <w:proofErr w:type="spellStart"/>
      <w:r w:rsidRPr="00086834">
        <w:rPr>
          <w:rFonts w:ascii="Arial" w:hAnsi="Arial" w:cs="Arial"/>
          <w:kern w:val="0"/>
          <w:sz w:val="22"/>
          <w:szCs w:val="22"/>
          <w14:ligatures w14:val="none"/>
        </w:rPr>
        <w:t>Seid</w:t>
      </w:r>
      <w:proofErr w:type="spellEnd"/>
      <w:r w:rsidRPr="00086834">
        <w:rPr>
          <w:rFonts w:ascii="Arial" w:hAnsi="Arial" w:cs="Arial"/>
          <w:kern w:val="0"/>
          <w:sz w:val="22"/>
          <w:szCs w:val="22"/>
          <w14:ligatures w14:val="none"/>
        </w:rPr>
        <w:t xml:space="preserve">, M., Armstrong, G., </w:t>
      </w:r>
      <w:proofErr w:type="spellStart"/>
      <w:r w:rsidRPr="00086834">
        <w:rPr>
          <w:rFonts w:ascii="Arial" w:hAnsi="Arial" w:cs="Arial"/>
          <w:kern w:val="0"/>
          <w:sz w:val="22"/>
          <w:szCs w:val="22"/>
          <w14:ligatures w14:val="none"/>
        </w:rPr>
        <w:t>Opipari-Arrigan</w:t>
      </w:r>
      <w:proofErr w:type="spellEnd"/>
      <w:r w:rsidRPr="00086834">
        <w:rPr>
          <w:rFonts w:ascii="Arial" w:hAnsi="Arial" w:cs="Arial"/>
          <w:kern w:val="0"/>
          <w:sz w:val="22"/>
          <w:szCs w:val="22"/>
          <w14:ligatures w14:val="none"/>
        </w:rPr>
        <w:t xml:space="preserve">, L. and </w:t>
      </w:r>
      <w:proofErr w:type="spellStart"/>
      <w:r w:rsidRPr="00086834">
        <w:rPr>
          <w:rFonts w:ascii="Arial" w:hAnsi="Arial" w:cs="Arial"/>
          <w:kern w:val="0"/>
          <w:sz w:val="22"/>
          <w:szCs w:val="22"/>
          <w14:ligatures w14:val="none"/>
        </w:rPr>
        <w:t>Hartung</w:t>
      </w:r>
      <w:proofErr w:type="spellEnd"/>
      <w:r w:rsidRPr="00086834">
        <w:rPr>
          <w:rFonts w:ascii="Arial" w:hAnsi="Arial" w:cs="Arial"/>
          <w:kern w:val="0"/>
          <w:sz w:val="22"/>
          <w:szCs w:val="22"/>
          <w14:ligatures w14:val="none"/>
        </w:rPr>
        <w:t xml:space="preserve">, H. (2016) 'Coproduction of healthcare service', </w:t>
      </w:r>
      <w:r w:rsidRPr="00086834">
        <w:rPr>
          <w:rFonts w:ascii="Arial" w:hAnsi="Arial" w:cs="Arial"/>
          <w:i/>
          <w:iCs/>
          <w:kern w:val="0"/>
          <w:sz w:val="22"/>
          <w:szCs w:val="22"/>
          <w14:ligatures w14:val="none"/>
        </w:rPr>
        <w:t>BMJ Quality &amp; Safety</w:t>
      </w:r>
      <w:r w:rsidRPr="00086834">
        <w:rPr>
          <w:rFonts w:ascii="Arial" w:hAnsi="Arial" w:cs="Arial"/>
          <w:kern w:val="0"/>
          <w:sz w:val="22"/>
          <w:szCs w:val="22"/>
          <w14:ligatures w14:val="none"/>
        </w:rPr>
        <w:t>, 25(7), pp. 509-517.</w:t>
      </w:r>
    </w:p>
    <w:p w14:paraId="54CBC9D5"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Boamah</w:t>
      </w:r>
      <w:proofErr w:type="spellEnd"/>
      <w:r w:rsidRPr="00086834">
        <w:rPr>
          <w:rFonts w:ascii="Arial" w:hAnsi="Arial" w:cs="Arial"/>
          <w:kern w:val="0"/>
          <w:sz w:val="22"/>
          <w:szCs w:val="22"/>
          <w14:ligatures w14:val="none"/>
        </w:rPr>
        <w:t xml:space="preserve">, S.A., </w:t>
      </w:r>
      <w:proofErr w:type="spellStart"/>
      <w:r w:rsidRPr="00086834">
        <w:rPr>
          <w:rFonts w:ascii="Arial" w:hAnsi="Arial" w:cs="Arial"/>
          <w:kern w:val="0"/>
          <w:sz w:val="22"/>
          <w:szCs w:val="22"/>
          <w14:ligatures w14:val="none"/>
        </w:rPr>
        <w:t>Laschinger</w:t>
      </w:r>
      <w:proofErr w:type="spellEnd"/>
      <w:r w:rsidRPr="00086834">
        <w:rPr>
          <w:rFonts w:ascii="Arial" w:hAnsi="Arial" w:cs="Arial"/>
          <w:kern w:val="0"/>
          <w:sz w:val="22"/>
          <w:szCs w:val="22"/>
          <w14:ligatures w14:val="none"/>
        </w:rPr>
        <w:t xml:space="preserve">, H.K.S., Wong, C. and Clarke, S. (2018) 'Effect of transformational leadership on job satisfaction and patient safety outcomes', </w:t>
      </w:r>
      <w:r w:rsidRPr="00086834">
        <w:rPr>
          <w:rFonts w:ascii="Arial" w:hAnsi="Arial" w:cs="Arial"/>
          <w:i/>
          <w:iCs/>
          <w:kern w:val="0"/>
          <w:sz w:val="22"/>
          <w:szCs w:val="22"/>
          <w14:ligatures w14:val="none"/>
        </w:rPr>
        <w:t>Nursing Outlook</w:t>
      </w:r>
      <w:r w:rsidRPr="00086834">
        <w:rPr>
          <w:rFonts w:ascii="Arial" w:hAnsi="Arial" w:cs="Arial"/>
          <w:kern w:val="0"/>
          <w:sz w:val="22"/>
          <w:szCs w:val="22"/>
          <w14:ligatures w14:val="none"/>
        </w:rPr>
        <w:t>, 66(2), pp. 180-189.</w:t>
      </w:r>
    </w:p>
    <w:p w14:paraId="290ACC64"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Buchan, J., </w:t>
      </w:r>
      <w:proofErr w:type="spellStart"/>
      <w:r w:rsidRPr="00086834">
        <w:rPr>
          <w:rFonts w:ascii="Arial" w:hAnsi="Arial" w:cs="Arial"/>
          <w:kern w:val="0"/>
          <w:sz w:val="22"/>
          <w:szCs w:val="22"/>
          <w14:ligatures w14:val="none"/>
        </w:rPr>
        <w:t>Charlesworth</w:t>
      </w:r>
      <w:proofErr w:type="spellEnd"/>
      <w:r w:rsidRPr="00086834">
        <w:rPr>
          <w:rFonts w:ascii="Arial" w:hAnsi="Arial" w:cs="Arial"/>
          <w:kern w:val="0"/>
          <w:sz w:val="22"/>
          <w:szCs w:val="22"/>
          <w14:ligatures w14:val="none"/>
        </w:rPr>
        <w:t xml:space="preserve">, A., </w:t>
      </w:r>
      <w:proofErr w:type="spellStart"/>
      <w:r w:rsidRPr="00086834">
        <w:rPr>
          <w:rFonts w:ascii="Arial" w:hAnsi="Arial" w:cs="Arial"/>
          <w:kern w:val="0"/>
          <w:sz w:val="22"/>
          <w:szCs w:val="22"/>
          <w14:ligatures w14:val="none"/>
        </w:rPr>
        <w:t>Gershlick</w:t>
      </w:r>
      <w:proofErr w:type="spellEnd"/>
      <w:r w:rsidRPr="00086834">
        <w:rPr>
          <w:rFonts w:ascii="Arial" w:hAnsi="Arial" w:cs="Arial"/>
          <w:kern w:val="0"/>
          <w:sz w:val="22"/>
          <w:szCs w:val="22"/>
          <w14:ligatures w14:val="none"/>
        </w:rPr>
        <w:t xml:space="preserve">, B. and </w:t>
      </w:r>
      <w:proofErr w:type="spellStart"/>
      <w:r w:rsidRPr="00086834">
        <w:rPr>
          <w:rFonts w:ascii="Arial" w:hAnsi="Arial" w:cs="Arial"/>
          <w:kern w:val="0"/>
          <w:sz w:val="22"/>
          <w:szCs w:val="22"/>
          <w14:ligatures w14:val="none"/>
        </w:rPr>
        <w:t>Seccombe</w:t>
      </w:r>
      <w:proofErr w:type="spellEnd"/>
      <w:r w:rsidRPr="00086834">
        <w:rPr>
          <w:rFonts w:ascii="Arial" w:hAnsi="Arial" w:cs="Arial"/>
          <w:kern w:val="0"/>
          <w:sz w:val="22"/>
          <w:szCs w:val="22"/>
          <w14:ligatures w14:val="none"/>
        </w:rPr>
        <w:t xml:space="preserve">, I. (2019) </w:t>
      </w:r>
      <w:r w:rsidRPr="00086834">
        <w:rPr>
          <w:rFonts w:ascii="Arial" w:hAnsi="Arial" w:cs="Arial"/>
          <w:i/>
          <w:iCs/>
          <w:kern w:val="0"/>
          <w:sz w:val="22"/>
          <w:szCs w:val="22"/>
          <w14:ligatures w14:val="none"/>
        </w:rPr>
        <w:t>A critical moment: NHS staffing trends, retention and attrition</w:t>
      </w:r>
      <w:r w:rsidRPr="00086834">
        <w:rPr>
          <w:rFonts w:ascii="Arial" w:hAnsi="Arial" w:cs="Arial"/>
          <w:kern w:val="0"/>
          <w:sz w:val="22"/>
          <w:szCs w:val="22"/>
          <w14:ligatures w14:val="none"/>
        </w:rPr>
        <w:t>. London: Health Foundation.</w:t>
      </w:r>
    </w:p>
    <w:p w14:paraId="1E4FF444"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Care Quality Commission (2022) </w:t>
      </w:r>
      <w:r w:rsidRPr="00086834">
        <w:rPr>
          <w:rFonts w:ascii="Arial" w:hAnsi="Arial" w:cs="Arial"/>
          <w:i/>
          <w:iCs/>
          <w:kern w:val="0"/>
          <w:sz w:val="22"/>
          <w:szCs w:val="22"/>
          <w14:ligatures w14:val="none"/>
        </w:rPr>
        <w:t>State of Care 2021/22</w:t>
      </w:r>
      <w:r w:rsidRPr="00086834">
        <w:rPr>
          <w:rFonts w:ascii="Arial" w:hAnsi="Arial" w:cs="Arial"/>
          <w:kern w:val="0"/>
          <w:sz w:val="22"/>
          <w:szCs w:val="22"/>
          <w14:ligatures w14:val="none"/>
        </w:rPr>
        <w:t>. London: CQC.</w:t>
      </w:r>
    </w:p>
    <w:p w14:paraId="7C5AA9AB"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Checkland</w:t>
      </w:r>
      <w:proofErr w:type="spellEnd"/>
      <w:r w:rsidRPr="00086834">
        <w:rPr>
          <w:rFonts w:ascii="Arial" w:hAnsi="Arial" w:cs="Arial"/>
          <w:kern w:val="0"/>
          <w:sz w:val="22"/>
          <w:szCs w:val="22"/>
          <w14:ligatures w14:val="none"/>
        </w:rPr>
        <w:t xml:space="preserve">, P. (1999) </w:t>
      </w:r>
      <w:r w:rsidRPr="00086834">
        <w:rPr>
          <w:rFonts w:ascii="Arial" w:hAnsi="Arial" w:cs="Arial"/>
          <w:i/>
          <w:iCs/>
          <w:kern w:val="0"/>
          <w:sz w:val="22"/>
          <w:szCs w:val="22"/>
          <w14:ligatures w14:val="none"/>
        </w:rPr>
        <w:t>Systems thinking, systems practice</w:t>
      </w:r>
      <w:r w:rsidRPr="00086834">
        <w:rPr>
          <w:rFonts w:ascii="Arial" w:hAnsi="Arial" w:cs="Arial"/>
          <w:kern w:val="0"/>
          <w:sz w:val="22"/>
          <w:szCs w:val="22"/>
          <w14:ligatures w14:val="none"/>
        </w:rPr>
        <w:t>. Chichester: John Wiley &amp; Sons.</w:t>
      </w:r>
    </w:p>
    <w:p w14:paraId="3D2C0493"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Department of Health and Social Care (2021) </w:t>
      </w:r>
      <w:r w:rsidRPr="00086834">
        <w:rPr>
          <w:rFonts w:ascii="Arial" w:hAnsi="Arial" w:cs="Arial"/>
          <w:i/>
          <w:iCs/>
          <w:kern w:val="0"/>
          <w:sz w:val="22"/>
          <w:szCs w:val="22"/>
          <w14:ligatures w14:val="none"/>
        </w:rPr>
        <w:t>Integration and innovation: working together to improve health and social care for all</w:t>
      </w:r>
      <w:r w:rsidRPr="00086834">
        <w:rPr>
          <w:rFonts w:ascii="Arial" w:hAnsi="Arial" w:cs="Arial"/>
          <w:kern w:val="0"/>
          <w:sz w:val="22"/>
          <w:szCs w:val="22"/>
          <w14:ligatures w14:val="none"/>
        </w:rPr>
        <w:t>. London: HMSO.</w:t>
      </w:r>
    </w:p>
    <w:p w14:paraId="5CB85431"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Edmondson, A.C. (2018) </w:t>
      </w:r>
      <w:r w:rsidRPr="00086834">
        <w:rPr>
          <w:rFonts w:ascii="Arial" w:hAnsi="Arial" w:cs="Arial"/>
          <w:i/>
          <w:iCs/>
          <w:kern w:val="0"/>
          <w:sz w:val="22"/>
          <w:szCs w:val="22"/>
          <w14:ligatures w14:val="none"/>
        </w:rPr>
        <w:t>The fearless organization: Creating psychological safety in the workplace for learning, innovation, and growth</w:t>
      </w:r>
      <w:r w:rsidRPr="00086834">
        <w:rPr>
          <w:rFonts w:ascii="Arial" w:hAnsi="Arial" w:cs="Arial"/>
          <w:kern w:val="0"/>
          <w:sz w:val="22"/>
          <w:szCs w:val="22"/>
          <w14:ligatures w14:val="none"/>
        </w:rPr>
        <w:t>. Hoboken, NJ: John Wiley &amp; Sons.</w:t>
      </w:r>
    </w:p>
    <w:p w14:paraId="2682BF02"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Elliott, R.A., Camacho, E., </w:t>
      </w:r>
      <w:proofErr w:type="spellStart"/>
      <w:r w:rsidRPr="00086834">
        <w:rPr>
          <w:rFonts w:ascii="Arial" w:hAnsi="Arial" w:cs="Arial"/>
          <w:kern w:val="0"/>
          <w:sz w:val="22"/>
          <w:szCs w:val="22"/>
          <w14:ligatures w14:val="none"/>
        </w:rPr>
        <w:t>Jankovic</w:t>
      </w:r>
      <w:proofErr w:type="spellEnd"/>
      <w:r w:rsidRPr="00086834">
        <w:rPr>
          <w:rFonts w:ascii="Arial" w:hAnsi="Arial" w:cs="Arial"/>
          <w:kern w:val="0"/>
          <w:sz w:val="22"/>
          <w:szCs w:val="22"/>
          <w14:ligatures w14:val="none"/>
        </w:rPr>
        <w:t xml:space="preserve">, D., </w:t>
      </w:r>
      <w:proofErr w:type="spellStart"/>
      <w:r w:rsidRPr="00086834">
        <w:rPr>
          <w:rFonts w:ascii="Arial" w:hAnsi="Arial" w:cs="Arial"/>
          <w:kern w:val="0"/>
          <w:sz w:val="22"/>
          <w:szCs w:val="22"/>
          <w14:ligatures w14:val="none"/>
        </w:rPr>
        <w:t>Sculpher</w:t>
      </w:r>
      <w:proofErr w:type="spellEnd"/>
      <w:r w:rsidRPr="00086834">
        <w:rPr>
          <w:rFonts w:ascii="Arial" w:hAnsi="Arial" w:cs="Arial"/>
          <w:kern w:val="0"/>
          <w:sz w:val="22"/>
          <w:szCs w:val="22"/>
          <w14:ligatures w14:val="none"/>
        </w:rPr>
        <w:t xml:space="preserve">, M.J. and </w:t>
      </w:r>
      <w:proofErr w:type="spellStart"/>
      <w:r w:rsidRPr="00086834">
        <w:rPr>
          <w:rFonts w:ascii="Arial" w:hAnsi="Arial" w:cs="Arial"/>
          <w:kern w:val="0"/>
          <w:sz w:val="22"/>
          <w:szCs w:val="22"/>
          <w14:ligatures w14:val="none"/>
        </w:rPr>
        <w:t>Faria</w:t>
      </w:r>
      <w:proofErr w:type="spellEnd"/>
      <w:r w:rsidRPr="00086834">
        <w:rPr>
          <w:rFonts w:ascii="Arial" w:hAnsi="Arial" w:cs="Arial"/>
          <w:kern w:val="0"/>
          <w:sz w:val="22"/>
          <w:szCs w:val="22"/>
          <w14:ligatures w14:val="none"/>
        </w:rPr>
        <w:t xml:space="preserve">, R. (2021) 'Economic analysis of the prevalence and clinical and economic burden of medication error in England', </w:t>
      </w:r>
      <w:r w:rsidRPr="00086834">
        <w:rPr>
          <w:rFonts w:ascii="Arial" w:hAnsi="Arial" w:cs="Arial"/>
          <w:i/>
          <w:iCs/>
          <w:kern w:val="0"/>
          <w:sz w:val="22"/>
          <w:szCs w:val="22"/>
          <w14:ligatures w14:val="none"/>
        </w:rPr>
        <w:t>BMJ Quality &amp; Safety</w:t>
      </w:r>
      <w:r w:rsidRPr="00086834">
        <w:rPr>
          <w:rFonts w:ascii="Arial" w:hAnsi="Arial" w:cs="Arial"/>
          <w:kern w:val="0"/>
          <w:sz w:val="22"/>
          <w:szCs w:val="22"/>
          <w14:ligatures w14:val="none"/>
        </w:rPr>
        <w:t>, 30(2), pp. 96-105.</w:t>
      </w:r>
    </w:p>
    <w:p w14:paraId="00E67617"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Exworthy</w:t>
      </w:r>
      <w:proofErr w:type="spellEnd"/>
      <w:r w:rsidRPr="00086834">
        <w:rPr>
          <w:rFonts w:ascii="Arial" w:hAnsi="Arial" w:cs="Arial"/>
          <w:kern w:val="0"/>
          <w:sz w:val="22"/>
          <w:szCs w:val="22"/>
          <w14:ligatures w14:val="none"/>
        </w:rPr>
        <w:t xml:space="preserve">, M., Peckham, S., Powell, M. and Hann, A. (eds.) (2010) </w:t>
      </w:r>
      <w:r w:rsidRPr="00086834">
        <w:rPr>
          <w:rFonts w:ascii="Arial" w:hAnsi="Arial" w:cs="Arial"/>
          <w:i/>
          <w:iCs/>
          <w:kern w:val="0"/>
          <w:sz w:val="22"/>
          <w:szCs w:val="22"/>
          <w14:ligatures w14:val="none"/>
        </w:rPr>
        <w:t>Shaping health policy: Case study methods and analysis</w:t>
      </w:r>
      <w:r w:rsidRPr="00086834">
        <w:rPr>
          <w:rFonts w:ascii="Arial" w:hAnsi="Arial" w:cs="Arial"/>
          <w:kern w:val="0"/>
          <w:sz w:val="22"/>
          <w:szCs w:val="22"/>
          <w14:ligatures w14:val="none"/>
        </w:rPr>
        <w:t>. Bristol: Policy Press.</w:t>
      </w:r>
    </w:p>
    <w:p w14:paraId="244CF2F9"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Flin</w:t>
      </w:r>
      <w:proofErr w:type="spellEnd"/>
      <w:r w:rsidRPr="00086834">
        <w:rPr>
          <w:rFonts w:ascii="Arial" w:hAnsi="Arial" w:cs="Arial"/>
          <w:kern w:val="0"/>
          <w:sz w:val="22"/>
          <w:szCs w:val="22"/>
          <w14:ligatures w14:val="none"/>
        </w:rPr>
        <w:t xml:space="preserve">, R., O'Connor, P. and Crichton, M. (2008) </w:t>
      </w:r>
      <w:r w:rsidRPr="00086834">
        <w:rPr>
          <w:rFonts w:ascii="Arial" w:hAnsi="Arial" w:cs="Arial"/>
          <w:i/>
          <w:iCs/>
          <w:kern w:val="0"/>
          <w:sz w:val="22"/>
          <w:szCs w:val="22"/>
          <w14:ligatures w14:val="none"/>
        </w:rPr>
        <w:t>Safety at the sharp end: a guide to non-technical skills</w:t>
      </w:r>
      <w:r w:rsidRPr="00086834">
        <w:rPr>
          <w:rFonts w:ascii="Arial" w:hAnsi="Arial" w:cs="Arial"/>
          <w:kern w:val="0"/>
          <w:sz w:val="22"/>
          <w:szCs w:val="22"/>
          <w14:ligatures w14:val="none"/>
        </w:rPr>
        <w:t xml:space="preserve">. Aldershot: </w:t>
      </w:r>
      <w:proofErr w:type="spellStart"/>
      <w:r w:rsidRPr="00086834">
        <w:rPr>
          <w:rFonts w:ascii="Arial" w:hAnsi="Arial" w:cs="Arial"/>
          <w:kern w:val="0"/>
          <w:sz w:val="22"/>
          <w:szCs w:val="22"/>
          <w14:ligatures w14:val="none"/>
        </w:rPr>
        <w:t>Ashgate</w:t>
      </w:r>
      <w:proofErr w:type="spellEnd"/>
      <w:r w:rsidRPr="00086834">
        <w:rPr>
          <w:rFonts w:ascii="Arial" w:hAnsi="Arial" w:cs="Arial"/>
          <w:kern w:val="0"/>
          <w:sz w:val="22"/>
          <w:szCs w:val="22"/>
          <w14:ligatures w14:val="none"/>
        </w:rPr>
        <w:t xml:space="preserve"> Publishing.</w:t>
      </w:r>
    </w:p>
    <w:p w14:paraId="37121127"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Franklin, B.D., Reynolds, M., Sadler, S., </w:t>
      </w:r>
      <w:proofErr w:type="spellStart"/>
      <w:r w:rsidRPr="00086834">
        <w:rPr>
          <w:rFonts w:ascii="Arial" w:hAnsi="Arial" w:cs="Arial"/>
          <w:kern w:val="0"/>
          <w:sz w:val="22"/>
          <w:szCs w:val="22"/>
          <w14:ligatures w14:val="none"/>
        </w:rPr>
        <w:t>Hibberd</w:t>
      </w:r>
      <w:proofErr w:type="spellEnd"/>
      <w:r w:rsidRPr="00086834">
        <w:rPr>
          <w:rFonts w:ascii="Arial" w:hAnsi="Arial" w:cs="Arial"/>
          <w:kern w:val="0"/>
          <w:sz w:val="22"/>
          <w:szCs w:val="22"/>
          <w14:ligatures w14:val="none"/>
        </w:rPr>
        <w:t xml:space="preserve">, R., Avery, A.J., Armstrong, S.J., Mehta, R., Barber, N. and </w:t>
      </w:r>
      <w:proofErr w:type="spellStart"/>
      <w:r w:rsidRPr="00086834">
        <w:rPr>
          <w:rFonts w:ascii="Arial" w:hAnsi="Arial" w:cs="Arial"/>
          <w:kern w:val="0"/>
          <w:sz w:val="22"/>
          <w:szCs w:val="22"/>
          <w14:ligatures w14:val="none"/>
        </w:rPr>
        <w:t>Majeed</w:t>
      </w:r>
      <w:proofErr w:type="spellEnd"/>
      <w:r w:rsidRPr="00086834">
        <w:rPr>
          <w:rFonts w:ascii="Arial" w:hAnsi="Arial" w:cs="Arial"/>
          <w:kern w:val="0"/>
          <w:sz w:val="22"/>
          <w:szCs w:val="22"/>
          <w14:ligatures w14:val="none"/>
        </w:rPr>
        <w:t xml:space="preserve">, A. (2018) 'The effect of the electronic transmission of prescriptions on dispensing errors and prescription enhancements in English community pharmacies: a multiple methods study', </w:t>
      </w:r>
      <w:r w:rsidRPr="00086834">
        <w:rPr>
          <w:rFonts w:ascii="Arial" w:hAnsi="Arial" w:cs="Arial"/>
          <w:i/>
          <w:iCs/>
          <w:kern w:val="0"/>
          <w:sz w:val="22"/>
          <w:szCs w:val="22"/>
          <w14:ligatures w14:val="none"/>
        </w:rPr>
        <w:t>BMJ Quality &amp; Safety</w:t>
      </w:r>
      <w:r w:rsidRPr="00086834">
        <w:rPr>
          <w:rFonts w:ascii="Arial" w:hAnsi="Arial" w:cs="Arial"/>
          <w:kern w:val="0"/>
          <w:sz w:val="22"/>
          <w:szCs w:val="22"/>
          <w14:ligatures w14:val="none"/>
        </w:rPr>
        <w:t>, 23(7), pp. 529-538.</w:t>
      </w:r>
    </w:p>
    <w:p w14:paraId="4B28CA37"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Goleman, D. (2004) 'What makes a leader?', </w:t>
      </w:r>
      <w:r w:rsidRPr="00086834">
        <w:rPr>
          <w:rFonts w:ascii="Arial" w:hAnsi="Arial" w:cs="Arial"/>
          <w:i/>
          <w:iCs/>
          <w:kern w:val="0"/>
          <w:sz w:val="22"/>
          <w:szCs w:val="22"/>
          <w14:ligatures w14:val="none"/>
        </w:rPr>
        <w:t>Harvard Business Review</w:t>
      </w:r>
      <w:r w:rsidRPr="00086834">
        <w:rPr>
          <w:rFonts w:ascii="Arial" w:hAnsi="Arial" w:cs="Arial"/>
          <w:kern w:val="0"/>
          <w:sz w:val="22"/>
          <w:szCs w:val="22"/>
          <w14:ligatures w14:val="none"/>
        </w:rPr>
        <w:t>, 82(1), pp. 82-91.</w:t>
      </w:r>
    </w:p>
    <w:p w14:paraId="76E27552"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Greenhalgh</w:t>
      </w:r>
      <w:proofErr w:type="spellEnd"/>
      <w:r w:rsidRPr="00086834">
        <w:rPr>
          <w:rFonts w:ascii="Arial" w:hAnsi="Arial" w:cs="Arial"/>
          <w:kern w:val="0"/>
          <w:sz w:val="22"/>
          <w:szCs w:val="22"/>
          <w14:ligatures w14:val="none"/>
        </w:rPr>
        <w:t xml:space="preserve">, T., </w:t>
      </w:r>
      <w:proofErr w:type="spellStart"/>
      <w:r w:rsidRPr="00086834">
        <w:rPr>
          <w:rFonts w:ascii="Arial" w:hAnsi="Arial" w:cs="Arial"/>
          <w:kern w:val="0"/>
          <w:sz w:val="22"/>
          <w:szCs w:val="22"/>
          <w14:ligatures w14:val="none"/>
        </w:rPr>
        <w:t>Wherton</w:t>
      </w:r>
      <w:proofErr w:type="spellEnd"/>
      <w:r w:rsidRPr="00086834">
        <w:rPr>
          <w:rFonts w:ascii="Arial" w:hAnsi="Arial" w:cs="Arial"/>
          <w:kern w:val="0"/>
          <w:sz w:val="22"/>
          <w:szCs w:val="22"/>
          <w14:ligatures w14:val="none"/>
        </w:rPr>
        <w:t xml:space="preserve">, J., </w:t>
      </w:r>
      <w:proofErr w:type="spellStart"/>
      <w:r w:rsidRPr="00086834">
        <w:rPr>
          <w:rFonts w:ascii="Arial" w:hAnsi="Arial" w:cs="Arial"/>
          <w:kern w:val="0"/>
          <w:sz w:val="22"/>
          <w:szCs w:val="22"/>
          <w14:ligatures w14:val="none"/>
        </w:rPr>
        <w:t>Papoutsi</w:t>
      </w:r>
      <w:proofErr w:type="spellEnd"/>
      <w:r w:rsidRPr="00086834">
        <w:rPr>
          <w:rFonts w:ascii="Arial" w:hAnsi="Arial" w:cs="Arial"/>
          <w:kern w:val="0"/>
          <w:sz w:val="22"/>
          <w:szCs w:val="22"/>
          <w14:ligatures w14:val="none"/>
        </w:rPr>
        <w:t xml:space="preserve">, C., Lynch, J., Hughes, G., </w:t>
      </w:r>
      <w:proofErr w:type="spellStart"/>
      <w:r w:rsidRPr="00086834">
        <w:rPr>
          <w:rFonts w:ascii="Arial" w:hAnsi="Arial" w:cs="Arial"/>
          <w:kern w:val="0"/>
          <w:sz w:val="22"/>
          <w:szCs w:val="22"/>
          <w14:ligatures w14:val="none"/>
        </w:rPr>
        <w:t>A'Court</w:t>
      </w:r>
      <w:proofErr w:type="spellEnd"/>
      <w:r w:rsidRPr="00086834">
        <w:rPr>
          <w:rFonts w:ascii="Arial" w:hAnsi="Arial" w:cs="Arial"/>
          <w:kern w:val="0"/>
          <w:sz w:val="22"/>
          <w:szCs w:val="22"/>
          <w14:ligatures w14:val="none"/>
        </w:rPr>
        <w:t xml:space="preserve">, C., Hinder, S., </w:t>
      </w:r>
      <w:proofErr w:type="spellStart"/>
      <w:r w:rsidRPr="00086834">
        <w:rPr>
          <w:rFonts w:ascii="Arial" w:hAnsi="Arial" w:cs="Arial"/>
          <w:kern w:val="0"/>
          <w:sz w:val="22"/>
          <w:szCs w:val="22"/>
          <w14:ligatures w14:val="none"/>
        </w:rPr>
        <w:t>Fahy</w:t>
      </w:r>
      <w:proofErr w:type="spellEnd"/>
      <w:r w:rsidRPr="00086834">
        <w:rPr>
          <w:rFonts w:ascii="Arial" w:hAnsi="Arial" w:cs="Arial"/>
          <w:kern w:val="0"/>
          <w:sz w:val="22"/>
          <w:szCs w:val="22"/>
          <w14:ligatures w14:val="none"/>
        </w:rPr>
        <w:t xml:space="preserve">, N., Procter, R. and Shaw, S. (2017) 'Beyond adoption: a new framework for theorizing and evaluating </w:t>
      </w:r>
      <w:proofErr w:type="spellStart"/>
      <w:r w:rsidRPr="00086834">
        <w:rPr>
          <w:rFonts w:ascii="Arial" w:hAnsi="Arial" w:cs="Arial"/>
          <w:kern w:val="0"/>
          <w:sz w:val="22"/>
          <w:szCs w:val="22"/>
          <w14:ligatures w14:val="none"/>
        </w:rPr>
        <w:t>nonadoption</w:t>
      </w:r>
      <w:proofErr w:type="spellEnd"/>
      <w:r w:rsidRPr="00086834">
        <w:rPr>
          <w:rFonts w:ascii="Arial" w:hAnsi="Arial" w:cs="Arial"/>
          <w:kern w:val="0"/>
          <w:sz w:val="22"/>
          <w:szCs w:val="22"/>
          <w14:ligatures w14:val="none"/>
        </w:rPr>
        <w:t xml:space="preserve">, abandonment, and challenges to the scale-up, spread, and sustainability of health and care technologies', </w:t>
      </w:r>
      <w:r w:rsidRPr="00086834">
        <w:rPr>
          <w:rFonts w:ascii="Arial" w:hAnsi="Arial" w:cs="Arial"/>
          <w:i/>
          <w:iCs/>
          <w:kern w:val="0"/>
          <w:sz w:val="22"/>
          <w:szCs w:val="22"/>
          <w14:ligatures w14:val="none"/>
        </w:rPr>
        <w:t>Journal of Medical Internet Research</w:t>
      </w:r>
      <w:r w:rsidRPr="00086834">
        <w:rPr>
          <w:rFonts w:ascii="Arial" w:hAnsi="Arial" w:cs="Arial"/>
          <w:kern w:val="0"/>
          <w:sz w:val="22"/>
          <w:szCs w:val="22"/>
          <w14:ligatures w14:val="none"/>
        </w:rPr>
        <w:t>, 19(11), p. e367.</w:t>
      </w:r>
    </w:p>
    <w:p w14:paraId="68BBC6B8"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Ham, C. (2014) </w:t>
      </w:r>
      <w:r w:rsidRPr="00086834">
        <w:rPr>
          <w:rFonts w:ascii="Arial" w:hAnsi="Arial" w:cs="Arial"/>
          <w:i/>
          <w:iCs/>
          <w:kern w:val="0"/>
          <w:sz w:val="22"/>
          <w:szCs w:val="22"/>
          <w14:ligatures w14:val="none"/>
        </w:rPr>
        <w:t>Health policy in Britain</w:t>
      </w:r>
      <w:r w:rsidRPr="00086834">
        <w:rPr>
          <w:rFonts w:ascii="Arial" w:hAnsi="Arial" w:cs="Arial"/>
          <w:kern w:val="0"/>
          <w:sz w:val="22"/>
          <w:szCs w:val="22"/>
          <w14:ligatures w14:val="none"/>
        </w:rPr>
        <w:t xml:space="preserve">. 6th </w:t>
      </w:r>
      <w:proofErr w:type="spellStart"/>
      <w:r w:rsidRPr="00086834">
        <w:rPr>
          <w:rFonts w:ascii="Arial" w:hAnsi="Arial" w:cs="Arial"/>
          <w:kern w:val="0"/>
          <w:sz w:val="22"/>
          <w:szCs w:val="22"/>
          <w14:ligatures w14:val="none"/>
        </w:rPr>
        <w:t>edn</w:t>
      </w:r>
      <w:proofErr w:type="spellEnd"/>
      <w:r w:rsidRPr="00086834">
        <w:rPr>
          <w:rFonts w:ascii="Arial" w:hAnsi="Arial" w:cs="Arial"/>
          <w:kern w:val="0"/>
          <w:sz w:val="22"/>
          <w:szCs w:val="22"/>
          <w14:ligatures w14:val="none"/>
        </w:rPr>
        <w:t>. Basingstoke: Palgrave Macmillan.</w:t>
      </w:r>
    </w:p>
    <w:p w14:paraId="06C36B52"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Hersey, P. and Blanchard, K.H. (1969) 'Life cycle theory of leadership', </w:t>
      </w:r>
      <w:r w:rsidRPr="00086834">
        <w:rPr>
          <w:rFonts w:ascii="Arial" w:hAnsi="Arial" w:cs="Arial"/>
          <w:i/>
          <w:iCs/>
          <w:kern w:val="0"/>
          <w:sz w:val="22"/>
          <w:szCs w:val="22"/>
          <w14:ligatures w14:val="none"/>
        </w:rPr>
        <w:t>Training and Development Journal</w:t>
      </w:r>
      <w:r w:rsidRPr="00086834">
        <w:rPr>
          <w:rFonts w:ascii="Arial" w:hAnsi="Arial" w:cs="Arial"/>
          <w:kern w:val="0"/>
          <w:sz w:val="22"/>
          <w:szCs w:val="22"/>
          <w14:ligatures w14:val="none"/>
        </w:rPr>
        <w:t>, 23(5), pp. 26-34.</w:t>
      </w:r>
    </w:p>
    <w:p w14:paraId="11F8E08A" w14:textId="21940216"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HSSIB (2024) </w:t>
      </w:r>
      <w:r w:rsidRPr="00086834">
        <w:rPr>
          <w:rFonts w:ascii="Arial" w:hAnsi="Arial" w:cs="Arial"/>
          <w:i/>
          <w:iCs/>
          <w:kern w:val="0"/>
          <w:sz w:val="22"/>
          <w:szCs w:val="22"/>
          <w14:ligatures w14:val="none"/>
        </w:rPr>
        <w:t xml:space="preserve">Unintentional overdose of morphine </w:t>
      </w:r>
      <w:r w:rsidR="00A42B02" w:rsidRPr="00086834">
        <w:rPr>
          <w:rFonts w:ascii="Arial" w:hAnsi="Arial" w:cs="Arial"/>
          <w:i/>
          <w:iCs/>
          <w:kern w:val="0"/>
          <w:sz w:val="22"/>
          <w:szCs w:val="22"/>
          <w14:ligatures w14:val="none"/>
        </w:rPr>
        <w:t>sulphate</w:t>
      </w:r>
      <w:r w:rsidRPr="00086834">
        <w:rPr>
          <w:rFonts w:ascii="Arial" w:hAnsi="Arial" w:cs="Arial"/>
          <w:i/>
          <w:iCs/>
          <w:kern w:val="0"/>
          <w:sz w:val="22"/>
          <w:szCs w:val="22"/>
          <w14:ligatures w14:val="none"/>
        </w:rPr>
        <w:t xml:space="preserve"> oral solution</w:t>
      </w:r>
      <w:r w:rsidRPr="00086834">
        <w:rPr>
          <w:rFonts w:ascii="Arial" w:hAnsi="Arial" w:cs="Arial"/>
          <w:kern w:val="0"/>
          <w:sz w:val="22"/>
          <w:szCs w:val="22"/>
          <w14:ligatures w14:val="none"/>
        </w:rPr>
        <w:t xml:space="preserve">. Available at: </w:t>
      </w:r>
      <w:hyperlink r:id="rId5" w:history="1">
        <w:r w:rsidRPr="00086834">
          <w:rPr>
            <w:rFonts w:ascii="Arial" w:hAnsi="Arial" w:cs="Arial"/>
            <w:color w:val="0000FF"/>
            <w:kern w:val="0"/>
            <w:sz w:val="22"/>
            <w:szCs w:val="22"/>
            <w:u w:val="single"/>
            <w14:ligatures w14:val="none"/>
          </w:rPr>
          <w:t>https://www.hssib.org.uk/patient-safety-investigations/unintentional-overdose-of-morphine-sulfate-oral-solution/investigation-report/</w:t>
        </w:r>
      </w:hyperlink>
      <w:r w:rsidRPr="00086834">
        <w:rPr>
          <w:rFonts w:ascii="Arial" w:hAnsi="Arial" w:cs="Arial"/>
          <w:kern w:val="0"/>
          <w:sz w:val="22"/>
          <w:szCs w:val="22"/>
          <w14:ligatures w14:val="none"/>
        </w:rPr>
        <w:t xml:space="preserve"> (Accessed: </w:t>
      </w:r>
      <w:r w:rsidR="00193372" w:rsidRPr="00086834">
        <w:rPr>
          <w:rFonts w:ascii="Arial" w:hAnsi="Arial" w:cs="Arial"/>
          <w:kern w:val="0"/>
          <w:sz w:val="22"/>
          <w:szCs w:val="22"/>
          <w14:ligatures w14:val="none"/>
        </w:rPr>
        <w:t>12</w:t>
      </w:r>
      <w:r w:rsidRPr="00086834">
        <w:rPr>
          <w:rFonts w:ascii="Arial" w:hAnsi="Arial" w:cs="Arial"/>
          <w:kern w:val="0"/>
          <w:sz w:val="22"/>
          <w:szCs w:val="22"/>
          <w14:ligatures w14:val="none"/>
        </w:rPr>
        <w:t xml:space="preserve"> October 2026).</w:t>
      </w:r>
    </w:p>
    <w:p w14:paraId="13CAC702"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Institute for Healthcare Improvement (2020) </w:t>
      </w:r>
      <w:r w:rsidRPr="00086834">
        <w:rPr>
          <w:rFonts w:ascii="Arial" w:hAnsi="Arial" w:cs="Arial"/>
          <w:i/>
          <w:iCs/>
          <w:kern w:val="0"/>
          <w:sz w:val="22"/>
          <w:szCs w:val="22"/>
          <w14:ligatures w14:val="none"/>
        </w:rPr>
        <w:t>Patient Safety Essentials Toolkit</w:t>
      </w:r>
      <w:r w:rsidRPr="00086834">
        <w:rPr>
          <w:rFonts w:ascii="Arial" w:hAnsi="Arial" w:cs="Arial"/>
          <w:kern w:val="0"/>
          <w:sz w:val="22"/>
          <w:szCs w:val="22"/>
          <w14:ligatures w14:val="none"/>
        </w:rPr>
        <w:t>. Boston: IHI.</w:t>
      </w:r>
    </w:p>
    <w:p w14:paraId="65414608"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Institute for Healthcare Improvement (2022) </w:t>
      </w:r>
      <w:r w:rsidRPr="00086834">
        <w:rPr>
          <w:rFonts w:ascii="Arial" w:hAnsi="Arial" w:cs="Arial"/>
          <w:i/>
          <w:iCs/>
          <w:kern w:val="0"/>
          <w:sz w:val="22"/>
          <w:szCs w:val="22"/>
          <w14:ligatures w14:val="none"/>
        </w:rPr>
        <w:t>Global Report on Patient Safety</w:t>
      </w:r>
      <w:r w:rsidRPr="00086834">
        <w:rPr>
          <w:rFonts w:ascii="Arial" w:hAnsi="Arial" w:cs="Arial"/>
          <w:kern w:val="0"/>
          <w:sz w:val="22"/>
          <w:szCs w:val="22"/>
          <w14:ligatures w14:val="none"/>
        </w:rPr>
        <w:t>. Boston: IHI.</w:t>
      </w:r>
    </w:p>
    <w:p w14:paraId="1428847D"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Kahneman</w:t>
      </w:r>
      <w:proofErr w:type="spellEnd"/>
      <w:r w:rsidRPr="00086834">
        <w:rPr>
          <w:rFonts w:ascii="Arial" w:hAnsi="Arial" w:cs="Arial"/>
          <w:kern w:val="0"/>
          <w:sz w:val="22"/>
          <w:szCs w:val="22"/>
          <w14:ligatures w14:val="none"/>
        </w:rPr>
        <w:t xml:space="preserve">, D. (2011) </w:t>
      </w:r>
      <w:r w:rsidRPr="00086834">
        <w:rPr>
          <w:rFonts w:ascii="Arial" w:hAnsi="Arial" w:cs="Arial"/>
          <w:i/>
          <w:iCs/>
          <w:kern w:val="0"/>
          <w:sz w:val="22"/>
          <w:szCs w:val="22"/>
          <w14:ligatures w14:val="none"/>
        </w:rPr>
        <w:t>Thinking, fast and slow</w:t>
      </w:r>
      <w:r w:rsidRPr="00086834">
        <w:rPr>
          <w:rFonts w:ascii="Arial" w:hAnsi="Arial" w:cs="Arial"/>
          <w:kern w:val="0"/>
          <w:sz w:val="22"/>
          <w:szCs w:val="22"/>
          <w14:ligatures w14:val="none"/>
        </w:rPr>
        <w:t>. New York: Farrar, Straus and Giroux.</w:t>
      </w:r>
    </w:p>
    <w:p w14:paraId="716F723E"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Kotter, J.P. (1996) </w:t>
      </w:r>
      <w:r w:rsidRPr="00086834">
        <w:rPr>
          <w:rFonts w:ascii="Arial" w:hAnsi="Arial" w:cs="Arial"/>
          <w:i/>
          <w:iCs/>
          <w:kern w:val="0"/>
          <w:sz w:val="22"/>
          <w:szCs w:val="22"/>
          <w14:ligatures w14:val="none"/>
        </w:rPr>
        <w:t>Leading change</w:t>
      </w:r>
      <w:r w:rsidRPr="00086834">
        <w:rPr>
          <w:rFonts w:ascii="Arial" w:hAnsi="Arial" w:cs="Arial"/>
          <w:kern w:val="0"/>
          <w:sz w:val="22"/>
          <w:szCs w:val="22"/>
          <w14:ligatures w14:val="none"/>
        </w:rPr>
        <w:t>. Boston, MA: Harvard Business School Press.</w:t>
      </w:r>
    </w:p>
    <w:p w14:paraId="5B7EB5A0"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Kripalani</w:t>
      </w:r>
      <w:proofErr w:type="spellEnd"/>
      <w:r w:rsidRPr="00086834">
        <w:rPr>
          <w:rFonts w:ascii="Arial" w:hAnsi="Arial" w:cs="Arial"/>
          <w:kern w:val="0"/>
          <w:sz w:val="22"/>
          <w:szCs w:val="22"/>
          <w14:ligatures w14:val="none"/>
        </w:rPr>
        <w:t xml:space="preserve">, S., </w:t>
      </w:r>
      <w:proofErr w:type="spellStart"/>
      <w:r w:rsidRPr="00086834">
        <w:rPr>
          <w:rFonts w:ascii="Arial" w:hAnsi="Arial" w:cs="Arial"/>
          <w:kern w:val="0"/>
          <w:sz w:val="22"/>
          <w:szCs w:val="22"/>
          <w14:ligatures w14:val="none"/>
        </w:rPr>
        <w:t>LeFevre</w:t>
      </w:r>
      <w:proofErr w:type="spellEnd"/>
      <w:r w:rsidRPr="00086834">
        <w:rPr>
          <w:rFonts w:ascii="Arial" w:hAnsi="Arial" w:cs="Arial"/>
          <w:kern w:val="0"/>
          <w:sz w:val="22"/>
          <w:szCs w:val="22"/>
          <w14:ligatures w14:val="none"/>
        </w:rPr>
        <w:t xml:space="preserve">, F., Phillips, C.O., Williams, M.V., </w:t>
      </w:r>
      <w:proofErr w:type="spellStart"/>
      <w:r w:rsidRPr="00086834">
        <w:rPr>
          <w:rFonts w:ascii="Arial" w:hAnsi="Arial" w:cs="Arial"/>
          <w:kern w:val="0"/>
          <w:sz w:val="22"/>
          <w:szCs w:val="22"/>
          <w14:ligatures w14:val="none"/>
        </w:rPr>
        <w:t>Basaviah</w:t>
      </w:r>
      <w:proofErr w:type="spellEnd"/>
      <w:r w:rsidRPr="00086834">
        <w:rPr>
          <w:rFonts w:ascii="Arial" w:hAnsi="Arial" w:cs="Arial"/>
          <w:kern w:val="0"/>
          <w:sz w:val="22"/>
          <w:szCs w:val="22"/>
          <w14:ligatures w14:val="none"/>
        </w:rPr>
        <w:t xml:space="preserve">, P. and Baker, D.W. (2007) 'Deficits in communication and information transfer between hospital-based and primary care physicians: implications for patient safety and continuity of care', </w:t>
      </w:r>
      <w:r w:rsidRPr="00086834">
        <w:rPr>
          <w:rFonts w:ascii="Arial" w:hAnsi="Arial" w:cs="Arial"/>
          <w:i/>
          <w:iCs/>
          <w:kern w:val="0"/>
          <w:sz w:val="22"/>
          <w:szCs w:val="22"/>
          <w14:ligatures w14:val="none"/>
        </w:rPr>
        <w:t>JAMA</w:t>
      </w:r>
      <w:r w:rsidRPr="00086834">
        <w:rPr>
          <w:rFonts w:ascii="Arial" w:hAnsi="Arial" w:cs="Arial"/>
          <w:kern w:val="0"/>
          <w:sz w:val="22"/>
          <w:szCs w:val="22"/>
          <w14:ligatures w14:val="none"/>
        </w:rPr>
        <w:t>, 297(8), pp. 831-841.</w:t>
      </w:r>
    </w:p>
    <w:p w14:paraId="270A93C4"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MacKinnon, N.J. (2001) </w:t>
      </w:r>
      <w:r w:rsidRPr="00086834">
        <w:rPr>
          <w:rFonts w:ascii="Arial" w:hAnsi="Arial" w:cs="Arial"/>
          <w:i/>
          <w:iCs/>
          <w:kern w:val="0"/>
          <w:sz w:val="22"/>
          <w:szCs w:val="22"/>
          <w14:ligatures w14:val="none"/>
        </w:rPr>
        <w:t>Safe and effective: The eight essential elements of an optimal medication-use system</w:t>
      </w:r>
      <w:r w:rsidRPr="00086834">
        <w:rPr>
          <w:rFonts w:ascii="Arial" w:hAnsi="Arial" w:cs="Arial"/>
          <w:kern w:val="0"/>
          <w:sz w:val="22"/>
          <w:szCs w:val="22"/>
          <w14:ligatures w14:val="none"/>
        </w:rPr>
        <w:t>. Ottawa: Canadian Pharmacists Association.</w:t>
      </w:r>
    </w:p>
    <w:p w14:paraId="5BD39B78"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MHRA (2023) </w:t>
      </w:r>
      <w:r w:rsidRPr="00086834">
        <w:rPr>
          <w:rFonts w:ascii="Arial" w:hAnsi="Arial" w:cs="Arial"/>
          <w:i/>
          <w:iCs/>
          <w:kern w:val="0"/>
          <w:sz w:val="22"/>
          <w:szCs w:val="22"/>
          <w14:ligatures w14:val="none"/>
        </w:rPr>
        <w:t>Best practice guidance on the labelling and packaging of medicines</w:t>
      </w:r>
      <w:r w:rsidRPr="00086834">
        <w:rPr>
          <w:rFonts w:ascii="Arial" w:hAnsi="Arial" w:cs="Arial"/>
          <w:kern w:val="0"/>
          <w:sz w:val="22"/>
          <w:szCs w:val="22"/>
          <w14:ligatures w14:val="none"/>
        </w:rPr>
        <w:t>. London: Medicines and Healthcare products Regulatory Agency.</w:t>
      </w:r>
    </w:p>
    <w:p w14:paraId="60003F8E"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Mintzberg</w:t>
      </w:r>
      <w:proofErr w:type="spellEnd"/>
      <w:r w:rsidRPr="00086834">
        <w:rPr>
          <w:rFonts w:ascii="Arial" w:hAnsi="Arial" w:cs="Arial"/>
          <w:kern w:val="0"/>
          <w:sz w:val="22"/>
          <w:szCs w:val="22"/>
          <w14:ligatures w14:val="none"/>
        </w:rPr>
        <w:t xml:space="preserve">, H. (1979) </w:t>
      </w:r>
      <w:r w:rsidRPr="00086834">
        <w:rPr>
          <w:rFonts w:ascii="Arial" w:hAnsi="Arial" w:cs="Arial"/>
          <w:i/>
          <w:iCs/>
          <w:kern w:val="0"/>
          <w:sz w:val="22"/>
          <w:szCs w:val="22"/>
          <w14:ligatures w14:val="none"/>
        </w:rPr>
        <w:t>The structuring of organizations</w:t>
      </w:r>
      <w:r w:rsidRPr="00086834">
        <w:rPr>
          <w:rFonts w:ascii="Arial" w:hAnsi="Arial" w:cs="Arial"/>
          <w:kern w:val="0"/>
          <w:sz w:val="22"/>
          <w:szCs w:val="22"/>
          <w14:ligatures w14:val="none"/>
        </w:rPr>
        <w:t>. Englewood Cliffs, NJ: Prentice-Hall.</w:t>
      </w:r>
    </w:p>
    <w:p w14:paraId="0493192F"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Monk, A. and Howard, S. (1998) 'Methods &amp; tools: the rich picture: a tool for reasoning about work context', </w:t>
      </w:r>
      <w:r w:rsidRPr="00086834">
        <w:rPr>
          <w:rFonts w:ascii="Arial" w:hAnsi="Arial" w:cs="Arial"/>
          <w:i/>
          <w:iCs/>
          <w:kern w:val="0"/>
          <w:sz w:val="22"/>
          <w:szCs w:val="22"/>
          <w14:ligatures w14:val="none"/>
        </w:rPr>
        <w:t>Interactions</w:t>
      </w:r>
      <w:r w:rsidRPr="00086834">
        <w:rPr>
          <w:rFonts w:ascii="Arial" w:hAnsi="Arial" w:cs="Arial"/>
          <w:kern w:val="0"/>
          <w:sz w:val="22"/>
          <w:szCs w:val="22"/>
          <w14:ligatures w14:val="none"/>
        </w:rPr>
        <w:t>, 5(2), pp. 21-30.</w:t>
      </w:r>
    </w:p>
    <w:p w14:paraId="1A39D773"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Naylor, M.D., Aiken, L.H., Kurtzman, E.T., Olds, D.M. and Hirschman, K.B. (2012) 'The care span: The importance of transitional care in achieving health reform', </w:t>
      </w:r>
      <w:r w:rsidRPr="00086834">
        <w:rPr>
          <w:rFonts w:ascii="Arial" w:hAnsi="Arial" w:cs="Arial"/>
          <w:i/>
          <w:iCs/>
          <w:kern w:val="0"/>
          <w:sz w:val="22"/>
          <w:szCs w:val="22"/>
          <w14:ligatures w14:val="none"/>
        </w:rPr>
        <w:t>Health Affairs</w:t>
      </w:r>
      <w:r w:rsidRPr="00086834">
        <w:rPr>
          <w:rFonts w:ascii="Arial" w:hAnsi="Arial" w:cs="Arial"/>
          <w:kern w:val="0"/>
          <w:sz w:val="22"/>
          <w:szCs w:val="22"/>
          <w14:ligatures w14:val="none"/>
        </w:rPr>
        <w:t>, 30(4), pp. 746-754.</w:t>
      </w:r>
    </w:p>
    <w:p w14:paraId="380B132C"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NHS Digital (2022) </w:t>
      </w:r>
      <w:r w:rsidRPr="00086834">
        <w:rPr>
          <w:rFonts w:ascii="Arial" w:hAnsi="Arial" w:cs="Arial"/>
          <w:i/>
          <w:iCs/>
          <w:kern w:val="0"/>
          <w:sz w:val="22"/>
          <w:szCs w:val="22"/>
          <w14:ligatures w14:val="none"/>
        </w:rPr>
        <w:t>Hospital Outpatient Activity 2021-22</w:t>
      </w:r>
      <w:r w:rsidRPr="00086834">
        <w:rPr>
          <w:rFonts w:ascii="Arial" w:hAnsi="Arial" w:cs="Arial"/>
          <w:kern w:val="0"/>
          <w:sz w:val="22"/>
          <w:szCs w:val="22"/>
          <w14:ligatures w14:val="none"/>
        </w:rPr>
        <w:t>. Leeds: NHS Digital.</w:t>
      </w:r>
    </w:p>
    <w:p w14:paraId="1BEB41E6"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NHS England (2019) </w:t>
      </w:r>
      <w:r w:rsidRPr="00086834">
        <w:rPr>
          <w:rFonts w:ascii="Arial" w:hAnsi="Arial" w:cs="Arial"/>
          <w:i/>
          <w:iCs/>
          <w:kern w:val="0"/>
          <w:sz w:val="22"/>
          <w:szCs w:val="22"/>
          <w14:ligatures w14:val="none"/>
        </w:rPr>
        <w:t>The NHS Patient Safety Strategy: Safer culture, safer systems, safer patients</w:t>
      </w:r>
      <w:r w:rsidRPr="00086834">
        <w:rPr>
          <w:rFonts w:ascii="Arial" w:hAnsi="Arial" w:cs="Arial"/>
          <w:kern w:val="0"/>
          <w:sz w:val="22"/>
          <w:szCs w:val="22"/>
          <w14:ligatures w14:val="none"/>
        </w:rPr>
        <w:t>. London: NHS England.</w:t>
      </w:r>
    </w:p>
    <w:p w14:paraId="2B4BCFE6"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NHS England (2022) </w:t>
      </w:r>
      <w:r w:rsidRPr="00086834">
        <w:rPr>
          <w:rFonts w:ascii="Arial" w:hAnsi="Arial" w:cs="Arial"/>
          <w:i/>
          <w:iCs/>
          <w:kern w:val="0"/>
          <w:sz w:val="22"/>
          <w:szCs w:val="22"/>
          <w14:ligatures w14:val="none"/>
        </w:rPr>
        <w:t>Medication Safety Programme Update</w:t>
      </w:r>
      <w:r w:rsidRPr="00086834">
        <w:rPr>
          <w:rFonts w:ascii="Arial" w:hAnsi="Arial" w:cs="Arial"/>
          <w:kern w:val="0"/>
          <w:sz w:val="22"/>
          <w:szCs w:val="22"/>
          <w14:ligatures w14:val="none"/>
        </w:rPr>
        <w:t>. London: NHS England.</w:t>
      </w:r>
    </w:p>
    <w:p w14:paraId="16737F00"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NICE (2015) </w:t>
      </w:r>
      <w:r w:rsidRPr="00086834">
        <w:rPr>
          <w:rFonts w:ascii="Arial" w:hAnsi="Arial" w:cs="Arial"/>
          <w:i/>
          <w:iCs/>
          <w:kern w:val="0"/>
          <w:sz w:val="22"/>
          <w:szCs w:val="22"/>
          <w14:ligatures w14:val="none"/>
        </w:rPr>
        <w:t>Medicines optimisation: the safe and effective use of medicines to enable the best possible outcomes</w:t>
      </w:r>
      <w:r w:rsidRPr="00086834">
        <w:rPr>
          <w:rFonts w:ascii="Arial" w:hAnsi="Arial" w:cs="Arial"/>
          <w:kern w:val="0"/>
          <w:sz w:val="22"/>
          <w:szCs w:val="22"/>
          <w14:ligatures w14:val="none"/>
        </w:rPr>
        <w:t>. London: National Institute for Health and Care Excellence.</w:t>
      </w:r>
    </w:p>
    <w:p w14:paraId="67DBF1AC"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OECD (2022) </w:t>
      </w:r>
      <w:r w:rsidRPr="00086834">
        <w:rPr>
          <w:rFonts w:ascii="Arial" w:hAnsi="Arial" w:cs="Arial"/>
          <w:i/>
          <w:iCs/>
          <w:kern w:val="0"/>
          <w:sz w:val="22"/>
          <w:szCs w:val="22"/>
          <w14:ligatures w14:val="none"/>
        </w:rPr>
        <w:t>Health at a Glance: Europe 2022: State of Health in the EU Cycle</w:t>
      </w:r>
      <w:r w:rsidRPr="00086834">
        <w:rPr>
          <w:rFonts w:ascii="Arial" w:hAnsi="Arial" w:cs="Arial"/>
          <w:kern w:val="0"/>
          <w:sz w:val="22"/>
          <w:szCs w:val="22"/>
          <w14:ligatures w14:val="none"/>
        </w:rPr>
        <w:t>. Paris: OECD Publishing.</w:t>
      </w:r>
    </w:p>
    <w:p w14:paraId="7BD3490B"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Reason, J. (2000) 'Human error: models and management', </w:t>
      </w:r>
      <w:r w:rsidRPr="00086834">
        <w:rPr>
          <w:rFonts w:ascii="Arial" w:hAnsi="Arial" w:cs="Arial"/>
          <w:i/>
          <w:iCs/>
          <w:kern w:val="0"/>
          <w:sz w:val="22"/>
          <w:szCs w:val="22"/>
          <w14:ligatures w14:val="none"/>
        </w:rPr>
        <w:t>BMJ</w:t>
      </w:r>
      <w:r w:rsidRPr="00086834">
        <w:rPr>
          <w:rFonts w:ascii="Arial" w:hAnsi="Arial" w:cs="Arial"/>
          <w:kern w:val="0"/>
          <w:sz w:val="22"/>
          <w:szCs w:val="22"/>
          <w14:ligatures w14:val="none"/>
        </w:rPr>
        <w:t>, 320(7237), pp. 768-770.</w:t>
      </w:r>
    </w:p>
    <w:p w14:paraId="73A62AF9"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Royal Pharmaceutical Society (2021) </w:t>
      </w:r>
      <w:r w:rsidRPr="00086834">
        <w:rPr>
          <w:rFonts w:ascii="Arial" w:hAnsi="Arial" w:cs="Arial"/>
          <w:i/>
          <w:iCs/>
          <w:kern w:val="0"/>
          <w:sz w:val="22"/>
          <w:szCs w:val="22"/>
          <w14:ligatures w14:val="none"/>
        </w:rPr>
        <w:t>Pharmacy’s role in safe transfers of care</w:t>
      </w:r>
      <w:r w:rsidRPr="00086834">
        <w:rPr>
          <w:rFonts w:ascii="Arial" w:hAnsi="Arial" w:cs="Arial"/>
          <w:kern w:val="0"/>
          <w:sz w:val="22"/>
          <w:szCs w:val="22"/>
          <w14:ligatures w14:val="none"/>
        </w:rPr>
        <w:t>. London: RPS.</w:t>
      </w:r>
    </w:p>
    <w:p w14:paraId="48CB7596"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Saltman</w:t>
      </w:r>
      <w:proofErr w:type="spellEnd"/>
      <w:r w:rsidRPr="00086834">
        <w:rPr>
          <w:rFonts w:ascii="Arial" w:hAnsi="Arial" w:cs="Arial"/>
          <w:kern w:val="0"/>
          <w:sz w:val="22"/>
          <w:szCs w:val="22"/>
          <w14:ligatures w14:val="none"/>
        </w:rPr>
        <w:t xml:space="preserve">, R.B. and </w:t>
      </w:r>
      <w:proofErr w:type="spellStart"/>
      <w:r w:rsidRPr="00086834">
        <w:rPr>
          <w:rFonts w:ascii="Arial" w:hAnsi="Arial" w:cs="Arial"/>
          <w:kern w:val="0"/>
          <w:sz w:val="22"/>
          <w:szCs w:val="22"/>
          <w14:ligatures w14:val="none"/>
        </w:rPr>
        <w:t>Bankauskaite</w:t>
      </w:r>
      <w:proofErr w:type="spellEnd"/>
      <w:r w:rsidRPr="00086834">
        <w:rPr>
          <w:rFonts w:ascii="Arial" w:hAnsi="Arial" w:cs="Arial"/>
          <w:kern w:val="0"/>
          <w:sz w:val="22"/>
          <w:szCs w:val="22"/>
          <w14:ligatures w14:val="none"/>
        </w:rPr>
        <w:t xml:space="preserve">, V. (2006) 'Conceptualizing decentralization in European health systems: a functional perspective', </w:t>
      </w:r>
      <w:r w:rsidRPr="00086834">
        <w:rPr>
          <w:rFonts w:ascii="Arial" w:hAnsi="Arial" w:cs="Arial"/>
          <w:i/>
          <w:iCs/>
          <w:kern w:val="0"/>
          <w:sz w:val="22"/>
          <w:szCs w:val="22"/>
          <w14:ligatures w14:val="none"/>
        </w:rPr>
        <w:t>Health Economics, Policy and Law</w:t>
      </w:r>
      <w:r w:rsidRPr="00086834">
        <w:rPr>
          <w:rFonts w:ascii="Arial" w:hAnsi="Arial" w:cs="Arial"/>
          <w:kern w:val="0"/>
          <w:sz w:val="22"/>
          <w:szCs w:val="22"/>
          <w14:ligatures w14:val="none"/>
        </w:rPr>
        <w:t>, 1(2), pp. 127-147.</w:t>
      </w:r>
    </w:p>
    <w:p w14:paraId="406AE152"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Schillinger, D., </w:t>
      </w:r>
      <w:proofErr w:type="spellStart"/>
      <w:r w:rsidRPr="00086834">
        <w:rPr>
          <w:rFonts w:ascii="Arial" w:hAnsi="Arial" w:cs="Arial"/>
          <w:kern w:val="0"/>
          <w:sz w:val="22"/>
          <w:szCs w:val="22"/>
          <w14:ligatures w14:val="none"/>
        </w:rPr>
        <w:t>Piette</w:t>
      </w:r>
      <w:proofErr w:type="spellEnd"/>
      <w:r w:rsidRPr="00086834">
        <w:rPr>
          <w:rFonts w:ascii="Arial" w:hAnsi="Arial" w:cs="Arial"/>
          <w:kern w:val="0"/>
          <w:sz w:val="22"/>
          <w:szCs w:val="22"/>
          <w14:ligatures w14:val="none"/>
        </w:rPr>
        <w:t xml:space="preserve">, J., </w:t>
      </w:r>
      <w:proofErr w:type="spellStart"/>
      <w:r w:rsidRPr="00086834">
        <w:rPr>
          <w:rFonts w:ascii="Arial" w:hAnsi="Arial" w:cs="Arial"/>
          <w:kern w:val="0"/>
          <w:sz w:val="22"/>
          <w:szCs w:val="22"/>
          <w14:ligatures w14:val="none"/>
        </w:rPr>
        <w:t>Grumbach</w:t>
      </w:r>
      <w:proofErr w:type="spellEnd"/>
      <w:r w:rsidRPr="00086834">
        <w:rPr>
          <w:rFonts w:ascii="Arial" w:hAnsi="Arial" w:cs="Arial"/>
          <w:kern w:val="0"/>
          <w:sz w:val="22"/>
          <w:szCs w:val="22"/>
          <w14:ligatures w14:val="none"/>
        </w:rPr>
        <w:t xml:space="preserve">, K., Wang, F., Wilson, C., </w:t>
      </w:r>
      <w:proofErr w:type="spellStart"/>
      <w:r w:rsidRPr="00086834">
        <w:rPr>
          <w:rFonts w:ascii="Arial" w:hAnsi="Arial" w:cs="Arial"/>
          <w:kern w:val="0"/>
          <w:sz w:val="22"/>
          <w:szCs w:val="22"/>
          <w14:ligatures w14:val="none"/>
        </w:rPr>
        <w:t>Daher</w:t>
      </w:r>
      <w:proofErr w:type="spellEnd"/>
      <w:r w:rsidRPr="00086834">
        <w:rPr>
          <w:rFonts w:ascii="Arial" w:hAnsi="Arial" w:cs="Arial"/>
          <w:kern w:val="0"/>
          <w:sz w:val="22"/>
          <w:szCs w:val="22"/>
          <w14:ligatures w14:val="none"/>
        </w:rPr>
        <w:t>, C., Leong-</w:t>
      </w:r>
      <w:proofErr w:type="spellStart"/>
      <w:r w:rsidRPr="00086834">
        <w:rPr>
          <w:rFonts w:ascii="Arial" w:hAnsi="Arial" w:cs="Arial"/>
          <w:kern w:val="0"/>
          <w:sz w:val="22"/>
          <w:szCs w:val="22"/>
          <w14:ligatures w14:val="none"/>
        </w:rPr>
        <w:t>Grotz</w:t>
      </w:r>
      <w:proofErr w:type="spellEnd"/>
      <w:r w:rsidRPr="00086834">
        <w:rPr>
          <w:rFonts w:ascii="Arial" w:hAnsi="Arial" w:cs="Arial"/>
          <w:kern w:val="0"/>
          <w:sz w:val="22"/>
          <w:szCs w:val="22"/>
          <w14:ligatures w14:val="none"/>
        </w:rPr>
        <w:t xml:space="preserve">, K., Castro, C. and </w:t>
      </w:r>
      <w:proofErr w:type="spellStart"/>
      <w:r w:rsidRPr="00086834">
        <w:rPr>
          <w:rFonts w:ascii="Arial" w:hAnsi="Arial" w:cs="Arial"/>
          <w:kern w:val="0"/>
          <w:sz w:val="22"/>
          <w:szCs w:val="22"/>
          <w14:ligatures w14:val="none"/>
        </w:rPr>
        <w:t>Bindman</w:t>
      </w:r>
      <w:proofErr w:type="spellEnd"/>
      <w:r w:rsidRPr="00086834">
        <w:rPr>
          <w:rFonts w:ascii="Arial" w:hAnsi="Arial" w:cs="Arial"/>
          <w:kern w:val="0"/>
          <w:sz w:val="22"/>
          <w:szCs w:val="22"/>
          <w14:ligatures w14:val="none"/>
        </w:rPr>
        <w:t xml:space="preserve">, A.B. (2003) 'Closing the loop: physician communication with diabetic patients who have low health literacy', </w:t>
      </w:r>
      <w:r w:rsidRPr="00086834">
        <w:rPr>
          <w:rFonts w:ascii="Arial" w:hAnsi="Arial" w:cs="Arial"/>
          <w:i/>
          <w:iCs/>
          <w:kern w:val="0"/>
          <w:sz w:val="22"/>
          <w:szCs w:val="22"/>
          <w14:ligatures w14:val="none"/>
        </w:rPr>
        <w:t>Archives of Internal Medicine</w:t>
      </w:r>
      <w:r w:rsidRPr="00086834">
        <w:rPr>
          <w:rFonts w:ascii="Arial" w:hAnsi="Arial" w:cs="Arial"/>
          <w:kern w:val="0"/>
          <w:sz w:val="22"/>
          <w:szCs w:val="22"/>
          <w14:ligatures w14:val="none"/>
        </w:rPr>
        <w:t>, 163(1), pp. 83-90.</w:t>
      </w:r>
    </w:p>
    <w:p w14:paraId="5F52DADB"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Senge</w:t>
      </w:r>
      <w:proofErr w:type="spellEnd"/>
      <w:r w:rsidRPr="00086834">
        <w:rPr>
          <w:rFonts w:ascii="Arial" w:hAnsi="Arial" w:cs="Arial"/>
          <w:kern w:val="0"/>
          <w:sz w:val="22"/>
          <w:szCs w:val="22"/>
          <w14:ligatures w14:val="none"/>
        </w:rPr>
        <w:t xml:space="preserve">, P.M. (1990) </w:t>
      </w:r>
      <w:r w:rsidRPr="00086834">
        <w:rPr>
          <w:rFonts w:ascii="Arial" w:hAnsi="Arial" w:cs="Arial"/>
          <w:i/>
          <w:iCs/>
          <w:kern w:val="0"/>
          <w:sz w:val="22"/>
          <w:szCs w:val="22"/>
          <w14:ligatures w14:val="none"/>
        </w:rPr>
        <w:t>The fifth discipline: The art and practice of the learning organization</w:t>
      </w:r>
      <w:r w:rsidRPr="00086834">
        <w:rPr>
          <w:rFonts w:ascii="Arial" w:hAnsi="Arial" w:cs="Arial"/>
          <w:kern w:val="0"/>
          <w:sz w:val="22"/>
          <w:szCs w:val="22"/>
          <w14:ligatures w14:val="none"/>
        </w:rPr>
        <w:t>. New York: Doubleday.</w:t>
      </w:r>
    </w:p>
    <w:p w14:paraId="08A2FC1F"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Spillane, J.P. (2006) </w:t>
      </w:r>
      <w:r w:rsidRPr="00086834">
        <w:rPr>
          <w:rFonts w:ascii="Arial" w:hAnsi="Arial" w:cs="Arial"/>
          <w:i/>
          <w:iCs/>
          <w:kern w:val="0"/>
          <w:sz w:val="22"/>
          <w:szCs w:val="22"/>
          <w14:ligatures w14:val="none"/>
        </w:rPr>
        <w:t>Distributed leadership</w:t>
      </w:r>
      <w:r w:rsidRPr="00086834">
        <w:rPr>
          <w:rFonts w:ascii="Arial" w:hAnsi="Arial" w:cs="Arial"/>
          <w:kern w:val="0"/>
          <w:sz w:val="22"/>
          <w:szCs w:val="22"/>
          <w14:ligatures w14:val="none"/>
        </w:rPr>
        <w:t xml:space="preserve">. San Francisco: </w:t>
      </w:r>
      <w:proofErr w:type="spellStart"/>
      <w:r w:rsidRPr="00086834">
        <w:rPr>
          <w:rFonts w:ascii="Arial" w:hAnsi="Arial" w:cs="Arial"/>
          <w:kern w:val="0"/>
          <w:sz w:val="22"/>
          <w:szCs w:val="22"/>
          <w14:ligatures w14:val="none"/>
        </w:rPr>
        <w:t>Jossey</w:t>
      </w:r>
      <w:proofErr w:type="spellEnd"/>
      <w:r w:rsidRPr="00086834">
        <w:rPr>
          <w:rFonts w:ascii="Arial" w:hAnsi="Arial" w:cs="Arial"/>
          <w:kern w:val="0"/>
          <w:sz w:val="22"/>
          <w:szCs w:val="22"/>
          <w14:ligatures w14:val="none"/>
        </w:rPr>
        <w:t>-Bass.</w:t>
      </w:r>
    </w:p>
    <w:p w14:paraId="6FAEEEB3"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proofErr w:type="spellStart"/>
      <w:r w:rsidRPr="00086834">
        <w:rPr>
          <w:rFonts w:ascii="Arial" w:hAnsi="Arial" w:cs="Arial"/>
          <w:kern w:val="0"/>
          <w:sz w:val="22"/>
          <w:szCs w:val="22"/>
          <w14:ligatures w14:val="none"/>
        </w:rPr>
        <w:t>Tannenbaum</w:t>
      </w:r>
      <w:proofErr w:type="spellEnd"/>
      <w:r w:rsidRPr="00086834">
        <w:rPr>
          <w:rFonts w:ascii="Arial" w:hAnsi="Arial" w:cs="Arial"/>
          <w:kern w:val="0"/>
          <w:sz w:val="22"/>
          <w:szCs w:val="22"/>
          <w14:ligatures w14:val="none"/>
        </w:rPr>
        <w:t xml:space="preserve">, R. and Schmidt, W.H. (1973) 'How to choose a leadership pattern', </w:t>
      </w:r>
      <w:r w:rsidRPr="00086834">
        <w:rPr>
          <w:rFonts w:ascii="Arial" w:hAnsi="Arial" w:cs="Arial"/>
          <w:i/>
          <w:iCs/>
          <w:kern w:val="0"/>
          <w:sz w:val="22"/>
          <w:szCs w:val="22"/>
          <w14:ligatures w14:val="none"/>
        </w:rPr>
        <w:t>Harvard Business Review</w:t>
      </w:r>
      <w:r w:rsidRPr="00086834">
        <w:rPr>
          <w:rFonts w:ascii="Arial" w:hAnsi="Arial" w:cs="Arial"/>
          <w:kern w:val="0"/>
          <w:sz w:val="22"/>
          <w:szCs w:val="22"/>
          <w14:ligatures w14:val="none"/>
        </w:rPr>
        <w:t>, 51(3), pp. 162-180.</w:t>
      </w:r>
    </w:p>
    <w:p w14:paraId="25084722"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Taylor, M.J., </w:t>
      </w:r>
      <w:proofErr w:type="spellStart"/>
      <w:r w:rsidRPr="00086834">
        <w:rPr>
          <w:rFonts w:ascii="Arial" w:hAnsi="Arial" w:cs="Arial"/>
          <w:kern w:val="0"/>
          <w:sz w:val="22"/>
          <w:szCs w:val="22"/>
          <w14:ligatures w14:val="none"/>
        </w:rPr>
        <w:t>McNicholas</w:t>
      </w:r>
      <w:proofErr w:type="spellEnd"/>
      <w:r w:rsidRPr="00086834">
        <w:rPr>
          <w:rFonts w:ascii="Arial" w:hAnsi="Arial" w:cs="Arial"/>
          <w:kern w:val="0"/>
          <w:sz w:val="22"/>
          <w:szCs w:val="22"/>
          <w14:ligatures w14:val="none"/>
        </w:rPr>
        <w:t xml:space="preserve">, C., Nicolay, C., </w:t>
      </w:r>
      <w:proofErr w:type="spellStart"/>
      <w:r w:rsidRPr="00086834">
        <w:rPr>
          <w:rFonts w:ascii="Arial" w:hAnsi="Arial" w:cs="Arial"/>
          <w:kern w:val="0"/>
          <w:sz w:val="22"/>
          <w:szCs w:val="22"/>
          <w14:ligatures w14:val="none"/>
        </w:rPr>
        <w:t>Darzi</w:t>
      </w:r>
      <w:proofErr w:type="spellEnd"/>
      <w:r w:rsidRPr="00086834">
        <w:rPr>
          <w:rFonts w:ascii="Arial" w:hAnsi="Arial" w:cs="Arial"/>
          <w:kern w:val="0"/>
          <w:sz w:val="22"/>
          <w:szCs w:val="22"/>
          <w14:ligatures w14:val="none"/>
        </w:rPr>
        <w:t xml:space="preserve">, A., Bell, D. and Reed, J.E. (2014) 'Systematic review of the application of the plan-do-study-act method to improve quality in healthcare', </w:t>
      </w:r>
      <w:r w:rsidRPr="00086834">
        <w:rPr>
          <w:rFonts w:ascii="Arial" w:hAnsi="Arial" w:cs="Arial"/>
          <w:i/>
          <w:iCs/>
          <w:kern w:val="0"/>
          <w:sz w:val="22"/>
          <w:szCs w:val="22"/>
          <w14:ligatures w14:val="none"/>
        </w:rPr>
        <w:t>BMJ Quality &amp; Safety</w:t>
      </w:r>
      <w:r w:rsidRPr="00086834">
        <w:rPr>
          <w:rFonts w:ascii="Arial" w:hAnsi="Arial" w:cs="Arial"/>
          <w:kern w:val="0"/>
          <w:sz w:val="22"/>
          <w:szCs w:val="22"/>
          <w14:ligatures w14:val="none"/>
        </w:rPr>
        <w:t>, 23(4), pp. 290-298.</w:t>
      </w:r>
    </w:p>
    <w:p w14:paraId="499DB1CD"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Vincent, C. (2010) </w:t>
      </w:r>
      <w:r w:rsidRPr="00086834">
        <w:rPr>
          <w:rFonts w:ascii="Arial" w:hAnsi="Arial" w:cs="Arial"/>
          <w:i/>
          <w:iCs/>
          <w:kern w:val="0"/>
          <w:sz w:val="22"/>
          <w:szCs w:val="22"/>
          <w14:ligatures w14:val="none"/>
        </w:rPr>
        <w:t>Patient safety</w:t>
      </w:r>
      <w:r w:rsidRPr="00086834">
        <w:rPr>
          <w:rFonts w:ascii="Arial" w:hAnsi="Arial" w:cs="Arial"/>
          <w:kern w:val="0"/>
          <w:sz w:val="22"/>
          <w:szCs w:val="22"/>
          <w14:ligatures w14:val="none"/>
        </w:rPr>
        <w:t xml:space="preserve">. 2nd </w:t>
      </w:r>
      <w:proofErr w:type="spellStart"/>
      <w:r w:rsidRPr="00086834">
        <w:rPr>
          <w:rFonts w:ascii="Arial" w:hAnsi="Arial" w:cs="Arial"/>
          <w:kern w:val="0"/>
          <w:sz w:val="22"/>
          <w:szCs w:val="22"/>
          <w14:ligatures w14:val="none"/>
        </w:rPr>
        <w:t>edn</w:t>
      </w:r>
      <w:proofErr w:type="spellEnd"/>
      <w:r w:rsidRPr="00086834">
        <w:rPr>
          <w:rFonts w:ascii="Arial" w:hAnsi="Arial" w:cs="Arial"/>
          <w:kern w:val="0"/>
          <w:sz w:val="22"/>
          <w:szCs w:val="22"/>
          <w14:ligatures w14:val="none"/>
        </w:rPr>
        <w:t>. Chichester: Wiley-Blackwell.</w:t>
      </w:r>
    </w:p>
    <w:p w14:paraId="41BAE621"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West, M.A. (2021) </w:t>
      </w:r>
      <w:r w:rsidRPr="00086834">
        <w:rPr>
          <w:rFonts w:ascii="Arial" w:hAnsi="Arial" w:cs="Arial"/>
          <w:i/>
          <w:iCs/>
          <w:kern w:val="0"/>
          <w:sz w:val="22"/>
          <w:szCs w:val="22"/>
          <w14:ligatures w14:val="none"/>
        </w:rPr>
        <w:t>Compassionate leadership: Sustaining wisdom, humanity and presence in health and social care</w:t>
      </w:r>
      <w:r w:rsidRPr="00086834">
        <w:rPr>
          <w:rFonts w:ascii="Arial" w:hAnsi="Arial" w:cs="Arial"/>
          <w:kern w:val="0"/>
          <w:sz w:val="22"/>
          <w:szCs w:val="22"/>
          <w14:ligatures w14:val="none"/>
        </w:rPr>
        <w:t>. London: Swirling Leaf Press.</w:t>
      </w:r>
    </w:p>
    <w:p w14:paraId="3A1B65F7" w14:textId="7E03D096"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West, M.A., </w:t>
      </w:r>
      <w:proofErr w:type="spellStart"/>
      <w:r w:rsidRPr="00086834">
        <w:rPr>
          <w:rFonts w:ascii="Arial" w:hAnsi="Arial" w:cs="Arial"/>
          <w:kern w:val="0"/>
          <w:sz w:val="22"/>
          <w:szCs w:val="22"/>
          <w14:ligatures w14:val="none"/>
        </w:rPr>
        <w:t>Lyubovnikova</w:t>
      </w:r>
      <w:proofErr w:type="spellEnd"/>
      <w:r w:rsidRPr="00086834">
        <w:rPr>
          <w:rFonts w:ascii="Arial" w:hAnsi="Arial" w:cs="Arial"/>
          <w:kern w:val="0"/>
          <w:sz w:val="22"/>
          <w:szCs w:val="22"/>
          <w14:ligatures w14:val="none"/>
        </w:rPr>
        <w:t xml:space="preserve">, J., Eckert, R. and Denis, J.L. (2015) 'Collective leadership for cultures of high quality health care', </w:t>
      </w:r>
      <w:r w:rsidRPr="00086834">
        <w:rPr>
          <w:rFonts w:ascii="Arial" w:hAnsi="Arial" w:cs="Arial"/>
          <w:i/>
          <w:iCs/>
          <w:kern w:val="0"/>
          <w:sz w:val="22"/>
          <w:szCs w:val="22"/>
          <w14:ligatures w14:val="none"/>
        </w:rPr>
        <w:t>Journal of Organi</w:t>
      </w:r>
      <w:r w:rsidR="0087572E">
        <w:rPr>
          <w:rFonts w:ascii="Arial" w:hAnsi="Arial" w:cs="Arial"/>
          <w:i/>
          <w:iCs/>
          <w:kern w:val="0"/>
          <w:sz w:val="22"/>
          <w:szCs w:val="22"/>
          <w14:ligatures w14:val="none"/>
        </w:rPr>
        <w:t>s</w:t>
      </w:r>
      <w:r w:rsidRPr="00086834">
        <w:rPr>
          <w:rFonts w:ascii="Arial" w:hAnsi="Arial" w:cs="Arial"/>
          <w:i/>
          <w:iCs/>
          <w:kern w:val="0"/>
          <w:sz w:val="22"/>
          <w:szCs w:val="22"/>
          <w14:ligatures w14:val="none"/>
        </w:rPr>
        <w:t xml:space="preserve">ational </w:t>
      </w:r>
      <w:r w:rsidR="00207570" w:rsidRPr="00086834">
        <w:rPr>
          <w:rFonts w:ascii="Arial" w:hAnsi="Arial" w:cs="Arial"/>
          <w:i/>
          <w:iCs/>
          <w:kern w:val="0"/>
          <w:sz w:val="22"/>
          <w:szCs w:val="22"/>
          <w14:ligatures w14:val="none"/>
        </w:rPr>
        <w:t>Behaviour</w:t>
      </w:r>
      <w:r w:rsidRPr="00086834">
        <w:rPr>
          <w:rFonts w:ascii="Arial" w:hAnsi="Arial" w:cs="Arial"/>
          <w:kern w:val="0"/>
          <w:sz w:val="22"/>
          <w:szCs w:val="22"/>
          <w14:ligatures w14:val="none"/>
        </w:rPr>
        <w:t>, 36(S1), pp. 14-29.</w:t>
      </w:r>
    </w:p>
    <w:p w14:paraId="482396BD" w14:textId="77777777" w:rsidR="00532903" w:rsidRPr="00086834" w:rsidRDefault="00532903" w:rsidP="008A4C10">
      <w:pPr>
        <w:spacing w:before="100" w:beforeAutospacing="1" w:after="100" w:afterAutospacing="1" w:line="360" w:lineRule="auto"/>
        <w:rPr>
          <w:rFonts w:ascii="Arial" w:hAnsi="Arial" w:cs="Arial"/>
          <w:kern w:val="0"/>
          <w:sz w:val="22"/>
          <w:szCs w:val="22"/>
          <w14:ligatures w14:val="none"/>
        </w:rPr>
      </w:pPr>
      <w:r w:rsidRPr="00086834">
        <w:rPr>
          <w:rFonts w:ascii="Arial" w:hAnsi="Arial" w:cs="Arial"/>
          <w:kern w:val="0"/>
          <w:sz w:val="22"/>
          <w:szCs w:val="22"/>
          <w14:ligatures w14:val="none"/>
        </w:rPr>
        <w:t xml:space="preserve">World Health Organization (2019) </w:t>
      </w:r>
      <w:r w:rsidRPr="00086834">
        <w:rPr>
          <w:rFonts w:ascii="Arial" w:hAnsi="Arial" w:cs="Arial"/>
          <w:i/>
          <w:iCs/>
          <w:kern w:val="0"/>
          <w:sz w:val="22"/>
          <w:szCs w:val="22"/>
          <w14:ligatures w14:val="none"/>
        </w:rPr>
        <w:t>Patient Safety: Global Action on Patient Safety</w:t>
      </w:r>
      <w:r w:rsidRPr="00086834">
        <w:rPr>
          <w:rFonts w:ascii="Arial" w:hAnsi="Arial" w:cs="Arial"/>
          <w:kern w:val="0"/>
          <w:sz w:val="22"/>
          <w:szCs w:val="22"/>
          <w14:ligatures w14:val="none"/>
        </w:rPr>
        <w:t>. Geneva: WHO.</w:t>
      </w:r>
    </w:p>
    <w:p w14:paraId="72DC1205" w14:textId="77777777" w:rsidR="000E73CE" w:rsidRPr="00086834" w:rsidRDefault="000E73CE" w:rsidP="008A4C10">
      <w:pPr>
        <w:spacing w:line="360" w:lineRule="auto"/>
        <w:rPr>
          <w:rFonts w:ascii="Arial" w:hAnsi="Arial" w:cs="Arial"/>
          <w:sz w:val="22"/>
          <w:szCs w:val="22"/>
        </w:rPr>
      </w:pPr>
    </w:p>
    <w:sectPr w:rsidR="000E73CE" w:rsidRPr="0008683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3CE"/>
    <w:rsid w:val="0005194E"/>
    <w:rsid w:val="00086834"/>
    <w:rsid w:val="000E73CE"/>
    <w:rsid w:val="000F3128"/>
    <w:rsid w:val="0017279E"/>
    <w:rsid w:val="00182BED"/>
    <w:rsid w:val="00193372"/>
    <w:rsid w:val="001A5426"/>
    <w:rsid w:val="001B0E14"/>
    <w:rsid w:val="001B2911"/>
    <w:rsid w:val="001D662A"/>
    <w:rsid w:val="00203C3C"/>
    <w:rsid w:val="00207570"/>
    <w:rsid w:val="0021636E"/>
    <w:rsid w:val="00226E06"/>
    <w:rsid w:val="00276364"/>
    <w:rsid w:val="0028559A"/>
    <w:rsid w:val="002B4F84"/>
    <w:rsid w:val="002C15DB"/>
    <w:rsid w:val="002F7EEE"/>
    <w:rsid w:val="0030318A"/>
    <w:rsid w:val="00396B3F"/>
    <w:rsid w:val="003E73AE"/>
    <w:rsid w:val="003E799C"/>
    <w:rsid w:val="004506EE"/>
    <w:rsid w:val="00532903"/>
    <w:rsid w:val="00553BCC"/>
    <w:rsid w:val="0057055C"/>
    <w:rsid w:val="00597C51"/>
    <w:rsid w:val="005E7623"/>
    <w:rsid w:val="006113FC"/>
    <w:rsid w:val="00641615"/>
    <w:rsid w:val="00652B56"/>
    <w:rsid w:val="00744D45"/>
    <w:rsid w:val="00753A4C"/>
    <w:rsid w:val="007B1D0E"/>
    <w:rsid w:val="00804C17"/>
    <w:rsid w:val="00811C60"/>
    <w:rsid w:val="00824428"/>
    <w:rsid w:val="0087572E"/>
    <w:rsid w:val="008771DF"/>
    <w:rsid w:val="008A4C10"/>
    <w:rsid w:val="008B7B60"/>
    <w:rsid w:val="0091700B"/>
    <w:rsid w:val="0095079B"/>
    <w:rsid w:val="00955701"/>
    <w:rsid w:val="009C68FC"/>
    <w:rsid w:val="009F7946"/>
    <w:rsid w:val="00A42B02"/>
    <w:rsid w:val="00A543CE"/>
    <w:rsid w:val="00A7365B"/>
    <w:rsid w:val="00AA2DFA"/>
    <w:rsid w:val="00C0297C"/>
    <w:rsid w:val="00C133A7"/>
    <w:rsid w:val="00C35480"/>
    <w:rsid w:val="00C56239"/>
    <w:rsid w:val="00CD66FD"/>
    <w:rsid w:val="00D32668"/>
    <w:rsid w:val="00D367D6"/>
    <w:rsid w:val="00D6660A"/>
    <w:rsid w:val="00D73974"/>
    <w:rsid w:val="00DA6AAC"/>
    <w:rsid w:val="00DA7994"/>
    <w:rsid w:val="00E6435B"/>
    <w:rsid w:val="00EB17E5"/>
    <w:rsid w:val="00F1289A"/>
    <w:rsid w:val="00F37B5B"/>
    <w:rsid w:val="00FD4F6F"/>
    <w:rsid w:val="00FE071E"/>
    <w:rsid w:val="00FE09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65BD042"/>
  <w15:chartTrackingRefBased/>
  <w15:docId w15:val="{F84EC49B-A8A3-4EF8-B856-17D1D23BE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3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73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73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73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73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73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73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73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73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3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73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73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73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73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73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73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73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73CE"/>
    <w:rPr>
      <w:rFonts w:eastAsiaTheme="majorEastAsia" w:cstheme="majorBidi"/>
      <w:color w:val="272727" w:themeColor="text1" w:themeTint="D8"/>
    </w:rPr>
  </w:style>
  <w:style w:type="paragraph" w:styleId="Title">
    <w:name w:val="Title"/>
    <w:basedOn w:val="Normal"/>
    <w:next w:val="Normal"/>
    <w:link w:val="TitleChar"/>
    <w:uiPriority w:val="10"/>
    <w:qFormat/>
    <w:rsid w:val="000E73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3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3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73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3CE"/>
    <w:pPr>
      <w:spacing w:before="160"/>
      <w:jc w:val="center"/>
    </w:pPr>
    <w:rPr>
      <w:i/>
      <w:iCs/>
      <w:color w:val="404040" w:themeColor="text1" w:themeTint="BF"/>
    </w:rPr>
  </w:style>
  <w:style w:type="character" w:customStyle="1" w:styleId="QuoteChar">
    <w:name w:val="Quote Char"/>
    <w:basedOn w:val="DefaultParagraphFont"/>
    <w:link w:val="Quote"/>
    <w:uiPriority w:val="29"/>
    <w:rsid w:val="000E73CE"/>
    <w:rPr>
      <w:i/>
      <w:iCs/>
      <w:color w:val="404040" w:themeColor="text1" w:themeTint="BF"/>
    </w:rPr>
  </w:style>
  <w:style w:type="paragraph" w:styleId="ListParagraph">
    <w:name w:val="List Paragraph"/>
    <w:basedOn w:val="Normal"/>
    <w:uiPriority w:val="34"/>
    <w:qFormat/>
    <w:rsid w:val="000E73CE"/>
    <w:pPr>
      <w:ind w:left="720"/>
      <w:contextualSpacing/>
    </w:pPr>
  </w:style>
  <w:style w:type="character" w:styleId="IntenseEmphasis">
    <w:name w:val="Intense Emphasis"/>
    <w:basedOn w:val="DefaultParagraphFont"/>
    <w:uiPriority w:val="21"/>
    <w:qFormat/>
    <w:rsid w:val="000E73CE"/>
    <w:rPr>
      <w:i/>
      <w:iCs/>
      <w:color w:val="0F4761" w:themeColor="accent1" w:themeShade="BF"/>
    </w:rPr>
  </w:style>
  <w:style w:type="paragraph" w:styleId="IntenseQuote">
    <w:name w:val="Intense Quote"/>
    <w:basedOn w:val="Normal"/>
    <w:next w:val="Normal"/>
    <w:link w:val="IntenseQuoteChar"/>
    <w:uiPriority w:val="30"/>
    <w:qFormat/>
    <w:rsid w:val="000E73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73CE"/>
    <w:rPr>
      <w:i/>
      <w:iCs/>
      <w:color w:val="0F4761" w:themeColor="accent1" w:themeShade="BF"/>
    </w:rPr>
  </w:style>
  <w:style w:type="character" w:styleId="IntenseReference">
    <w:name w:val="Intense Reference"/>
    <w:basedOn w:val="DefaultParagraphFont"/>
    <w:uiPriority w:val="32"/>
    <w:qFormat/>
    <w:rsid w:val="000E73C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hyperlink" Target="https://www.hssib.org.uk/patient-safety-investigations/unintentional-overdose-of-morphine-sulfate-oral-solution/investigation-report/" TargetMode="External" /><Relationship Id="rId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3709</Words>
  <Characters>21143</Characters>
  <Application>Microsoft Office Word</Application>
  <DocSecurity>0</DocSecurity>
  <Lines>176</Lines>
  <Paragraphs>49</Paragraphs>
  <ScaleCrop>false</ScaleCrop>
  <Company/>
  <LinksUpToDate>false</LinksUpToDate>
  <CharactersWithSpaces>24803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MR</dc:creator>
  <cp:keywords/>
  <dc:description/>
  <cp:lastModifiedBy>- MR</cp:lastModifiedBy>
  <cp:revision>2</cp:revision>
  <dcterms:created xsi:type="dcterms:W3CDTF">2026-10-19T23:53:00Z</dcterms:created>
  <dcterms:modified xsi:type="dcterms:W3CDTF">2026-10-19T23:53:00Z</dcterms:modified>
</cp:coreProperties>
</file>