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5442844"/>
        <w:docPartObj>
          <w:docPartGallery w:val="Cover Pages"/>
          <w:docPartUnique/>
        </w:docPartObj>
      </w:sdtPr>
      <w:sdtEndPr>
        <w:rPr>
          <w:rFonts w:ascii="Arial" w:hAnsi="Arial" w:cs="Arial"/>
        </w:rPr>
      </w:sdtEndPr>
      <w:sdtContent>
        <w:p w14:paraId="4AB9567C" w14:textId="1EAF77D0" w:rsidR="000A7834" w:rsidRDefault="000A7834"/>
        <w:p w14:paraId="4024667A" w14:textId="135F5A27" w:rsidR="000A7834" w:rsidRDefault="000A7834">
          <w:pPr>
            <w:rPr>
              <w:rFonts w:ascii="Arial" w:hAnsi="Arial" w:cs="Arial"/>
            </w:rPr>
          </w:pPr>
          <w:r>
            <w:rPr>
              <w:noProof/>
            </w:rPr>
            <mc:AlternateContent>
              <mc:Choice Requires="wps">
                <w:drawing>
                  <wp:anchor distT="0" distB="0" distL="182880" distR="182880" simplePos="0" relativeHeight="251660288" behindDoc="0" locked="0" layoutInCell="1" allowOverlap="1" wp14:anchorId="49945646" wp14:editId="058C81D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5715" b="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5943C" w14:textId="08C47C4B" w:rsidR="000A7834" w:rsidRDefault="00BB645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A7834" w:rsidRPr="000A7834">
                                      <w:rPr>
                                        <w:color w:val="156082" w:themeColor="accent1"/>
                                        <w:sz w:val="72"/>
                                        <w:szCs w:val="72"/>
                                      </w:rPr>
                                      <w:t>ACDA 6022 – OME Safety Management &amp; Law</w:t>
                                    </w:r>
                                  </w:sdtContent>
                                </w:sdt>
                              </w:p>
                              <w:sdt>
                                <w:sdtPr>
                                  <w:rPr>
                                    <w:rFonts w:eastAsiaTheme="minorHAnsi"/>
                                    <w:caps/>
                                    <w:color w:val="156082" w:themeColor="accent1"/>
                                    <w:kern w:val="2"/>
                                    <w:sz w:val="28"/>
                                    <w:szCs w:val="28"/>
                                    <w:lang w:val="en-GB"/>
                                    <w14:ligatures w14:val="standardContextual"/>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14498F0" w14:textId="76564746" w:rsidR="000A7834" w:rsidRPr="000A7834" w:rsidRDefault="000A7834" w:rsidP="000A7834">
                                    <w:pPr>
                                      <w:pStyle w:val="NoSpacing"/>
                                      <w:spacing w:before="40" w:after="40"/>
                                      <w:rPr>
                                        <w:caps/>
                                        <w:color w:val="156082" w:themeColor="accent1"/>
                                        <w:sz w:val="28"/>
                                        <w:szCs w:val="28"/>
                                      </w:rPr>
                                    </w:pPr>
                                    <w:r w:rsidRPr="000A7834">
                                      <w:rPr>
                                        <w:rFonts w:eastAsiaTheme="minorHAnsi"/>
                                        <w:caps/>
                                        <w:color w:val="156082" w:themeColor="accent1"/>
                                        <w:kern w:val="2"/>
                                        <w:sz w:val="28"/>
                                        <w:szCs w:val="28"/>
                                        <w:lang w:val="en-GB"/>
                                        <w14:ligatures w14:val="standardContextual"/>
                                      </w:rPr>
                                      <w:t>Council Request for Safety Report: Siting an ammunition depot on the SA1 Waterfront</w:t>
                                    </w:r>
                                  </w:p>
                                </w:sdtContent>
                              </w:sdt>
                              <w:sdt>
                                <w:sdtPr>
                                  <w:rPr>
                                    <w:caps/>
                                    <w:color w:val="156082" w:themeColor="accen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AC128B" w14:textId="738FCD05" w:rsidR="000A7834" w:rsidRPr="000A7834" w:rsidRDefault="000A7834">
                                    <w:pPr>
                                      <w:pStyle w:val="NoSpacing"/>
                                      <w:spacing w:before="80" w:after="40"/>
                                      <w:rPr>
                                        <w:caps/>
                                        <w:color w:val="156082" w:themeColor="accent1"/>
                                        <w:sz w:val="24"/>
                                        <w:szCs w:val="24"/>
                                      </w:rPr>
                                    </w:pPr>
                                    <w:r w:rsidRPr="000A7834">
                                      <w:rPr>
                                        <w:caps/>
                                        <w:color w:val="156082" w:themeColor="accent1"/>
                                        <w:sz w:val="24"/>
                                        <w:szCs w:val="24"/>
                                      </w:rPr>
                                      <w:t>Finn Mallon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9945646"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4DF5943C" w14:textId="08C47C4B" w:rsidR="000A7834" w:rsidRDefault="00BB645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A7834" w:rsidRPr="000A7834">
                                <w:rPr>
                                  <w:color w:val="156082" w:themeColor="accent1"/>
                                  <w:sz w:val="72"/>
                                  <w:szCs w:val="72"/>
                                </w:rPr>
                                <w:t>ACDA 6022 – OME Safety Management &amp; Law</w:t>
                              </w:r>
                            </w:sdtContent>
                          </w:sdt>
                        </w:p>
                        <w:sdt>
                          <w:sdtPr>
                            <w:rPr>
                              <w:rFonts w:eastAsiaTheme="minorHAnsi"/>
                              <w:caps/>
                              <w:color w:val="156082" w:themeColor="accent1"/>
                              <w:kern w:val="2"/>
                              <w:sz w:val="28"/>
                              <w:szCs w:val="28"/>
                              <w:lang w:val="en-GB"/>
                              <w14:ligatures w14:val="standardContextual"/>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14498F0" w14:textId="76564746" w:rsidR="000A7834" w:rsidRPr="000A7834" w:rsidRDefault="000A7834" w:rsidP="000A7834">
                              <w:pPr>
                                <w:pStyle w:val="NoSpacing"/>
                                <w:spacing w:before="40" w:after="40"/>
                                <w:rPr>
                                  <w:caps/>
                                  <w:color w:val="156082" w:themeColor="accent1"/>
                                  <w:sz w:val="28"/>
                                  <w:szCs w:val="28"/>
                                </w:rPr>
                              </w:pPr>
                              <w:r w:rsidRPr="000A7834">
                                <w:rPr>
                                  <w:rFonts w:eastAsiaTheme="minorHAnsi"/>
                                  <w:caps/>
                                  <w:color w:val="156082" w:themeColor="accent1"/>
                                  <w:kern w:val="2"/>
                                  <w:sz w:val="28"/>
                                  <w:szCs w:val="28"/>
                                  <w:lang w:val="en-GB"/>
                                  <w14:ligatures w14:val="standardContextual"/>
                                </w:rPr>
                                <w:t>Council Request for Safety Report: Siting an ammunition depot on the SA1 Waterfront</w:t>
                              </w:r>
                            </w:p>
                          </w:sdtContent>
                        </w:sdt>
                        <w:sdt>
                          <w:sdtPr>
                            <w:rPr>
                              <w:caps/>
                              <w:color w:val="156082" w:themeColor="accen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AC128B" w14:textId="738FCD05" w:rsidR="000A7834" w:rsidRPr="000A7834" w:rsidRDefault="000A7834">
                              <w:pPr>
                                <w:pStyle w:val="NoSpacing"/>
                                <w:spacing w:before="80" w:after="40"/>
                                <w:rPr>
                                  <w:caps/>
                                  <w:color w:val="156082" w:themeColor="accent1"/>
                                  <w:sz w:val="24"/>
                                  <w:szCs w:val="24"/>
                                </w:rPr>
                              </w:pPr>
                              <w:r w:rsidRPr="000A7834">
                                <w:rPr>
                                  <w:caps/>
                                  <w:color w:val="156082" w:themeColor="accent1"/>
                                  <w:sz w:val="24"/>
                                  <w:szCs w:val="24"/>
                                </w:rPr>
                                <w:t>Finn Mallon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EE3ED8B" wp14:editId="691CDD3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75032CB" w14:textId="60514ADC" w:rsidR="000A7834" w:rsidRDefault="000A7834">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E3ED8B"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75032CB" w14:textId="60514ADC" w:rsidR="000A7834" w:rsidRDefault="000A7834">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Arial" w:hAnsi="Arial" w:cs="Arial"/>
            </w:rPr>
            <w:br w:type="page"/>
          </w:r>
        </w:p>
      </w:sdtContent>
    </w:sdt>
    <w:sdt>
      <w:sdtPr>
        <w:rPr>
          <w:rFonts w:asciiTheme="minorHAnsi" w:eastAsiaTheme="minorHAnsi" w:hAnsiTheme="minorHAnsi" w:cstheme="minorBidi"/>
          <w:color w:val="auto"/>
          <w:kern w:val="2"/>
          <w:sz w:val="24"/>
          <w:szCs w:val="24"/>
          <w:lang w:val="en-GB"/>
          <w14:ligatures w14:val="standardContextual"/>
        </w:rPr>
        <w:id w:val="-2084138152"/>
        <w:docPartObj>
          <w:docPartGallery w:val="Table of Contents"/>
          <w:docPartUnique/>
        </w:docPartObj>
      </w:sdtPr>
      <w:sdtEndPr>
        <w:rPr>
          <w:b/>
          <w:bCs/>
          <w:noProof/>
        </w:rPr>
      </w:sdtEndPr>
      <w:sdtContent>
        <w:p w14:paraId="488988C0" w14:textId="0D66F576" w:rsidR="000A7834" w:rsidRDefault="000A7834">
          <w:pPr>
            <w:pStyle w:val="TOCHeading"/>
          </w:pPr>
          <w:r>
            <w:t>Contents</w:t>
          </w:r>
        </w:p>
        <w:p w14:paraId="45C9A5D3" w14:textId="2DD1C4B2" w:rsidR="00A94D04" w:rsidRDefault="000A783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26778" w:history="1">
            <w:r w:rsidR="00A94D04" w:rsidRPr="00DD612F">
              <w:rPr>
                <w:rStyle w:val="Hyperlink"/>
                <w:noProof/>
              </w:rPr>
              <w:t>Purpose</w:t>
            </w:r>
            <w:r w:rsidR="00A94D04">
              <w:rPr>
                <w:noProof/>
                <w:webHidden/>
              </w:rPr>
              <w:tab/>
            </w:r>
            <w:r w:rsidR="00A94D04">
              <w:rPr>
                <w:noProof/>
                <w:webHidden/>
              </w:rPr>
              <w:fldChar w:fldCharType="begin"/>
            </w:r>
            <w:r w:rsidR="00A94D04">
              <w:rPr>
                <w:noProof/>
                <w:webHidden/>
              </w:rPr>
              <w:instrText xml:space="preserve"> PAGEREF _Toc216426778 \h </w:instrText>
            </w:r>
            <w:r w:rsidR="00A94D04">
              <w:rPr>
                <w:noProof/>
                <w:webHidden/>
              </w:rPr>
            </w:r>
            <w:r w:rsidR="00A94D04">
              <w:rPr>
                <w:noProof/>
                <w:webHidden/>
              </w:rPr>
              <w:fldChar w:fldCharType="separate"/>
            </w:r>
            <w:r w:rsidR="00A94D04">
              <w:rPr>
                <w:noProof/>
                <w:webHidden/>
              </w:rPr>
              <w:t>2</w:t>
            </w:r>
            <w:r w:rsidR="00A94D04">
              <w:rPr>
                <w:noProof/>
                <w:webHidden/>
              </w:rPr>
              <w:fldChar w:fldCharType="end"/>
            </w:r>
          </w:hyperlink>
        </w:p>
        <w:p w14:paraId="63EB6E96" w14:textId="69C3D8AA" w:rsidR="00A94D04" w:rsidRDefault="00A94D04">
          <w:pPr>
            <w:pStyle w:val="TOC1"/>
            <w:tabs>
              <w:tab w:val="right" w:leader="dot" w:pos="9016"/>
            </w:tabs>
            <w:rPr>
              <w:rFonts w:eastAsiaTheme="minorEastAsia"/>
              <w:noProof/>
              <w:lang w:eastAsia="en-GB"/>
            </w:rPr>
          </w:pPr>
          <w:hyperlink w:anchor="_Toc216426779" w:history="1">
            <w:r w:rsidRPr="00DD612F">
              <w:rPr>
                <w:rStyle w:val="Hyperlink"/>
                <w:noProof/>
              </w:rPr>
              <w:t>Introduction</w:t>
            </w:r>
            <w:r>
              <w:rPr>
                <w:noProof/>
                <w:webHidden/>
              </w:rPr>
              <w:tab/>
            </w:r>
            <w:r>
              <w:rPr>
                <w:noProof/>
                <w:webHidden/>
              </w:rPr>
              <w:fldChar w:fldCharType="begin"/>
            </w:r>
            <w:r>
              <w:rPr>
                <w:noProof/>
                <w:webHidden/>
              </w:rPr>
              <w:instrText xml:space="preserve"> PAGEREF _Toc216426779 \h </w:instrText>
            </w:r>
            <w:r>
              <w:rPr>
                <w:noProof/>
                <w:webHidden/>
              </w:rPr>
            </w:r>
            <w:r>
              <w:rPr>
                <w:noProof/>
                <w:webHidden/>
              </w:rPr>
              <w:fldChar w:fldCharType="separate"/>
            </w:r>
            <w:r>
              <w:rPr>
                <w:noProof/>
                <w:webHidden/>
              </w:rPr>
              <w:t>2</w:t>
            </w:r>
            <w:r>
              <w:rPr>
                <w:noProof/>
                <w:webHidden/>
              </w:rPr>
              <w:fldChar w:fldCharType="end"/>
            </w:r>
          </w:hyperlink>
        </w:p>
        <w:p w14:paraId="59FE4FA6" w14:textId="722B57EA" w:rsidR="00A94D04" w:rsidRDefault="00A94D04">
          <w:pPr>
            <w:pStyle w:val="TOC2"/>
            <w:tabs>
              <w:tab w:val="right" w:leader="dot" w:pos="9016"/>
            </w:tabs>
            <w:rPr>
              <w:rFonts w:eastAsiaTheme="minorEastAsia"/>
              <w:noProof/>
              <w:lang w:eastAsia="en-GB"/>
            </w:rPr>
          </w:pPr>
          <w:hyperlink w:anchor="_Toc216426780" w:history="1">
            <w:r w:rsidRPr="00DD612F">
              <w:rPr>
                <w:rStyle w:val="Hyperlink"/>
                <w:noProof/>
              </w:rPr>
              <w:t>Background –</w:t>
            </w:r>
            <w:r>
              <w:rPr>
                <w:noProof/>
                <w:webHidden/>
              </w:rPr>
              <w:tab/>
            </w:r>
            <w:r>
              <w:rPr>
                <w:noProof/>
                <w:webHidden/>
              </w:rPr>
              <w:fldChar w:fldCharType="begin"/>
            </w:r>
            <w:r>
              <w:rPr>
                <w:noProof/>
                <w:webHidden/>
              </w:rPr>
              <w:instrText xml:space="preserve"> PAGEREF _Toc216426780 \h </w:instrText>
            </w:r>
            <w:r>
              <w:rPr>
                <w:noProof/>
                <w:webHidden/>
              </w:rPr>
            </w:r>
            <w:r>
              <w:rPr>
                <w:noProof/>
                <w:webHidden/>
              </w:rPr>
              <w:fldChar w:fldCharType="separate"/>
            </w:r>
            <w:r>
              <w:rPr>
                <w:noProof/>
                <w:webHidden/>
              </w:rPr>
              <w:t>2</w:t>
            </w:r>
            <w:r>
              <w:rPr>
                <w:noProof/>
                <w:webHidden/>
              </w:rPr>
              <w:fldChar w:fldCharType="end"/>
            </w:r>
          </w:hyperlink>
        </w:p>
        <w:p w14:paraId="0C42875F" w14:textId="28BE17AD" w:rsidR="00A94D04" w:rsidRDefault="00A94D04">
          <w:pPr>
            <w:pStyle w:val="TOC2"/>
            <w:tabs>
              <w:tab w:val="right" w:leader="dot" w:pos="9016"/>
            </w:tabs>
            <w:rPr>
              <w:rFonts w:eastAsiaTheme="minorEastAsia"/>
              <w:noProof/>
              <w:lang w:eastAsia="en-GB"/>
            </w:rPr>
          </w:pPr>
          <w:hyperlink w:anchor="_Toc216426781" w:history="1">
            <w:r w:rsidRPr="00DD612F">
              <w:rPr>
                <w:rStyle w:val="Hyperlink"/>
                <w:noProof/>
              </w:rPr>
              <w:t>Scope –</w:t>
            </w:r>
            <w:r>
              <w:rPr>
                <w:noProof/>
                <w:webHidden/>
              </w:rPr>
              <w:tab/>
            </w:r>
            <w:r>
              <w:rPr>
                <w:noProof/>
                <w:webHidden/>
              </w:rPr>
              <w:fldChar w:fldCharType="begin"/>
            </w:r>
            <w:r>
              <w:rPr>
                <w:noProof/>
                <w:webHidden/>
              </w:rPr>
              <w:instrText xml:space="preserve"> PAGEREF _Toc216426781 \h </w:instrText>
            </w:r>
            <w:r>
              <w:rPr>
                <w:noProof/>
                <w:webHidden/>
              </w:rPr>
            </w:r>
            <w:r>
              <w:rPr>
                <w:noProof/>
                <w:webHidden/>
              </w:rPr>
              <w:fldChar w:fldCharType="separate"/>
            </w:r>
            <w:r>
              <w:rPr>
                <w:noProof/>
                <w:webHidden/>
              </w:rPr>
              <w:t>2</w:t>
            </w:r>
            <w:r>
              <w:rPr>
                <w:noProof/>
                <w:webHidden/>
              </w:rPr>
              <w:fldChar w:fldCharType="end"/>
            </w:r>
          </w:hyperlink>
        </w:p>
        <w:p w14:paraId="6F5008D9" w14:textId="33F96FD9" w:rsidR="00A94D04" w:rsidRDefault="00A94D04">
          <w:pPr>
            <w:pStyle w:val="TOC2"/>
            <w:tabs>
              <w:tab w:val="right" w:leader="dot" w:pos="9016"/>
            </w:tabs>
            <w:rPr>
              <w:rFonts w:eastAsiaTheme="minorEastAsia"/>
              <w:noProof/>
              <w:lang w:eastAsia="en-GB"/>
            </w:rPr>
          </w:pPr>
          <w:hyperlink w:anchor="_Toc216426782" w:history="1">
            <w:r w:rsidRPr="00DD612F">
              <w:rPr>
                <w:rStyle w:val="Hyperlink"/>
                <w:noProof/>
              </w:rPr>
              <w:t>Limitations –</w:t>
            </w:r>
            <w:r>
              <w:rPr>
                <w:noProof/>
                <w:webHidden/>
              </w:rPr>
              <w:tab/>
            </w:r>
            <w:r>
              <w:rPr>
                <w:noProof/>
                <w:webHidden/>
              </w:rPr>
              <w:fldChar w:fldCharType="begin"/>
            </w:r>
            <w:r>
              <w:rPr>
                <w:noProof/>
                <w:webHidden/>
              </w:rPr>
              <w:instrText xml:space="preserve"> PAGEREF _Toc216426782 \h </w:instrText>
            </w:r>
            <w:r>
              <w:rPr>
                <w:noProof/>
                <w:webHidden/>
              </w:rPr>
            </w:r>
            <w:r>
              <w:rPr>
                <w:noProof/>
                <w:webHidden/>
              </w:rPr>
              <w:fldChar w:fldCharType="separate"/>
            </w:r>
            <w:r>
              <w:rPr>
                <w:noProof/>
                <w:webHidden/>
              </w:rPr>
              <w:t>3</w:t>
            </w:r>
            <w:r>
              <w:rPr>
                <w:noProof/>
                <w:webHidden/>
              </w:rPr>
              <w:fldChar w:fldCharType="end"/>
            </w:r>
          </w:hyperlink>
        </w:p>
        <w:p w14:paraId="6C7055A8" w14:textId="7B0DDFEC" w:rsidR="00A94D04" w:rsidRDefault="00A94D04">
          <w:pPr>
            <w:pStyle w:val="TOC1"/>
            <w:tabs>
              <w:tab w:val="right" w:leader="dot" w:pos="9016"/>
            </w:tabs>
            <w:rPr>
              <w:rFonts w:eastAsiaTheme="minorEastAsia"/>
              <w:noProof/>
              <w:lang w:eastAsia="en-GB"/>
            </w:rPr>
          </w:pPr>
          <w:hyperlink w:anchor="_Toc216426783" w:history="1">
            <w:r w:rsidRPr="00DD612F">
              <w:rPr>
                <w:rStyle w:val="Hyperlink"/>
                <w:noProof/>
              </w:rPr>
              <w:t>The Proposed Site</w:t>
            </w:r>
            <w:r>
              <w:rPr>
                <w:noProof/>
                <w:webHidden/>
              </w:rPr>
              <w:tab/>
            </w:r>
            <w:r>
              <w:rPr>
                <w:noProof/>
                <w:webHidden/>
              </w:rPr>
              <w:fldChar w:fldCharType="begin"/>
            </w:r>
            <w:r>
              <w:rPr>
                <w:noProof/>
                <w:webHidden/>
              </w:rPr>
              <w:instrText xml:space="preserve"> PAGEREF _Toc216426783 \h </w:instrText>
            </w:r>
            <w:r>
              <w:rPr>
                <w:noProof/>
                <w:webHidden/>
              </w:rPr>
            </w:r>
            <w:r>
              <w:rPr>
                <w:noProof/>
                <w:webHidden/>
              </w:rPr>
              <w:fldChar w:fldCharType="separate"/>
            </w:r>
            <w:r>
              <w:rPr>
                <w:noProof/>
                <w:webHidden/>
              </w:rPr>
              <w:t>3</w:t>
            </w:r>
            <w:r>
              <w:rPr>
                <w:noProof/>
                <w:webHidden/>
              </w:rPr>
              <w:fldChar w:fldCharType="end"/>
            </w:r>
          </w:hyperlink>
        </w:p>
        <w:p w14:paraId="2C92EC5E" w14:textId="67625110" w:rsidR="00A94D04" w:rsidRDefault="00A94D04">
          <w:pPr>
            <w:pStyle w:val="TOC2"/>
            <w:tabs>
              <w:tab w:val="right" w:leader="dot" w:pos="9016"/>
            </w:tabs>
            <w:rPr>
              <w:rFonts w:eastAsiaTheme="minorEastAsia"/>
              <w:noProof/>
              <w:lang w:eastAsia="en-GB"/>
            </w:rPr>
          </w:pPr>
          <w:hyperlink w:anchor="_Toc216426784" w:history="1">
            <w:r w:rsidRPr="00DD612F">
              <w:rPr>
                <w:rStyle w:val="Hyperlink"/>
                <w:noProof/>
              </w:rPr>
              <w:t>Location &amp; Boundaries –</w:t>
            </w:r>
            <w:r>
              <w:rPr>
                <w:noProof/>
                <w:webHidden/>
              </w:rPr>
              <w:tab/>
            </w:r>
            <w:r>
              <w:rPr>
                <w:noProof/>
                <w:webHidden/>
              </w:rPr>
              <w:fldChar w:fldCharType="begin"/>
            </w:r>
            <w:r>
              <w:rPr>
                <w:noProof/>
                <w:webHidden/>
              </w:rPr>
              <w:instrText xml:space="preserve"> PAGEREF _Toc216426784 \h </w:instrText>
            </w:r>
            <w:r>
              <w:rPr>
                <w:noProof/>
                <w:webHidden/>
              </w:rPr>
            </w:r>
            <w:r>
              <w:rPr>
                <w:noProof/>
                <w:webHidden/>
              </w:rPr>
              <w:fldChar w:fldCharType="separate"/>
            </w:r>
            <w:r>
              <w:rPr>
                <w:noProof/>
                <w:webHidden/>
              </w:rPr>
              <w:t>3</w:t>
            </w:r>
            <w:r>
              <w:rPr>
                <w:noProof/>
                <w:webHidden/>
              </w:rPr>
              <w:fldChar w:fldCharType="end"/>
            </w:r>
          </w:hyperlink>
        </w:p>
        <w:p w14:paraId="1B82A000" w14:textId="675E0DEE" w:rsidR="00A94D04" w:rsidRDefault="00A94D04">
          <w:pPr>
            <w:pStyle w:val="TOC2"/>
            <w:tabs>
              <w:tab w:val="right" w:leader="dot" w:pos="9016"/>
            </w:tabs>
            <w:rPr>
              <w:rFonts w:eastAsiaTheme="minorEastAsia"/>
              <w:noProof/>
              <w:lang w:eastAsia="en-GB"/>
            </w:rPr>
          </w:pPr>
          <w:hyperlink w:anchor="_Toc216426785" w:history="1">
            <w:r w:rsidRPr="00DD612F">
              <w:rPr>
                <w:rStyle w:val="Hyperlink"/>
                <w:noProof/>
              </w:rPr>
              <w:t>Surrounding Environment –</w:t>
            </w:r>
            <w:r>
              <w:rPr>
                <w:noProof/>
                <w:webHidden/>
              </w:rPr>
              <w:tab/>
            </w:r>
            <w:r>
              <w:rPr>
                <w:noProof/>
                <w:webHidden/>
              </w:rPr>
              <w:fldChar w:fldCharType="begin"/>
            </w:r>
            <w:r>
              <w:rPr>
                <w:noProof/>
                <w:webHidden/>
              </w:rPr>
              <w:instrText xml:space="preserve"> PAGEREF _Toc216426785 \h </w:instrText>
            </w:r>
            <w:r>
              <w:rPr>
                <w:noProof/>
                <w:webHidden/>
              </w:rPr>
            </w:r>
            <w:r>
              <w:rPr>
                <w:noProof/>
                <w:webHidden/>
              </w:rPr>
              <w:fldChar w:fldCharType="separate"/>
            </w:r>
            <w:r>
              <w:rPr>
                <w:noProof/>
                <w:webHidden/>
              </w:rPr>
              <w:t>4</w:t>
            </w:r>
            <w:r>
              <w:rPr>
                <w:noProof/>
                <w:webHidden/>
              </w:rPr>
              <w:fldChar w:fldCharType="end"/>
            </w:r>
          </w:hyperlink>
        </w:p>
        <w:p w14:paraId="7D40EF45" w14:textId="7B3D1F15" w:rsidR="00A94D04" w:rsidRDefault="00A94D04">
          <w:pPr>
            <w:pStyle w:val="TOC1"/>
            <w:tabs>
              <w:tab w:val="right" w:leader="dot" w:pos="9016"/>
            </w:tabs>
            <w:rPr>
              <w:rFonts w:eastAsiaTheme="minorEastAsia"/>
              <w:noProof/>
              <w:lang w:eastAsia="en-GB"/>
            </w:rPr>
          </w:pPr>
          <w:hyperlink w:anchor="_Toc216426786" w:history="1">
            <w:r w:rsidRPr="00DD612F">
              <w:rPr>
                <w:rStyle w:val="Hyperlink"/>
                <w:noProof/>
              </w:rPr>
              <w:t>Proposed Facility</w:t>
            </w:r>
            <w:r>
              <w:rPr>
                <w:noProof/>
                <w:webHidden/>
              </w:rPr>
              <w:tab/>
            </w:r>
            <w:r>
              <w:rPr>
                <w:noProof/>
                <w:webHidden/>
              </w:rPr>
              <w:fldChar w:fldCharType="begin"/>
            </w:r>
            <w:r>
              <w:rPr>
                <w:noProof/>
                <w:webHidden/>
              </w:rPr>
              <w:instrText xml:space="preserve"> PAGEREF _Toc216426786 \h </w:instrText>
            </w:r>
            <w:r>
              <w:rPr>
                <w:noProof/>
                <w:webHidden/>
              </w:rPr>
            </w:r>
            <w:r>
              <w:rPr>
                <w:noProof/>
                <w:webHidden/>
              </w:rPr>
              <w:fldChar w:fldCharType="separate"/>
            </w:r>
            <w:r>
              <w:rPr>
                <w:noProof/>
                <w:webHidden/>
              </w:rPr>
              <w:t>5</w:t>
            </w:r>
            <w:r>
              <w:rPr>
                <w:noProof/>
                <w:webHidden/>
              </w:rPr>
              <w:fldChar w:fldCharType="end"/>
            </w:r>
          </w:hyperlink>
        </w:p>
        <w:p w14:paraId="3F283103" w14:textId="55C80ED2" w:rsidR="00A94D04" w:rsidRDefault="00A94D04">
          <w:pPr>
            <w:pStyle w:val="TOC2"/>
            <w:tabs>
              <w:tab w:val="right" w:leader="dot" w:pos="9016"/>
            </w:tabs>
            <w:rPr>
              <w:rFonts w:eastAsiaTheme="minorEastAsia"/>
              <w:noProof/>
              <w:lang w:eastAsia="en-GB"/>
            </w:rPr>
          </w:pPr>
          <w:hyperlink w:anchor="_Toc216426787" w:history="1">
            <w:r w:rsidRPr="00DD612F">
              <w:rPr>
                <w:rStyle w:val="Hyperlink"/>
                <w:noProof/>
              </w:rPr>
              <w:t>Explosive Storehouses (ESH) –</w:t>
            </w:r>
            <w:r>
              <w:rPr>
                <w:noProof/>
                <w:webHidden/>
              </w:rPr>
              <w:tab/>
            </w:r>
            <w:r>
              <w:rPr>
                <w:noProof/>
                <w:webHidden/>
              </w:rPr>
              <w:fldChar w:fldCharType="begin"/>
            </w:r>
            <w:r>
              <w:rPr>
                <w:noProof/>
                <w:webHidden/>
              </w:rPr>
              <w:instrText xml:space="preserve"> PAGEREF _Toc216426787 \h </w:instrText>
            </w:r>
            <w:r>
              <w:rPr>
                <w:noProof/>
                <w:webHidden/>
              </w:rPr>
            </w:r>
            <w:r>
              <w:rPr>
                <w:noProof/>
                <w:webHidden/>
              </w:rPr>
              <w:fldChar w:fldCharType="separate"/>
            </w:r>
            <w:r>
              <w:rPr>
                <w:noProof/>
                <w:webHidden/>
              </w:rPr>
              <w:t>5</w:t>
            </w:r>
            <w:r>
              <w:rPr>
                <w:noProof/>
                <w:webHidden/>
              </w:rPr>
              <w:fldChar w:fldCharType="end"/>
            </w:r>
          </w:hyperlink>
        </w:p>
        <w:p w14:paraId="03ED1F2E" w14:textId="10B45E24" w:rsidR="00A94D04" w:rsidRDefault="00A94D04">
          <w:pPr>
            <w:pStyle w:val="TOC2"/>
            <w:tabs>
              <w:tab w:val="right" w:leader="dot" w:pos="9016"/>
            </w:tabs>
            <w:rPr>
              <w:rFonts w:eastAsiaTheme="minorEastAsia"/>
              <w:noProof/>
              <w:lang w:eastAsia="en-GB"/>
            </w:rPr>
          </w:pPr>
          <w:hyperlink w:anchor="_Toc216426788" w:history="1">
            <w:r w:rsidRPr="00DD612F">
              <w:rPr>
                <w:rStyle w:val="Hyperlink"/>
                <w:noProof/>
              </w:rPr>
              <w:t>Storage Limits &amp; Hazard Divisions –</w:t>
            </w:r>
            <w:r>
              <w:rPr>
                <w:noProof/>
                <w:webHidden/>
              </w:rPr>
              <w:tab/>
            </w:r>
            <w:r>
              <w:rPr>
                <w:noProof/>
                <w:webHidden/>
              </w:rPr>
              <w:fldChar w:fldCharType="begin"/>
            </w:r>
            <w:r>
              <w:rPr>
                <w:noProof/>
                <w:webHidden/>
              </w:rPr>
              <w:instrText xml:space="preserve"> PAGEREF _Toc216426788 \h </w:instrText>
            </w:r>
            <w:r>
              <w:rPr>
                <w:noProof/>
                <w:webHidden/>
              </w:rPr>
            </w:r>
            <w:r>
              <w:rPr>
                <w:noProof/>
                <w:webHidden/>
              </w:rPr>
              <w:fldChar w:fldCharType="separate"/>
            </w:r>
            <w:r>
              <w:rPr>
                <w:noProof/>
                <w:webHidden/>
              </w:rPr>
              <w:t>5</w:t>
            </w:r>
            <w:r>
              <w:rPr>
                <w:noProof/>
                <w:webHidden/>
              </w:rPr>
              <w:fldChar w:fldCharType="end"/>
            </w:r>
          </w:hyperlink>
        </w:p>
        <w:p w14:paraId="3AD1C815" w14:textId="0A51135D" w:rsidR="00A94D04" w:rsidRDefault="00A94D04">
          <w:pPr>
            <w:pStyle w:val="TOC2"/>
            <w:tabs>
              <w:tab w:val="right" w:leader="dot" w:pos="9016"/>
            </w:tabs>
            <w:rPr>
              <w:rFonts w:eastAsiaTheme="minorEastAsia"/>
              <w:noProof/>
              <w:lang w:eastAsia="en-GB"/>
            </w:rPr>
          </w:pPr>
          <w:hyperlink w:anchor="_Toc216426789" w:history="1">
            <w:r w:rsidRPr="00DD612F">
              <w:rPr>
                <w:rStyle w:val="Hyperlink"/>
                <w:noProof/>
              </w:rPr>
              <w:t>Internal Layout –</w:t>
            </w:r>
            <w:r>
              <w:rPr>
                <w:noProof/>
                <w:webHidden/>
              </w:rPr>
              <w:tab/>
            </w:r>
            <w:r>
              <w:rPr>
                <w:noProof/>
                <w:webHidden/>
              </w:rPr>
              <w:fldChar w:fldCharType="begin"/>
            </w:r>
            <w:r>
              <w:rPr>
                <w:noProof/>
                <w:webHidden/>
              </w:rPr>
              <w:instrText xml:space="preserve"> PAGEREF _Toc216426789 \h </w:instrText>
            </w:r>
            <w:r>
              <w:rPr>
                <w:noProof/>
                <w:webHidden/>
              </w:rPr>
            </w:r>
            <w:r>
              <w:rPr>
                <w:noProof/>
                <w:webHidden/>
              </w:rPr>
              <w:fldChar w:fldCharType="separate"/>
            </w:r>
            <w:r>
              <w:rPr>
                <w:noProof/>
                <w:webHidden/>
              </w:rPr>
              <w:t>5</w:t>
            </w:r>
            <w:r>
              <w:rPr>
                <w:noProof/>
                <w:webHidden/>
              </w:rPr>
              <w:fldChar w:fldCharType="end"/>
            </w:r>
          </w:hyperlink>
        </w:p>
        <w:p w14:paraId="1CF59317" w14:textId="0A45F6C6" w:rsidR="00A94D04" w:rsidRDefault="00A94D04">
          <w:pPr>
            <w:pStyle w:val="TOC1"/>
            <w:tabs>
              <w:tab w:val="right" w:leader="dot" w:pos="9016"/>
            </w:tabs>
            <w:rPr>
              <w:rFonts w:eastAsiaTheme="minorEastAsia"/>
              <w:noProof/>
              <w:lang w:eastAsia="en-GB"/>
            </w:rPr>
          </w:pPr>
          <w:hyperlink w:anchor="_Toc216426790" w:history="1">
            <w:r w:rsidRPr="00DD612F">
              <w:rPr>
                <w:rStyle w:val="Hyperlink"/>
                <w:noProof/>
              </w:rPr>
              <w:t>Hazard Identification</w:t>
            </w:r>
            <w:r>
              <w:rPr>
                <w:noProof/>
                <w:webHidden/>
              </w:rPr>
              <w:tab/>
            </w:r>
            <w:r>
              <w:rPr>
                <w:noProof/>
                <w:webHidden/>
              </w:rPr>
              <w:fldChar w:fldCharType="begin"/>
            </w:r>
            <w:r>
              <w:rPr>
                <w:noProof/>
                <w:webHidden/>
              </w:rPr>
              <w:instrText xml:space="preserve"> PAGEREF _Toc216426790 \h </w:instrText>
            </w:r>
            <w:r>
              <w:rPr>
                <w:noProof/>
                <w:webHidden/>
              </w:rPr>
            </w:r>
            <w:r>
              <w:rPr>
                <w:noProof/>
                <w:webHidden/>
              </w:rPr>
              <w:fldChar w:fldCharType="separate"/>
            </w:r>
            <w:r>
              <w:rPr>
                <w:noProof/>
                <w:webHidden/>
              </w:rPr>
              <w:t>6</w:t>
            </w:r>
            <w:r>
              <w:rPr>
                <w:noProof/>
                <w:webHidden/>
              </w:rPr>
              <w:fldChar w:fldCharType="end"/>
            </w:r>
          </w:hyperlink>
        </w:p>
        <w:p w14:paraId="14189B72" w14:textId="04FED245" w:rsidR="00A94D04" w:rsidRDefault="00A94D04">
          <w:pPr>
            <w:pStyle w:val="TOC2"/>
            <w:tabs>
              <w:tab w:val="right" w:leader="dot" w:pos="9016"/>
            </w:tabs>
            <w:rPr>
              <w:rFonts w:eastAsiaTheme="minorEastAsia"/>
              <w:noProof/>
              <w:lang w:eastAsia="en-GB"/>
            </w:rPr>
          </w:pPr>
          <w:hyperlink w:anchor="_Toc216426791" w:history="1">
            <w:r w:rsidRPr="00DD612F">
              <w:rPr>
                <w:rStyle w:val="Hyperlink"/>
                <w:noProof/>
              </w:rPr>
              <w:t>Hazard Types –</w:t>
            </w:r>
            <w:r>
              <w:rPr>
                <w:noProof/>
                <w:webHidden/>
              </w:rPr>
              <w:tab/>
            </w:r>
            <w:r>
              <w:rPr>
                <w:noProof/>
                <w:webHidden/>
              </w:rPr>
              <w:fldChar w:fldCharType="begin"/>
            </w:r>
            <w:r>
              <w:rPr>
                <w:noProof/>
                <w:webHidden/>
              </w:rPr>
              <w:instrText xml:space="preserve"> PAGEREF _Toc216426791 \h </w:instrText>
            </w:r>
            <w:r>
              <w:rPr>
                <w:noProof/>
                <w:webHidden/>
              </w:rPr>
            </w:r>
            <w:r>
              <w:rPr>
                <w:noProof/>
                <w:webHidden/>
              </w:rPr>
              <w:fldChar w:fldCharType="separate"/>
            </w:r>
            <w:r>
              <w:rPr>
                <w:noProof/>
                <w:webHidden/>
              </w:rPr>
              <w:t>6</w:t>
            </w:r>
            <w:r>
              <w:rPr>
                <w:noProof/>
                <w:webHidden/>
              </w:rPr>
              <w:fldChar w:fldCharType="end"/>
            </w:r>
          </w:hyperlink>
        </w:p>
        <w:p w14:paraId="0F101FD6" w14:textId="162DCBCC" w:rsidR="00A94D04" w:rsidRDefault="00A94D04">
          <w:pPr>
            <w:pStyle w:val="TOC2"/>
            <w:tabs>
              <w:tab w:val="right" w:leader="dot" w:pos="9016"/>
            </w:tabs>
            <w:rPr>
              <w:rFonts w:eastAsiaTheme="minorEastAsia"/>
              <w:noProof/>
              <w:lang w:eastAsia="en-GB"/>
            </w:rPr>
          </w:pPr>
          <w:hyperlink w:anchor="_Toc216426792" w:history="1">
            <w:r w:rsidRPr="00DD612F">
              <w:rPr>
                <w:rStyle w:val="Hyperlink"/>
                <w:noProof/>
              </w:rPr>
              <w:t>Safest Storage Solutions (SSS) –</w:t>
            </w:r>
            <w:r>
              <w:rPr>
                <w:noProof/>
                <w:webHidden/>
              </w:rPr>
              <w:tab/>
            </w:r>
            <w:r>
              <w:rPr>
                <w:noProof/>
                <w:webHidden/>
              </w:rPr>
              <w:fldChar w:fldCharType="begin"/>
            </w:r>
            <w:r>
              <w:rPr>
                <w:noProof/>
                <w:webHidden/>
              </w:rPr>
              <w:instrText xml:space="preserve"> PAGEREF _Toc216426792 \h </w:instrText>
            </w:r>
            <w:r>
              <w:rPr>
                <w:noProof/>
                <w:webHidden/>
              </w:rPr>
            </w:r>
            <w:r>
              <w:rPr>
                <w:noProof/>
                <w:webHidden/>
              </w:rPr>
              <w:fldChar w:fldCharType="separate"/>
            </w:r>
            <w:r>
              <w:rPr>
                <w:noProof/>
                <w:webHidden/>
              </w:rPr>
              <w:t>6</w:t>
            </w:r>
            <w:r>
              <w:rPr>
                <w:noProof/>
                <w:webHidden/>
              </w:rPr>
              <w:fldChar w:fldCharType="end"/>
            </w:r>
          </w:hyperlink>
        </w:p>
        <w:p w14:paraId="78A209CA" w14:textId="13740599" w:rsidR="00A94D04" w:rsidRDefault="00A94D04">
          <w:pPr>
            <w:pStyle w:val="TOC2"/>
            <w:tabs>
              <w:tab w:val="right" w:leader="dot" w:pos="9016"/>
            </w:tabs>
            <w:rPr>
              <w:rFonts w:eastAsiaTheme="minorEastAsia"/>
              <w:noProof/>
              <w:lang w:eastAsia="en-GB"/>
            </w:rPr>
          </w:pPr>
          <w:hyperlink w:anchor="_Toc216426793" w:history="1">
            <w:r w:rsidRPr="00DD612F">
              <w:rPr>
                <w:rStyle w:val="Hyperlink"/>
                <w:noProof/>
              </w:rPr>
              <w:t>Specific Internal Layout of all ESH in the SSS –</w:t>
            </w:r>
            <w:r>
              <w:rPr>
                <w:noProof/>
                <w:webHidden/>
              </w:rPr>
              <w:tab/>
            </w:r>
            <w:r>
              <w:rPr>
                <w:noProof/>
                <w:webHidden/>
              </w:rPr>
              <w:fldChar w:fldCharType="begin"/>
            </w:r>
            <w:r>
              <w:rPr>
                <w:noProof/>
                <w:webHidden/>
              </w:rPr>
              <w:instrText xml:space="preserve"> PAGEREF _Toc216426793 \h </w:instrText>
            </w:r>
            <w:r>
              <w:rPr>
                <w:noProof/>
                <w:webHidden/>
              </w:rPr>
            </w:r>
            <w:r>
              <w:rPr>
                <w:noProof/>
                <w:webHidden/>
              </w:rPr>
              <w:fldChar w:fldCharType="separate"/>
            </w:r>
            <w:r>
              <w:rPr>
                <w:noProof/>
                <w:webHidden/>
              </w:rPr>
              <w:t>8</w:t>
            </w:r>
            <w:r>
              <w:rPr>
                <w:noProof/>
                <w:webHidden/>
              </w:rPr>
              <w:fldChar w:fldCharType="end"/>
            </w:r>
          </w:hyperlink>
        </w:p>
        <w:p w14:paraId="7B5E7B4C" w14:textId="6C8F5A03" w:rsidR="00A94D04" w:rsidRDefault="00A94D04">
          <w:pPr>
            <w:pStyle w:val="TOC2"/>
            <w:tabs>
              <w:tab w:val="right" w:leader="dot" w:pos="9016"/>
            </w:tabs>
            <w:rPr>
              <w:rFonts w:eastAsiaTheme="minorEastAsia"/>
              <w:noProof/>
              <w:lang w:eastAsia="en-GB"/>
            </w:rPr>
          </w:pPr>
          <w:hyperlink w:anchor="_Toc216426794" w:history="1">
            <w:r w:rsidRPr="00DD612F">
              <w:rPr>
                <w:rStyle w:val="Hyperlink"/>
                <w:noProof/>
              </w:rPr>
              <w:t>Maximum Credible Event Scenario (MCE) –</w:t>
            </w:r>
            <w:r>
              <w:rPr>
                <w:noProof/>
                <w:webHidden/>
              </w:rPr>
              <w:tab/>
            </w:r>
            <w:r>
              <w:rPr>
                <w:noProof/>
                <w:webHidden/>
              </w:rPr>
              <w:fldChar w:fldCharType="begin"/>
            </w:r>
            <w:r>
              <w:rPr>
                <w:noProof/>
                <w:webHidden/>
              </w:rPr>
              <w:instrText xml:space="preserve"> PAGEREF _Toc216426794 \h </w:instrText>
            </w:r>
            <w:r>
              <w:rPr>
                <w:noProof/>
                <w:webHidden/>
              </w:rPr>
            </w:r>
            <w:r>
              <w:rPr>
                <w:noProof/>
                <w:webHidden/>
              </w:rPr>
              <w:fldChar w:fldCharType="separate"/>
            </w:r>
            <w:r>
              <w:rPr>
                <w:noProof/>
                <w:webHidden/>
              </w:rPr>
              <w:t>8</w:t>
            </w:r>
            <w:r>
              <w:rPr>
                <w:noProof/>
                <w:webHidden/>
              </w:rPr>
              <w:fldChar w:fldCharType="end"/>
            </w:r>
          </w:hyperlink>
        </w:p>
        <w:p w14:paraId="72AD089E" w14:textId="231B61E1" w:rsidR="00A94D04" w:rsidRDefault="00A94D04">
          <w:pPr>
            <w:pStyle w:val="TOC1"/>
            <w:tabs>
              <w:tab w:val="right" w:leader="dot" w:pos="9016"/>
            </w:tabs>
            <w:rPr>
              <w:rFonts w:eastAsiaTheme="minorEastAsia"/>
              <w:noProof/>
              <w:lang w:eastAsia="en-GB"/>
            </w:rPr>
          </w:pPr>
          <w:hyperlink w:anchor="_Toc216426795" w:history="1">
            <w:r w:rsidRPr="00DD612F">
              <w:rPr>
                <w:rStyle w:val="Hyperlink"/>
                <w:noProof/>
              </w:rPr>
              <w:t>QD Calculations</w:t>
            </w:r>
            <w:r>
              <w:rPr>
                <w:noProof/>
                <w:webHidden/>
              </w:rPr>
              <w:tab/>
            </w:r>
            <w:r>
              <w:rPr>
                <w:noProof/>
                <w:webHidden/>
              </w:rPr>
              <w:fldChar w:fldCharType="begin"/>
            </w:r>
            <w:r>
              <w:rPr>
                <w:noProof/>
                <w:webHidden/>
              </w:rPr>
              <w:instrText xml:space="preserve"> PAGEREF _Toc216426795 \h </w:instrText>
            </w:r>
            <w:r>
              <w:rPr>
                <w:noProof/>
                <w:webHidden/>
              </w:rPr>
            </w:r>
            <w:r>
              <w:rPr>
                <w:noProof/>
                <w:webHidden/>
              </w:rPr>
              <w:fldChar w:fldCharType="separate"/>
            </w:r>
            <w:r>
              <w:rPr>
                <w:noProof/>
                <w:webHidden/>
              </w:rPr>
              <w:t>10</w:t>
            </w:r>
            <w:r>
              <w:rPr>
                <w:noProof/>
                <w:webHidden/>
              </w:rPr>
              <w:fldChar w:fldCharType="end"/>
            </w:r>
          </w:hyperlink>
        </w:p>
        <w:p w14:paraId="733098E5" w14:textId="06BEE2D6" w:rsidR="00A94D04" w:rsidRDefault="00A94D04">
          <w:pPr>
            <w:pStyle w:val="TOC2"/>
            <w:tabs>
              <w:tab w:val="right" w:leader="dot" w:pos="9016"/>
            </w:tabs>
            <w:rPr>
              <w:rFonts w:eastAsiaTheme="minorEastAsia"/>
              <w:noProof/>
              <w:lang w:eastAsia="en-GB"/>
            </w:rPr>
          </w:pPr>
          <w:hyperlink w:anchor="_Toc216426796" w:history="1">
            <w:r w:rsidRPr="00DD612F">
              <w:rPr>
                <w:rStyle w:val="Hyperlink"/>
                <w:noProof/>
              </w:rPr>
              <w:t>Relevant Standards &amp; Regulations –</w:t>
            </w:r>
            <w:r>
              <w:rPr>
                <w:noProof/>
                <w:webHidden/>
              </w:rPr>
              <w:tab/>
            </w:r>
            <w:r>
              <w:rPr>
                <w:noProof/>
                <w:webHidden/>
              </w:rPr>
              <w:fldChar w:fldCharType="begin"/>
            </w:r>
            <w:r>
              <w:rPr>
                <w:noProof/>
                <w:webHidden/>
              </w:rPr>
              <w:instrText xml:space="preserve"> PAGEREF _Toc216426796 \h </w:instrText>
            </w:r>
            <w:r>
              <w:rPr>
                <w:noProof/>
                <w:webHidden/>
              </w:rPr>
            </w:r>
            <w:r>
              <w:rPr>
                <w:noProof/>
                <w:webHidden/>
              </w:rPr>
              <w:fldChar w:fldCharType="separate"/>
            </w:r>
            <w:r>
              <w:rPr>
                <w:noProof/>
                <w:webHidden/>
              </w:rPr>
              <w:t>10</w:t>
            </w:r>
            <w:r>
              <w:rPr>
                <w:noProof/>
                <w:webHidden/>
              </w:rPr>
              <w:fldChar w:fldCharType="end"/>
            </w:r>
          </w:hyperlink>
        </w:p>
        <w:p w14:paraId="2A668101" w14:textId="748FCD30" w:rsidR="00A94D04" w:rsidRDefault="00A94D04">
          <w:pPr>
            <w:pStyle w:val="TOC2"/>
            <w:tabs>
              <w:tab w:val="right" w:leader="dot" w:pos="9016"/>
            </w:tabs>
            <w:rPr>
              <w:rFonts w:eastAsiaTheme="minorEastAsia"/>
              <w:noProof/>
              <w:lang w:eastAsia="en-GB"/>
            </w:rPr>
          </w:pPr>
          <w:hyperlink w:anchor="_Toc216426797" w:history="1">
            <w:r w:rsidRPr="00DD612F">
              <w:rPr>
                <w:rStyle w:val="Hyperlink"/>
                <w:noProof/>
              </w:rPr>
              <w:t>Net Explosive Quantity Inputs –</w:t>
            </w:r>
            <w:r>
              <w:rPr>
                <w:noProof/>
                <w:webHidden/>
              </w:rPr>
              <w:tab/>
            </w:r>
            <w:r>
              <w:rPr>
                <w:noProof/>
                <w:webHidden/>
              </w:rPr>
              <w:fldChar w:fldCharType="begin"/>
            </w:r>
            <w:r>
              <w:rPr>
                <w:noProof/>
                <w:webHidden/>
              </w:rPr>
              <w:instrText xml:space="preserve"> PAGEREF _Toc216426797 \h </w:instrText>
            </w:r>
            <w:r>
              <w:rPr>
                <w:noProof/>
                <w:webHidden/>
              </w:rPr>
            </w:r>
            <w:r>
              <w:rPr>
                <w:noProof/>
                <w:webHidden/>
              </w:rPr>
              <w:fldChar w:fldCharType="separate"/>
            </w:r>
            <w:r>
              <w:rPr>
                <w:noProof/>
                <w:webHidden/>
              </w:rPr>
              <w:t>11</w:t>
            </w:r>
            <w:r>
              <w:rPr>
                <w:noProof/>
                <w:webHidden/>
              </w:rPr>
              <w:fldChar w:fldCharType="end"/>
            </w:r>
          </w:hyperlink>
        </w:p>
        <w:p w14:paraId="396FC7EC" w14:textId="118C7824" w:rsidR="00A94D04" w:rsidRDefault="00A94D04">
          <w:pPr>
            <w:pStyle w:val="TOC2"/>
            <w:tabs>
              <w:tab w:val="right" w:leader="dot" w:pos="9016"/>
            </w:tabs>
            <w:rPr>
              <w:rFonts w:eastAsiaTheme="minorEastAsia"/>
              <w:noProof/>
              <w:lang w:eastAsia="en-GB"/>
            </w:rPr>
          </w:pPr>
          <w:hyperlink w:anchor="_Toc216426798" w:history="1">
            <w:r w:rsidRPr="00DD612F">
              <w:rPr>
                <w:rStyle w:val="Hyperlink"/>
                <w:noProof/>
              </w:rPr>
              <w:t>Safety Distance Requirements –</w:t>
            </w:r>
            <w:r>
              <w:rPr>
                <w:noProof/>
                <w:webHidden/>
              </w:rPr>
              <w:tab/>
            </w:r>
            <w:r>
              <w:rPr>
                <w:noProof/>
                <w:webHidden/>
              </w:rPr>
              <w:fldChar w:fldCharType="begin"/>
            </w:r>
            <w:r>
              <w:rPr>
                <w:noProof/>
                <w:webHidden/>
              </w:rPr>
              <w:instrText xml:space="preserve"> PAGEREF _Toc216426798 \h </w:instrText>
            </w:r>
            <w:r>
              <w:rPr>
                <w:noProof/>
                <w:webHidden/>
              </w:rPr>
            </w:r>
            <w:r>
              <w:rPr>
                <w:noProof/>
                <w:webHidden/>
              </w:rPr>
              <w:fldChar w:fldCharType="separate"/>
            </w:r>
            <w:r>
              <w:rPr>
                <w:noProof/>
                <w:webHidden/>
              </w:rPr>
              <w:t>11</w:t>
            </w:r>
            <w:r>
              <w:rPr>
                <w:noProof/>
                <w:webHidden/>
              </w:rPr>
              <w:fldChar w:fldCharType="end"/>
            </w:r>
          </w:hyperlink>
        </w:p>
        <w:p w14:paraId="10558A4B" w14:textId="24ED6056" w:rsidR="00A94D04" w:rsidRDefault="00A94D04">
          <w:pPr>
            <w:pStyle w:val="TOC1"/>
            <w:tabs>
              <w:tab w:val="right" w:leader="dot" w:pos="9016"/>
            </w:tabs>
            <w:rPr>
              <w:rFonts w:eastAsiaTheme="minorEastAsia"/>
              <w:noProof/>
              <w:lang w:eastAsia="en-GB"/>
            </w:rPr>
          </w:pPr>
          <w:hyperlink w:anchor="_Toc216426799" w:history="1">
            <w:r w:rsidRPr="00DD612F">
              <w:rPr>
                <w:rStyle w:val="Hyperlink"/>
                <w:noProof/>
              </w:rPr>
              <w:t>Recommendations</w:t>
            </w:r>
            <w:r>
              <w:rPr>
                <w:noProof/>
                <w:webHidden/>
              </w:rPr>
              <w:tab/>
            </w:r>
            <w:r>
              <w:rPr>
                <w:noProof/>
                <w:webHidden/>
              </w:rPr>
              <w:fldChar w:fldCharType="begin"/>
            </w:r>
            <w:r>
              <w:rPr>
                <w:noProof/>
                <w:webHidden/>
              </w:rPr>
              <w:instrText xml:space="preserve"> PAGEREF _Toc216426799 \h </w:instrText>
            </w:r>
            <w:r>
              <w:rPr>
                <w:noProof/>
                <w:webHidden/>
              </w:rPr>
            </w:r>
            <w:r>
              <w:rPr>
                <w:noProof/>
                <w:webHidden/>
              </w:rPr>
              <w:fldChar w:fldCharType="separate"/>
            </w:r>
            <w:r>
              <w:rPr>
                <w:noProof/>
                <w:webHidden/>
              </w:rPr>
              <w:t>17</w:t>
            </w:r>
            <w:r>
              <w:rPr>
                <w:noProof/>
                <w:webHidden/>
              </w:rPr>
              <w:fldChar w:fldCharType="end"/>
            </w:r>
          </w:hyperlink>
        </w:p>
        <w:p w14:paraId="3CA725C1" w14:textId="21483C5E" w:rsidR="00A94D04" w:rsidRDefault="00A94D04">
          <w:pPr>
            <w:pStyle w:val="TOC1"/>
            <w:tabs>
              <w:tab w:val="right" w:leader="dot" w:pos="9016"/>
            </w:tabs>
            <w:rPr>
              <w:rFonts w:eastAsiaTheme="minorEastAsia"/>
              <w:noProof/>
              <w:lang w:eastAsia="en-GB"/>
            </w:rPr>
          </w:pPr>
          <w:hyperlink w:anchor="_Toc216426800" w:history="1">
            <w:r w:rsidRPr="00DD612F">
              <w:rPr>
                <w:rStyle w:val="Hyperlink"/>
                <w:noProof/>
              </w:rPr>
              <w:t>Safety Questions for Risk Reduction</w:t>
            </w:r>
            <w:r>
              <w:rPr>
                <w:noProof/>
                <w:webHidden/>
              </w:rPr>
              <w:tab/>
            </w:r>
            <w:r>
              <w:rPr>
                <w:noProof/>
                <w:webHidden/>
              </w:rPr>
              <w:fldChar w:fldCharType="begin"/>
            </w:r>
            <w:r>
              <w:rPr>
                <w:noProof/>
                <w:webHidden/>
              </w:rPr>
              <w:instrText xml:space="preserve"> PAGEREF _Toc216426800 \h </w:instrText>
            </w:r>
            <w:r>
              <w:rPr>
                <w:noProof/>
                <w:webHidden/>
              </w:rPr>
            </w:r>
            <w:r>
              <w:rPr>
                <w:noProof/>
                <w:webHidden/>
              </w:rPr>
              <w:fldChar w:fldCharType="separate"/>
            </w:r>
            <w:r>
              <w:rPr>
                <w:noProof/>
                <w:webHidden/>
              </w:rPr>
              <w:t>17</w:t>
            </w:r>
            <w:r>
              <w:rPr>
                <w:noProof/>
                <w:webHidden/>
              </w:rPr>
              <w:fldChar w:fldCharType="end"/>
            </w:r>
          </w:hyperlink>
        </w:p>
        <w:p w14:paraId="73603407" w14:textId="2970B903" w:rsidR="00A94D04" w:rsidRDefault="00A94D04">
          <w:pPr>
            <w:pStyle w:val="TOC1"/>
            <w:tabs>
              <w:tab w:val="right" w:leader="dot" w:pos="9016"/>
            </w:tabs>
            <w:rPr>
              <w:rFonts w:eastAsiaTheme="minorEastAsia"/>
              <w:noProof/>
              <w:lang w:eastAsia="en-GB"/>
            </w:rPr>
          </w:pPr>
          <w:hyperlink w:anchor="_Toc216426801" w:history="1">
            <w:r w:rsidRPr="00DD612F">
              <w:rPr>
                <w:rStyle w:val="Hyperlink"/>
                <w:noProof/>
              </w:rPr>
              <w:t>Conclusion</w:t>
            </w:r>
            <w:r>
              <w:rPr>
                <w:noProof/>
                <w:webHidden/>
              </w:rPr>
              <w:tab/>
            </w:r>
            <w:r>
              <w:rPr>
                <w:noProof/>
                <w:webHidden/>
              </w:rPr>
              <w:fldChar w:fldCharType="begin"/>
            </w:r>
            <w:r>
              <w:rPr>
                <w:noProof/>
                <w:webHidden/>
              </w:rPr>
              <w:instrText xml:space="preserve"> PAGEREF _Toc216426801 \h </w:instrText>
            </w:r>
            <w:r>
              <w:rPr>
                <w:noProof/>
                <w:webHidden/>
              </w:rPr>
            </w:r>
            <w:r>
              <w:rPr>
                <w:noProof/>
                <w:webHidden/>
              </w:rPr>
              <w:fldChar w:fldCharType="separate"/>
            </w:r>
            <w:r>
              <w:rPr>
                <w:noProof/>
                <w:webHidden/>
              </w:rPr>
              <w:t>17</w:t>
            </w:r>
            <w:r>
              <w:rPr>
                <w:noProof/>
                <w:webHidden/>
              </w:rPr>
              <w:fldChar w:fldCharType="end"/>
            </w:r>
          </w:hyperlink>
        </w:p>
        <w:p w14:paraId="4CB8E55B" w14:textId="2ED3F69F" w:rsidR="00A94D04" w:rsidRDefault="00A94D04">
          <w:pPr>
            <w:pStyle w:val="TOC1"/>
            <w:tabs>
              <w:tab w:val="right" w:leader="dot" w:pos="9016"/>
            </w:tabs>
            <w:rPr>
              <w:rFonts w:eastAsiaTheme="minorEastAsia"/>
              <w:noProof/>
              <w:lang w:eastAsia="en-GB"/>
            </w:rPr>
          </w:pPr>
          <w:hyperlink w:anchor="_Toc216426802" w:history="1">
            <w:r w:rsidRPr="00DD612F">
              <w:rPr>
                <w:rStyle w:val="Hyperlink"/>
                <w:noProof/>
              </w:rPr>
              <w:t>References</w:t>
            </w:r>
            <w:r>
              <w:rPr>
                <w:noProof/>
                <w:webHidden/>
              </w:rPr>
              <w:tab/>
            </w:r>
            <w:r>
              <w:rPr>
                <w:noProof/>
                <w:webHidden/>
              </w:rPr>
              <w:fldChar w:fldCharType="begin"/>
            </w:r>
            <w:r>
              <w:rPr>
                <w:noProof/>
                <w:webHidden/>
              </w:rPr>
              <w:instrText xml:space="preserve"> PAGEREF _Toc216426802 \h </w:instrText>
            </w:r>
            <w:r>
              <w:rPr>
                <w:noProof/>
                <w:webHidden/>
              </w:rPr>
            </w:r>
            <w:r>
              <w:rPr>
                <w:noProof/>
                <w:webHidden/>
              </w:rPr>
              <w:fldChar w:fldCharType="separate"/>
            </w:r>
            <w:r>
              <w:rPr>
                <w:noProof/>
                <w:webHidden/>
              </w:rPr>
              <w:t>18</w:t>
            </w:r>
            <w:r>
              <w:rPr>
                <w:noProof/>
                <w:webHidden/>
              </w:rPr>
              <w:fldChar w:fldCharType="end"/>
            </w:r>
          </w:hyperlink>
        </w:p>
        <w:p w14:paraId="5F500903" w14:textId="6C43B4CA" w:rsidR="000A7834" w:rsidRDefault="000A7834">
          <w:r>
            <w:rPr>
              <w:b/>
              <w:bCs/>
              <w:noProof/>
            </w:rPr>
            <w:fldChar w:fldCharType="end"/>
          </w:r>
        </w:p>
      </w:sdtContent>
    </w:sdt>
    <w:p w14:paraId="57F241BD" w14:textId="2C0E64E7" w:rsidR="00933A89" w:rsidRDefault="00933A8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16428066" w:history="1">
        <w:r w:rsidRPr="00346D38">
          <w:rPr>
            <w:rStyle w:val="Hyperlink"/>
            <w:noProof/>
          </w:rPr>
          <w:t>Figure 1 - Explosive Site</w:t>
        </w:r>
        <w:r>
          <w:rPr>
            <w:noProof/>
            <w:webHidden/>
          </w:rPr>
          <w:tab/>
        </w:r>
        <w:r>
          <w:rPr>
            <w:noProof/>
            <w:webHidden/>
          </w:rPr>
          <w:fldChar w:fldCharType="begin"/>
        </w:r>
        <w:r>
          <w:rPr>
            <w:noProof/>
            <w:webHidden/>
          </w:rPr>
          <w:instrText xml:space="preserve"> PAGEREF _Toc216428066 \h </w:instrText>
        </w:r>
        <w:r>
          <w:rPr>
            <w:noProof/>
            <w:webHidden/>
          </w:rPr>
        </w:r>
        <w:r>
          <w:rPr>
            <w:noProof/>
            <w:webHidden/>
          </w:rPr>
          <w:fldChar w:fldCharType="separate"/>
        </w:r>
        <w:r>
          <w:rPr>
            <w:noProof/>
            <w:webHidden/>
          </w:rPr>
          <w:t>4</w:t>
        </w:r>
        <w:r>
          <w:rPr>
            <w:noProof/>
            <w:webHidden/>
          </w:rPr>
          <w:fldChar w:fldCharType="end"/>
        </w:r>
      </w:hyperlink>
    </w:p>
    <w:p w14:paraId="03D0D15F" w14:textId="58135B97" w:rsidR="00933A89" w:rsidRDefault="00933A89">
      <w:pPr>
        <w:pStyle w:val="TableofFigures"/>
        <w:tabs>
          <w:tab w:val="right" w:leader="dot" w:pos="9016"/>
        </w:tabs>
        <w:rPr>
          <w:rFonts w:eastAsiaTheme="minorEastAsia"/>
          <w:noProof/>
          <w:lang w:eastAsia="en-GB"/>
        </w:rPr>
      </w:pPr>
      <w:hyperlink w:anchor="_Toc216428067" w:history="1">
        <w:r w:rsidRPr="00346D38">
          <w:rPr>
            <w:rStyle w:val="Hyperlink"/>
            <w:noProof/>
          </w:rPr>
          <w:t>Figure 2 - Explosive Site - Exposed Buildings</w:t>
        </w:r>
        <w:r>
          <w:rPr>
            <w:noProof/>
            <w:webHidden/>
          </w:rPr>
          <w:tab/>
        </w:r>
        <w:r>
          <w:rPr>
            <w:noProof/>
            <w:webHidden/>
          </w:rPr>
          <w:fldChar w:fldCharType="begin"/>
        </w:r>
        <w:r>
          <w:rPr>
            <w:noProof/>
            <w:webHidden/>
          </w:rPr>
          <w:instrText xml:space="preserve"> PAGEREF _Toc216428067 \h </w:instrText>
        </w:r>
        <w:r>
          <w:rPr>
            <w:noProof/>
            <w:webHidden/>
          </w:rPr>
        </w:r>
        <w:r>
          <w:rPr>
            <w:noProof/>
            <w:webHidden/>
          </w:rPr>
          <w:fldChar w:fldCharType="separate"/>
        </w:r>
        <w:r>
          <w:rPr>
            <w:noProof/>
            <w:webHidden/>
          </w:rPr>
          <w:t>4</w:t>
        </w:r>
        <w:r>
          <w:rPr>
            <w:noProof/>
            <w:webHidden/>
          </w:rPr>
          <w:fldChar w:fldCharType="end"/>
        </w:r>
      </w:hyperlink>
    </w:p>
    <w:p w14:paraId="7CFCD797" w14:textId="13349012" w:rsidR="00933A89" w:rsidRDefault="00933A89">
      <w:pPr>
        <w:pStyle w:val="TableofFigures"/>
        <w:tabs>
          <w:tab w:val="right" w:leader="dot" w:pos="9016"/>
        </w:tabs>
        <w:rPr>
          <w:rFonts w:eastAsiaTheme="minorEastAsia"/>
          <w:noProof/>
          <w:lang w:eastAsia="en-GB"/>
        </w:rPr>
      </w:pPr>
      <w:hyperlink w:anchor="_Toc216428068" w:history="1">
        <w:r w:rsidRPr="00346D38">
          <w:rPr>
            <w:rStyle w:val="Hyperlink"/>
            <w:noProof/>
          </w:rPr>
          <w:t>Figure 3 - ESH Layout</w:t>
        </w:r>
        <w:r>
          <w:rPr>
            <w:noProof/>
            <w:webHidden/>
          </w:rPr>
          <w:tab/>
        </w:r>
        <w:r>
          <w:rPr>
            <w:noProof/>
            <w:webHidden/>
          </w:rPr>
          <w:fldChar w:fldCharType="begin"/>
        </w:r>
        <w:r>
          <w:rPr>
            <w:noProof/>
            <w:webHidden/>
          </w:rPr>
          <w:instrText xml:space="preserve"> PAGEREF _Toc216428068 \h </w:instrText>
        </w:r>
        <w:r>
          <w:rPr>
            <w:noProof/>
            <w:webHidden/>
          </w:rPr>
        </w:r>
        <w:r>
          <w:rPr>
            <w:noProof/>
            <w:webHidden/>
          </w:rPr>
          <w:fldChar w:fldCharType="separate"/>
        </w:r>
        <w:r>
          <w:rPr>
            <w:noProof/>
            <w:webHidden/>
          </w:rPr>
          <w:t>12</w:t>
        </w:r>
        <w:r>
          <w:rPr>
            <w:noProof/>
            <w:webHidden/>
          </w:rPr>
          <w:fldChar w:fldCharType="end"/>
        </w:r>
      </w:hyperlink>
    </w:p>
    <w:p w14:paraId="6B92F2D9" w14:textId="77777777" w:rsidR="00933A89" w:rsidRDefault="00933A89" w:rsidP="004A3A4E">
      <w:pPr>
        <w:rPr>
          <w:noProof/>
        </w:rPr>
      </w:pPr>
      <w:r>
        <w:fldChar w:fldCharType="end"/>
      </w:r>
      <w:r>
        <w:fldChar w:fldCharType="begin"/>
      </w:r>
      <w:r>
        <w:instrText xml:space="preserve"> TOC \h \z \c "Table" </w:instrText>
      </w:r>
      <w:r>
        <w:fldChar w:fldCharType="separate"/>
      </w:r>
    </w:p>
    <w:p w14:paraId="7F7B63A4" w14:textId="7A2D541C" w:rsidR="00933A89" w:rsidRDefault="00933A89">
      <w:pPr>
        <w:pStyle w:val="TableofFigures"/>
        <w:tabs>
          <w:tab w:val="right" w:leader="dot" w:pos="9016"/>
        </w:tabs>
        <w:rPr>
          <w:rFonts w:eastAsiaTheme="minorEastAsia"/>
          <w:noProof/>
          <w:lang w:eastAsia="en-GB"/>
        </w:rPr>
      </w:pPr>
      <w:hyperlink w:anchor="_Toc216428072" w:history="1">
        <w:r w:rsidRPr="00AA0824">
          <w:rPr>
            <w:rStyle w:val="Hyperlink"/>
            <w:noProof/>
          </w:rPr>
          <w:t>Table 1 - Exposed Sites</w:t>
        </w:r>
        <w:r>
          <w:rPr>
            <w:noProof/>
            <w:webHidden/>
          </w:rPr>
          <w:tab/>
        </w:r>
        <w:r>
          <w:rPr>
            <w:noProof/>
            <w:webHidden/>
          </w:rPr>
          <w:fldChar w:fldCharType="begin"/>
        </w:r>
        <w:r>
          <w:rPr>
            <w:noProof/>
            <w:webHidden/>
          </w:rPr>
          <w:instrText xml:space="preserve"> PAGEREF _Toc216428072 \h </w:instrText>
        </w:r>
        <w:r>
          <w:rPr>
            <w:noProof/>
            <w:webHidden/>
          </w:rPr>
        </w:r>
        <w:r>
          <w:rPr>
            <w:noProof/>
            <w:webHidden/>
          </w:rPr>
          <w:fldChar w:fldCharType="separate"/>
        </w:r>
        <w:r>
          <w:rPr>
            <w:noProof/>
            <w:webHidden/>
          </w:rPr>
          <w:t>5</w:t>
        </w:r>
        <w:r>
          <w:rPr>
            <w:noProof/>
            <w:webHidden/>
          </w:rPr>
          <w:fldChar w:fldCharType="end"/>
        </w:r>
      </w:hyperlink>
    </w:p>
    <w:p w14:paraId="3BAA91AD" w14:textId="0CB22606" w:rsidR="00933A89" w:rsidRDefault="00933A89">
      <w:pPr>
        <w:pStyle w:val="TableofFigures"/>
        <w:tabs>
          <w:tab w:val="right" w:leader="dot" w:pos="9016"/>
        </w:tabs>
        <w:rPr>
          <w:rFonts w:eastAsiaTheme="minorEastAsia"/>
          <w:noProof/>
          <w:lang w:eastAsia="en-GB"/>
        </w:rPr>
      </w:pPr>
      <w:hyperlink w:anchor="_Toc216428073" w:history="1">
        <w:r w:rsidRPr="00AA0824">
          <w:rPr>
            <w:rStyle w:val="Hyperlink"/>
            <w:noProof/>
          </w:rPr>
          <w:t>Table 2 - Hazard Effects</w:t>
        </w:r>
        <w:r>
          <w:rPr>
            <w:noProof/>
            <w:webHidden/>
          </w:rPr>
          <w:tab/>
        </w:r>
        <w:r>
          <w:rPr>
            <w:noProof/>
            <w:webHidden/>
          </w:rPr>
          <w:fldChar w:fldCharType="begin"/>
        </w:r>
        <w:r>
          <w:rPr>
            <w:noProof/>
            <w:webHidden/>
          </w:rPr>
          <w:instrText xml:space="preserve"> PAGEREF _Toc216428073 \h </w:instrText>
        </w:r>
        <w:r>
          <w:rPr>
            <w:noProof/>
            <w:webHidden/>
          </w:rPr>
        </w:r>
        <w:r>
          <w:rPr>
            <w:noProof/>
            <w:webHidden/>
          </w:rPr>
          <w:fldChar w:fldCharType="separate"/>
        </w:r>
        <w:r>
          <w:rPr>
            <w:noProof/>
            <w:webHidden/>
          </w:rPr>
          <w:t>7</w:t>
        </w:r>
        <w:r>
          <w:rPr>
            <w:noProof/>
            <w:webHidden/>
          </w:rPr>
          <w:fldChar w:fldCharType="end"/>
        </w:r>
      </w:hyperlink>
    </w:p>
    <w:p w14:paraId="19A36082" w14:textId="4D5B36F3" w:rsidR="00933A89" w:rsidRDefault="00933A89">
      <w:pPr>
        <w:pStyle w:val="TableofFigures"/>
        <w:tabs>
          <w:tab w:val="right" w:leader="dot" w:pos="9016"/>
        </w:tabs>
        <w:rPr>
          <w:rFonts w:eastAsiaTheme="minorEastAsia"/>
          <w:noProof/>
          <w:lang w:eastAsia="en-GB"/>
        </w:rPr>
      </w:pPr>
      <w:hyperlink w:anchor="_Toc216428074" w:history="1">
        <w:r w:rsidRPr="00AA0824">
          <w:rPr>
            <w:rStyle w:val="Hyperlink"/>
            <w:noProof/>
          </w:rPr>
          <w:t>Table 3 - ESH to ESH ILD's</w:t>
        </w:r>
        <w:r>
          <w:rPr>
            <w:noProof/>
            <w:webHidden/>
          </w:rPr>
          <w:tab/>
        </w:r>
        <w:r>
          <w:rPr>
            <w:noProof/>
            <w:webHidden/>
          </w:rPr>
          <w:fldChar w:fldCharType="begin"/>
        </w:r>
        <w:r>
          <w:rPr>
            <w:noProof/>
            <w:webHidden/>
          </w:rPr>
          <w:instrText xml:space="preserve"> PAGEREF _Toc216428074 \h </w:instrText>
        </w:r>
        <w:r>
          <w:rPr>
            <w:noProof/>
            <w:webHidden/>
          </w:rPr>
        </w:r>
        <w:r>
          <w:rPr>
            <w:noProof/>
            <w:webHidden/>
          </w:rPr>
          <w:fldChar w:fldCharType="separate"/>
        </w:r>
        <w:r>
          <w:rPr>
            <w:noProof/>
            <w:webHidden/>
          </w:rPr>
          <w:t>10</w:t>
        </w:r>
        <w:r>
          <w:rPr>
            <w:noProof/>
            <w:webHidden/>
          </w:rPr>
          <w:fldChar w:fldCharType="end"/>
        </w:r>
      </w:hyperlink>
    </w:p>
    <w:p w14:paraId="2BBA19B8" w14:textId="2BE8EF49" w:rsidR="00933A89" w:rsidRDefault="00933A89">
      <w:pPr>
        <w:pStyle w:val="TableofFigures"/>
        <w:tabs>
          <w:tab w:val="right" w:leader="dot" w:pos="9016"/>
        </w:tabs>
        <w:rPr>
          <w:rFonts w:eastAsiaTheme="minorEastAsia"/>
          <w:noProof/>
          <w:lang w:eastAsia="en-GB"/>
        </w:rPr>
      </w:pPr>
      <w:hyperlink w:anchor="_Toc216428075" w:history="1">
        <w:r w:rsidRPr="00AA0824">
          <w:rPr>
            <w:rStyle w:val="Hyperlink"/>
            <w:noProof/>
          </w:rPr>
          <w:t>Table 4 - Exposed Sites Quantity Distances</w:t>
        </w:r>
        <w:r>
          <w:rPr>
            <w:noProof/>
            <w:webHidden/>
          </w:rPr>
          <w:tab/>
        </w:r>
        <w:r>
          <w:rPr>
            <w:noProof/>
            <w:webHidden/>
          </w:rPr>
          <w:fldChar w:fldCharType="begin"/>
        </w:r>
        <w:r>
          <w:rPr>
            <w:noProof/>
            <w:webHidden/>
          </w:rPr>
          <w:instrText xml:space="preserve"> PAGEREF _Toc216428075 \h </w:instrText>
        </w:r>
        <w:r>
          <w:rPr>
            <w:noProof/>
            <w:webHidden/>
          </w:rPr>
        </w:r>
        <w:r>
          <w:rPr>
            <w:noProof/>
            <w:webHidden/>
          </w:rPr>
          <w:fldChar w:fldCharType="separate"/>
        </w:r>
        <w:r>
          <w:rPr>
            <w:noProof/>
            <w:webHidden/>
          </w:rPr>
          <w:t>17</w:t>
        </w:r>
        <w:r>
          <w:rPr>
            <w:noProof/>
            <w:webHidden/>
          </w:rPr>
          <w:fldChar w:fldCharType="end"/>
        </w:r>
      </w:hyperlink>
    </w:p>
    <w:p w14:paraId="512A100A" w14:textId="26A3BFDA" w:rsidR="00933A89" w:rsidRDefault="00933A89" w:rsidP="004A3A4E">
      <w:r>
        <w:fldChar w:fldCharType="end"/>
      </w:r>
    </w:p>
    <w:p w14:paraId="57444FE2" w14:textId="04580A79" w:rsidR="00BE06C0" w:rsidRDefault="00BE06C0" w:rsidP="000A7834">
      <w:pPr>
        <w:pStyle w:val="Heading1"/>
      </w:pPr>
      <w:bookmarkStart w:id="0" w:name="_Toc216426778"/>
      <w:r>
        <w:t>Purp</w:t>
      </w:r>
      <w:r w:rsidR="006F1178">
        <w:t>o</w:t>
      </w:r>
      <w:r>
        <w:t>se</w:t>
      </w:r>
      <w:bookmarkEnd w:id="0"/>
    </w:p>
    <w:p w14:paraId="515EEDA8" w14:textId="0DDB5DB5" w:rsidR="00BE06C0" w:rsidRDefault="00F07FFC" w:rsidP="00F07FFC">
      <w:r>
        <w:t xml:space="preserve">This report will supply a full </w:t>
      </w:r>
      <w:r w:rsidR="00FB3C5C">
        <w:t xml:space="preserve">explosive safety assessment to establish whether a new </w:t>
      </w:r>
      <w:r w:rsidR="002901C5">
        <w:t xml:space="preserve">explosive facility can be constructed </w:t>
      </w:r>
      <w:r w:rsidR="00A25AA1">
        <w:t xml:space="preserve">by Big Bang Storage Solutions. </w:t>
      </w:r>
      <w:r w:rsidR="00016A13">
        <w:t xml:space="preserve">The report will explore all areas related to </w:t>
      </w:r>
      <w:r w:rsidR="00B139EA">
        <w:t xml:space="preserve">the safety of constructing an explosive facility </w:t>
      </w:r>
      <w:r w:rsidR="0047124B">
        <w:t xml:space="preserve">and a decision will be made </w:t>
      </w:r>
      <w:r w:rsidR="005A3A26">
        <w:t>whether</w:t>
      </w:r>
      <w:r w:rsidR="009E1CFC">
        <w:t xml:space="preserve"> these plans can go ahead or not.</w:t>
      </w:r>
    </w:p>
    <w:p w14:paraId="2A8AE506" w14:textId="398D22DC" w:rsidR="000A7834" w:rsidRDefault="000A7834" w:rsidP="005B43C3">
      <w:pPr>
        <w:pStyle w:val="Heading1"/>
      </w:pPr>
      <w:bookmarkStart w:id="1" w:name="_Toc216426779"/>
      <w:r>
        <w:t>Introduction</w:t>
      </w:r>
      <w:bookmarkEnd w:id="1"/>
    </w:p>
    <w:p w14:paraId="19113834" w14:textId="77777777" w:rsidR="00C13447" w:rsidRDefault="00BE06C0" w:rsidP="00BE06C0">
      <w:pPr>
        <w:pStyle w:val="Heading2"/>
      </w:pPr>
      <w:bookmarkStart w:id="2" w:name="_Toc216426780"/>
      <w:r>
        <w:t>Background –</w:t>
      </w:r>
      <w:bookmarkEnd w:id="2"/>
      <w:r w:rsidR="005B028C">
        <w:t xml:space="preserve"> </w:t>
      </w:r>
    </w:p>
    <w:p w14:paraId="0D7AB3B5" w14:textId="42916A65" w:rsidR="00BE06C0" w:rsidRDefault="005B028C" w:rsidP="00BE06C0">
      <w:r w:rsidRPr="00C13447">
        <w:t>The sponsor of</w:t>
      </w:r>
      <w:r>
        <w:t xml:space="preserve"> </w:t>
      </w:r>
      <w:r w:rsidR="00C13447">
        <w:t>the project is Big Bang</w:t>
      </w:r>
      <w:r w:rsidR="00BC6187">
        <w:t xml:space="preserve"> Storage</w:t>
      </w:r>
      <w:r w:rsidR="00C13447">
        <w:t xml:space="preserve"> Solutions who have recently </w:t>
      </w:r>
      <w:r w:rsidR="00E3454C">
        <w:t xml:space="preserve">won the </w:t>
      </w:r>
      <w:r w:rsidR="00002BE1">
        <w:t>UK MOD Tender. Their plan is to erect a new explosives facility within the Swansea marina</w:t>
      </w:r>
      <w:r w:rsidR="00535A78">
        <w:t xml:space="preserve">, housing no more than 5 </w:t>
      </w:r>
      <w:r w:rsidR="00403931">
        <w:t xml:space="preserve">Explosive Storehouses </w:t>
      </w:r>
      <w:r w:rsidR="00763155">
        <w:t xml:space="preserve">(without traverse) </w:t>
      </w:r>
      <w:r w:rsidR="0066170D">
        <w:t xml:space="preserve">and have proposed this idea to the Swansea Council. </w:t>
      </w:r>
      <w:r w:rsidR="006306B9">
        <w:t xml:space="preserve">As the council do not employ any safety </w:t>
      </w:r>
      <w:r w:rsidR="00AD3D36">
        <w:t>engineers,</w:t>
      </w:r>
      <w:r w:rsidR="006306B9">
        <w:t xml:space="preserve"> their </w:t>
      </w:r>
      <w:r w:rsidR="0066170D">
        <w:t xml:space="preserve">requirement is for a qualified </w:t>
      </w:r>
      <w:r w:rsidR="009A52BB">
        <w:t xml:space="preserve">engineer to determine whether this is a safe and reasonable </w:t>
      </w:r>
      <w:r w:rsidR="0019328C">
        <w:t xml:space="preserve">area for this type of facility to be situated. </w:t>
      </w:r>
    </w:p>
    <w:p w14:paraId="5E4F9AD3" w14:textId="305C70F8" w:rsidR="00BE06C0" w:rsidRDefault="00BE06C0" w:rsidP="00BE06C0">
      <w:pPr>
        <w:pStyle w:val="Heading2"/>
      </w:pPr>
      <w:bookmarkStart w:id="3" w:name="_Toc216426781"/>
      <w:r>
        <w:t>Scope –</w:t>
      </w:r>
      <w:bookmarkEnd w:id="3"/>
      <w:r>
        <w:t xml:space="preserve"> </w:t>
      </w:r>
    </w:p>
    <w:p w14:paraId="33D3DF69" w14:textId="36709D1C" w:rsidR="00BE06C0" w:rsidRDefault="00AD3D36" w:rsidP="00BE06C0">
      <w:r>
        <w:t>Big Bang</w:t>
      </w:r>
      <w:r w:rsidR="00436365">
        <w:t xml:space="preserve"> </w:t>
      </w:r>
      <w:r>
        <w:t xml:space="preserve">Storage Solutions have put forward the idea of storing the following </w:t>
      </w:r>
      <w:r w:rsidR="003613CB">
        <w:t>quantities of ammunition:</w:t>
      </w:r>
    </w:p>
    <w:p w14:paraId="42B67FEC" w14:textId="13BCA024" w:rsidR="003613CB" w:rsidRDefault="003613CB" w:rsidP="00BE06C0">
      <w:r w:rsidRPr="003613CB">
        <w:t>HD 1.1 – 5000 kg</w:t>
      </w:r>
      <w:r w:rsidR="00776000">
        <w:t>.</w:t>
      </w:r>
      <w:r w:rsidRPr="003613CB">
        <w:t xml:space="preserve"> HD 1.2 – 500 kg</w:t>
      </w:r>
      <w:r w:rsidR="00776000">
        <w:t>.</w:t>
      </w:r>
      <w:r w:rsidRPr="003613CB">
        <w:t xml:space="preserve"> HD 1.3 – 1000 kg</w:t>
      </w:r>
      <w:r w:rsidR="00776000">
        <w:t>.</w:t>
      </w:r>
      <w:r w:rsidRPr="003613CB">
        <w:t xml:space="preserve"> HD 1.4 – 1000 kg</w:t>
      </w:r>
      <w:r w:rsidR="00776000">
        <w:t>.</w:t>
      </w:r>
    </w:p>
    <w:p w14:paraId="44726F3F" w14:textId="490F97ED" w:rsidR="00776000" w:rsidRDefault="00420514" w:rsidP="00BE06C0">
      <w:r>
        <w:t xml:space="preserve">The storage company are wanting to store the ammunition under the following </w:t>
      </w:r>
      <w:r w:rsidR="0054704C">
        <w:t>conditions:</w:t>
      </w:r>
    </w:p>
    <w:p w14:paraId="1EBD3026" w14:textId="0841733D" w:rsidR="003178CF" w:rsidRDefault="003178CF" w:rsidP="003178CF">
      <w:pPr>
        <w:pStyle w:val="ListParagraph"/>
        <w:numPr>
          <w:ilvl w:val="0"/>
          <w:numId w:val="1"/>
        </w:numPr>
      </w:pPr>
      <w:r>
        <w:t>Each of the ESH will have the capability to store up to 1000kg of each type of hazard division</w:t>
      </w:r>
      <w:r w:rsidR="00BC088B">
        <w:t>, where pallets will be stacked 3 high.</w:t>
      </w:r>
    </w:p>
    <w:p w14:paraId="4A9EE102" w14:textId="0497476E" w:rsidR="00BC088B" w:rsidRDefault="00BC088B" w:rsidP="003178CF">
      <w:pPr>
        <w:pStyle w:val="ListParagraph"/>
        <w:numPr>
          <w:ilvl w:val="0"/>
          <w:numId w:val="1"/>
        </w:numPr>
      </w:pPr>
      <w:r>
        <w:t xml:space="preserve">The ESH should be built </w:t>
      </w:r>
      <w:r w:rsidR="004258B0">
        <w:t>East to West along the wasteland where the storage facility is planned to be erected.</w:t>
      </w:r>
    </w:p>
    <w:p w14:paraId="3E9A23D3" w14:textId="14AFD0DA" w:rsidR="004258B0" w:rsidRDefault="004F2A39" w:rsidP="003178CF">
      <w:pPr>
        <w:pStyle w:val="ListParagraph"/>
        <w:numPr>
          <w:ilvl w:val="0"/>
          <w:numId w:val="1"/>
        </w:numPr>
      </w:pPr>
      <w:r>
        <w:t>The distance from each ESH to any vulnerable building must not exceed 300m.</w:t>
      </w:r>
    </w:p>
    <w:p w14:paraId="73CDD005" w14:textId="23A4EF54" w:rsidR="004F2A39" w:rsidRDefault="004F2A39" w:rsidP="003178CF">
      <w:pPr>
        <w:pStyle w:val="ListParagraph"/>
        <w:numPr>
          <w:ilvl w:val="0"/>
          <w:numId w:val="1"/>
        </w:numPr>
      </w:pPr>
      <w:r>
        <w:t>The distance from each ESH to any</w:t>
      </w:r>
      <w:r w:rsidR="0005636A">
        <w:t xml:space="preserve"> inhabited building must not exceed 125m</w:t>
      </w:r>
      <w:r w:rsidR="00043019">
        <w:t>.</w:t>
      </w:r>
    </w:p>
    <w:p w14:paraId="72E3A428" w14:textId="7CE13F32" w:rsidR="0005636A" w:rsidRDefault="0005636A" w:rsidP="003178CF">
      <w:pPr>
        <w:pStyle w:val="ListParagraph"/>
        <w:numPr>
          <w:ilvl w:val="0"/>
          <w:numId w:val="1"/>
        </w:numPr>
      </w:pPr>
      <w:r>
        <w:t>The distance from each ESH to any public traffic route must not exceed 270m</w:t>
      </w:r>
      <w:r w:rsidR="006D790F">
        <w:t>.</w:t>
      </w:r>
    </w:p>
    <w:p w14:paraId="5753113D" w14:textId="02BC09E2" w:rsidR="006D790F" w:rsidRDefault="006D790F" w:rsidP="003178CF">
      <w:pPr>
        <w:pStyle w:val="ListParagraph"/>
        <w:numPr>
          <w:ilvl w:val="0"/>
          <w:numId w:val="1"/>
        </w:numPr>
      </w:pPr>
      <w:r>
        <w:t>The HD being stored are broken down into</w:t>
      </w:r>
      <w:r w:rsidR="00623523">
        <w:t>:</w:t>
      </w:r>
    </w:p>
    <w:p w14:paraId="47842203" w14:textId="63C9D794" w:rsidR="00A36C14" w:rsidRDefault="00425AC8" w:rsidP="00A36C14">
      <w:pPr>
        <w:pStyle w:val="ListParagraph"/>
        <w:numPr>
          <w:ilvl w:val="1"/>
          <w:numId w:val="1"/>
        </w:numPr>
      </w:pPr>
      <w:r>
        <w:t xml:space="preserve">HD 1.1 </w:t>
      </w:r>
      <w:r w:rsidR="00A36C14">
        <w:t>–</w:t>
      </w:r>
    </w:p>
    <w:p w14:paraId="165FA079" w14:textId="3AB4951C" w:rsidR="00623523" w:rsidRDefault="005F3857" w:rsidP="00425AC8">
      <w:pPr>
        <w:pStyle w:val="ListParagraph"/>
        <w:numPr>
          <w:ilvl w:val="2"/>
          <w:numId w:val="1"/>
        </w:numPr>
      </w:pPr>
      <w:r>
        <w:t>HD 1.1B – 50kg</w:t>
      </w:r>
    </w:p>
    <w:p w14:paraId="0A2D1C28" w14:textId="443E532D" w:rsidR="005F3857" w:rsidRDefault="005F3857" w:rsidP="00425AC8">
      <w:pPr>
        <w:pStyle w:val="ListParagraph"/>
        <w:numPr>
          <w:ilvl w:val="2"/>
          <w:numId w:val="1"/>
        </w:numPr>
      </w:pPr>
      <w:r>
        <w:lastRenderedPageBreak/>
        <w:t>HD 1.1D – 3200kg</w:t>
      </w:r>
    </w:p>
    <w:p w14:paraId="5D773770" w14:textId="5F8E83E4" w:rsidR="005F3857" w:rsidRDefault="005F3857" w:rsidP="00425AC8">
      <w:pPr>
        <w:pStyle w:val="ListParagraph"/>
        <w:numPr>
          <w:ilvl w:val="2"/>
          <w:numId w:val="1"/>
        </w:numPr>
      </w:pPr>
      <w:r>
        <w:t>HD 1.1E – 1250kg</w:t>
      </w:r>
    </w:p>
    <w:p w14:paraId="70EA5B3B" w14:textId="3A59E77F" w:rsidR="005F3857" w:rsidRDefault="005F3857" w:rsidP="00425AC8">
      <w:pPr>
        <w:pStyle w:val="ListParagraph"/>
        <w:numPr>
          <w:ilvl w:val="2"/>
          <w:numId w:val="1"/>
        </w:numPr>
      </w:pPr>
      <w:r>
        <w:t>HD 1.1F – 500kg</w:t>
      </w:r>
    </w:p>
    <w:p w14:paraId="3A70E2F1" w14:textId="24A95BE4" w:rsidR="005F3857" w:rsidRDefault="00425AC8" w:rsidP="00623523">
      <w:pPr>
        <w:pStyle w:val="ListParagraph"/>
        <w:numPr>
          <w:ilvl w:val="1"/>
          <w:numId w:val="1"/>
        </w:numPr>
      </w:pPr>
      <w:r>
        <w:t>HD 1.2 –</w:t>
      </w:r>
    </w:p>
    <w:p w14:paraId="1355B8CC" w14:textId="20A1CA89" w:rsidR="00425AC8" w:rsidRDefault="00A36C14" w:rsidP="00425AC8">
      <w:pPr>
        <w:pStyle w:val="ListParagraph"/>
        <w:numPr>
          <w:ilvl w:val="2"/>
          <w:numId w:val="1"/>
        </w:numPr>
      </w:pPr>
      <w:r>
        <w:t>HD 1.2C – 350kg</w:t>
      </w:r>
    </w:p>
    <w:p w14:paraId="2CE34240" w14:textId="19789DC9" w:rsidR="00A36C14" w:rsidRDefault="00A36C14" w:rsidP="00425AC8">
      <w:pPr>
        <w:pStyle w:val="ListParagraph"/>
        <w:numPr>
          <w:ilvl w:val="2"/>
          <w:numId w:val="1"/>
        </w:numPr>
      </w:pPr>
      <w:r>
        <w:t>HD 1.2</w:t>
      </w:r>
      <w:r w:rsidR="005916D3">
        <w:t>D – 100kg</w:t>
      </w:r>
    </w:p>
    <w:p w14:paraId="02797431" w14:textId="36903D9A" w:rsidR="005916D3" w:rsidRDefault="005916D3" w:rsidP="00425AC8">
      <w:pPr>
        <w:pStyle w:val="ListParagraph"/>
        <w:numPr>
          <w:ilvl w:val="2"/>
          <w:numId w:val="1"/>
        </w:numPr>
      </w:pPr>
      <w:r>
        <w:t>HD 1.2F – 50kg</w:t>
      </w:r>
    </w:p>
    <w:p w14:paraId="241949E9" w14:textId="0ED48770" w:rsidR="005916D3" w:rsidRDefault="005916D3" w:rsidP="005916D3">
      <w:pPr>
        <w:pStyle w:val="ListParagraph"/>
        <w:numPr>
          <w:ilvl w:val="1"/>
          <w:numId w:val="1"/>
        </w:numPr>
      </w:pPr>
      <w:r>
        <w:t>HD 1.3 –</w:t>
      </w:r>
    </w:p>
    <w:p w14:paraId="0E6283C7" w14:textId="412DD87A" w:rsidR="005916D3" w:rsidRDefault="005916D3" w:rsidP="005916D3">
      <w:pPr>
        <w:pStyle w:val="ListParagraph"/>
        <w:numPr>
          <w:ilvl w:val="2"/>
          <w:numId w:val="1"/>
        </w:numPr>
      </w:pPr>
      <w:r>
        <w:t>HD 1.3C – 1000kg</w:t>
      </w:r>
    </w:p>
    <w:p w14:paraId="4368F71C" w14:textId="23D544D8" w:rsidR="005916D3" w:rsidRDefault="005916D3" w:rsidP="005916D3">
      <w:pPr>
        <w:pStyle w:val="ListParagraph"/>
        <w:numPr>
          <w:ilvl w:val="1"/>
          <w:numId w:val="1"/>
        </w:numPr>
      </w:pPr>
      <w:r>
        <w:t xml:space="preserve">HD 1.4 – </w:t>
      </w:r>
    </w:p>
    <w:p w14:paraId="6FCBA4A9" w14:textId="10960941" w:rsidR="005916D3" w:rsidRDefault="005916D3" w:rsidP="005916D3">
      <w:pPr>
        <w:pStyle w:val="ListParagraph"/>
        <w:numPr>
          <w:ilvl w:val="2"/>
          <w:numId w:val="1"/>
        </w:numPr>
      </w:pPr>
      <w:r>
        <w:t>HD1.4S – 1000kg</w:t>
      </w:r>
    </w:p>
    <w:p w14:paraId="30AA02A5" w14:textId="7135F757" w:rsidR="00BE06C0" w:rsidRDefault="00BE06C0" w:rsidP="00BE06C0">
      <w:pPr>
        <w:pStyle w:val="Heading2"/>
      </w:pPr>
      <w:bookmarkStart w:id="4" w:name="_Toc216426782"/>
      <w:r>
        <w:t>Limitations –</w:t>
      </w:r>
      <w:bookmarkEnd w:id="4"/>
      <w:r>
        <w:t xml:space="preserve"> </w:t>
      </w:r>
    </w:p>
    <w:p w14:paraId="34D7B536" w14:textId="7B8ACD87" w:rsidR="00B561C5" w:rsidRDefault="00A327D5" w:rsidP="00BE06C0">
      <w:r>
        <w:t>The council believe that this is a significant hazard to the local area</w:t>
      </w:r>
      <w:r w:rsidR="00B41DF6">
        <w:t xml:space="preserve"> and from a civilian stand point this does look like a big risk to the general public.</w:t>
      </w:r>
      <w:r w:rsidR="00B561C5">
        <w:t xml:space="preserve"> </w:t>
      </w:r>
      <w:r w:rsidR="008228C5">
        <w:t xml:space="preserve">With the selected area being situated in a major city </w:t>
      </w:r>
      <w:r w:rsidR="003D6043">
        <w:t xml:space="preserve">with a high density population, meaning major roads and highways around the area, as well as </w:t>
      </w:r>
      <w:r w:rsidR="009E5F1E">
        <w:t xml:space="preserve">vulnerable buildings such as </w:t>
      </w:r>
      <w:r w:rsidR="00EA32BA">
        <w:t xml:space="preserve">hospitals/schools and also </w:t>
      </w:r>
      <w:r w:rsidR="00A97C8A">
        <w:t>many inhabited buildings</w:t>
      </w:r>
      <w:r w:rsidR="00CE06A0">
        <w:t>. Being situated around</w:t>
      </w:r>
      <w:r w:rsidR="009126C2">
        <w:t xml:space="preserve"> a maritime area </w:t>
      </w:r>
      <w:r w:rsidR="009D7672">
        <w:t xml:space="preserve">also brings other </w:t>
      </w:r>
      <w:r w:rsidR="00BE1F1F">
        <w:t xml:space="preserve">levels of safety concerns. </w:t>
      </w:r>
    </w:p>
    <w:p w14:paraId="5083BB0E" w14:textId="6F7B3A50" w:rsidR="00BE06C0" w:rsidRDefault="001D39F6" w:rsidP="00BE06C0">
      <w:r>
        <w:t xml:space="preserve">Although these concerns are obvious, </w:t>
      </w:r>
      <w:r w:rsidR="00122345">
        <w:t xml:space="preserve">this report will do a deep dive into all of the </w:t>
      </w:r>
      <w:r w:rsidR="00B561C5">
        <w:t>concerning areas to see if this is a safe project to go ahead.</w:t>
      </w:r>
    </w:p>
    <w:p w14:paraId="7D255D30" w14:textId="6256C0DB" w:rsidR="00BE06C0" w:rsidRDefault="00BE06C0" w:rsidP="001F5F84">
      <w:pPr>
        <w:pStyle w:val="Heading1"/>
      </w:pPr>
      <w:bookmarkStart w:id="5" w:name="_Toc216426783"/>
      <w:r>
        <w:t>The Proposed Site</w:t>
      </w:r>
      <w:bookmarkEnd w:id="5"/>
    </w:p>
    <w:p w14:paraId="7CF5F31A" w14:textId="1E4E2765" w:rsidR="006F1178" w:rsidRDefault="00BE06C0" w:rsidP="00FF765A">
      <w:pPr>
        <w:pStyle w:val="Heading2"/>
      </w:pPr>
      <w:bookmarkStart w:id="6" w:name="_Toc216426784"/>
      <w:r>
        <w:t>Location &amp; Boundaries –</w:t>
      </w:r>
      <w:bookmarkEnd w:id="6"/>
      <w:r>
        <w:t xml:space="preserve"> </w:t>
      </w:r>
    </w:p>
    <w:p w14:paraId="2B920844" w14:textId="598A7939" w:rsidR="006F1178" w:rsidRDefault="006F1178" w:rsidP="00BE06C0">
      <w:r>
        <w:t xml:space="preserve">The </w:t>
      </w:r>
      <w:r w:rsidR="006713F7">
        <w:t xml:space="preserve">proposed new explosive storage facility is situated within the </w:t>
      </w:r>
      <w:r w:rsidR="0066474C">
        <w:t xml:space="preserve">city of Swansea. The exact location is at the </w:t>
      </w:r>
      <w:r w:rsidR="00E13A80">
        <w:t xml:space="preserve">marina </w:t>
      </w:r>
      <w:r w:rsidR="00233EEE">
        <w:t xml:space="preserve">on a piece of wasteland. The co-ordinates for the piece of land are: </w:t>
      </w:r>
      <w:r w:rsidR="00003509">
        <w:t xml:space="preserve">Latitude - </w:t>
      </w:r>
      <w:r w:rsidR="00003509" w:rsidRPr="00003509">
        <w:t>51°37′5.45″</w:t>
      </w:r>
      <w:r w:rsidR="00003509">
        <w:t>. Longitude -</w:t>
      </w:r>
      <w:r w:rsidR="00853B56">
        <w:t xml:space="preserve"> </w:t>
      </w:r>
      <w:r w:rsidR="00003509" w:rsidRPr="00003509">
        <w:t>–3°55′7.90″</w:t>
      </w:r>
      <w:r w:rsidR="00853B56">
        <w:t xml:space="preserve">. </w:t>
      </w:r>
    </w:p>
    <w:p w14:paraId="413D248E" w14:textId="30597280" w:rsidR="00BE06C0" w:rsidRDefault="001F5F84" w:rsidP="00BE06C0">
      <w:r w:rsidRPr="001F5F84">
        <w:rPr>
          <w:noProof/>
        </w:rPr>
        <w:lastRenderedPageBreak/>
        <w:drawing>
          <wp:anchor distT="0" distB="0" distL="114300" distR="114300" simplePos="0" relativeHeight="251661312" behindDoc="0" locked="0" layoutInCell="1" allowOverlap="1" wp14:anchorId="704CD977" wp14:editId="23AEE400">
            <wp:simplePos x="0" y="0"/>
            <wp:positionH relativeFrom="margin">
              <wp:align>center</wp:align>
            </wp:positionH>
            <wp:positionV relativeFrom="paragraph">
              <wp:posOffset>147320</wp:posOffset>
            </wp:positionV>
            <wp:extent cx="4470400" cy="2707698"/>
            <wp:effectExtent l="0" t="0" r="6350" b="0"/>
            <wp:wrapSquare wrapText="bothSides"/>
            <wp:docPr id="1587394972" name="Picture 1" descr="An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94972" name="Picture 1" descr="An aerial view of a cit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70400" cy="2707698"/>
                    </a:xfrm>
                    <a:prstGeom prst="rect">
                      <a:avLst/>
                    </a:prstGeom>
                  </pic:spPr>
                </pic:pic>
              </a:graphicData>
            </a:graphic>
            <wp14:sizeRelH relativeFrom="margin">
              <wp14:pctWidth>0</wp14:pctWidth>
            </wp14:sizeRelH>
            <wp14:sizeRelV relativeFrom="margin">
              <wp14:pctHeight>0</wp14:pctHeight>
            </wp14:sizeRelV>
          </wp:anchor>
        </w:drawing>
      </w:r>
    </w:p>
    <w:p w14:paraId="36808756" w14:textId="77777777" w:rsidR="00025628" w:rsidRDefault="00025628" w:rsidP="00025628"/>
    <w:p w14:paraId="2E8AEE1A" w14:textId="77777777" w:rsidR="00025628" w:rsidRDefault="00025628" w:rsidP="00025628"/>
    <w:p w14:paraId="199D16DA" w14:textId="77777777" w:rsidR="00025628" w:rsidRDefault="00025628" w:rsidP="00025628"/>
    <w:p w14:paraId="37FBAF35" w14:textId="77777777" w:rsidR="00025628" w:rsidRDefault="00025628" w:rsidP="00025628"/>
    <w:p w14:paraId="5B2E2BCE" w14:textId="77777777" w:rsidR="00025628" w:rsidRDefault="00025628" w:rsidP="00025628"/>
    <w:p w14:paraId="3DB86715" w14:textId="77777777" w:rsidR="00025628" w:rsidRDefault="00025628" w:rsidP="00025628"/>
    <w:p w14:paraId="4326490F" w14:textId="77777777" w:rsidR="00025628" w:rsidRDefault="00025628" w:rsidP="00025628"/>
    <w:p w14:paraId="204719AE" w14:textId="77777777" w:rsidR="00025628" w:rsidRDefault="00025628" w:rsidP="00025628"/>
    <w:p w14:paraId="5B93B3F2" w14:textId="77777777" w:rsidR="00004FCD" w:rsidRDefault="00004FCD" w:rsidP="00004FCD"/>
    <w:p w14:paraId="47453C93" w14:textId="702C6D26" w:rsidR="00004FCD" w:rsidRPr="00004FCD" w:rsidRDefault="00004FCD" w:rsidP="00004FCD">
      <w:pPr>
        <w:pStyle w:val="Caption"/>
        <w:jc w:val="center"/>
      </w:pPr>
      <w:bookmarkStart w:id="7" w:name="_Toc216427843"/>
      <w:bookmarkStart w:id="8" w:name="_Toc216428066"/>
      <w:r>
        <w:t xml:space="preserve">Figure </w:t>
      </w:r>
      <w:r>
        <w:fldChar w:fldCharType="begin"/>
      </w:r>
      <w:r>
        <w:instrText xml:space="preserve"> SEQ Figure \* ARABIC </w:instrText>
      </w:r>
      <w:r>
        <w:fldChar w:fldCharType="separate"/>
      </w:r>
      <w:r w:rsidR="006327A4">
        <w:rPr>
          <w:noProof/>
        </w:rPr>
        <w:t>1</w:t>
      </w:r>
      <w:r>
        <w:fldChar w:fldCharType="end"/>
      </w:r>
      <w:r>
        <w:t xml:space="preserve"> - Explosive Site</w:t>
      </w:r>
      <w:bookmarkEnd w:id="7"/>
      <w:bookmarkEnd w:id="8"/>
    </w:p>
    <w:p w14:paraId="3736319C" w14:textId="0494B802" w:rsidR="00025628" w:rsidRDefault="000629D2" w:rsidP="00025628">
      <w:r w:rsidRPr="000629D2">
        <w:rPr>
          <w:noProof/>
        </w:rPr>
        <w:drawing>
          <wp:inline distT="0" distB="0" distL="0" distR="0" wp14:anchorId="5863E949" wp14:editId="31CEF824">
            <wp:extent cx="5731510" cy="3509645"/>
            <wp:effectExtent l="0" t="0" r="2540" b="0"/>
            <wp:docPr id="1255731850"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31850" name="Picture 1" descr="A map of a city&#10;&#10;AI-generated content may be incorrect."/>
                    <pic:cNvPicPr/>
                  </pic:nvPicPr>
                  <pic:blipFill>
                    <a:blip r:embed="rId10"/>
                    <a:stretch>
                      <a:fillRect/>
                    </a:stretch>
                  </pic:blipFill>
                  <pic:spPr>
                    <a:xfrm>
                      <a:off x="0" y="0"/>
                      <a:ext cx="5731510" cy="3509645"/>
                    </a:xfrm>
                    <a:prstGeom prst="rect">
                      <a:avLst/>
                    </a:prstGeom>
                  </pic:spPr>
                </pic:pic>
              </a:graphicData>
            </a:graphic>
          </wp:inline>
        </w:drawing>
      </w:r>
    </w:p>
    <w:p w14:paraId="3FE75D8F" w14:textId="6A6AA955" w:rsidR="00025628" w:rsidRDefault="00004FCD" w:rsidP="00004FCD">
      <w:pPr>
        <w:pStyle w:val="Caption"/>
        <w:jc w:val="center"/>
      </w:pPr>
      <w:bookmarkStart w:id="9" w:name="_Toc216427844"/>
      <w:bookmarkStart w:id="10" w:name="_Toc216428067"/>
      <w:r>
        <w:t xml:space="preserve">Figure </w:t>
      </w:r>
      <w:r>
        <w:fldChar w:fldCharType="begin"/>
      </w:r>
      <w:r>
        <w:instrText xml:space="preserve"> SEQ Figure \* ARABIC </w:instrText>
      </w:r>
      <w:r>
        <w:fldChar w:fldCharType="separate"/>
      </w:r>
      <w:r w:rsidR="006327A4">
        <w:rPr>
          <w:noProof/>
        </w:rPr>
        <w:t>2</w:t>
      </w:r>
      <w:r>
        <w:fldChar w:fldCharType="end"/>
      </w:r>
      <w:r>
        <w:t xml:space="preserve"> - Explosive Site - Exposed Buildings</w:t>
      </w:r>
      <w:bookmarkEnd w:id="9"/>
      <w:bookmarkEnd w:id="10"/>
    </w:p>
    <w:p w14:paraId="36B7108F" w14:textId="77777777" w:rsidR="00004FCD" w:rsidRDefault="00004FCD" w:rsidP="00025628"/>
    <w:p w14:paraId="076B9326" w14:textId="48A600C8" w:rsidR="00A33038" w:rsidRDefault="00A33038" w:rsidP="00025628">
      <w:r>
        <w:t xml:space="preserve">The figure above highlights seven distances around the centre of the </w:t>
      </w:r>
      <w:r w:rsidR="003F11D4">
        <w:t>explosive storage facility. These distances highlight, 100m, 200m, 300m, 400m, 500m, 750m and 1000m.</w:t>
      </w:r>
    </w:p>
    <w:p w14:paraId="5EDC6D13" w14:textId="22F4BCE3" w:rsidR="006700E7" w:rsidRDefault="006700E7" w:rsidP="00025628">
      <w:r>
        <w:t xml:space="preserve">Within these areas there are lots of vulnerable buildings such as schools, hospitals, </w:t>
      </w:r>
      <w:r w:rsidR="008B2B4C">
        <w:t xml:space="preserve">churches etc. As well as this there are lots of inhabited buildings such as housing and </w:t>
      </w:r>
      <w:r w:rsidR="008B2B4C">
        <w:lastRenderedPageBreak/>
        <w:t>places of work. And finally, there are lots of public traffic routes all around this area with it being situated in a major city</w:t>
      </w:r>
      <w:r w:rsidR="00FF765A">
        <w:t>.</w:t>
      </w:r>
    </w:p>
    <w:p w14:paraId="3D4107D3" w14:textId="296E8E5A" w:rsidR="00BE06C0" w:rsidRDefault="00BE06C0" w:rsidP="00BE06C0">
      <w:pPr>
        <w:pStyle w:val="Heading2"/>
      </w:pPr>
      <w:bookmarkStart w:id="11" w:name="_Toc216426785"/>
      <w:r>
        <w:t>Surrounding Environment –</w:t>
      </w:r>
      <w:bookmarkEnd w:id="11"/>
      <w:r>
        <w:t xml:space="preserve"> </w:t>
      </w:r>
    </w:p>
    <w:p w14:paraId="51F5BAD5" w14:textId="11730D56" w:rsidR="00BE06C0" w:rsidRDefault="00C413FE" w:rsidP="00BE06C0">
      <w:r>
        <w:t xml:space="preserve">As previously </w:t>
      </w:r>
      <w:r w:rsidR="00FF765A">
        <w:t>stated,</w:t>
      </w:r>
      <w:r>
        <w:t xml:space="preserve"> there are lots </w:t>
      </w:r>
      <w:r w:rsidR="007F7BBB">
        <w:t xml:space="preserve">exposed sites around the </w:t>
      </w:r>
      <w:r w:rsidR="009470B2">
        <w:t xml:space="preserve">proposed </w:t>
      </w:r>
      <w:r w:rsidR="00DD1CD0">
        <w:t xml:space="preserve">explosive storage facility. These include inhabited buildings, vulnerable buildings and </w:t>
      </w:r>
      <w:r w:rsidR="00F568F9">
        <w:t xml:space="preserve">public traffic routes, which in this case </w:t>
      </w:r>
      <w:r w:rsidR="006D795C">
        <w:t>are highly dense.</w:t>
      </w:r>
    </w:p>
    <w:p w14:paraId="2AC9E832" w14:textId="14729C0D" w:rsidR="006D795C" w:rsidRDefault="006D795C" w:rsidP="00BE06C0">
      <w:r>
        <w:t xml:space="preserve">The table below shows the </w:t>
      </w:r>
      <w:r w:rsidR="004A0528">
        <w:t xml:space="preserve">total number of inhabited buildings, vulnerable buildings and traffic routes within </w:t>
      </w:r>
      <w:r w:rsidR="00352675">
        <w:t>chosen distances from the new facility.</w:t>
      </w:r>
    </w:p>
    <w:p w14:paraId="2A3EEB32" w14:textId="77777777" w:rsidR="00352675" w:rsidRDefault="00352675" w:rsidP="00BE06C0"/>
    <w:tbl>
      <w:tblPr>
        <w:tblStyle w:val="TableGrid"/>
        <w:tblW w:w="0" w:type="auto"/>
        <w:tblLook w:val="04A0" w:firstRow="1" w:lastRow="0" w:firstColumn="1" w:lastColumn="0" w:noHBand="0" w:noVBand="1"/>
      </w:tblPr>
      <w:tblGrid>
        <w:gridCol w:w="2263"/>
        <w:gridCol w:w="2245"/>
        <w:gridCol w:w="2254"/>
        <w:gridCol w:w="2254"/>
      </w:tblGrid>
      <w:tr w:rsidR="00165F13" w14:paraId="6795FE97" w14:textId="77777777" w:rsidTr="00165F13">
        <w:tc>
          <w:tcPr>
            <w:tcW w:w="2263" w:type="dxa"/>
            <w:vMerge w:val="restart"/>
            <w:vAlign w:val="center"/>
          </w:tcPr>
          <w:p w14:paraId="029FDC80" w14:textId="33DC076D" w:rsidR="00165F13" w:rsidRDefault="00165F13" w:rsidP="00165F13">
            <w:pPr>
              <w:jc w:val="center"/>
            </w:pPr>
            <w:r>
              <w:t>Distances</w:t>
            </w:r>
          </w:p>
        </w:tc>
        <w:tc>
          <w:tcPr>
            <w:tcW w:w="6753" w:type="dxa"/>
            <w:gridSpan w:val="3"/>
          </w:tcPr>
          <w:p w14:paraId="49DABD1E" w14:textId="759B8217" w:rsidR="00165F13" w:rsidRDefault="00165F13" w:rsidP="002F0413">
            <w:pPr>
              <w:jc w:val="center"/>
            </w:pPr>
            <w:r>
              <w:t>Areas of concern</w:t>
            </w:r>
          </w:p>
        </w:tc>
      </w:tr>
      <w:tr w:rsidR="00165F13" w14:paraId="15E6E1A1" w14:textId="77777777" w:rsidTr="00BD46B4">
        <w:tc>
          <w:tcPr>
            <w:tcW w:w="2263" w:type="dxa"/>
            <w:vMerge/>
          </w:tcPr>
          <w:p w14:paraId="1DDF5E66" w14:textId="77777777" w:rsidR="00165F13" w:rsidRDefault="00165F13" w:rsidP="00BE06C0"/>
        </w:tc>
        <w:tc>
          <w:tcPr>
            <w:tcW w:w="2245" w:type="dxa"/>
          </w:tcPr>
          <w:p w14:paraId="1D3526A8" w14:textId="160B43D2" w:rsidR="00165F13" w:rsidRDefault="00165F13" w:rsidP="002F0413">
            <w:pPr>
              <w:jc w:val="center"/>
            </w:pPr>
            <w:r>
              <w:t>Inhabited Building</w:t>
            </w:r>
          </w:p>
        </w:tc>
        <w:tc>
          <w:tcPr>
            <w:tcW w:w="2254" w:type="dxa"/>
          </w:tcPr>
          <w:p w14:paraId="1B18B178" w14:textId="3B461EB6" w:rsidR="00165F13" w:rsidRDefault="00165F13" w:rsidP="00BE06C0">
            <w:r>
              <w:t>Vulnerable Building</w:t>
            </w:r>
          </w:p>
        </w:tc>
        <w:tc>
          <w:tcPr>
            <w:tcW w:w="2254" w:type="dxa"/>
          </w:tcPr>
          <w:p w14:paraId="1D5D0DCB" w14:textId="1C5ED616" w:rsidR="00165F13" w:rsidRDefault="00165F13" w:rsidP="00155A8B">
            <w:pPr>
              <w:jc w:val="center"/>
            </w:pPr>
            <w:r>
              <w:t>Public Traffic Route</w:t>
            </w:r>
          </w:p>
        </w:tc>
      </w:tr>
      <w:tr w:rsidR="00BD46B4" w14:paraId="4FDEFF7A" w14:textId="77777777" w:rsidTr="008964E2">
        <w:tc>
          <w:tcPr>
            <w:tcW w:w="2263" w:type="dxa"/>
            <w:vAlign w:val="center"/>
          </w:tcPr>
          <w:p w14:paraId="556A9426" w14:textId="27CF1613" w:rsidR="00BD46B4" w:rsidRDefault="00165F13" w:rsidP="00165F13">
            <w:pPr>
              <w:jc w:val="center"/>
            </w:pPr>
            <w:r>
              <w:t>100m</w:t>
            </w:r>
          </w:p>
        </w:tc>
        <w:tc>
          <w:tcPr>
            <w:tcW w:w="2245" w:type="dxa"/>
            <w:vAlign w:val="center"/>
          </w:tcPr>
          <w:p w14:paraId="74C24FE7" w14:textId="7C1693A5" w:rsidR="00BD46B4" w:rsidRDefault="008D662C" w:rsidP="008964E2">
            <w:pPr>
              <w:jc w:val="center"/>
            </w:pPr>
            <w:r>
              <w:t>180</w:t>
            </w:r>
          </w:p>
        </w:tc>
        <w:tc>
          <w:tcPr>
            <w:tcW w:w="2254" w:type="dxa"/>
            <w:vAlign w:val="center"/>
          </w:tcPr>
          <w:p w14:paraId="5D804E32" w14:textId="6AF3901C" w:rsidR="00BD46B4" w:rsidRDefault="00732920" w:rsidP="008964E2">
            <w:pPr>
              <w:jc w:val="center"/>
            </w:pPr>
            <w:r>
              <w:t>0</w:t>
            </w:r>
          </w:p>
        </w:tc>
        <w:tc>
          <w:tcPr>
            <w:tcW w:w="2254" w:type="dxa"/>
            <w:vAlign w:val="center"/>
          </w:tcPr>
          <w:p w14:paraId="1E44C8FB" w14:textId="215B76DA" w:rsidR="00BD46B4" w:rsidRDefault="0094110C" w:rsidP="008964E2">
            <w:pPr>
              <w:jc w:val="center"/>
            </w:pPr>
            <w:r>
              <w:t>2</w:t>
            </w:r>
          </w:p>
        </w:tc>
      </w:tr>
      <w:tr w:rsidR="00BD46B4" w14:paraId="359C0DF3" w14:textId="77777777" w:rsidTr="008964E2">
        <w:tc>
          <w:tcPr>
            <w:tcW w:w="2263" w:type="dxa"/>
            <w:vAlign w:val="center"/>
          </w:tcPr>
          <w:p w14:paraId="38FBD14C" w14:textId="0626F937" w:rsidR="00BD46B4" w:rsidRDefault="00165F13" w:rsidP="00165F13">
            <w:pPr>
              <w:jc w:val="center"/>
            </w:pPr>
            <w:r>
              <w:t>200m</w:t>
            </w:r>
          </w:p>
        </w:tc>
        <w:tc>
          <w:tcPr>
            <w:tcW w:w="2245" w:type="dxa"/>
            <w:vAlign w:val="center"/>
          </w:tcPr>
          <w:p w14:paraId="2F99329E" w14:textId="2430908E" w:rsidR="00BD46B4" w:rsidRDefault="008D662C" w:rsidP="008964E2">
            <w:pPr>
              <w:jc w:val="center"/>
            </w:pPr>
            <w:r>
              <w:t>500</w:t>
            </w:r>
          </w:p>
        </w:tc>
        <w:tc>
          <w:tcPr>
            <w:tcW w:w="2254" w:type="dxa"/>
            <w:vAlign w:val="center"/>
          </w:tcPr>
          <w:p w14:paraId="2337A15B" w14:textId="6BCBD18F" w:rsidR="00BD46B4" w:rsidRDefault="00676C2E" w:rsidP="008964E2">
            <w:pPr>
              <w:jc w:val="center"/>
            </w:pPr>
            <w:r>
              <w:t>0</w:t>
            </w:r>
          </w:p>
        </w:tc>
        <w:tc>
          <w:tcPr>
            <w:tcW w:w="2254" w:type="dxa"/>
            <w:vAlign w:val="center"/>
          </w:tcPr>
          <w:p w14:paraId="2835DE40" w14:textId="4CEB3CF8" w:rsidR="00BD46B4" w:rsidRDefault="0094110C" w:rsidP="008964E2">
            <w:pPr>
              <w:jc w:val="center"/>
            </w:pPr>
            <w:r>
              <w:t>7</w:t>
            </w:r>
          </w:p>
        </w:tc>
      </w:tr>
      <w:tr w:rsidR="00BD46B4" w14:paraId="27B856B7" w14:textId="77777777" w:rsidTr="008964E2">
        <w:tc>
          <w:tcPr>
            <w:tcW w:w="2263" w:type="dxa"/>
            <w:vAlign w:val="center"/>
          </w:tcPr>
          <w:p w14:paraId="3ECFEECE" w14:textId="2ECEFEA7" w:rsidR="00BD46B4" w:rsidRDefault="00165F13" w:rsidP="00165F13">
            <w:pPr>
              <w:jc w:val="center"/>
            </w:pPr>
            <w:r>
              <w:t>300m</w:t>
            </w:r>
          </w:p>
        </w:tc>
        <w:tc>
          <w:tcPr>
            <w:tcW w:w="2245" w:type="dxa"/>
            <w:vAlign w:val="center"/>
          </w:tcPr>
          <w:p w14:paraId="4A093245" w14:textId="24E6B526" w:rsidR="00BD46B4" w:rsidRDefault="002C10AF" w:rsidP="008964E2">
            <w:pPr>
              <w:jc w:val="center"/>
            </w:pPr>
            <w:r>
              <w:t>950</w:t>
            </w:r>
          </w:p>
        </w:tc>
        <w:tc>
          <w:tcPr>
            <w:tcW w:w="2254" w:type="dxa"/>
            <w:vAlign w:val="center"/>
          </w:tcPr>
          <w:p w14:paraId="5DDA6E4F" w14:textId="05335CA7" w:rsidR="00BD46B4" w:rsidRDefault="00676C2E" w:rsidP="008964E2">
            <w:pPr>
              <w:jc w:val="center"/>
            </w:pPr>
            <w:r>
              <w:t>0</w:t>
            </w:r>
          </w:p>
        </w:tc>
        <w:tc>
          <w:tcPr>
            <w:tcW w:w="2254" w:type="dxa"/>
            <w:vAlign w:val="center"/>
          </w:tcPr>
          <w:p w14:paraId="1FC6C676" w14:textId="220156C2" w:rsidR="00BD46B4" w:rsidRDefault="00600259" w:rsidP="008964E2">
            <w:pPr>
              <w:jc w:val="center"/>
            </w:pPr>
            <w:r>
              <w:t>14</w:t>
            </w:r>
          </w:p>
        </w:tc>
      </w:tr>
      <w:tr w:rsidR="00BD46B4" w14:paraId="7BC32D84" w14:textId="77777777" w:rsidTr="008964E2">
        <w:tc>
          <w:tcPr>
            <w:tcW w:w="2263" w:type="dxa"/>
            <w:vAlign w:val="center"/>
          </w:tcPr>
          <w:p w14:paraId="65E366A5" w14:textId="65A23D85" w:rsidR="00BD46B4" w:rsidRDefault="00165F13" w:rsidP="00165F13">
            <w:pPr>
              <w:jc w:val="center"/>
            </w:pPr>
            <w:r>
              <w:t>400m</w:t>
            </w:r>
          </w:p>
        </w:tc>
        <w:tc>
          <w:tcPr>
            <w:tcW w:w="2245" w:type="dxa"/>
            <w:vAlign w:val="center"/>
          </w:tcPr>
          <w:p w14:paraId="5FE5C2AC" w14:textId="29DFF331" w:rsidR="00BD46B4" w:rsidRDefault="002C10AF" w:rsidP="008964E2">
            <w:pPr>
              <w:jc w:val="center"/>
            </w:pPr>
            <w:r>
              <w:t>1450</w:t>
            </w:r>
          </w:p>
        </w:tc>
        <w:tc>
          <w:tcPr>
            <w:tcW w:w="2254" w:type="dxa"/>
            <w:vAlign w:val="center"/>
          </w:tcPr>
          <w:p w14:paraId="0C6A2E8F" w14:textId="5E048E5A" w:rsidR="00BD46B4" w:rsidRDefault="00EF5DD7" w:rsidP="008964E2">
            <w:pPr>
              <w:jc w:val="center"/>
            </w:pPr>
            <w:r>
              <w:t>0</w:t>
            </w:r>
          </w:p>
        </w:tc>
        <w:tc>
          <w:tcPr>
            <w:tcW w:w="2254" w:type="dxa"/>
            <w:vAlign w:val="center"/>
          </w:tcPr>
          <w:p w14:paraId="6088D0E8" w14:textId="7574B646" w:rsidR="00BD46B4" w:rsidRDefault="00B74546" w:rsidP="008964E2">
            <w:pPr>
              <w:jc w:val="center"/>
            </w:pPr>
            <w:r>
              <w:t>10</w:t>
            </w:r>
          </w:p>
        </w:tc>
      </w:tr>
      <w:tr w:rsidR="00BD46B4" w14:paraId="4264F4DC" w14:textId="77777777" w:rsidTr="008964E2">
        <w:tc>
          <w:tcPr>
            <w:tcW w:w="2263" w:type="dxa"/>
            <w:vAlign w:val="center"/>
          </w:tcPr>
          <w:p w14:paraId="09B62DF9" w14:textId="759274D4" w:rsidR="00BD46B4" w:rsidRDefault="00165F13" w:rsidP="00165F13">
            <w:pPr>
              <w:jc w:val="center"/>
            </w:pPr>
            <w:r>
              <w:t>500m</w:t>
            </w:r>
          </w:p>
        </w:tc>
        <w:tc>
          <w:tcPr>
            <w:tcW w:w="2245" w:type="dxa"/>
            <w:vAlign w:val="center"/>
          </w:tcPr>
          <w:p w14:paraId="2D0E573D" w14:textId="5763FAFD" w:rsidR="00BD46B4" w:rsidRDefault="00BB083F" w:rsidP="008964E2">
            <w:pPr>
              <w:jc w:val="center"/>
            </w:pPr>
            <w:r>
              <w:t>2250</w:t>
            </w:r>
          </w:p>
        </w:tc>
        <w:tc>
          <w:tcPr>
            <w:tcW w:w="2254" w:type="dxa"/>
            <w:vAlign w:val="center"/>
          </w:tcPr>
          <w:p w14:paraId="1A359854" w14:textId="6F111447" w:rsidR="00BD46B4" w:rsidRDefault="00F62AD0" w:rsidP="008964E2">
            <w:pPr>
              <w:jc w:val="center"/>
            </w:pPr>
            <w:r>
              <w:t>3</w:t>
            </w:r>
          </w:p>
        </w:tc>
        <w:tc>
          <w:tcPr>
            <w:tcW w:w="2254" w:type="dxa"/>
            <w:vAlign w:val="center"/>
          </w:tcPr>
          <w:p w14:paraId="152187D7" w14:textId="07ED80F8" w:rsidR="00BD46B4" w:rsidRDefault="001261DE" w:rsidP="008964E2">
            <w:pPr>
              <w:jc w:val="center"/>
            </w:pPr>
            <w:r>
              <w:t>24</w:t>
            </w:r>
          </w:p>
        </w:tc>
      </w:tr>
      <w:tr w:rsidR="00BD46B4" w14:paraId="6702860B" w14:textId="77777777" w:rsidTr="008964E2">
        <w:tc>
          <w:tcPr>
            <w:tcW w:w="2263" w:type="dxa"/>
            <w:vAlign w:val="center"/>
          </w:tcPr>
          <w:p w14:paraId="361266C7" w14:textId="5E379C10" w:rsidR="00BD46B4" w:rsidRDefault="00165F13" w:rsidP="00165F13">
            <w:pPr>
              <w:jc w:val="center"/>
            </w:pPr>
            <w:r>
              <w:t>750m</w:t>
            </w:r>
          </w:p>
        </w:tc>
        <w:tc>
          <w:tcPr>
            <w:tcW w:w="2245" w:type="dxa"/>
            <w:vAlign w:val="center"/>
          </w:tcPr>
          <w:p w14:paraId="7AFDA560" w14:textId="026E015A" w:rsidR="00BD46B4" w:rsidRDefault="002C10AF" w:rsidP="008964E2">
            <w:pPr>
              <w:jc w:val="center"/>
            </w:pPr>
            <w:r>
              <w:t>3600</w:t>
            </w:r>
          </w:p>
        </w:tc>
        <w:tc>
          <w:tcPr>
            <w:tcW w:w="2254" w:type="dxa"/>
            <w:vAlign w:val="center"/>
          </w:tcPr>
          <w:p w14:paraId="6FBE3FD8" w14:textId="43EEE73F" w:rsidR="00BD46B4" w:rsidRDefault="00785A1D" w:rsidP="008964E2">
            <w:pPr>
              <w:jc w:val="center"/>
            </w:pPr>
            <w:r>
              <w:t>4</w:t>
            </w:r>
          </w:p>
        </w:tc>
        <w:tc>
          <w:tcPr>
            <w:tcW w:w="2254" w:type="dxa"/>
            <w:vAlign w:val="center"/>
          </w:tcPr>
          <w:p w14:paraId="70A437EE" w14:textId="4D36F97C" w:rsidR="00BD46B4" w:rsidRDefault="00066935" w:rsidP="008964E2">
            <w:pPr>
              <w:jc w:val="center"/>
            </w:pPr>
            <w:r>
              <w:t>35</w:t>
            </w:r>
          </w:p>
        </w:tc>
      </w:tr>
      <w:tr w:rsidR="00BD46B4" w14:paraId="1E12B864" w14:textId="77777777" w:rsidTr="008964E2">
        <w:tc>
          <w:tcPr>
            <w:tcW w:w="2263" w:type="dxa"/>
            <w:vAlign w:val="center"/>
          </w:tcPr>
          <w:p w14:paraId="66DD3314" w14:textId="3E6C3D05" w:rsidR="00BD46B4" w:rsidRDefault="00165F13" w:rsidP="00165F13">
            <w:pPr>
              <w:jc w:val="center"/>
            </w:pPr>
            <w:r>
              <w:t>1000m</w:t>
            </w:r>
          </w:p>
        </w:tc>
        <w:tc>
          <w:tcPr>
            <w:tcW w:w="2245" w:type="dxa"/>
            <w:vAlign w:val="center"/>
          </w:tcPr>
          <w:p w14:paraId="4EFD735C" w14:textId="485A6075" w:rsidR="00BD46B4" w:rsidRDefault="00C94F56" w:rsidP="008964E2">
            <w:pPr>
              <w:jc w:val="center"/>
            </w:pPr>
            <w:r>
              <w:t>4500</w:t>
            </w:r>
          </w:p>
        </w:tc>
        <w:tc>
          <w:tcPr>
            <w:tcW w:w="2254" w:type="dxa"/>
            <w:vAlign w:val="center"/>
          </w:tcPr>
          <w:p w14:paraId="6C3F7C3E" w14:textId="4EF4CDEB" w:rsidR="00BD46B4" w:rsidRDefault="00785A1D" w:rsidP="008964E2">
            <w:pPr>
              <w:jc w:val="center"/>
            </w:pPr>
            <w:r>
              <w:t>5</w:t>
            </w:r>
          </w:p>
        </w:tc>
        <w:tc>
          <w:tcPr>
            <w:tcW w:w="2254" w:type="dxa"/>
            <w:vAlign w:val="center"/>
          </w:tcPr>
          <w:p w14:paraId="5A8E3EF9" w14:textId="2733F896" w:rsidR="00BD46B4" w:rsidRDefault="00785A1D" w:rsidP="008964E2">
            <w:pPr>
              <w:jc w:val="center"/>
            </w:pPr>
            <w:r>
              <w:t>107</w:t>
            </w:r>
          </w:p>
        </w:tc>
      </w:tr>
    </w:tbl>
    <w:p w14:paraId="7526A2C8" w14:textId="77777777" w:rsidR="00004FCD" w:rsidRDefault="00004FCD" w:rsidP="00004FCD">
      <w:pPr>
        <w:pStyle w:val="Caption"/>
      </w:pPr>
    </w:p>
    <w:p w14:paraId="00D60438" w14:textId="7F81A2A3" w:rsidR="00004FCD" w:rsidRDefault="00004FCD" w:rsidP="00004FCD">
      <w:pPr>
        <w:pStyle w:val="Caption"/>
        <w:jc w:val="center"/>
      </w:pPr>
      <w:bookmarkStart w:id="12" w:name="_Toc216427831"/>
      <w:bookmarkStart w:id="13" w:name="_Toc216428072"/>
      <w:r>
        <w:t xml:space="preserve">Table </w:t>
      </w:r>
      <w:r>
        <w:fldChar w:fldCharType="begin"/>
      </w:r>
      <w:r>
        <w:instrText xml:space="preserve"> SEQ Table \* ARABIC </w:instrText>
      </w:r>
      <w:r>
        <w:fldChar w:fldCharType="separate"/>
      </w:r>
      <w:r w:rsidR="006327A4">
        <w:rPr>
          <w:noProof/>
        </w:rPr>
        <w:t>1</w:t>
      </w:r>
      <w:r>
        <w:fldChar w:fldCharType="end"/>
      </w:r>
      <w:r>
        <w:t xml:space="preserve"> - Exposed Sites</w:t>
      </w:r>
      <w:bookmarkEnd w:id="12"/>
      <w:bookmarkEnd w:id="13"/>
    </w:p>
    <w:p w14:paraId="2917D5AF" w14:textId="618165D2" w:rsidR="00BE06C0" w:rsidRDefault="00BE06C0" w:rsidP="00F23A3F">
      <w:pPr>
        <w:pStyle w:val="Heading1"/>
      </w:pPr>
      <w:bookmarkStart w:id="14" w:name="_Toc216426786"/>
      <w:r>
        <w:t>Proposed Facility</w:t>
      </w:r>
      <w:bookmarkEnd w:id="14"/>
    </w:p>
    <w:p w14:paraId="07C809D8" w14:textId="281F1A5A" w:rsidR="00BE06C0" w:rsidRDefault="00BE06C0" w:rsidP="00BE06C0">
      <w:pPr>
        <w:pStyle w:val="Heading2"/>
      </w:pPr>
      <w:bookmarkStart w:id="15" w:name="_Toc216426787"/>
      <w:r>
        <w:t>Explosive Storehouses (ESH) –</w:t>
      </w:r>
      <w:bookmarkEnd w:id="15"/>
      <w:r>
        <w:t xml:space="preserve"> </w:t>
      </w:r>
    </w:p>
    <w:p w14:paraId="5DD55A42" w14:textId="2D1985EA" w:rsidR="00BE06C0" w:rsidRDefault="00A678E3" w:rsidP="00BE06C0">
      <w:r>
        <w:t xml:space="preserve">The proposed facility is for 5 x Explosive Storage Houses </w:t>
      </w:r>
      <w:r w:rsidR="003512E2">
        <w:t xml:space="preserve">which are to built from East to West on the wasteland the </w:t>
      </w:r>
      <w:r w:rsidR="002C7499">
        <w:t xml:space="preserve">coordinates are situated. </w:t>
      </w:r>
    </w:p>
    <w:p w14:paraId="714B6B99" w14:textId="00639CE4" w:rsidR="00BE06C0" w:rsidRDefault="00BE06C0" w:rsidP="00BE06C0">
      <w:pPr>
        <w:pStyle w:val="Heading2"/>
      </w:pPr>
      <w:bookmarkStart w:id="16" w:name="_Toc216426788"/>
      <w:r>
        <w:t>Storage Limits &amp; Hazard Divisions –</w:t>
      </w:r>
      <w:bookmarkEnd w:id="16"/>
    </w:p>
    <w:p w14:paraId="0B704698" w14:textId="01047D2B" w:rsidR="00BE06C0" w:rsidRDefault="00FC4109" w:rsidP="00BE06C0">
      <w:r>
        <w:t>The hazard divisions of the explosives that need to be stored are</w:t>
      </w:r>
      <w:r w:rsidR="0085668D">
        <w:t>:</w:t>
      </w:r>
    </w:p>
    <w:p w14:paraId="578103E9" w14:textId="0A25C400" w:rsidR="004922C6" w:rsidRDefault="0085668D" w:rsidP="004922C6">
      <w:pPr>
        <w:pStyle w:val="ListParagraph"/>
        <w:numPr>
          <w:ilvl w:val="0"/>
          <w:numId w:val="2"/>
        </w:numPr>
      </w:pPr>
      <w:r>
        <w:t>1.1 – Mass Exploding</w:t>
      </w:r>
      <w:r w:rsidR="00C22BC8">
        <w:t xml:space="preserve"> Hazard</w:t>
      </w:r>
    </w:p>
    <w:p w14:paraId="68CE0C4A" w14:textId="3D644633" w:rsidR="004922C6" w:rsidRDefault="004922C6" w:rsidP="004922C6">
      <w:pPr>
        <w:pStyle w:val="ListParagraph"/>
        <w:numPr>
          <w:ilvl w:val="1"/>
          <w:numId w:val="2"/>
        </w:numPr>
      </w:pPr>
      <w:r>
        <w:t xml:space="preserve">1.1B </w:t>
      </w:r>
      <w:r w:rsidR="001B6F30">
        <w:t>–</w:t>
      </w:r>
      <w:r>
        <w:t xml:space="preserve"> </w:t>
      </w:r>
      <w:r w:rsidR="001B6F30">
        <w:t>Contains a primary explosive</w:t>
      </w:r>
      <w:r w:rsidR="00DA37A1">
        <w:t xml:space="preserve"> </w:t>
      </w:r>
      <w:r w:rsidR="00E11530">
        <w:t>which</w:t>
      </w:r>
      <w:r w:rsidR="00DA37A1">
        <w:t xml:space="preserve"> present a mass exploding hazard</w:t>
      </w:r>
    </w:p>
    <w:p w14:paraId="1E75D1DC" w14:textId="3E9F621A" w:rsidR="00262EE9" w:rsidRDefault="00262EE9" w:rsidP="004922C6">
      <w:pPr>
        <w:pStyle w:val="ListParagraph"/>
        <w:numPr>
          <w:ilvl w:val="1"/>
          <w:numId w:val="2"/>
        </w:numPr>
      </w:pPr>
      <w:r>
        <w:t xml:space="preserve">1.1D </w:t>
      </w:r>
      <w:r w:rsidR="003C0F3A">
        <w:t>–</w:t>
      </w:r>
      <w:r>
        <w:t xml:space="preserve"> </w:t>
      </w:r>
      <w:r w:rsidR="003C0F3A">
        <w:t xml:space="preserve">Contains a </w:t>
      </w:r>
      <w:r w:rsidR="00E11530">
        <w:t xml:space="preserve">significant amount of </w:t>
      </w:r>
      <w:r w:rsidR="003C0F3A">
        <w:t>secondary explosive</w:t>
      </w:r>
      <w:r w:rsidR="00E11530">
        <w:t xml:space="preserve"> </w:t>
      </w:r>
      <w:r w:rsidR="0014764E">
        <w:t>that are capable of mass exploding</w:t>
      </w:r>
    </w:p>
    <w:p w14:paraId="575EA3D1" w14:textId="58D8ABD5" w:rsidR="003C0F3A" w:rsidRDefault="003C0F3A" w:rsidP="004922C6">
      <w:pPr>
        <w:pStyle w:val="ListParagraph"/>
        <w:numPr>
          <w:ilvl w:val="1"/>
          <w:numId w:val="2"/>
        </w:numPr>
      </w:pPr>
      <w:r>
        <w:t xml:space="preserve">1.1E </w:t>
      </w:r>
      <w:r w:rsidR="0014764E">
        <w:t>–</w:t>
      </w:r>
      <w:r>
        <w:t xml:space="preserve"> </w:t>
      </w:r>
      <w:r w:rsidR="0014764E">
        <w:t xml:space="preserve">Contains a secondary explosive </w:t>
      </w:r>
      <w:r w:rsidR="00D87B0E">
        <w:t>that do not present a mass exploding hazard</w:t>
      </w:r>
    </w:p>
    <w:p w14:paraId="6C810F30" w14:textId="26D94381" w:rsidR="00D87B0E" w:rsidRDefault="00D87B0E" w:rsidP="004922C6">
      <w:pPr>
        <w:pStyle w:val="ListParagraph"/>
        <w:numPr>
          <w:ilvl w:val="1"/>
          <w:numId w:val="2"/>
        </w:numPr>
      </w:pPr>
      <w:r>
        <w:t xml:space="preserve">1.1F - </w:t>
      </w:r>
      <w:r w:rsidR="00DE3178">
        <w:t xml:space="preserve">                                       </w:t>
      </w:r>
    </w:p>
    <w:p w14:paraId="77D77B86" w14:textId="27A401EF" w:rsidR="0085668D" w:rsidRDefault="0085668D" w:rsidP="0085668D">
      <w:pPr>
        <w:pStyle w:val="ListParagraph"/>
        <w:numPr>
          <w:ilvl w:val="0"/>
          <w:numId w:val="2"/>
        </w:numPr>
      </w:pPr>
      <w:r>
        <w:t>1.2 –</w:t>
      </w:r>
      <w:r w:rsidR="00D52B1E">
        <w:t xml:space="preserve"> Projection Hazard</w:t>
      </w:r>
    </w:p>
    <w:p w14:paraId="65204A2C" w14:textId="6EC78D45" w:rsidR="0085668D" w:rsidRDefault="0085668D" w:rsidP="0085668D">
      <w:pPr>
        <w:pStyle w:val="ListParagraph"/>
        <w:numPr>
          <w:ilvl w:val="0"/>
          <w:numId w:val="2"/>
        </w:numPr>
      </w:pPr>
      <w:r>
        <w:t xml:space="preserve">1.3 </w:t>
      </w:r>
      <w:r w:rsidR="0049421F">
        <w:t>– Fire Hazard or Minor Blast / Projection Hazard</w:t>
      </w:r>
    </w:p>
    <w:p w14:paraId="7351A9AF" w14:textId="639934AE" w:rsidR="0085668D" w:rsidRDefault="0085668D" w:rsidP="004A3A4E">
      <w:pPr>
        <w:pStyle w:val="ListParagraph"/>
        <w:numPr>
          <w:ilvl w:val="0"/>
          <w:numId w:val="2"/>
        </w:numPr>
      </w:pPr>
      <w:r>
        <w:t>1.4 –</w:t>
      </w:r>
      <w:r w:rsidR="0049421F">
        <w:t>No Significant Hazard</w:t>
      </w:r>
    </w:p>
    <w:p w14:paraId="541B64EA" w14:textId="75212D0D" w:rsidR="00BE06C0" w:rsidRDefault="00BE06C0" w:rsidP="00BE06C0">
      <w:pPr>
        <w:pStyle w:val="Heading2"/>
      </w:pPr>
      <w:bookmarkStart w:id="17" w:name="_Toc216426789"/>
      <w:r>
        <w:t>Internal Layout –</w:t>
      </w:r>
      <w:bookmarkEnd w:id="17"/>
      <w:r>
        <w:t xml:space="preserve"> </w:t>
      </w:r>
    </w:p>
    <w:p w14:paraId="5AAEB567" w14:textId="77777777" w:rsidR="00363B38" w:rsidRDefault="003A074A" w:rsidP="00BE06C0">
      <w:r>
        <w:t>According to JSP 482 (DSA 03.OME Part 2) Chapters 9 and 12</w:t>
      </w:r>
      <w:r w:rsidR="00E04B90">
        <w:t xml:space="preserve"> describe the specific internal layouts for ESH. </w:t>
      </w:r>
      <w:r w:rsidR="00E066A5">
        <w:t>All ESH must have</w:t>
      </w:r>
      <w:r w:rsidR="00363B38">
        <w:t>:</w:t>
      </w:r>
    </w:p>
    <w:p w14:paraId="0EACC9E9" w14:textId="77777777" w:rsidR="00363B38" w:rsidRDefault="00363B38" w:rsidP="00363B38">
      <w:pPr>
        <w:pStyle w:val="ListParagraph"/>
        <w:numPr>
          <w:ilvl w:val="0"/>
          <w:numId w:val="8"/>
        </w:numPr>
      </w:pPr>
      <w:r>
        <w:t>A</w:t>
      </w:r>
      <w:r w:rsidR="00E066A5">
        <w:t>nti-sparking floors</w:t>
      </w:r>
    </w:p>
    <w:p w14:paraId="2A1FEFC6" w14:textId="77777777" w:rsidR="00363B38" w:rsidRDefault="00363B38" w:rsidP="00363B38">
      <w:pPr>
        <w:pStyle w:val="ListParagraph"/>
        <w:numPr>
          <w:ilvl w:val="0"/>
          <w:numId w:val="8"/>
        </w:numPr>
      </w:pPr>
      <w:r>
        <w:t>A</w:t>
      </w:r>
      <w:r w:rsidR="00E066A5">
        <w:t xml:space="preserve"> clear 1.5 – 2m walkway</w:t>
      </w:r>
    </w:p>
    <w:p w14:paraId="2A91B9BD" w14:textId="6C2B5347" w:rsidR="00BE06C0" w:rsidRDefault="00363B38" w:rsidP="00363B38">
      <w:pPr>
        <w:pStyle w:val="ListParagraph"/>
        <w:numPr>
          <w:ilvl w:val="0"/>
          <w:numId w:val="8"/>
        </w:numPr>
      </w:pPr>
      <w:r>
        <w:t>S</w:t>
      </w:r>
      <w:r w:rsidR="00795B8B">
        <w:t xml:space="preserve">table racking for ammunition pallets to be </w:t>
      </w:r>
      <w:r w:rsidR="00DE1355">
        <w:t>stacked onto, no higher than 2.5m unless approved by regulators</w:t>
      </w:r>
    </w:p>
    <w:p w14:paraId="4C1B4C3F" w14:textId="7AC1A426" w:rsidR="00363B38" w:rsidRDefault="00E066BD" w:rsidP="00363B38">
      <w:pPr>
        <w:pStyle w:val="ListParagraph"/>
        <w:numPr>
          <w:ilvl w:val="0"/>
          <w:numId w:val="8"/>
        </w:numPr>
      </w:pPr>
      <w:r>
        <w:t>Temperature &amp; Humidity monitoring and controls</w:t>
      </w:r>
    </w:p>
    <w:p w14:paraId="6BC62805" w14:textId="7CE9F328" w:rsidR="00E066BD" w:rsidRDefault="006406E0" w:rsidP="00363B38">
      <w:pPr>
        <w:pStyle w:val="ListParagraph"/>
        <w:numPr>
          <w:ilvl w:val="0"/>
          <w:numId w:val="8"/>
        </w:numPr>
      </w:pPr>
      <w:r>
        <w:t>Correct signage</w:t>
      </w:r>
    </w:p>
    <w:p w14:paraId="5AB1FC4A" w14:textId="7D10587F" w:rsidR="006406E0" w:rsidRDefault="006406E0" w:rsidP="00363B38">
      <w:pPr>
        <w:pStyle w:val="ListParagraph"/>
        <w:numPr>
          <w:ilvl w:val="0"/>
          <w:numId w:val="8"/>
        </w:numPr>
      </w:pPr>
      <w:r>
        <w:t>Marked emergency exits</w:t>
      </w:r>
    </w:p>
    <w:p w14:paraId="02C6D29F" w14:textId="4689B5FB" w:rsidR="00BE06C0" w:rsidRDefault="00BE06C0" w:rsidP="0060265D">
      <w:pPr>
        <w:pStyle w:val="Heading1"/>
      </w:pPr>
      <w:bookmarkStart w:id="18" w:name="_Toc216426790"/>
      <w:r>
        <w:t>Hazard Identification</w:t>
      </w:r>
      <w:bookmarkEnd w:id="18"/>
    </w:p>
    <w:p w14:paraId="09B4D563" w14:textId="5E25978E" w:rsidR="00BE06C0" w:rsidRDefault="00BE06C0" w:rsidP="00BE06C0">
      <w:pPr>
        <w:pStyle w:val="Heading2"/>
      </w:pPr>
      <w:bookmarkStart w:id="19" w:name="_Toc216426791"/>
      <w:r>
        <w:t>Hazard Types –</w:t>
      </w:r>
      <w:bookmarkEnd w:id="19"/>
    </w:p>
    <w:p w14:paraId="1CD0B001" w14:textId="089B4F6C" w:rsidR="004F6E13" w:rsidRDefault="00A42A7B" w:rsidP="004F6E13">
      <w:r>
        <w:t xml:space="preserve">There are lots of hazards related to </w:t>
      </w:r>
      <w:r w:rsidR="00AB5444">
        <w:t xml:space="preserve">an ammunition storage facility, especially in a busy residential area such as the Swansea Marina. </w:t>
      </w:r>
      <w:r w:rsidR="00081B06">
        <w:t>Some of the</w:t>
      </w:r>
      <w:r w:rsidR="006C7991">
        <w:t xml:space="preserve"> hazards related to</w:t>
      </w:r>
      <w:r w:rsidR="000D15F2">
        <w:t xml:space="preserve"> </w:t>
      </w:r>
      <w:r w:rsidR="00C61C03">
        <w:t xml:space="preserve">this scenario and the </w:t>
      </w:r>
      <w:r w:rsidR="00C8231B">
        <w:t>effects these hazards have on the surrounding areas are shown in the table below:</w:t>
      </w:r>
    </w:p>
    <w:tbl>
      <w:tblPr>
        <w:tblStyle w:val="TableGrid"/>
        <w:tblW w:w="0" w:type="auto"/>
        <w:tblLook w:val="04A0" w:firstRow="1" w:lastRow="0" w:firstColumn="1" w:lastColumn="0" w:noHBand="0" w:noVBand="1"/>
      </w:tblPr>
      <w:tblGrid>
        <w:gridCol w:w="2547"/>
        <w:gridCol w:w="6469"/>
      </w:tblGrid>
      <w:tr w:rsidR="00A96415" w14:paraId="7856587B" w14:textId="77777777" w:rsidTr="00252FF3">
        <w:tc>
          <w:tcPr>
            <w:tcW w:w="2547" w:type="dxa"/>
            <w:vAlign w:val="center"/>
          </w:tcPr>
          <w:p w14:paraId="7C840881" w14:textId="77777777" w:rsidR="00A96415" w:rsidRDefault="00A96415" w:rsidP="00252FF3">
            <w:pPr>
              <w:jc w:val="center"/>
            </w:pPr>
            <w:r>
              <w:t>Hazard category</w:t>
            </w:r>
          </w:p>
          <w:p w14:paraId="7B663885" w14:textId="73F93E6F" w:rsidR="00051B09" w:rsidRDefault="00051B09" w:rsidP="00252FF3">
            <w:pPr>
              <w:jc w:val="center"/>
            </w:pPr>
          </w:p>
        </w:tc>
        <w:tc>
          <w:tcPr>
            <w:tcW w:w="6469" w:type="dxa"/>
            <w:vAlign w:val="center"/>
          </w:tcPr>
          <w:p w14:paraId="787FE106" w14:textId="77777777" w:rsidR="00A96415" w:rsidRDefault="00A96415" w:rsidP="00252FF3">
            <w:pPr>
              <w:jc w:val="center"/>
            </w:pPr>
            <w:r>
              <w:t>Example of effects</w:t>
            </w:r>
          </w:p>
          <w:p w14:paraId="1B932DF2" w14:textId="048EC8DD" w:rsidR="00051B09" w:rsidRDefault="00051B09" w:rsidP="00252FF3">
            <w:pPr>
              <w:jc w:val="center"/>
            </w:pPr>
          </w:p>
        </w:tc>
      </w:tr>
      <w:tr w:rsidR="00A96415" w14:paraId="754E8331" w14:textId="77777777" w:rsidTr="00252FF3">
        <w:tc>
          <w:tcPr>
            <w:tcW w:w="2547" w:type="dxa"/>
            <w:vAlign w:val="center"/>
          </w:tcPr>
          <w:p w14:paraId="238D5009" w14:textId="1430AB5E" w:rsidR="00A96415" w:rsidRDefault="00A96415" w:rsidP="00252FF3">
            <w:pPr>
              <w:jc w:val="center"/>
            </w:pPr>
            <w:r>
              <w:t>Primary Explosion &amp; Blast Hazards</w:t>
            </w:r>
          </w:p>
        </w:tc>
        <w:tc>
          <w:tcPr>
            <w:tcW w:w="6469" w:type="dxa"/>
            <w:vAlign w:val="center"/>
          </w:tcPr>
          <w:p w14:paraId="7F442BBA" w14:textId="192C067C" w:rsidR="00A96415" w:rsidRDefault="00A96415" w:rsidP="00252FF3">
            <w:pPr>
              <w:jc w:val="center"/>
            </w:pPr>
            <w:r>
              <w:t>Mass detonations, blast overpressure, flying debris and fragments</w:t>
            </w:r>
            <w:r w:rsidR="000D3B11">
              <w:t xml:space="preserve"> can cause severe damage to </w:t>
            </w:r>
            <w:r w:rsidR="00BF1ADA">
              <w:t>the public as well as structural damage to the surrounding buildings.</w:t>
            </w:r>
          </w:p>
        </w:tc>
      </w:tr>
      <w:tr w:rsidR="00A96415" w14:paraId="58189515" w14:textId="77777777" w:rsidTr="00252FF3">
        <w:tc>
          <w:tcPr>
            <w:tcW w:w="2547" w:type="dxa"/>
            <w:vAlign w:val="center"/>
          </w:tcPr>
          <w:p w14:paraId="600BDC1F" w14:textId="1973819A" w:rsidR="00A96415" w:rsidRDefault="00BF1ADA" w:rsidP="00252FF3">
            <w:pPr>
              <w:jc w:val="center"/>
            </w:pPr>
            <w:r>
              <w:t>Fire &amp; Thermal Hazards</w:t>
            </w:r>
          </w:p>
        </w:tc>
        <w:tc>
          <w:tcPr>
            <w:tcW w:w="6469" w:type="dxa"/>
            <w:vAlign w:val="center"/>
          </w:tcPr>
          <w:p w14:paraId="42086BB3" w14:textId="51EBE2FD" w:rsidR="00A96415" w:rsidRDefault="000C208F" w:rsidP="00252FF3">
            <w:pPr>
              <w:jc w:val="center"/>
            </w:pPr>
            <w:r>
              <w:t xml:space="preserve">Facility fires, secondary explosions and ignition of nearby fuels and vegetation. </w:t>
            </w:r>
            <w:r w:rsidR="004273D5">
              <w:t>This can be very damaging and can increase the severity of the primary hazards</w:t>
            </w:r>
            <w:r w:rsidR="000D47EC">
              <w:t xml:space="preserve"> potentially leading to even more severe and costly damage to the local area.</w:t>
            </w:r>
          </w:p>
        </w:tc>
      </w:tr>
      <w:tr w:rsidR="00A96415" w14:paraId="0191EFE1" w14:textId="77777777" w:rsidTr="00252FF3">
        <w:tc>
          <w:tcPr>
            <w:tcW w:w="2547" w:type="dxa"/>
            <w:vAlign w:val="center"/>
          </w:tcPr>
          <w:p w14:paraId="421C256A" w14:textId="17CBD02C" w:rsidR="00A96415" w:rsidRDefault="000D47EC" w:rsidP="00252FF3">
            <w:pPr>
              <w:jc w:val="center"/>
            </w:pPr>
            <w:r>
              <w:t>Chemical &amp; Contamination Hazards.</w:t>
            </w:r>
          </w:p>
        </w:tc>
        <w:tc>
          <w:tcPr>
            <w:tcW w:w="6469" w:type="dxa"/>
            <w:vAlign w:val="center"/>
          </w:tcPr>
          <w:p w14:paraId="4CD424BB" w14:textId="616FD4C2" w:rsidR="00A96415" w:rsidRDefault="008E2295" w:rsidP="00252FF3">
            <w:pPr>
              <w:jc w:val="center"/>
            </w:pPr>
            <w:r>
              <w:t>The release of toxic explosive residues and chemicals into soil</w:t>
            </w:r>
            <w:r w:rsidR="00AD5606">
              <w:t xml:space="preserve">, </w:t>
            </w:r>
            <w:r>
              <w:t>groundwater</w:t>
            </w:r>
            <w:r w:rsidR="00AD5606">
              <w:t xml:space="preserve"> and air which can lead to human health issues.</w:t>
            </w:r>
          </w:p>
        </w:tc>
      </w:tr>
      <w:tr w:rsidR="00A96415" w14:paraId="6D2B6F63" w14:textId="77777777" w:rsidTr="00252FF3">
        <w:tc>
          <w:tcPr>
            <w:tcW w:w="2547" w:type="dxa"/>
            <w:vAlign w:val="center"/>
          </w:tcPr>
          <w:p w14:paraId="56AC4B53" w14:textId="4FDC7C24" w:rsidR="00A96415" w:rsidRDefault="00FC059B" w:rsidP="00252FF3">
            <w:pPr>
              <w:jc w:val="center"/>
            </w:pPr>
            <w:r>
              <w:t>Unexploded Ordnance Hazards</w:t>
            </w:r>
          </w:p>
        </w:tc>
        <w:tc>
          <w:tcPr>
            <w:tcW w:w="6469" w:type="dxa"/>
            <w:vAlign w:val="center"/>
          </w:tcPr>
          <w:p w14:paraId="2AD29F06" w14:textId="1A41EFF2" w:rsidR="00A96415" w:rsidRDefault="00FC059B" w:rsidP="00252FF3">
            <w:pPr>
              <w:jc w:val="center"/>
            </w:pPr>
            <w:r>
              <w:t xml:space="preserve">Projection of live but undetonated ammunition around the facility during </w:t>
            </w:r>
            <w:r w:rsidR="003A181D">
              <w:t>an event can create an unsafe area after the initial primary hazards / secondary hazards have died.</w:t>
            </w:r>
          </w:p>
        </w:tc>
      </w:tr>
      <w:tr w:rsidR="00A96415" w14:paraId="4F679D93" w14:textId="77777777" w:rsidTr="00252FF3">
        <w:tc>
          <w:tcPr>
            <w:tcW w:w="2547" w:type="dxa"/>
            <w:vAlign w:val="center"/>
          </w:tcPr>
          <w:p w14:paraId="365D0A5F" w14:textId="7C12C3BE" w:rsidR="00A96415" w:rsidRDefault="00555CE2" w:rsidP="00252FF3">
            <w:pPr>
              <w:jc w:val="center"/>
            </w:pPr>
            <w:r>
              <w:t>Security Hazards</w:t>
            </w:r>
          </w:p>
        </w:tc>
        <w:tc>
          <w:tcPr>
            <w:tcW w:w="6469" w:type="dxa"/>
            <w:vAlign w:val="center"/>
          </w:tcPr>
          <w:p w14:paraId="2A63BD73" w14:textId="01E602CF" w:rsidR="00A96415" w:rsidRDefault="00A9221A" w:rsidP="00252FF3">
            <w:pPr>
              <w:jc w:val="center"/>
            </w:pPr>
            <w:r>
              <w:t>Theft of ammunition and explosives</w:t>
            </w:r>
            <w:r w:rsidR="00D3619C">
              <w:t xml:space="preserve"> as well as a risk of encroaching into the facility </w:t>
            </w:r>
            <w:r w:rsidR="00E5464A">
              <w:t xml:space="preserve">leading to potentially catastrophic </w:t>
            </w:r>
            <w:r w:rsidR="00E51D3C">
              <w:t>results.</w:t>
            </w:r>
          </w:p>
        </w:tc>
      </w:tr>
      <w:tr w:rsidR="00A96415" w14:paraId="45E33B44" w14:textId="77777777" w:rsidTr="00252FF3">
        <w:tc>
          <w:tcPr>
            <w:tcW w:w="2547" w:type="dxa"/>
            <w:vAlign w:val="center"/>
          </w:tcPr>
          <w:p w14:paraId="5514DE1A" w14:textId="59B914B4" w:rsidR="00A96415" w:rsidRDefault="00E51D3C" w:rsidP="00252FF3">
            <w:pPr>
              <w:jc w:val="center"/>
            </w:pPr>
            <w:r>
              <w:t>Structural &amp; Environmental Hazards</w:t>
            </w:r>
          </w:p>
        </w:tc>
        <w:tc>
          <w:tcPr>
            <w:tcW w:w="6469" w:type="dxa"/>
            <w:vAlign w:val="center"/>
          </w:tcPr>
          <w:p w14:paraId="1C997326" w14:textId="75FB5B01" w:rsidR="00A96415" w:rsidRDefault="0072255F" w:rsidP="00252FF3">
            <w:pPr>
              <w:jc w:val="center"/>
            </w:pPr>
            <w:r>
              <w:t>Structural collapse of storage buildings due to blast</w:t>
            </w:r>
            <w:r w:rsidR="008535A4">
              <w:t xml:space="preserve"> as well as long-term land denial around the facility due to unexploded ordnance</w:t>
            </w:r>
            <w:r w:rsidR="007B32C5">
              <w:t>, contamination or damage</w:t>
            </w:r>
            <w:r w:rsidR="00051B09">
              <w:t>, which will limit safe use to the public</w:t>
            </w:r>
          </w:p>
        </w:tc>
      </w:tr>
    </w:tbl>
    <w:p w14:paraId="1BE9081C" w14:textId="77777777" w:rsidR="00C8231B" w:rsidRDefault="00C8231B" w:rsidP="004F6E13"/>
    <w:p w14:paraId="3918F8A3" w14:textId="698A25C9" w:rsidR="00004FCD" w:rsidRDefault="006059A7" w:rsidP="006059A7">
      <w:pPr>
        <w:pStyle w:val="Caption"/>
        <w:jc w:val="center"/>
      </w:pPr>
      <w:bookmarkStart w:id="20" w:name="_Toc216427832"/>
      <w:bookmarkStart w:id="21" w:name="_Toc216428073"/>
      <w:r>
        <w:t xml:space="preserve">Table </w:t>
      </w:r>
      <w:r>
        <w:fldChar w:fldCharType="begin"/>
      </w:r>
      <w:r>
        <w:instrText xml:space="preserve"> SEQ Table \* ARABIC </w:instrText>
      </w:r>
      <w:r>
        <w:fldChar w:fldCharType="separate"/>
      </w:r>
      <w:r w:rsidR="006327A4">
        <w:rPr>
          <w:noProof/>
        </w:rPr>
        <w:t>2</w:t>
      </w:r>
      <w:r>
        <w:fldChar w:fldCharType="end"/>
      </w:r>
      <w:r>
        <w:t xml:space="preserve"> - Hazard Effects</w:t>
      </w:r>
      <w:bookmarkEnd w:id="20"/>
      <w:bookmarkEnd w:id="21"/>
    </w:p>
    <w:p w14:paraId="39E054C2" w14:textId="2A718D52" w:rsidR="00C8231B" w:rsidRDefault="00AD71C8" w:rsidP="003C4FA0">
      <w:pPr>
        <w:pStyle w:val="Heading2"/>
      </w:pPr>
      <w:bookmarkStart w:id="22" w:name="_Toc216426792"/>
      <w:r>
        <w:t>Safest Storage Solutions</w:t>
      </w:r>
      <w:r w:rsidR="000F53BC">
        <w:t xml:space="preserve"> (SSS)</w:t>
      </w:r>
      <w:r>
        <w:t xml:space="preserve"> –</w:t>
      </w:r>
      <w:bookmarkEnd w:id="22"/>
      <w:r>
        <w:t xml:space="preserve"> </w:t>
      </w:r>
    </w:p>
    <w:p w14:paraId="431458E1" w14:textId="69DA0542" w:rsidR="00AD71C8" w:rsidRDefault="00AD71C8" w:rsidP="00AD71C8">
      <w:r>
        <w:t xml:space="preserve">After evaluating what ammunition needs to be stored across the 5 ESH the best possible </w:t>
      </w:r>
      <w:r w:rsidR="001B3C16">
        <w:t xml:space="preserve">storage </w:t>
      </w:r>
      <w:r w:rsidR="00036F92">
        <w:t xml:space="preserve">grouping should </w:t>
      </w:r>
      <w:r w:rsidR="0021540B">
        <w:t>be as follows:</w:t>
      </w:r>
    </w:p>
    <w:p w14:paraId="2377CA44" w14:textId="5A8CD065" w:rsidR="0021540B" w:rsidRDefault="0021540B" w:rsidP="00AD71C8">
      <w:r>
        <w:t>ESH 1 – 1.1B only</w:t>
      </w:r>
    </w:p>
    <w:p w14:paraId="4FC8B8CF" w14:textId="2EBF8911" w:rsidR="003C5958" w:rsidRDefault="007D174B" w:rsidP="003C5958">
      <w:pPr>
        <w:pStyle w:val="ListParagraph"/>
        <w:numPr>
          <w:ilvl w:val="0"/>
          <w:numId w:val="3"/>
        </w:numPr>
      </w:pPr>
      <w:r>
        <w:t>1.1B: 50kg</w:t>
      </w:r>
      <w:r w:rsidR="003C5958">
        <w:t xml:space="preserve"> – Isolate the most sensitive donor</w:t>
      </w:r>
      <w:r w:rsidR="007D4BA9">
        <w:t>, NEQ is low therefore the QD is relatively modest.</w:t>
      </w:r>
    </w:p>
    <w:p w14:paraId="0920AEDB" w14:textId="3050F6B2" w:rsidR="007D4BA9" w:rsidRDefault="007D4BA9" w:rsidP="007D4BA9">
      <w:r>
        <w:t>ESH 2 – Main 1.1D Bulk</w:t>
      </w:r>
    </w:p>
    <w:p w14:paraId="1219A25F" w14:textId="2EF05355" w:rsidR="007D4BA9" w:rsidRDefault="008135DD" w:rsidP="007D4BA9">
      <w:pPr>
        <w:pStyle w:val="ListParagraph"/>
        <w:numPr>
          <w:ilvl w:val="0"/>
          <w:numId w:val="3"/>
        </w:numPr>
      </w:pPr>
      <w:r>
        <w:t>1.1D: 3,200kg – T</w:t>
      </w:r>
      <w:r w:rsidR="00DA2D93">
        <w:t>h</w:t>
      </w:r>
      <w:r>
        <w:t xml:space="preserve">is is the primary dominant mass-explosion </w:t>
      </w:r>
      <w:r w:rsidR="00765B9D">
        <w:t xml:space="preserve">contributor. Keeping it alone and segregated from the other ammo </w:t>
      </w:r>
      <w:r w:rsidR="00646E94">
        <w:t>simplifies NEQ and QD calculations.</w:t>
      </w:r>
    </w:p>
    <w:p w14:paraId="3CD984E8" w14:textId="1787F57F" w:rsidR="00646E94" w:rsidRDefault="00646E94" w:rsidP="00646E94">
      <w:r>
        <w:t>ESH 3 – Remaining 1.1 (1.1E &amp; 1.1F)</w:t>
      </w:r>
    </w:p>
    <w:p w14:paraId="53B99A6B" w14:textId="52B4D5C4" w:rsidR="00646E94" w:rsidRDefault="000B2022" w:rsidP="000B2022">
      <w:pPr>
        <w:pStyle w:val="ListParagraph"/>
        <w:numPr>
          <w:ilvl w:val="0"/>
          <w:numId w:val="3"/>
        </w:numPr>
      </w:pPr>
      <w:r>
        <w:t>1.1E: 1,250kg</w:t>
      </w:r>
    </w:p>
    <w:p w14:paraId="1BB5570C" w14:textId="78011776" w:rsidR="000B2022" w:rsidRDefault="000B2022" w:rsidP="000B2022">
      <w:pPr>
        <w:pStyle w:val="ListParagraph"/>
        <w:numPr>
          <w:ilvl w:val="0"/>
          <w:numId w:val="3"/>
        </w:numPr>
      </w:pPr>
      <w:r>
        <w:t>1.1F: 500kg</w:t>
      </w:r>
      <w:r>
        <w:tab/>
      </w:r>
    </w:p>
    <w:p w14:paraId="6E0E69D9" w14:textId="044E696D" w:rsidR="00FB768D" w:rsidRDefault="00FB768D" w:rsidP="00C41C7E">
      <w:pPr>
        <w:pStyle w:val="ListParagraph"/>
        <w:numPr>
          <w:ilvl w:val="1"/>
          <w:numId w:val="3"/>
        </w:numPr>
      </w:pPr>
      <w:r>
        <w:t>ESH 3 NEQ = 1,750kg of HD1.1</w:t>
      </w:r>
      <w:r w:rsidR="00C41C7E">
        <w:t xml:space="preserve"> – Compatible high explosive and propellant items kept together </w:t>
      </w:r>
      <w:r w:rsidR="004D463A">
        <w:t>but kept separate from the large 1.1D bulk of ammo to reduce risk.</w:t>
      </w:r>
      <w:r w:rsidR="009D6035">
        <w:t xml:space="preserve"> This is partially compliant with JSP 482 </w:t>
      </w:r>
      <w:r w:rsidR="00366BEF">
        <w:t xml:space="preserve">if compatibility groups </w:t>
      </w:r>
      <w:r w:rsidR="00F932AC">
        <w:t>match,</w:t>
      </w:r>
      <w:r w:rsidR="00366BEF">
        <w:t xml:space="preserve"> e.g. both non-fuzed HE projectiles</w:t>
      </w:r>
      <w:r w:rsidR="00F932AC">
        <w:t xml:space="preserve"> then compliant.</w:t>
      </w:r>
    </w:p>
    <w:p w14:paraId="7A27FE8D" w14:textId="1C92DEC4" w:rsidR="004D463A" w:rsidRDefault="004D463A" w:rsidP="004D463A">
      <w:r>
        <w:t>ESH 4</w:t>
      </w:r>
      <w:r w:rsidR="00AA4FF2">
        <w:t xml:space="preserve"> – HD 1.2 &amp; 1.3</w:t>
      </w:r>
    </w:p>
    <w:p w14:paraId="3A84F807" w14:textId="34E9EA4C" w:rsidR="00AA4FF2" w:rsidRDefault="00422979" w:rsidP="00422979">
      <w:pPr>
        <w:pStyle w:val="ListParagraph"/>
        <w:numPr>
          <w:ilvl w:val="0"/>
          <w:numId w:val="4"/>
        </w:numPr>
      </w:pPr>
      <w:r>
        <w:t>1.2C: 350kg</w:t>
      </w:r>
    </w:p>
    <w:p w14:paraId="608FE2FF" w14:textId="0E581C5A" w:rsidR="00422979" w:rsidRDefault="00422979" w:rsidP="00422979">
      <w:pPr>
        <w:pStyle w:val="ListParagraph"/>
        <w:numPr>
          <w:ilvl w:val="0"/>
          <w:numId w:val="4"/>
        </w:numPr>
      </w:pPr>
      <w:r>
        <w:t>1.2D: 100kg</w:t>
      </w:r>
    </w:p>
    <w:p w14:paraId="0CE6BAC3" w14:textId="4C2A9622" w:rsidR="00422979" w:rsidRDefault="00422979" w:rsidP="00422979">
      <w:pPr>
        <w:pStyle w:val="ListParagraph"/>
        <w:numPr>
          <w:ilvl w:val="0"/>
          <w:numId w:val="4"/>
        </w:numPr>
      </w:pPr>
      <w:r>
        <w:t>1.2F: 50kg</w:t>
      </w:r>
    </w:p>
    <w:p w14:paraId="03CBF4F1" w14:textId="6B85ACD6" w:rsidR="00216C00" w:rsidRDefault="00216C00" w:rsidP="00216C00">
      <w:r>
        <w:t xml:space="preserve">- </w:t>
      </w:r>
      <w:r w:rsidR="006D3906">
        <w:t xml:space="preserve">HD 1.2 explosives </w:t>
      </w:r>
      <w:r w:rsidR="00122C3D">
        <w:t xml:space="preserve">don’t produce a mass explosion </w:t>
      </w:r>
      <w:r w:rsidR="00B465B1">
        <w:t>hazard; however,</w:t>
      </w:r>
      <w:r w:rsidR="00122C3D">
        <w:t xml:space="preserve"> they do present a </w:t>
      </w:r>
      <w:r w:rsidR="00466AAC">
        <w:t>severe</w:t>
      </w:r>
      <w:r w:rsidR="00122C3D">
        <w:t xml:space="preserve"> fragment hazard</w:t>
      </w:r>
      <w:r w:rsidR="00466AAC">
        <w:t xml:space="preserve">. </w:t>
      </w:r>
    </w:p>
    <w:p w14:paraId="0AF153AC" w14:textId="1C57700D" w:rsidR="008B0996" w:rsidRDefault="008B0996" w:rsidP="00216C00">
      <w:r>
        <w:t>E</w:t>
      </w:r>
      <w:r w:rsidR="00D2249D">
        <w:t>SH</w:t>
      </w:r>
      <w:r>
        <w:t xml:space="preserve"> 5 </w:t>
      </w:r>
      <w:r w:rsidR="00D2249D">
        <w:t>–</w:t>
      </w:r>
      <w:r>
        <w:t xml:space="preserve"> </w:t>
      </w:r>
      <w:r w:rsidR="00D2249D">
        <w:t xml:space="preserve">HD </w:t>
      </w:r>
      <w:r w:rsidR="009A5692">
        <w:t>1</w:t>
      </w:r>
      <w:r w:rsidR="00D2249D">
        <w:t xml:space="preserve">.4S </w:t>
      </w:r>
      <w:r w:rsidR="007A4D3C">
        <w:t xml:space="preserve">&amp; </w:t>
      </w:r>
      <w:r w:rsidR="00835BB6">
        <w:t>1.3C</w:t>
      </w:r>
    </w:p>
    <w:p w14:paraId="2B43F0B0" w14:textId="17B20141" w:rsidR="00D2249D" w:rsidRDefault="00D2249D" w:rsidP="00D2249D">
      <w:pPr>
        <w:pStyle w:val="ListParagraph"/>
        <w:numPr>
          <w:ilvl w:val="0"/>
          <w:numId w:val="5"/>
        </w:numPr>
      </w:pPr>
      <w:r>
        <w:t>1.4S: 1,000kg</w:t>
      </w:r>
      <w:r w:rsidR="00630C93">
        <w:t xml:space="preserve"> – 1.4S is very insensitive and p</w:t>
      </w:r>
      <w:r w:rsidR="00F51429">
        <w:t>r</w:t>
      </w:r>
      <w:r w:rsidR="00630C93">
        <w:t>esents a very low risk hazard</w:t>
      </w:r>
      <w:r w:rsidR="00BD4624">
        <w:t>. Storing it separately will avoid it being treated as a HD1.1 or HD1.2 for sitting purposes.</w:t>
      </w:r>
    </w:p>
    <w:p w14:paraId="3CECBA4D" w14:textId="76CBD7E5" w:rsidR="00F51429" w:rsidRDefault="00F51429" w:rsidP="00F51429">
      <w:pPr>
        <w:pStyle w:val="ListParagraph"/>
        <w:numPr>
          <w:ilvl w:val="0"/>
          <w:numId w:val="5"/>
        </w:numPr>
      </w:pPr>
      <w:r>
        <w:t>1.3C: 1,000kg - HD 1.3 mainly present a fire and blast hazard</w:t>
      </w:r>
      <w:r w:rsidR="00835BB6">
        <w:t xml:space="preserve">. HD 1.3C + HD 1.4S can be stored together </w:t>
      </w:r>
      <w:r w:rsidR="009D2611">
        <w:t>under JSP 482 as they are both non-mass explosive and it keeps the QD minimal</w:t>
      </w:r>
      <w:r w:rsidR="00972A94">
        <w:t xml:space="preserve"> </w:t>
      </w:r>
      <w:r w:rsidR="009F447C">
        <w:t>if</w:t>
      </w:r>
      <w:r w:rsidR="00972A94">
        <w:t xml:space="preserve"> there is no compatibility group conflicts. Meaning another question to ask Big Bang Storage Solutions.</w:t>
      </w:r>
    </w:p>
    <w:p w14:paraId="247F264A" w14:textId="77777777" w:rsidR="00F51429" w:rsidRDefault="00F51429" w:rsidP="00F51429">
      <w:pPr>
        <w:pStyle w:val="ListParagraph"/>
      </w:pPr>
    </w:p>
    <w:p w14:paraId="71C06130" w14:textId="2900D396" w:rsidR="00BD4624" w:rsidRDefault="00BD4624" w:rsidP="00BD4624">
      <w:r>
        <w:t xml:space="preserve">Having the ammunition spread across the 5 ESH in this formation will allow the most dangerous </w:t>
      </w:r>
      <w:r w:rsidR="008751F2">
        <w:t xml:space="preserve">present explosive HD1.1 which is stored across three separate ESH </w:t>
      </w:r>
      <w:r w:rsidR="005E3EAC">
        <w:t xml:space="preserve">to have </w:t>
      </w:r>
      <w:r w:rsidR="00CC09B5">
        <w:t xml:space="preserve">the maximum single NEQ to be lowered </w:t>
      </w:r>
      <w:r w:rsidR="007D0D68">
        <w:t xml:space="preserve">as well as being segregated from lower HD </w:t>
      </w:r>
      <w:r w:rsidR="00874F49">
        <w:t>ensuring they don’t unnecessarily drive the QD.</w:t>
      </w:r>
      <w:r w:rsidR="00BD0CB1">
        <w:t xml:space="preserve"> </w:t>
      </w:r>
    </w:p>
    <w:p w14:paraId="76993D0B" w14:textId="57ECE6CC" w:rsidR="00BE06C0" w:rsidRDefault="0060265D" w:rsidP="00BE06C0">
      <w:r>
        <w:t xml:space="preserve">For ESH 3 and ESH 4 it all depends on what type of projectiles are being stored inside. This will then highlight whether they can be stored in this formation or not. As the briefing from the council doesn’t confirm what type of ammunition correlates to each Hazard Division then this is a question that needs to be asked to Big Bang Storage Solutions. </w:t>
      </w:r>
    </w:p>
    <w:p w14:paraId="14CB0B06" w14:textId="5954C347" w:rsidR="00647D54" w:rsidRDefault="00647D54" w:rsidP="00647D54">
      <w:pPr>
        <w:pStyle w:val="Heading2"/>
      </w:pPr>
      <w:bookmarkStart w:id="23" w:name="_Toc216426793"/>
      <w:r>
        <w:t xml:space="preserve">Specific Internal Layout of all ESH </w:t>
      </w:r>
      <w:r w:rsidR="000F53BC">
        <w:t>in the SSS –</w:t>
      </w:r>
      <w:bookmarkEnd w:id="23"/>
      <w:r w:rsidR="000F53BC">
        <w:t xml:space="preserve"> </w:t>
      </w:r>
    </w:p>
    <w:p w14:paraId="7EFC707B" w14:textId="07C18BB3" w:rsidR="003C5285" w:rsidRDefault="003C5285" w:rsidP="003C5285">
      <w:r>
        <w:t xml:space="preserve">ESH 1: HD 1.1B (50kg) </w:t>
      </w:r>
    </w:p>
    <w:p w14:paraId="08E055EA" w14:textId="693E5DFF" w:rsidR="003C5285" w:rsidRDefault="002731B4" w:rsidP="003C5285">
      <w:r>
        <w:t xml:space="preserve">High sensitive primaries are stored in this ESH, for this to happen </w:t>
      </w:r>
      <w:r w:rsidR="007B16BF">
        <w:t xml:space="preserve">there must be minimal handling zones, </w:t>
      </w:r>
      <w:r w:rsidR="004E40CB">
        <w:t>the ammunition must be single pallet stacked, centred and against the rear wall. No higher than 1m</w:t>
      </w:r>
      <w:r w:rsidR="00832437">
        <w:t>, with 2m walkway around all available sides. There must be a</w:t>
      </w:r>
      <w:r w:rsidR="00745B44">
        <w:t>n isolated fuze inspection bench at the ESH entrance with blast shielding and intr</w:t>
      </w:r>
      <w:r w:rsidR="006C6ECD">
        <w:t>insically safe lighting.</w:t>
      </w:r>
    </w:p>
    <w:p w14:paraId="26AAE9EF" w14:textId="34DC47AA" w:rsidR="006C6ECD" w:rsidRDefault="006C6ECD" w:rsidP="003C5285">
      <w:r>
        <w:t>ESH 2: HD 1.1D (3,200kg)</w:t>
      </w:r>
    </w:p>
    <w:p w14:paraId="41BB1106" w14:textId="56600768" w:rsidR="006C6ECD" w:rsidRPr="003C5285" w:rsidRDefault="000C747E" w:rsidP="003C5285">
      <w:r>
        <w:t xml:space="preserve">If bulk mass detonators are to be stored inside, there must be robust stacking available within the ESH. </w:t>
      </w:r>
      <w:r w:rsidR="000C126B">
        <w:t xml:space="preserve">Double stacked pallets in a 4x4 grid, divided by 300mm concrete internal traverses into 4 compartments. </w:t>
      </w:r>
      <w:r w:rsidR="00647272">
        <w:t>2m walkways all around and a forklift turning circle at the main entrance</w:t>
      </w:r>
      <w:r w:rsidR="00C848C3">
        <w:t xml:space="preserve">. </w:t>
      </w:r>
      <w:sdt>
        <w:sdtPr>
          <w:id w:val="-1743014509"/>
          <w:citation/>
        </w:sdtPr>
        <w:sdtEndPr/>
        <w:sdtContent>
          <w:r w:rsidR="00C848C3">
            <w:fldChar w:fldCharType="begin"/>
          </w:r>
          <w:r w:rsidR="00C848C3">
            <w:instrText xml:space="preserve"> CITATION Def19 \l 2057 </w:instrText>
          </w:r>
          <w:r w:rsidR="00C848C3">
            <w:fldChar w:fldCharType="separate"/>
          </w:r>
          <w:r w:rsidR="002866E4" w:rsidRPr="002866E4">
            <w:rPr>
              <w:noProof/>
            </w:rPr>
            <w:t>[1]</w:t>
          </w:r>
          <w:r w:rsidR="00C848C3">
            <w:fldChar w:fldCharType="end"/>
          </w:r>
        </w:sdtContent>
      </w:sdt>
    </w:p>
    <w:p w14:paraId="18E9D732" w14:textId="698033DB" w:rsidR="000F53BC" w:rsidRDefault="0043641C" w:rsidP="000F53BC">
      <w:r>
        <w:t>ESH 3: HD 1.1E (1,250kg) + 1.1F (500kg)</w:t>
      </w:r>
    </w:p>
    <w:p w14:paraId="0012B8CE" w14:textId="23D4D5C8" w:rsidR="004B1CF3" w:rsidRDefault="0043641C" w:rsidP="00FE02ED">
      <w:r>
        <w:t>HE projectiles</w:t>
      </w:r>
      <w:r w:rsidR="00D87C1B">
        <w:t xml:space="preserve"> with propellants, </w:t>
      </w:r>
      <w:r w:rsidR="00FE02ED">
        <w:t>compatibility groups need to be verified to see if compliant</w:t>
      </w:r>
      <w:r w:rsidR="004D2EEF">
        <w:t xml:space="preserve">, as long as both </w:t>
      </w:r>
      <w:r w:rsidR="002D66AB">
        <w:t xml:space="preserve">projectiles have had fuzes removed then compliant with JSP 482. </w:t>
      </w:r>
      <w:r w:rsidR="00B504BE">
        <w:t>There must be separate pallet bays, on one side there is a row of 1.1E</w:t>
      </w:r>
      <w:r w:rsidR="009B42D9">
        <w:t>, 6 pallets, 1.5m high. On the opposite side a row of 1.1F</w:t>
      </w:r>
      <w:r w:rsidR="005A12B0">
        <w:t>, 3 pallets. A 2.5m central walkway running down the centre of both stacks</w:t>
      </w:r>
      <w:r w:rsidR="005C6288">
        <w:t xml:space="preserve">. Dunnage must be placed under each stack keep it </w:t>
      </w:r>
      <w:r w:rsidR="0072355A">
        <w:t>off</w:t>
      </w:r>
      <w:r w:rsidR="005C6288">
        <w:t xml:space="preserve"> the ground, free from any moisture </w:t>
      </w:r>
      <w:r w:rsidR="00287D6E">
        <w:t>damage.</w:t>
      </w:r>
    </w:p>
    <w:p w14:paraId="4D63A86A" w14:textId="278C38CC" w:rsidR="00287D6E" w:rsidRDefault="00287D6E" w:rsidP="00FE02ED">
      <w:r>
        <w:t>ESH 4: HD 1.2</w:t>
      </w:r>
      <w:r w:rsidR="009F447C">
        <w:t>C</w:t>
      </w:r>
      <w:r w:rsidR="00327C56">
        <w:t xml:space="preserve"> (350kg) + 1.2</w:t>
      </w:r>
      <w:r w:rsidR="00484C0F">
        <w:t>D (100kg) + 1.2F (50kg)</w:t>
      </w:r>
    </w:p>
    <w:p w14:paraId="40C2D294" w14:textId="313319EE" w:rsidR="00484C0F" w:rsidRDefault="00FB0B0A" w:rsidP="00FE02ED">
      <w:r>
        <w:t xml:space="preserve">This ESH’s main risk is </w:t>
      </w:r>
      <w:r w:rsidR="00892E9A">
        <w:t xml:space="preserve">that it has a very high chance of projection. </w:t>
      </w:r>
      <w:r w:rsidR="00650DB6">
        <w:t>Therefore,</w:t>
      </w:r>
      <w:r w:rsidR="00892E9A">
        <w:t xml:space="preserve"> the internal layout must be fragment containment focused</w:t>
      </w:r>
      <w:r w:rsidR="001E4D9C">
        <w:t xml:space="preserve">. </w:t>
      </w:r>
      <w:r w:rsidR="00C65E67">
        <w:t>Single layer</w:t>
      </w:r>
      <w:r w:rsidR="001E4D9C">
        <w:t xml:space="preserve"> pallets n</w:t>
      </w:r>
      <w:r w:rsidR="00C65E67">
        <w:t>o</w:t>
      </w:r>
      <w:r w:rsidR="001E4D9C">
        <w:t xml:space="preserve"> higher than 1.5m spaced </w:t>
      </w:r>
      <w:r w:rsidR="00C65E67">
        <w:t>1m apart from each other in an open grid setting</w:t>
      </w:r>
      <w:r w:rsidR="005A1B95">
        <w:t>. Minimum 3m walkway to gain access with fragment catching mesh walls in case of an incident</w:t>
      </w:r>
      <w:r w:rsidR="00535166">
        <w:t>.</w:t>
      </w:r>
    </w:p>
    <w:p w14:paraId="7CAEB0B7" w14:textId="7C5B39E9" w:rsidR="00535166" w:rsidRDefault="00535166" w:rsidP="00FE02ED">
      <w:r>
        <w:t>ESH 5: HD 1.4S (1,000kg) + 1.3C (1,000kg)</w:t>
      </w:r>
    </w:p>
    <w:p w14:paraId="1C7ED426" w14:textId="4C470D88" w:rsidR="00535166" w:rsidRDefault="00821495" w:rsidP="00FE02ED">
      <w:r>
        <w:t xml:space="preserve">ESH 5 must house both 1,000kg of HD 1.4S &amp; 1,000kg of 1.3C, for this to </w:t>
      </w:r>
      <w:r w:rsidR="007F7F70">
        <w:t xml:space="preserve">take place the ESH must be 2.4 high, with vents for air flow, </w:t>
      </w:r>
      <w:r w:rsidR="00650DB6">
        <w:t>temperature</w:t>
      </w:r>
      <w:r w:rsidR="007F7F70">
        <w:t xml:space="preserve"> and </w:t>
      </w:r>
      <w:r w:rsidR="00650DB6">
        <w:t>humidity</w:t>
      </w:r>
      <w:r w:rsidR="007F7F70">
        <w:t xml:space="preserve"> monitored and controlled</w:t>
      </w:r>
      <w:r w:rsidR="00195DC5">
        <w:t xml:space="preserve"> with deluge above head. The ESH must be divided into two bays </w:t>
      </w:r>
      <w:r w:rsidR="00CB7C95">
        <w:t xml:space="preserve">with a 1.5m high concrete or steel mesh wall </w:t>
      </w:r>
      <w:r w:rsidR="00650DB6">
        <w:t>in between</w:t>
      </w:r>
      <w:r w:rsidR="00CB7C95">
        <w:t xml:space="preserve"> the two articles. 60% of the area for </w:t>
      </w:r>
      <w:r w:rsidR="00DD7819">
        <w:t xml:space="preserve">HD 1.3C and 40% for HD 1.4S. </w:t>
      </w:r>
    </w:p>
    <w:p w14:paraId="5BE938F5" w14:textId="42F9B147" w:rsidR="00BE06C0" w:rsidRDefault="00BE06C0" w:rsidP="004D2EEF">
      <w:pPr>
        <w:pStyle w:val="Heading2"/>
      </w:pPr>
      <w:bookmarkStart w:id="24" w:name="_Toc216426794"/>
      <w:r>
        <w:t>Maximum Credible Event Scenario (MCE) –</w:t>
      </w:r>
      <w:bookmarkEnd w:id="24"/>
      <w:r>
        <w:t xml:space="preserve"> </w:t>
      </w:r>
    </w:p>
    <w:p w14:paraId="655D22EF" w14:textId="5E8DE253" w:rsidR="0095729B" w:rsidRDefault="0068492B" w:rsidP="00BE06C0">
      <w:r>
        <w:t>In this s</w:t>
      </w:r>
      <w:r w:rsidR="00720A48">
        <w:t>ituation</w:t>
      </w:r>
      <w:r>
        <w:t xml:space="preserve"> the maximum credible event scen</w:t>
      </w:r>
      <w:r w:rsidR="00720A48">
        <w:t>ario</w:t>
      </w:r>
      <w:r w:rsidR="00B97429">
        <w:t xml:space="preserve"> as a worse case single ESH effect</w:t>
      </w:r>
      <w:r w:rsidR="00720A48">
        <w:t xml:space="preserve"> would be a full mass explosion </w:t>
      </w:r>
      <w:r w:rsidR="00F378D5">
        <w:t xml:space="preserve">in one of the higher NEQ HD1.1 magazines, with realistic </w:t>
      </w:r>
      <w:r w:rsidR="00980B68">
        <w:t>knock-on</w:t>
      </w:r>
      <w:r w:rsidR="00F378D5">
        <w:t xml:space="preserve"> effects to the rest of the ammunition facility and the surrounding area. </w:t>
      </w:r>
      <w:r w:rsidR="009831D6">
        <w:t xml:space="preserve">ESH 2 is </w:t>
      </w:r>
      <w:r w:rsidR="00CA0447">
        <w:t>storing</w:t>
      </w:r>
      <w:r w:rsidR="009831D6">
        <w:t xml:space="preserve"> 3,200kg of HD1.1D</w:t>
      </w:r>
      <w:r w:rsidR="00CA0447">
        <w:t xml:space="preserve"> this controls the facilities MCE due to having the largest mass-explosion NEQ across all 5 ESH. </w:t>
      </w:r>
      <w:r w:rsidR="008A34BA">
        <w:t xml:space="preserve">This ESH has expected approximate effects </w:t>
      </w:r>
      <w:r w:rsidR="00437719">
        <w:t xml:space="preserve">which include </w:t>
      </w:r>
      <w:r w:rsidR="00E0495D">
        <w:t>destruction</w:t>
      </w:r>
      <w:r w:rsidR="00437719">
        <w:t xml:space="preserve"> within 50-100m, lethal </w:t>
      </w:r>
      <w:proofErr w:type="spellStart"/>
      <w:r w:rsidR="00437719">
        <w:t>overpressures</w:t>
      </w:r>
      <w:proofErr w:type="spellEnd"/>
      <w:r w:rsidR="00437719">
        <w:t xml:space="preserve"> from 400m – 800m and </w:t>
      </w:r>
      <w:r w:rsidR="00224A55">
        <w:t>fragment hazards up to 1-2km.</w:t>
      </w:r>
      <w:sdt>
        <w:sdtPr>
          <w:id w:val="875352125"/>
          <w:citation/>
        </w:sdtPr>
        <w:sdtEndPr/>
        <w:sdtContent>
          <w:r w:rsidR="00652AF5">
            <w:fldChar w:fldCharType="begin"/>
          </w:r>
          <w:r w:rsidR="00652AF5">
            <w:instrText xml:space="preserve"> CITATION DIV10 \l 2057 </w:instrText>
          </w:r>
          <w:r w:rsidR="00652AF5">
            <w:fldChar w:fldCharType="separate"/>
          </w:r>
          <w:r w:rsidR="002866E4">
            <w:rPr>
              <w:noProof/>
            </w:rPr>
            <w:t xml:space="preserve"> </w:t>
          </w:r>
          <w:r w:rsidR="002866E4" w:rsidRPr="002866E4">
            <w:rPr>
              <w:noProof/>
            </w:rPr>
            <w:t>[2]</w:t>
          </w:r>
          <w:r w:rsidR="00652AF5">
            <w:fldChar w:fldCharType="end"/>
          </w:r>
        </w:sdtContent>
      </w:sdt>
    </w:p>
    <w:p w14:paraId="19E4D605" w14:textId="75893481" w:rsidR="00036B7F" w:rsidRDefault="00036B7F" w:rsidP="00BE06C0">
      <w:r>
        <w:t xml:space="preserve">However, </w:t>
      </w:r>
      <w:r w:rsidR="00F560C8">
        <w:t>if Intraline distances (ILD’s) are not c</w:t>
      </w:r>
      <w:r w:rsidR="001754C3">
        <w:t xml:space="preserve">omplied with under JSP 482 </w:t>
      </w:r>
      <w:r w:rsidR="00E72380">
        <w:t xml:space="preserve">and multiple ESH are situated too close together then </w:t>
      </w:r>
      <w:r w:rsidR="00436928">
        <w:t>the MCE from</w:t>
      </w:r>
      <w:r w:rsidR="00E72380">
        <w:t xml:space="preserve"> </w:t>
      </w:r>
      <w:r w:rsidR="003703F1">
        <w:t xml:space="preserve">one ESH to another will significantly multiply. </w:t>
      </w:r>
      <w:r w:rsidR="0064040A">
        <w:t xml:space="preserve">For example, if ESH’s 2, 3 &amp; 4 are situated too close together </w:t>
      </w:r>
      <w:r w:rsidR="004077F0">
        <w:t xml:space="preserve">and less than required the MCE will increase to </w:t>
      </w:r>
      <w:r w:rsidR="005405B5">
        <w:t>approximately 6,500kg</w:t>
      </w:r>
      <w:r w:rsidR="00811A82">
        <w:t xml:space="preserve"> </w:t>
      </w:r>
      <w:r w:rsidR="00D65171">
        <w:t>total of HD1.1/1.2 NEQ detonation power</w:t>
      </w:r>
      <w:r w:rsidR="00D10004">
        <w:t>, amplifying the blast radius effects etc. With the addition of 1.3</w:t>
      </w:r>
      <w:r w:rsidR="00250628">
        <w:t xml:space="preserve">C in ESH 4 this will add greater </w:t>
      </w:r>
      <w:r w:rsidR="0055410F">
        <w:t xml:space="preserve">fire and thermal effects over a greater distance. </w:t>
      </w:r>
      <w:sdt>
        <w:sdtPr>
          <w:id w:val="1195586758"/>
          <w:citation/>
        </w:sdtPr>
        <w:sdtEndPr/>
        <w:sdtContent>
          <w:r w:rsidR="00694292">
            <w:fldChar w:fldCharType="begin"/>
          </w:r>
          <w:r w:rsidR="00694292">
            <w:instrText xml:space="preserve"> CITATION Qua13 \l 2057 </w:instrText>
          </w:r>
          <w:r w:rsidR="00694292">
            <w:fldChar w:fldCharType="separate"/>
          </w:r>
          <w:r w:rsidR="002866E4" w:rsidRPr="002866E4">
            <w:rPr>
              <w:noProof/>
            </w:rPr>
            <w:t>[3]</w:t>
          </w:r>
          <w:r w:rsidR="00694292">
            <w:fldChar w:fldCharType="end"/>
          </w:r>
        </w:sdtContent>
      </w:sdt>
    </w:p>
    <w:p w14:paraId="4E2EEF4F" w14:textId="77777777" w:rsidR="009006C9" w:rsidRDefault="0055410F" w:rsidP="00BE06C0">
      <w:r>
        <w:t xml:space="preserve">In such a residential area such as Swansea </w:t>
      </w:r>
      <w:r w:rsidR="006347F0">
        <w:t>this would be catastrophic to the public and to infrastructure</w:t>
      </w:r>
      <w:r w:rsidR="00D156F6">
        <w:t xml:space="preserve"> as well as long term </w:t>
      </w:r>
      <w:r w:rsidR="00C02E3D">
        <w:t>contaminated</w:t>
      </w:r>
      <w:r w:rsidR="00D156F6">
        <w:t xml:space="preserve"> areas.</w:t>
      </w:r>
    </w:p>
    <w:p w14:paraId="1204D60B" w14:textId="77777777" w:rsidR="00F36D16" w:rsidRDefault="009006C9" w:rsidP="00BE06C0">
      <w:r>
        <w:t xml:space="preserve">Therefore, it is essential that the ESH’s are situated at the correct distances away from each other depending on what is being stored inside. </w:t>
      </w:r>
      <w:r w:rsidR="00D156F6">
        <w:t xml:space="preserve"> </w:t>
      </w:r>
    </w:p>
    <w:p w14:paraId="1408682A" w14:textId="6842DA7E" w:rsidR="0055410F" w:rsidRDefault="00202DB2" w:rsidP="00BE06C0">
      <w:r>
        <w:t xml:space="preserve">Some of the following mitigations can be put in place </w:t>
      </w:r>
      <w:r w:rsidR="00050393">
        <w:t>when planning the exact location of each ESH</w:t>
      </w:r>
      <w:r w:rsidR="006037BE">
        <w:t xml:space="preserve"> to ensure the MCE is ALARP </w:t>
      </w:r>
      <w:r w:rsidR="008F1E5F">
        <w:t xml:space="preserve">under the Health &amp; Safety at Work Act 1974. </w:t>
      </w:r>
      <w:r w:rsidR="00067266">
        <w:t>JSP 482 and ER2014 highlight these mitigations for any unplanned MCE:</w:t>
      </w:r>
    </w:p>
    <w:p w14:paraId="6099300F" w14:textId="121C3627" w:rsidR="00050393" w:rsidRDefault="007016F2" w:rsidP="007016F2">
      <w:r>
        <w:t xml:space="preserve">Structural Mitigations – </w:t>
      </w:r>
    </w:p>
    <w:p w14:paraId="3D86B5F2" w14:textId="2010F685" w:rsidR="007016F2" w:rsidRDefault="002C5082" w:rsidP="007016F2">
      <w:pPr>
        <w:pStyle w:val="ListParagraph"/>
        <w:numPr>
          <w:ilvl w:val="0"/>
          <w:numId w:val="5"/>
        </w:numPr>
      </w:pPr>
      <w:r>
        <w:t>Earth covered explosive storage buildings with a minimum of 1-2m of cover, for HD 1.1 the traverses must be at least 12m high</w:t>
      </w:r>
      <w:r w:rsidR="00094C57">
        <w:t xml:space="preserve"> with the thick blast doors being oriented away from the populated areas </w:t>
      </w:r>
      <w:r w:rsidR="0087320D">
        <w:t>to</w:t>
      </w:r>
      <w:r w:rsidR="00094C57">
        <w:t xml:space="preserve"> help</w:t>
      </w:r>
      <w:r w:rsidR="00202887">
        <w:t xml:space="preserve"> contain blast/fragments within the ammunition storage facility.</w:t>
      </w:r>
      <w:sdt>
        <w:sdtPr>
          <w:id w:val="1368178163"/>
          <w:citation/>
        </w:sdtPr>
        <w:sdtEndPr/>
        <w:sdtContent>
          <w:r w:rsidR="006A4BEF">
            <w:fldChar w:fldCharType="begin"/>
          </w:r>
          <w:r w:rsidR="006A4BEF">
            <w:instrText xml:space="preserve"> CITATION GOV13 \l 2057 </w:instrText>
          </w:r>
          <w:r w:rsidR="006A4BEF">
            <w:fldChar w:fldCharType="separate"/>
          </w:r>
          <w:r w:rsidR="002866E4">
            <w:rPr>
              <w:noProof/>
            </w:rPr>
            <w:t xml:space="preserve"> </w:t>
          </w:r>
          <w:r w:rsidR="002866E4" w:rsidRPr="002866E4">
            <w:rPr>
              <w:noProof/>
            </w:rPr>
            <w:t>[4]</w:t>
          </w:r>
          <w:r w:rsidR="006A4BEF">
            <w:fldChar w:fldCharType="end"/>
          </w:r>
        </w:sdtContent>
      </w:sdt>
    </w:p>
    <w:p w14:paraId="58069361" w14:textId="1C5E6F03" w:rsidR="004B2020" w:rsidRDefault="0087320D" w:rsidP="007016F2">
      <w:pPr>
        <w:pStyle w:val="ListParagraph"/>
        <w:numPr>
          <w:ilvl w:val="0"/>
          <w:numId w:val="5"/>
        </w:numPr>
      </w:pPr>
      <w:r>
        <w:t xml:space="preserve">According to JSP 482 </w:t>
      </w:r>
      <w:r w:rsidR="00004E07">
        <w:t>C</w:t>
      </w:r>
      <w:r>
        <w:t xml:space="preserve">hapter 10 QD Tables, </w:t>
      </w:r>
      <w:r w:rsidR="00F3065C">
        <w:t>the inhabited building distance for ESH 2 containing 3,200kg of HD1.1</w:t>
      </w:r>
      <w:r w:rsidR="00C31E78">
        <w:t>D explosives</w:t>
      </w:r>
      <w:r w:rsidR="00A84C1A">
        <w:t xml:space="preserve"> is 500m+.</w:t>
      </w:r>
      <w:sdt>
        <w:sdtPr>
          <w:id w:val="1591970281"/>
          <w:citation/>
        </w:sdtPr>
        <w:sdtEndPr/>
        <w:sdtContent>
          <w:r w:rsidR="0082752D">
            <w:fldChar w:fldCharType="begin"/>
          </w:r>
          <w:r w:rsidR="0082752D">
            <w:instrText xml:space="preserve"> CITATION GOV13 \l 2057 </w:instrText>
          </w:r>
          <w:r w:rsidR="0082752D">
            <w:fldChar w:fldCharType="separate"/>
          </w:r>
          <w:r w:rsidR="002866E4">
            <w:rPr>
              <w:noProof/>
            </w:rPr>
            <w:t xml:space="preserve"> </w:t>
          </w:r>
          <w:r w:rsidR="002866E4" w:rsidRPr="002866E4">
            <w:rPr>
              <w:noProof/>
            </w:rPr>
            <w:t>[4]</w:t>
          </w:r>
          <w:r w:rsidR="0082752D">
            <w:fldChar w:fldCharType="end"/>
          </w:r>
        </w:sdtContent>
      </w:sdt>
      <w:r w:rsidR="00004E07">
        <w:t xml:space="preserve"> JSP 482 – Chapter 10.</w:t>
      </w:r>
    </w:p>
    <w:p w14:paraId="0409470B" w14:textId="5AABA925" w:rsidR="00257A3F" w:rsidRDefault="00257A3F" w:rsidP="00257A3F">
      <w:r>
        <w:t>Initiation &amp; Fire Mitigations –</w:t>
      </w:r>
    </w:p>
    <w:p w14:paraId="2903ED47" w14:textId="556B8A6C" w:rsidR="00257A3F" w:rsidRDefault="00627F7C" w:rsidP="00257A3F">
      <w:pPr>
        <w:pStyle w:val="ListParagraph"/>
        <w:numPr>
          <w:ilvl w:val="0"/>
          <w:numId w:val="6"/>
        </w:numPr>
      </w:pPr>
      <w:r>
        <w:t>Fire detection systems (specifically for HD 1.3C propellants</w:t>
      </w:r>
      <w:r w:rsidR="00463BED">
        <w:t>, deluge systems can be used). Daily inspections and a strict no smoking policy on the facility.</w:t>
      </w:r>
    </w:p>
    <w:p w14:paraId="2F9C9114" w14:textId="01A09619" w:rsidR="00463BED" w:rsidRDefault="00004E07" w:rsidP="00257A3F">
      <w:pPr>
        <w:pStyle w:val="ListParagraph"/>
        <w:numPr>
          <w:ilvl w:val="0"/>
          <w:numId w:val="6"/>
        </w:numPr>
      </w:pPr>
      <w:r>
        <w:t>Lightning protection</w:t>
      </w:r>
      <w:r w:rsidR="00031DD6">
        <w:t xml:space="preserve"> grounded anti-sparking flooring. </w:t>
      </w:r>
      <w:sdt>
        <w:sdtPr>
          <w:id w:val="1226636042"/>
          <w:citation/>
        </w:sdtPr>
        <w:sdtEndPr/>
        <w:sdtContent>
          <w:r w:rsidR="00031DD6">
            <w:fldChar w:fldCharType="begin"/>
          </w:r>
          <w:r w:rsidR="00031DD6">
            <w:instrText xml:space="preserve"> CITATION GOV13 \l 2057 </w:instrText>
          </w:r>
          <w:r w:rsidR="00031DD6">
            <w:fldChar w:fldCharType="separate"/>
          </w:r>
          <w:r w:rsidR="002866E4" w:rsidRPr="002866E4">
            <w:rPr>
              <w:noProof/>
            </w:rPr>
            <w:t>[4]</w:t>
          </w:r>
          <w:r w:rsidR="00031DD6">
            <w:fldChar w:fldCharType="end"/>
          </w:r>
        </w:sdtContent>
      </w:sdt>
      <w:r w:rsidR="00031DD6">
        <w:t xml:space="preserve"> JSP 482 </w:t>
      </w:r>
      <w:r>
        <w:t>–</w:t>
      </w:r>
      <w:r w:rsidR="00031DD6">
        <w:t xml:space="preserve"> Ch</w:t>
      </w:r>
      <w:r>
        <w:t>apter 8.</w:t>
      </w:r>
    </w:p>
    <w:p w14:paraId="4EB6923B" w14:textId="4905DC51" w:rsidR="0013132C" w:rsidRDefault="0013132C" w:rsidP="0013132C">
      <w:r>
        <w:t xml:space="preserve">Security Mitigations – </w:t>
      </w:r>
    </w:p>
    <w:p w14:paraId="51D95E19" w14:textId="3020093F" w:rsidR="0013132C" w:rsidRDefault="0013132C" w:rsidP="0013132C">
      <w:pPr>
        <w:pStyle w:val="ListParagraph"/>
        <w:numPr>
          <w:ilvl w:val="0"/>
          <w:numId w:val="7"/>
        </w:numPr>
      </w:pPr>
      <w:r>
        <w:t>Perimeter fencing around the whole facility</w:t>
      </w:r>
      <w:r w:rsidR="00312C9A">
        <w:t xml:space="preserve">, CCTV, Alarms &amp; armed guards all active 24/7 according to </w:t>
      </w:r>
      <w:r w:rsidR="0088764E">
        <w:t>JSP 482 Security section.</w:t>
      </w:r>
    </w:p>
    <w:p w14:paraId="68EF99E5" w14:textId="6F21A0AA" w:rsidR="0088764E" w:rsidRDefault="0088764E" w:rsidP="0013132C">
      <w:pPr>
        <w:pStyle w:val="ListParagraph"/>
        <w:numPr>
          <w:ilvl w:val="0"/>
          <w:numId w:val="7"/>
        </w:numPr>
      </w:pPr>
      <w:r>
        <w:t>SOP’s, trained personnel</w:t>
      </w:r>
      <w:r w:rsidR="004404C8">
        <w:t>, stock rotation and ESSP in place which have been approved by DOSR.</w:t>
      </w:r>
    </w:p>
    <w:p w14:paraId="1F4CCAB6" w14:textId="1DC19A33" w:rsidR="004404C8" w:rsidRDefault="004404C8" w:rsidP="0013132C">
      <w:pPr>
        <w:pStyle w:val="ListParagraph"/>
        <w:numPr>
          <w:ilvl w:val="0"/>
          <w:numId w:val="7"/>
        </w:numPr>
      </w:pPr>
      <w:r>
        <w:t>Full Emer</w:t>
      </w:r>
      <w:r w:rsidR="00E305CD">
        <w:t>gency plans in place, including sirens throughout the whole facility and fire guards on call if not on site.</w:t>
      </w:r>
    </w:p>
    <w:p w14:paraId="07D59DDF" w14:textId="159ADF3F" w:rsidR="00E0495D" w:rsidRDefault="000D7400" w:rsidP="00BE06C0">
      <w:r>
        <w:t>The table below will highlight</w:t>
      </w:r>
      <w:r w:rsidR="0080533B">
        <w:t xml:space="preserve"> </w:t>
      </w:r>
      <w:r w:rsidR="003A18E5">
        <w:t>all</w:t>
      </w:r>
      <w:r w:rsidR="0080533B">
        <w:t xml:space="preserve"> the required Intraline Distances for the proposed ammunition facility in Swansea </w:t>
      </w:r>
      <w:r w:rsidR="0083353A">
        <w:t xml:space="preserve">to ensure that the rules and regulations for ESH </w:t>
      </w:r>
      <w:r w:rsidR="003A18E5">
        <w:t>in JSP 482 are being followed.</w:t>
      </w:r>
    </w:p>
    <w:p w14:paraId="7DD61271" w14:textId="77777777" w:rsidR="004553BB" w:rsidRDefault="004553BB" w:rsidP="00BE06C0"/>
    <w:tbl>
      <w:tblPr>
        <w:tblStyle w:val="TableGrid"/>
        <w:tblW w:w="0" w:type="auto"/>
        <w:tblLook w:val="04A0" w:firstRow="1" w:lastRow="0" w:firstColumn="1" w:lastColumn="0" w:noHBand="0" w:noVBand="1"/>
      </w:tblPr>
      <w:tblGrid>
        <w:gridCol w:w="2263"/>
        <w:gridCol w:w="3828"/>
        <w:gridCol w:w="2925"/>
      </w:tblGrid>
      <w:tr w:rsidR="00F04667" w14:paraId="5BEC32DB" w14:textId="77777777" w:rsidTr="00252FF3">
        <w:tc>
          <w:tcPr>
            <w:tcW w:w="2263" w:type="dxa"/>
            <w:vAlign w:val="center"/>
          </w:tcPr>
          <w:p w14:paraId="438D68AA" w14:textId="649954B7" w:rsidR="00F04667" w:rsidRDefault="007C5B52" w:rsidP="00252FF3">
            <w:pPr>
              <w:jc w:val="center"/>
            </w:pPr>
            <w:r>
              <w:t>To &amp; From ESH Pair</w:t>
            </w:r>
          </w:p>
        </w:tc>
        <w:tc>
          <w:tcPr>
            <w:tcW w:w="3828" w:type="dxa"/>
            <w:vAlign w:val="center"/>
          </w:tcPr>
          <w:p w14:paraId="22F510BC" w14:textId="452DDC65" w:rsidR="00F04667" w:rsidRDefault="007C5B52" w:rsidP="00252FF3">
            <w:pPr>
              <w:jc w:val="center"/>
            </w:pPr>
            <w:r>
              <w:t>The approximate ILD from JSP 482</w:t>
            </w:r>
          </w:p>
        </w:tc>
        <w:tc>
          <w:tcPr>
            <w:tcW w:w="2925" w:type="dxa"/>
            <w:vAlign w:val="center"/>
          </w:tcPr>
          <w:p w14:paraId="2E8FC102" w14:textId="320921A9" w:rsidR="00F04667" w:rsidRDefault="007C5B52" w:rsidP="00252FF3">
            <w:pPr>
              <w:jc w:val="center"/>
            </w:pPr>
            <w:r>
              <w:t xml:space="preserve">MCE </w:t>
            </w:r>
            <w:r w:rsidR="00252FF3">
              <w:t>Risk if breached</w:t>
            </w:r>
          </w:p>
        </w:tc>
      </w:tr>
      <w:tr w:rsidR="00F04667" w14:paraId="47EB33CA" w14:textId="77777777" w:rsidTr="00252FF3">
        <w:tc>
          <w:tcPr>
            <w:tcW w:w="2263" w:type="dxa"/>
            <w:vAlign w:val="center"/>
          </w:tcPr>
          <w:p w14:paraId="0F67E031" w14:textId="4A5E628A" w:rsidR="00F04667" w:rsidRDefault="00252FF3" w:rsidP="00252FF3">
            <w:pPr>
              <w:jc w:val="center"/>
            </w:pPr>
            <w:r>
              <w:t>ESH 2 to ESH 3</w:t>
            </w:r>
          </w:p>
        </w:tc>
        <w:tc>
          <w:tcPr>
            <w:tcW w:w="3828" w:type="dxa"/>
            <w:vAlign w:val="center"/>
          </w:tcPr>
          <w:p w14:paraId="1F10691B" w14:textId="3B59DFDF" w:rsidR="00F04667" w:rsidRDefault="00252FF3" w:rsidP="00252FF3">
            <w:pPr>
              <w:jc w:val="center"/>
            </w:pPr>
            <w:r>
              <w:t>100m – 200m</w:t>
            </w:r>
          </w:p>
        </w:tc>
        <w:tc>
          <w:tcPr>
            <w:tcW w:w="2925" w:type="dxa"/>
            <w:vAlign w:val="center"/>
          </w:tcPr>
          <w:p w14:paraId="539CF837" w14:textId="3BBEA6BD" w:rsidR="00F04667" w:rsidRDefault="00252FF3" w:rsidP="00252FF3">
            <w:pPr>
              <w:jc w:val="center"/>
            </w:pPr>
            <w:r>
              <w:t>High: Mass detonation chain</w:t>
            </w:r>
          </w:p>
        </w:tc>
      </w:tr>
      <w:tr w:rsidR="00F04667" w14:paraId="6A206DB3" w14:textId="77777777" w:rsidTr="00252FF3">
        <w:tc>
          <w:tcPr>
            <w:tcW w:w="2263" w:type="dxa"/>
            <w:vAlign w:val="center"/>
          </w:tcPr>
          <w:p w14:paraId="252EB61C" w14:textId="0083CA72" w:rsidR="00F04667" w:rsidRDefault="00252FF3" w:rsidP="00252FF3">
            <w:pPr>
              <w:jc w:val="center"/>
            </w:pPr>
            <w:r>
              <w:t>ESH 2 to ESH 4</w:t>
            </w:r>
          </w:p>
        </w:tc>
        <w:tc>
          <w:tcPr>
            <w:tcW w:w="3828" w:type="dxa"/>
            <w:vAlign w:val="center"/>
          </w:tcPr>
          <w:p w14:paraId="0C0D0EF7" w14:textId="2E6C3E6E" w:rsidR="00F04667" w:rsidRDefault="00252FF3" w:rsidP="00252FF3">
            <w:pPr>
              <w:jc w:val="center"/>
            </w:pPr>
            <w:r>
              <w:t>50m – 100m</w:t>
            </w:r>
          </w:p>
        </w:tc>
        <w:tc>
          <w:tcPr>
            <w:tcW w:w="2925" w:type="dxa"/>
            <w:vAlign w:val="center"/>
          </w:tcPr>
          <w:p w14:paraId="6C03D572" w14:textId="3A2CB994" w:rsidR="00F04667" w:rsidRDefault="00252FF3" w:rsidP="00252FF3">
            <w:pPr>
              <w:jc w:val="center"/>
            </w:pPr>
            <w:r>
              <w:t>Medium: Fragments &amp; spreading fire</w:t>
            </w:r>
          </w:p>
        </w:tc>
      </w:tr>
      <w:tr w:rsidR="00F04667" w14:paraId="32905A99" w14:textId="77777777" w:rsidTr="00252FF3">
        <w:tc>
          <w:tcPr>
            <w:tcW w:w="2263" w:type="dxa"/>
            <w:vAlign w:val="center"/>
          </w:tcPr>
          <w:p w14:paraId="791D4C75" w14:textId="388C70E8" w:rsidR="00F04667" w:rsidRDefault="00252FF3" w:rsidP="00252FF3">
            <w:pPr>
              <w:jc w:val="center"/>
            </w:pPr>
            <w:r>
              <w:t>ESH 1 to others</w:t>
            </w:r>
          </w:p>
        </w:tc>
        <w:tc>
          <w:tcPr>
            <w:tcW w:w="3828" w:type="dxa"/>
            <w:vAlign w:val="center"/>
          </w:tcPr>
          <w:p w14:paraId="740B1BF0" w14:textId="0721F039" w:rsidR="00F04667" w:rsidRDefault="00252FF3" w:rsidP="00252FF3">
            <w:pPr>
              <w:jc w:val="center"/>
            </w:pPr>
            <w:r>
              <w:t>30m – 50m</w:t>
            </w:r>
          </w:p>
        </w:tc>
        <w:tc>
          <w:tcPr>
            <w:tcW w:w="2925" w:type="dxa"/>
            <w:vAlign w:val="center"/>
          </w:tcPr>
          <w:p w14:paraId="693BB4B4" w14:textId="09E205E8" w:rsidR="00F04667" w:rsidRDefault="00252FF3" w:rsidP="00252FF3">
            <w:pPr>
              <w:jc w:val="center"/>
            </w:pPr>
            <w:r>
              <w:t>Low: Small NEQ but sensitive</w:t>
            </w:r>
          </w:p>
        </w:tc>
      </w:tr>
      <w:tr w:rsidR="00F04667" w14:paraId="33B73908" w14:textId="77777777" w:rsidTr="00252FF3">
        <w:tc>
          <w:tcPr>
            <w:tcW w:w="2263" w:type="dxa"/>
            <w:vAlign w:val="center"/>
          </w:tcPr>
          <w:p w14:paraId="66F06710" w14:textId="2BA32019" w:rsidR="00F04667" w:rsidRDefault="00252FF3" w:rsidP="00252FF3">
            <w:pPr>
              <w:jc w:val="center"/>
            </w:pPr>
            <w:r>
              <w:t>Any ESH to ESH 5</w:t>
            </w:r>
          </w:p>
        </w:tc>
        <w:tc>
          <w:tcPr>
            <w:tcW w:w="3828" w:type="dxa"/>
            <w:vAlign w:val="center"/>
          </w:tcPr>
          <w:p w14:paraId="2FAEB598" w14:textId="3F7AFFCF" w:rsidR="00F04667" w:rsidRDefault="00252FF3" w:rsidP="00252FF3">
            <w:pPr>
              <w:jc w:val="center"/>
            </w:pPr>
            <w:r>
              <w:t>&lt;30m</w:t>
            </w:r>
          </w:p>
        </w:tc>
        <w:tc>
          <w:tcPr>
            <w:tcW w:w="2925" w:type="dxa"/>
            <w:vAlign w:val="center"/>
          </w:tcPr>
          <w:p w14:paraId="5C794775" w14:textId="7EE33D2C" w:rsidR="00F04667" w:rsidRDefault="00252FF3" w:rsidP="00252FF3">
            <w:pPr>
              <w:jc w:val="center"/>
            </w:pPr>
            <w:r>
              <w:t>Negligible: No mass explosion</w:t>
            </w:r>
          </w:p>
        </w:tc>
      </w:tr>
    </w:tbl>
    <w:p w14:paraId="1597B614" w14:textId="77777777" w:rsidR="00BE06C0" w:rsidRDefault="00BE06C0" w:rsidP="00BE06C0"/>
    <w:p w14:paraId="1997EDA7" w14:textId="34E2C321" w:rsidR="006059A7" w:rsidRDefault="006059A7" w:rsidP="006059A7">
      <w:pPr>
        <w:pStyle w:val="Caption"/>
        <w:jc w:val="center"/>
      </w:pPr>
      <w:bookmarkStart w:id="25" w:name="_Toc216427833"/>
      <w:bookmarkStart w:id="26" w:name="_Toc216428074"/>
      <w:r>
        <w:t xml:space="preserve">Table </w:t>
      </w:r>
      <w:r>
        <w:fldChar w:fldCharType="begin"/>
      </w:r>
      <w:r>
        <w:instrText xml:space="preserve"> SEQ Table \* ARABIC </w:instrText>
      </w:r>
      <w:r>
        <w:fldChar w:fldCharType="separate"/>
      </w:r>
      <w:r w:rsidR="006327A4">
        <w:rPr>
          <w:noProof/>
        </w:rPr>
        <w:t>3</w:t>
      </w:r>
      <w:r>
        <w:fldChar w:fldCharType="end"/>
      </w:r>
      <w:r>
        <w:t xml:space="preserve"> - ESH to ESH ILD's</w:t>
      </w:r>
      <w:bookmarkEnd w:id="25"/>
      <w:bookmarkEnd w:id="26"/>
    </w:p>
    <w:p w14:paraId="2F138922" w14:textId="2E2EE6AB" w:rsidR="000A2482" w:rsidRDefault="000A2482" w:rsidP="005B43C3">
      <w:pPr>
        <w:pStyle w:val="Heading1"/>
      </w:pPr>
      <w:bookmarkStart w:id="27" w:name="_Toc216426795"/>
      <w:r>
        <w:t>QD Calculations</w:t>
      </w:r>
      <w:bookmarkEnd w:id="27"/>
    </w:p>
    <w:p w14:paraId="64AAF7FA" w14:textId="7BCB259B" w:rsidR="000A2482" w:rsidRDefault="000A2482" w:rsidP="000A2482">
      <w:pPr>
        <w:pStyle w:val="Heading2"/>
      </w:pPr>
      <w:bookmarkStart w:id="28" w:name="_Toc216426796"/>
      <w:r>
        <w:t>Relevant Standards &amp; Regulations –</w:t>
      </w:r>
      <w:bookmarkEnd w:id="28"/>
    </w:p>
    <w:p w14:paraId="44D9A4D6" w14:textId="114238AB" w:rsidR="000A2482" w:rsidRDefault="000117DD" w:rsidP="000A2482">
      <w:r>
        <w:t xml:space="preserve">There are lots of relevant </w:t>
      </w:r>
      <w:r w:rsidR="00FE2250">
        <w:t xml:space="preserve">Standards &amp; Regulations that explain the ins and outs of QD calculations and how they can decide </w:t>
      </w:r>
      <w:r w:rsidR="00DB1CD7">
        <w:t>whether</w:t>
      </w:r>
      <w:r w:rsidR="00FE2250">
        <w:t xml:space="preserve"> a new ammunition storage facility like the example can be erected. </w:t>
      </w:r>
    </w:p>
    <w:p w14:paraId="523ACE24" w14:textId="6E1DACFE" w:rsidR="00FE2250" w:rsidRDefault="00FE2250" w:rsidP="000A2482">
      <w:r>
        <w:t xml:space="preserve">The information on QD distances in </w:t>
      </w:r>
      <w:r w:rsidR="00DB1CD7">
        <w:t>T</w:t>
      </w:r>
      <w:r>
        <w:t xml:space="preserve">he UK can be </w:t>
      </w:r>
      <w:r w:rsidR="00DB1CD7">
        <w:t>using the following pieces of documentation:</w:t>
      </w:r>
    </w:p>
    <w:p w14:paraId="3F0C9BD5" w14:textId="08E7CD0C" w:rsidR="00DB1CD7" w:rsidRDefault="00DB1CD7" w:rsidP="00DB1CD7">
      <w:pPr>
        <w:pStyle w:val="ListParagraph"/>
        <w:numPr>
          <w:ilvl w:val="0"/>
          <w:numId w:val="9"/>
        </w:numPr>
      </w:pPr>
      <w:r>
        <w:t>JSP 482 Chapter 10 (</w:t>
      </w:r>
      <w:r w:rsidR="00F01037">
        <w:t>Permanent</w:t>
      </w:r>
      <w:r>
        <w:t xml:space="preserve"> Peacetime Storage)</w:t>
      </w:r>
      <w:r w:rsidR="00F01037">
        <w:t xml:space="preserve"> – This document </w:t>
      </w:r>
      <w:r w:rsidR="007F33E2">
        <w:t>and</w:t>
      </w:r>
      <w:r w:rsidR="00F01037">
        <w:t xml:space="preserve"> chapter covers the IBD’s, PTRD’s</w:t>
      </w:r>
      <w:r w:rsidR="00724817">
        <w:t>, ILD’s and other QD’s based on the total NEQ</w:t>
      </w:r>
      <w:r w:rsidR="007F33E2">
        <w:t xml:space="preserve"> and HD</w:t>
      </w:r>
      <w:r w:rsidR="00BF55C4">
        <w:t>’s.</w:t>
      </w:r>
      <w:sdt>
        <w:sdtPr>
          <w:id w:val="524215945"/>
          <w:citation/>
        </w:sdtPr>
        <w:sdtEndPr/>
        <w:sdtContent>
          <w:r w:rsidR="009A6659">
            <w:fldChar w:fldCharType="begin"/>
          </w:r>
          <w:r w:rsidR="009A6659">
            <w:instrText xml:space="preserve"> CITATION Qua13 \l 2057 </w:instrText>
          </w:r>
          <w:r w:rsidR="009A6659">
            <w:fldChar w:fldCharType="separate"/>
          </w:r>
          <w:r w:rsidR="002866E4">
            <w:rPr>
              <w:noProof/>
            </w:rPr>
            <w:t xml:space="preserve"> </w:t>
          </w:r>
          <w:r w:rsidR="002866E4" w:rsidRPr="002866E4">
            <w:rPr>
              <w:noProof/>
            </w:rPr>
            <w:t>[3]</w:t>
          </w:r>
          <w:r w:rsidR="009A6659">
            <w:fldChar w:fldCharType="end"/>
          </w:r>
        </w:sdtContent>
      </w:sdt>
    </w:p>
    <w:p w14:paraId="37206067" w14:textId="5A315AE9" w:rsidR="009C1838" w:rsidRDefault="009C1838" w:rsidP="00DB1CD7">
      <w:pPr>
        <w:pStyle w:val="ListParagraph"/>
        <w:numPr>
          <w:ilvl w:val="0"/>
          <w:numId w:val="9"/>
        </w:numPr>
      </w:pPr>
      <w:r>
        <w:t>J</w:t>
      </w:r>
      <w:r w:rsidR="007A2C4A">
        <w:t>SP</w:t>
      </w:r>
      <w:r>
        <w:t xml:space="preserve"> 482 Chapter </w:t>
      </w:r>
      <w:r w:rsidR="007A2C4A">
        <w:t xml:space="preserve">11 (Operational Storage) – This document and chapter covers </w:t>
      </w:r>
      <w:r w:rsidR="008D3191">
        <w:t>Reduced QD’s where full peacetime standards cannot be met</w:t>
      </w:r>
      <w:r w:rsidR="000F74CA">
        <w:t>, this is where acceptance comes in from explosive safety cases.</w:t>
      </w:r>
      <w:r w:rsidR="009A6659">
        <w:t xml:space="preserve"> </w:t>
      </w:r>
      <w:sdt>
        <w:sdtPr>
          <w:id w:val="-1352409730"/>
          <w:citation/>
        </w:sdtPr>
        <w:sdtEndPr/>
        <w:sdtContent>
          <w:r w:rsidR="009A6659">
            <w:fldChar w:fldCharType="begin"/>
          </w:r>
          <w:r w:rsidR="009A6659">
            <w:instrText xml:space="preserve"> CITATION GOV13 \l 2057 </w:instrText>
          </w:r>
          <w:r w:rsidR="009A6659">
            <w:fldChar w:fldCharType="separate"/>
          </w:r>
          <w:r w:rsidR="002866E4" w:rsidRPr="002866E4">
            <w:rPr>
              <w:noProof/>
            </w:rPr>
            <w:t>[4]</w:t>
          </w:r>
          <w:r w:rsidR="009A6659">
            <w:fldChar w:fldCharType="end"/>
          </w:r>
        </w:sdtContent>
      </w:sdt>
    </w:p>
    <w:p w14:paraId="4ECD0187" w14:textId="73760F61" w:rsidR="009A6659" w:rsidRDefault="009A6659" w:rsidP="00DB1CD7">
      <w:pPr>
        <w:pStyle w:val="ListParagraph"/>
        <w:numPr>
          <w:ilvl w:val="0"/>
          <w:numId w:val="9"/>
        </w:numPr>
      </w:pPr>
      <w:r>
        <w:t xml:space="preserve">NATO AASTP-1 (Edition 1, ADAPTED IN JSP 482) – This is the basis for UK QD tables that covers mass </w:t>
      </w:r>
      <w:r w:rsidR="00581EEC">
        <w:t>exploding</w:t>
      </w:r>
      <w:r>
        <w:t xml:space="preserve"> HD 1.1</w:t>
      </w:r>
      <w:r w:rsidR="00BC72B2">
        <w:t xml:space="preserve">, </w:t>
      </w:r>
      <w:r w:rsidR="00581EEC">
        <w:t>projection and fragment</w:t>
      </w:r>
      <w:r w:rsidR="00BC72B2">
        <w:t xml:space="preserve"> </w:t>
      </w:r>
      <w:r w:rsidR="00581EEC">
        <w:t>HD 1.2</w:t>
      </w:r>
      <w:r w:rsidR="00BC72B2">
        <w:t xml:space="preserve"> and fire and thermal HD 1.3</w:t>
      </w:r>
      <w:r w:rsidR="00CB7C75">
        <w:t>.</w:t>
      </w:r>
    </w:p>
    <w:p w14:paraId="0A286499" w14:textId="2045A2DD" w:rsidR="00CB7C75" w:rsidRDefault="00CB7C75" w:rsidP="00DB1CD7">
      <w:pPr>
        <w:pStyle w:val="ListParagraph"/>
        <w:numPr>
          <w:ilvl w:val="0"/>
          <w:numId w:val="9"/>
        </w:numPr>
      </w:pPr>
      <w:r>
        <w:t>Explosives Regulations 2014 (ER2014, HSE L135 Guidance)</w:t>
      </w:r>
      <w:r w:rsidR="004B1094">
        <w:t xml:space="preserve"> – This website covers all to do with OME safety, specifically in this case covering civilian QD rules for licensed ammunition magazines</w:t>
      </w:r>
      <w:r w:rsidR="005341EF">
        <w:t xml:space="preserve">, minimum separations from dwelling and roads etc. </w:t>
      </w:r>
      <w:sdt>
        <w:sdtPr>
          <w:id w:val="1993829137"/>
          <w:citation/>
        </w:sdtPr>
        <w:sdtEndPr/>
        <w:sdtContent>
          <w:r w:rsidR="005341EF">
            <w:fldChar w:fldCharType="begin"/>
          </w:r>
          <w:r w:rsidR="005341EF">
            <w:instrText xml:space="preserve"> CITATION HSE14 \l 2057 </w:instrText>
          </w:r>
          <w:r w:rsidR="005341EF">
            <w:fldChar w:fldCharType="separate"/>
          </w:r>
          <w:r w:rsidR="002866E4" w:rsidRPr="002866E4">
            <w:rPr>
              <w:noProof/>
            </w:rPr>
            <w:t>[5]</w:t>
          </w:r>
          <w:r w:rsidR="005341EF">
            <w:fldChar w:fldCharType="end"/>
          </w:r>
        </w:sdtContent>
      </w:sdt>
    </w:p>
    <w:p w14:paraId="74758ABE" w14:textId="4C461D04" w:rsidR="00DB130E" w:rsidRDefault="00DB130E" w:rsidP="00DB1CD7">
      <w:pPr>
        <w:pStyle w:val="ListParagraph"/>
        <w:numPr>
          <w:ilvl w:val="0"/>
          <w:numId w:val="9"/>
        </w:numPr>
      </w:pPr>
      <w:r>
        <w:t xml:space="preserve">ESTC No.6 – This document </w:t>
      </w:r>
      <w:r w:rsidR="003D1C39">
        <w:t>supports JSP 482 with ESH commissioning and inspection requirements which include QD verification surveys.</w:t>
      </w:r>
    </w:p>
    <w:p w14:paraId="40998E4A" w14:textId="4A3CCDBA" w:rsidR="000A2482" w:rsidRDefault="000A2482" w:rsidP="000A2482">
      <w:pPr>
        <w:pStyle w:val="Heading2"/>
      </w:pPr>
      <w:bookmarkStart w:id="29" w:name="_Toc216426797"/>
      <w:r>
        <w:t>Net Explosive Quantity Inputs –</w:t>
      </w:r>
      <w:bookmarkEnd w:id="29"/>
      <w:r>
        <w:t xml:space="preserve"> </w:t>
      </w:r>
    </w:p>
    <w:p w14:paraId="17CEF22A" w14:textId="1A05E832" w:rsidR="000A2482" w:rsidRDefault="0072355A" w:rsidP="000A2482">
      <w:r>
        <w:t xml:space="preserve">The total NEQ for the whole site is </w:t>
      </w:r>
      <w:r w:rsidR="00A062D2">
        <w:t xml:space="preserve">7,500kg of </w:t>
      </w:r>
      <w:r w:rsidR="00A47270">
        <w:t>mixed Hazard Divisions of explosives. These explosives are broken down into 5 ESH and stored in the safest way possible</w:t>
      </w:r>
      <w:r w:rsidR="00080954">
        <w:t>:</w:t>
      </w:r>
    </w:p>
    <w:p w14:paraId="1503D1F8" w14:textId="77777777" w:rsidR="00080954" w:rsidRDefault="00080954" w:rsidP="00080954">
      <w:pPr>
        <w:pStyle w:val="ListParagraph"/>
        <w:numPr>
          <w:ilvl w:val="0"/>
          <w:numId w:val="10"/>
        </w:numPr>
      </w:pPr>
      <w:r>
        <w:t xml:space="preserve">ESH 1: HD 1.1B (50kg) </w:t>
      </w:r>
    </w:p>
    <w:p w14:paraId="65D2DCAE" w14:textId="77777777" w:rsidR="00080954" w:rsidRDefault="00080954" w:rsidP="00080954">
      <w:pPr>
        <w:pStyle w:val="ListParagraph"/>
        <w:numPr>
          <w:ilvl w:val="0"/>
          <w:numId w:val="10"/>
        </w:numPr>
      </w:pPr>
      <w:r>
        <w:t>ESH 2: HD 1.1D (3,200kg)</w:t>
      </w:r>
    </w:p>
    <w:p w14:paraId="53511FCA" w14:textId="77777777" w:rsidR="00080954" w:rsidRDefault="00080954" w:rsidP="00080954">
      <w:pPr>
        <w:pStyle w:val="ListParagraph"/>
        <w:numPr>
          <w:ilvl w:val="0"/>
          <w:numId w:val="10"/>
        </w:numPr>
      </w:pPr>
      <w:r>
        <w:t>ESH 3: HD 1.1E (1,250kg) + 1.1F (500kg)</w:t>
      </w:r>
    </w:p>
    <w:p w14:paraId="5E504213" w14:textId="77777777" w:rsidR="00080954" w:rsidRDefault="00080954" w:rsidP="00080954">
      <w:pPr>
        <w:pStyle w:val="ListParagraph"/>
        <w:numPr>
          <w:ilvl w:val="0"/>
          <w:numId w:val="10"/>
        </w:numPr>
      </w:pPr>
      <w:r>
        <w:t>ESH 4: HD 1.2C (350kg) + 1.2D (100kg) + 1.2F (50kg)</w:t>
      </w:r>
    </w:p>
    <w:p w14:paraId="725BEE15" w14:textId="0ED555FD" w:rsidR="00080954" w:rsidRDefault="00080954" w:rsidP="000A2482">
      <w:pPr>
        <w:pStyle w:val="ListParagraph"/>
        <w:numPr>
          <w:ilvl w:val="0"/>
          <w:numId w:val="10"/>
        </w:numPr>
      </w:pPr>
      <w:r>
        <w:t>ESH 5: HD 1.4S (1,000kg) + 1.3C (1,000kg)</w:t>
      </w:r>
    </w:p>
    <w:p w14:paraId="79DBDAA5" w14:textId="643099EB" w:rsidR="000A2482" w:rsidRDefault="000A2482" w:rsidP="0017027E">
      <w:pPr>
        <w:pStyle w:val="Heading2"/>
      </w:pPr>
      <w:bookmarkStart w:id="30" w:name="_Toc216426798"/>
      <w:r>
        <w:t>Safety Distance Requirements –</w:t>
      </w:r>
      <w:bookmarkEnd w:id="30"/>
      <w:r>
        <w:t xml:space="preserve"> </w:t>
      </w:r>
    </w:p>
    <w:p w14:paraId="550ADF4A" w14:textId="70A38AD1" w:rsidR="0017027E" w:rsidRDefault="007E3B6A" w:rsidP="0017027E">
      <w:pPr>
        <w:rPr>
          <w:rFonts w:eastAsiaTheme="minorEastAsia"/>
        </w:rPr>
      </w:pPr>
      <w:r>
        <w:t>To</w:t>
      </w:r>
      <w:r w:rsidR="00A60B1D">
        <w:t xml:space="preserve"> calculate the safe distances required, </w:t>
      </w:r>
      <w:r w:rsidR="00EA4FF1">
        <w:t xml:space="preserve">using the formula </w:t>
      </w: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w:r>
        <w:rPr>
          <w:rFonts w:eastAsiaTheme="minorEastAsia"/>
        </w:rPr>
        <w:t xml:space="preserve">, the </w:t>
      </w:r>
      <w:r w:rsidR="007352DA">
        <w:rPr>
          <w:rFonts w:eastAsiaTheme="minorEastAsia"/>
        </w:rPr>
        <w:t xml:space="preserve">K </w:t>
      </w:r>
      <w:r>
        <w:rPr>
          <w:rFonts w:eastAsiaTheme="minorEastAsia"/>
        </w:rPr>
        <w:t xml:space="preserve">factor needs to be obtained. To find this information, the type of explosive store needs to be </w:t>
      </w:r>
      <w:r w:rsidR="00CD46D9">
        <w:rPr>
          <w:rFonts w:eastAsiaTheme="minorEastAsia"/>
        </w:rPr>
        <w:t>chosen when reviewing Chapter 6 of the DSA 03 OME Part 2</w:t>
      </w:r>
      <w:r w:rsidR="007B0F01">
        <w:rPr>
          <w:rFonts w:eastAsiaTheme="minorEastAsia"/>
        </w:rPr>
        <w:t xml:space="preserve">, in this case the ESH is classed as a PES due to </w:t>
      </w:r>
      <w:r w:rsidR="00855FBD">
        <w:rPr>
          <w:rFonts w:eastAsiaTheme="minorEastAsia"/>
        </w:rPr>
        <w:t>its</w:t>
      </w:r>
      <w:r w:rsidR="007B0F01">
        <w:rPr>
          <w:rFonts w:eastAsiaTheme="minorEastAsia"/>
        </w:rPr>
        <w:t xml:space="preserve"> position on the explosive storage site</w:t>
      </w:r>
      <w:r w:rsidR="0074340C">
        <w:rPr>
          <w:rFonts w:eastAsiaTheme="minorEastAsia"/>
        </w:rPr>
        <w:t xml:space="preserve"> and distance from the other PES on the site. </w:t>
      </w:r>
    </w:p>
    <w:p w14:paraId="2DEF325C" w14:textId="59D09DF6" w:rsidR="007352DA" w:rsidRDefault="007352DA" w:rsidP="0017027E">
      <w:pPr>
        <w:rPr>
          <w:rFonts w:eastAsiaTheme="minorEastAsia"/>
        </w:rPr>
      </w:pPr>
      <w:r>
        <w:rPr>
          <w:rFonts w:eastAsiaTheme="minorEastAsia"/>
        </w:rPr>
        <w:t xml:space="preserve">The K factor will vary depending on </w:t>
      </w:r>
      <w:r w:rsidR="003A1CA0">
        <w:rPr>
          <w:rFonts w:eastAsiaTheme="minorEastAsia"/>
        </w:rPr>
        <w:t xml:space="preserve">the type of ammunition </w:t>
      </w:r>
      <w:r w:rsidR="00E53BC1">
        <w:rPr>
          <w:rFonts w:eastAsiaTheme="minorEastAsia"/>
        </w:rPr>
        <w:t>it stores</w:t>
      </w:r>
      <w:r w:rsidR="003A1CA0">
        <w:rPr>
          <w:rFonts w:eastAsiaTheme="minorEastAsia"/>
        </w:rPr>
        <w:t xml:space="preserve">, the hazard division it stores and </w:t>
      </w:r>
      <w:r w:rsidR="00284532">
        <w:rPr>
          <w:rFonts w:eastAsiaTheme="minorEastAsia"/>
        </w:rPr>
        <w:t xml:space="preserve">the distance that it is being calculated to. E.g. the K factor will change depending on </w:t>
      </w:r>
      <w:r w:rsidR="00821253">
        <w:rPr>
          <w:rFonts w:eastAsiaTheme="minorEastAsia"/>
        </w:rPr>
        <w:t xml:space="preserve">the infrastructure </w:t>
      </w:r>
      <w:r w:rsidR="003F70C8">
        <w:rPr>
          <w:rFonts w:eastAsiaTheme="minorEastAsia"/>
        </w:rPr>
        <w:t>the QD is being calculated for, either inter-magazine distance, public</w:t>
      </w:r>
      <w:r w:rsidR="00E53BC1">
        <w:rPr>
          <w:rFonts w:eastAsiaTheme="minorEastAsia"/>
        </w:rPr>
        <w:t xml:space="preserve"> traffic route distance, inhabited building distance and/ or vulnerable building distance.</w:t>
      </w:r>
    </w:p>
    <w:p w14:paraId="7C9B73E7" w14:textId="77777777" w:rsidR="006327A4" w:rsidRDefault="006327A4" w:rsidP="0017027E">
      <w:pPr>
        <w:rPr>
          <w:rFonts w:eastAsiaTheme="minorEastAsia"/>
        </w:rPr>
      </w:pPr>
    </w:p>
    <w:p w14:paraId="7943F9A5" w14:textId="77777777" w:rsidR="006327A4" w:rsidRDefault="00E766DB" w:rsidP="0017027E">
      <w:pPr>
        <w:rPr>
          <w:rFonts w:eastAsiaTheme="minorEastAsia"/>
        </w:rPr>
      </w:pPr>
      <w:r>
        <w:rPr>
          <w:rFonts w:eastAsiaTheme="minorEastAsia"/>
        </w:rPr>
        <w:t xml:space="preserve">The 5 ESH will be </w:t>
      </w:r>
      <w:r w:rsidR="005A2B5E">
        <w:rPr>
          <w:rFonts w:eastAsiaTheme="minorEastAsia"/>
        </w:rPr>
        <w:t xml:space="preserve">positioned on the Explosive Site in the following </w:t>
      </w:r>
      <w:r w:rsidR="000223FE">
        <w:rPr>
          <w:rFonts w:eastAsiaTheme="minorEastAsia"/>
        </w:rPr>
        <w:t>layout</w:t>
      </w:r>
      <w:r w:rsidR="00576F7E">
        <w:rPr>
          <w:rFonts w:eastAsiaTheme="minorEastAsia"/>
        </w:rPr>
        <w:t>:</w:t>
      </w:r>
    </w:p>
    <w:p w14:paraId="731E9AD1" w14:textId="169550A8" w:rsidR="001678DB" w:rsidRDefault="005B43C3" w:rsidP="0017027E">
      <w:pPr>
        <w:rPr>
          <w:rFonts w:eastAsiaTheme="minorEastAsia"/>
        </w:rPr>
      </w:pPr>
      <w:r>
        <w:rPr>
          <w:rFonts w:eastAsiaTheme="minorEastAsia"/>
          <w:noProof/>
        </w:rPr>
        <w:drawing>
          <wp:anchor distT="0" distB="0" distL="114300" distR="114300" simplePos="0" relativeHeight="251662336" behindDoc="0" locked="0" layoutInCell="1" allowOverlap="1" wp14:anchorId="23CF1A64" wp14:editId="534E7B10">
            <wp:simplePos x="0" y="0"/>
            <wp:positionH relativeFrom="margin">
              <wp:align>right</wp:align>
            </wp:positionH>
            <wp:positionV relativeFrom="paragraph">
              <wp:posOffset>219075</wp:posOffset>
            </wp:positionV>
            <wp:extent cx="5722620" cy="3473450"/>
            <wp:effectExtent l="0" t="0" r="0" b="0"/>
            <wp:wrapSquare wrapText="bothSides"/>
            <wp:docPr id="842294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3473450"/>
                    </a:xfrm>
                    <a:prstGeom prst="rect">
                      <a:avLst/>
                    </a:prstGeom>
                    <a:noFill/>
                  </pic:spPr>
                </pic:pic>
              </a:graphicData>
            </a:graphic>
            <wp14:sizeRelH relativeFrom="margin">
              <wp14:pctWidth>0</wp14:pctWidth>
            </wp14:sizeRelH>
            <wp14:sizeRelV relativeFrom="margin">
              <wp14:pctHeight>0</wp14:pctHeight>
            </wp14:sizeRelV>
          </wp:anchor>
        </w:drawing>
      </w:r>
      <w:r w:rsidR="00337A99">
        <w:rPr>
          <w:rFonts w:eastAsiaTheme="minorEastAsia"/>
          <w:noProof/>
        </w:rPr>
        <mc:AlternateContent>
          <mc:Choice Requires="wps">
            <w:drawing>
              <wp:anchor distT="0" distB="0" distL="114300" distR="114300" simplePos="0" relativeHeight="251674624" behindDoc="0" locked="0" layoutInCell="1" allowOverlap="1" wp14:anchorId="1896DB03" wp14:editId="200A3C3C">
                <wp:simplePos x="0" y="0"/>
                <wp:positionH relativeFrom="column">
                  <wp:posOffset>2110744</wp:posOffset>
                </wp:positionH>
                <wp:positionV relativeFrom="paragraph">
                  <wp:posOffset>1881080</wp:posOffset>
                </wp:positionV>
                <wp:extent cx="283210" cy="90805"/>
                <wp:effectExtent l="0" t="38100" r="59690" b="23495"/>
                <wp:wrapNone/>
                <wp:docPr id="1732027627" name="Straight Arrow Connector 3"/>
                <wp:cNvGraphicFramePr/>
                <a:graphic xmlns:a="http://schemas.openxmlformats.org/drawingml/2006/main">
                  <a:graphicData uri="http://schemas.microsoft.com/office/word/2010/wordprocessingShape">
                    <wps:wsp>
                      <wps:cNvCnPr/>
                      <wps:spPr>
                        <a:xfrm flipV="1">
                          <a:off x="0" y="0"/>
                          <a:ext cx="283210" cy="9080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5A1379" id="_x0000_t32" coordsize="21600,21600" o:spt="32" o:oned="t" path="m,l21600,21600e" filled="f">
                <v:path arrowok="t" fillok="f" o:connecttype="none"/>
                <o:lock v:ext="edit" shapetype="t"/>
              </v:shapetype>
              <v:shape id="Straight Arrow Connector 3" o:spid="_x0000_s1026" type="#_x0000_t32" style="position:absolute;margin-left:166.2pt;margin-top:148.1pt;width:22.3pt;height:7.1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" strokecolor="white [3212]" strokeweight=".5pt">
                <v:stroke endarrow="block" joinstyle="miter"/>
              </v:shape>
            </w:pict>
          </mc:Fallback>
        </mc:AlternateContent>
      </w:r>
      <w:r w:rsidR="00337A99" w:rsidRPr="006C6A54">
        <w:rPr>
          <w:rFonts w:eastAsiaTheme="minorEastAsia"/>
          <w:noProof/>
        </w:rPr>
        <mc:AlternateContent>
          <mc:Choice Requires="wps">
            <w:drawing>
              <wp:anchor distT="45720" distB="45720" distL="114300" distR="114300" simplePos="0" relativeHeight="251686912" behindDoc="0" locked="0" layoutInCell="1" allowOverlap="1" wp14:anchorId="08201E88" wp14:editId="2FCF72A7">
                <wp:simplePos x="0" y="0"/>
                <wp:positionH relativeFrom="column">
                  <wp:posOffset>1854461</wp:posOffset>
                </wp:positionH>
                <wp:positionV relativeFrom="paragraph">
                  <wp:posOffset>1833089</wp:posOffset>
                </wp:positionV>
                <wp:extent cx="219075" cy="189865"/>
                <wp:effectExtent l="0" t="0" r="28575" b="19685"/>
                <wp:wrapSquare wrapText="bothSides"/>
                <wp:docPr id="1541491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89865"/>
                        </a:xfrm>
                        <a:prstGeom prst="rect">
                          <a:avLst/>
                        </a:prstGeom>
                        <a:noFill/>
                        <a:ln w="9525">
                          <a:solidFill>
                            <a:schemeClr val="bg1"/>
                          </a:solidFill>
                          <a:miter lim="800000"/>
                          <a:headEnd/>
                          <a:tailEnd/>
                        </a:ln>
                      </wps:spPr>
                      <wps:txbx>
                        <w:txbxContent>
                          <w:p w14:paraId="7D825140" w14:textId="3A31D28B" w:rsidR="00BD6BCB" w:rsidRPr="00BD6BCB" w:rsidRDefault="0040606D" w:rsidP="00BD6BCB">
                            <w:pPr>
                              <w:rPr>
                                <w:sz w:val="12"/>
                                <w:szCs w:val="12"/>
                              </w:rPr>
                            </w:pPr>
                            <w:r>
                              <w:rPr>
                                <w:sz w:val="12"/>
                                <w:szCs w:val="12"/>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01E88" id="Text Box 2" o:spid="_x0000_s1028" type="#_x0000_t202" style="position:absolute;margin-left:146pt;margin-top:144.35pt;width:17.25pt;height:14.9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" filled="f" strokecolor="white [3212]">
                <v:textbox>
                  <w:txbxContent>
                    <w:p w14:paraId="7D825140" w14:textId="3A31D28B" w:rsidR="00BD6BCB" w:rsidRPr="00BD6BCB" w:rsidRDefault="0040606D" w:rsidP="00BD6BCB">
                      <w:pPr>
                        <w:rPr>
                          <w:sz w:val="12"/>
                          <w:szCs w:val="12"/>
                        </w:rPr>
                      </w:pPr>
                      <w:r>
                        <w:rPr>
                          <w:sz w:val="12"/>
                          <w:szCs w:val="12"/>
                        </w:rPr>
                        <w:t>3</w:t>
                      </w:r>
                    </w:p>
                  </w:txbxContent>
                </v:textbox>
                <w10:wrap type="square"/>
              </v:shape>
            </w:pict>
          </mc:Fallback>
        </mc:AlternateContent>
      </w:r>
      <w:r w:rsidR="00337A99">
        <w:rPr>
          <w:rFonts w:eastAsiaTheme="minorEastAsia"/>
          <w:noProof/>
        </w:rPr>
        <mc:AlternateContent>
          <mc:Choice Requires="wps">
            <w:drawing>
              <wp:anchor distT="0" distB="0" distL="114300" distR="114300" simplePos="0" relativeHeight="251667456" behindDoc="0" locked="0" layoutInCell="1" allowOverlap="1" wp14:anchorId="65C35439" wp14:editId="6A09CCCC">
                <wp:simplePos x="0" y="0"/>
                <wp:positionH relativeFrom="column">
                  <wp:posOffset>2366865</wp:posOffset>
                </wp:positionH>
                <wp:positionV relativeFrom="paragraph">
                  <wp:posOffset>1803609</wp:posOffset>
                </wp:positionV>
                <wp:extent cx="154379" cy="89065"/>
                <wp:effectExtent l="51753" t="24447" r="68897" b="30798"/>
                <wp:wrapNone/>
                <wp:docPr id="123402661" name="Rectangle 2"/>
                <wp:cNvGraphicFramePr/>
                <a:graphic xmlns:a="http://schemas.openxmlformats.org/drawingml/2006/main">
                  <a:graphicData uri="http://schemas.microsoft.com/office/word/2010/wordprocessingShape">
                    <wps:wsp>
                      <wps:cNvSpPr/>
                      <wps:spPr>
                        <a:xfrm rot="3139025">
                          <a:off x="0" y="0"/>
                          <a:ext cx="154379" cy="89065"/>
                        </a:xfrm>
                        <a:prstGeom prst="rect">
                          <a:avLst/>
                        </a:prstGeom>
                        <a:solidFill>
                          <a:schemeClr val="tx1">
                            <a:lumMod val="50000"/>
                            <a:lumOff val="50000"/>
                          </a:schemeClr>
                        </a:solidFill>
                        <a:ln w="3175">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D1C00D" id="Rectangle 2" o:spid="_x0000_s1026" style="position:absolute;margin-left:186.35pt;margin-top:142pt;width:12.15pt;height:7pt;rotation:3428652fd;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" fillcolor="gray [1629]" strokecolor="white [3212]" strokeweight=".25pt"/>
            </w:pict>
          </mc:Fallback>
        </mc:AlternateContent>
      </w:r>
      <w:r w:rsidR="00337A99">
        <w:rPr>
          <w:rFonts w:eastAsiaTheme="minorEastAsia"/>
          <w:noProof/>
        </w:rPr>
        <mc:AlternateContent>
          <mc:Choice Requires="wps">
            <w:drawing>
              <wp:anchor distT="0" distB="0" distL="114300" distR="114300" simplePos="0" relativeHeight="251669504" behindDoc="0" locked="0" layoutInCell="1" allowOverlap="1" wp14:anchorId="4DF44FE3" wp14:editId="602C8233">
                <wp:simplePos x="0" y="0"/>
                <wp:positionH relativeFrom="margin">
                  <wp:posOffset>3084749</wp:posOffset>
                </wp:positionH>
                <wp:positionV relativeFrom="paragraph">
                  <wp:posOffset>1290228</wp:posOffset>
                </wp:positionV>
                <wp:extent cx="154379" cy="89065"/>
                <wp:effectExtent l="32703" t="24447" r="30797" b="30798"/>
                <wp:wrapNone/>
                <wp:docPr id="492281879" name="Rectangle 2"/>
                <wp:cNvGraphicFramePr/>
                <a:graphic xmlns:a="http://schemas.openxmlformats.org/drawingml/2006/main">
                  <a:graphicData uri="http://schemas.microsoft.com/office/word/2010/wordprocessingShape">
                    <wps:wsp>
                      <wps:cNvSpPr/>
                      <wps:spPr>
                        <a:xfrm rot="15916037">
                          <a:off x="0" y="0"/>
                          <a:ext cx="154379" cy="89065"/>
                        </a:xfrm>
                        <a:prstGeom prst="rect">
                          <a:avLst/>
                        </a:prstGeom>
                        <a:solidFill>
                          <a:schemeClr val="tx1">
                            <a:lumMod val="50000"/>
                            <a:lumOff val="50000"/>
                          </a:schemeClr>
                        </a:solidFill>
                        <a:ln w="3175">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7C480D" id="Rectangle 2" o:spid="_x0000_s1026" style="position:absolute;margin-left:242.9pt;margin-top:101.6pt;width:12.15pt;height:7pt;rotation:-6208403fd;z-index:2516695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" fillcolor="gray [1629]" strokecolor="white [3212]" strokeweight=".25pt">
                <w10:wrap anchorx="margin"/>
              </v:rect>
            </w:pict>
          </mc:Fallback>
        </mc:AlternateContent>
      </w:r>
      <w:r w:rsidR="00337A99">
        <w:rPr>
          <w:rFonts w:eastAsiaTheme="minorEastAsia"/>
          <w:noProof/>
        </w:rPr>
        <mc:AlternateContent>
          <mc:Choice Requires="wps">
            <w:drawing>
              <wp:anchor distT="0" distB="0" distL="114300" distR="114300" simplePos="0" relativeHeight="251676672" behindDoc="0" locked="0" layoutInCell="1" allowOverlap="1" wp14:anchorId="636F2778" wp14:editId="147821CF">
                <wp:simplePos x="0" y="0"/>
                <wp:positionH relativeFrom="column">
                  <wp:posOffset>3262868</wp:posOffset>
                </wp:positionH>
                <wp:positionV relativeFrom="paragraph">
                  <wp:posOffset>1320481</wp:posOffset>
                </wp:positionV>
                <wp:extent cx="306284" cy="45719"/>
                <wp:effectExtent l="19050" t="57150" r="17780" b="50165"/>
                <wp:wrapNone/>
                <wp:docPr id="1484337408" name="Straight Arrow Connector 3"/>
                <wp:cNvGraphicFramePr/>
                <a:graphic xmlns:a="http://schemas.openxmlformats.org/drawingml/2006/main">
                  <a:graphicData uri="http://schemas.microsoft.com/office/word/2010/wordprocessingShape">
                    <wps:wsp>
                      <wps:cNvCnPr/>
                      <wps:spPr>
                        <a:xfrm flipH="1" flipV="1">
                          <a:off x="0" y="0"/>
                          <a:ext cx="306284" cy="45719"/>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A5EE95" id="Straight Arrow Connector 3" o:spid="_x0000_s1026" type="#_x0000_t32" style="position:absolute;margin-left:256.9pt;margin-top:103.95pt;width:24.1pt;height:3.6pt;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" strokecolor="white [3212]" strokeweight=".5pt">
                <v:stroke endarrow="block" joinstyle="miter"/>
              </v:shape>
            </w:pict>
          </mc:Fallback>
        </mc:AlternateContent>
      </w:r>
      <w:r w:rsidR="00337A99" w:rsidRPr="006C6A54">
        <w:rPr>
          <w:rFonts w:eastAsiaTheme="minorEastAsia"/>
          <w:noProof/>
        </w:rPr>
        <mc:AlternateContent>
          <mc:Choice Requires="wps">
            <w:drawing>
              <wp:anchor distT="45720" distB="45720" distL="114300" distR="114300" simplePos="0" relativeHeight="251688960" behindDoc="0" locked="0" layoutInCell="1" allowOverlap="1" wp14:anchorId="1F2FF26E" wp14:editId="2E6F2D80">
                <wp:simplePos x="0" y="0"/>
                <wp:positionH relativeFrom="column">
                  <wp:posOffset>3611592</wp:posOffset>
                </wp:positionH>
                <wp:positionV relativeFrom="paragraph">
                  <wp:posOffset>1257202</wp:posOffset>
                </wp:positionV>
                <wp:extent cx="219075" cy="189865"/>
                <wp:effectExtent l="0" t="0" r="28575" b="19685"/>
                <wp:wrapSquare wrapText="bothSides"/>
                <wp:docPr id="904091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89865"/>
                        </a:xfrm>
                        <a:prstGeom prst="rect">
                          <a:avLst/>
                        </a:prstGeom>
                        <a:noFill/>
                        <a:ln w="9525">
                          <a:solidFill>
                            <a:schemeClr val="bg1"/>
                          </a:solidFill>
                          <a:miter lim="800000"/>
                          <a:headEnd/>
                          <a:tailEnd/>
                        </a:ln>
                      </wps:spPr>
                      <wps:txbx>
                        <w:txbxContent>
                          <w:p w14:paraId="34620DF7" w14:textId="3A940078" w:rsidR="00BD6BCB" w:rsidRPr="00BD6BCB" w:rsidRDefault="002E1C85" w:rsidP="00BD6BCB">
                            <w:pPr>
                              <w:rPr>
                                <w:sz w:val="12"/>
                                <w:szCs w:val="12"/>
                              </w:rPr>
                            </w:pPr>
                            <w:r>
                              <w:rPr>
                                <w:sz w:val="12"/>
                                <w:szCs w:val="12"/>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FF26E" id="_x0000_s1029" type="#_x0000_t202" style="position:absolute;margin-left:284.4pt;margin-top:99pt;width:17.25pt;height:14.9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" filled="f" strokecolor="white [3212]">
                <v:textbox>
                  <w:txbxContent>
                    <w:p w14:paraId="34620DF7" w14:textId="3A940078" w:rsidR="00BD6BCB" w:rsidRPr="00BD6BCB" w:rsidRDefault="002E1C85" w:rsidP="00BD6BCB">
                      <w:pPr>
                        <w:rPr>
                          <w:sz w:val="12"/>
                          <w:szCs w:val="12"/>
                        </w:rPr>
                      </w:pPr>
                      <w:r>
                        <w:rPr>
                          <w:sz w:val="12"/>
                          <w:szCs w:val="12"/>
                        </w:rPr>
                        <w:t>5</w:t>
                      </w:r>
                    </w:p>
                  </w:txbxContent>
                </v:textbox>
                <w10:wrap type="square"/>
              </v:shape>
            </w:pict>
          </mc:Fallback>
        </mc:AlternateContent>
      </w:r>
      <w:r w:rsidR="00A734FC">
        <w:rPr>
          <w:rFonts w:eastAsiaTheme="minorEastAsia"/>
          <w:noProof/>
        </w:rPr>
        <mc:AlternateContent>
          <mc:Choice Requires="wps">
            <w:drawing>
              <wp:anchor distT="0" distB="0" distL="114300" distR="114300" simplePos="0" relativeHeight="251671552" behindDoc="0" locked="0" layoutInCell="1" allowOverlap="1" wp14:anchorId="22EAA378" wp14:editId="078E22BC">
                <wp:simplePos x="0" y="0"/>
                <wp:positionH relativeFrom="column">
                  <wp:posOffset>3214519</wp:posOffset>
                </wp:positionH>
                <wp:positionV relativeFrom="paragraph">
                  <wp:posOffset>1876318</wp:posOffset>
                </wp:positionV>
                <wp:extent cx="154379" cy="89065"/>
                <wp:effectExtent l="51753" t="24447" r="49847" b="30798"/>
                <wp:wrapNone/>
                <wp:docPr id="29375436" name="Rectangle 2"/>
                <wp:cNvGraphicFramePr/>
                <a:graphic xmlns:a="http://schemas.openxmlformats.org/drawingml/2006/main">
                  <a:graphicData uri="http://schemas.microsoft.com/office/word/2010/wordprocessingShape">
                    <wps:wsp>
                      <wps:cNvSpPr/>
                      <wps:spPr>
                        <a:xfrm rot="4239735">
                          <a:off x="0" y="0"/>
                          <a:ext cx="154379" cy="89065"/>
                        </a:xfrm>
                        <a:prstGeom prst="rect">
                          <a:avLst/>
                        </a:prstGeom>
                        <a:solidFill>
                          <a:schemeClr val="tx1">
                            <a:lumMod val="50000"/>
                            <a:lumOff val="50000"/>
                          </a:schemeClr>
                        </a:solidFill>
                        <a:ln w="3175">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C06309" id="Rectangle 2" o:spid="_x0000_s1026" style="position:absolute;margin-left:253.1pt;margin-top:147.75pt;width:12.15pt;height:7pt;rotation:4630921fd;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" fillcolor="gray [1629]" strokecolor="white [3212]" strokeweight=".25pt"/>
            </w:pict>
          </mc:Fallback>
        </mc:AlternateContent>
      </w:r>
      <w:r w:rsidR="00A734FC">
        <w:rPr>
          <w:rFonts w:eastAsiaTheme="minorEastAsia"/>
          <w:noProof/>
        </w:rPr>
        <mc:AlternateContent>
          <mc:Choice Requires="wps">
            <w:drawing>
              <wp:anchor distT="0" distB="0" distL="114300" distR="114300" simplePos="0" relativeHeight="251672576" behindDoc="0" locked="0" layoutInCell="1" allowOverlap="1" wp14:anchorId="1816F69F" wp14:editId="1796E22D">
                <wp:simplePos x="0" y="0"/>
                <wp:positionH relativeFrom="column">
                  <wp:posOffset>3391153</wp:posOffset>
                </wp:positionH>
                <wp:positionV relativeFrom="paragraph">
                  <wp:posOffset>1878189</wp:posOffset>
                </wp:positionV>
                <wp:extent cx="314696" cy="45719"/>
                <wp:effectExtent l="19050" t="57150" r="28575" b="50165"/>
                <wp:wrapNone/>
                <wp:docPr id="1311019051" name="Straight Arrow Connector 3"/>
                <wp:cNvGraphicFramePr/>
                <a:graphic xmlns:a="http://schemas.openxmlformats.org/drawingml/2006/main">
                  <a:graphicData uri="http://schemas.microsoft.com/office/word/2010/wordprocessingShape">
                    <wps:wsp>
                      <wps:cNvCnPr/>
                      <wps:spPr>
                        <a:xfrm flipH="1" flipV="1">
                          <a:off x="0" y="0"/>
                          <a:ext cx="314696" cy="45719"/>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CF1AD" id="Straight Arrow Connector 3" o:spid="_x0000_s1026" type="#_x0000_t32" style="position:absolute;margin-left:267pt;margin-top:147.9pt;width:24.8pt;height:3.6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" strokecolor="white [3212]" strokeweight=".5pt">
                <v:stroke endarrow="block" joinstyle="miter"/>
              </v:shape>
            </w:pict>
          </mc:Fallback>
        </mc:AlternateContent>
      </w:r>
      <w:r w:rsidR="00A734FC" w:rsidRPr="006C6A54">
        <w:rPr>
          <w:rFonts w:eastAsiaTheme="minorEastAsia"/>
          <w:noProof/>
        </w:rPr>
        <mc:AlternateContent>
          <mc:Choice Requires="wps">
            <w:drawing>
              <wp:anchor distT="45720" distB="45720" distL="114300" distR="114300" simplePos="0" relativeHeight="251691008" behindDoc="0" locked="0" layoutInCell="1" allowOverlap="1" wp14:anchorId="25319306" wp14:editId="6B88F1B5">
                <wp:simplePos x="0" y="0"/>
                <wp:positionH relativeFrom="column">
                  <wp:posOffset>3757233</wp:posOffset>
                </wp:positionH>
                <wp:positionV relativeFrom="paragraph">
                  <wp:posOffset>1803813</wp:posOffset>
                </wp:positionV>
                <wp:extent cx="219075" cy="189865"/>
                <wp:effectExtent l="0" t="0" r="28575" b="19685"/>
                <wp:wrapSquare wrapText="bothSides"/>
                <wp:docPr id="21036967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89865"/>
                        </a:xfrm>
                        <a:prstGeom prst="rect">
                          <a:avLst/>
                        </a:prstGeom>
                        <a:noFill/>
                        <a:ln w="9525">
                          <a:solidFill>
                            <a:schemeClr val="bg1"/>
                          </a:solidFill>
                          <a:miter lim="800000"/>
                          <a:headEnd/>
                          <a:tailEnd/>
                        </a:ln>
                      </wps:spPr>
                      <wps:txbx>
                        <w:txbxContent>
                          <w:p w14:paraId="169B2FA5" w14:textId="05111F4A" w:rsidR="00BD6BCB" w:rsidRPr="00BD6BCB" w:rsidRDefault="0040606D" w:rsidP="00BD6BCB">
                            <w:pPr>
                              <w:rPr>
                                <w:sz w:val="12"/>
                                <w:szCs w:val="12"/>
                              </w:rPr>
                            </w:pPr>
                            <w:r>
                              <w:rPr>
                                <w:sz w:val="12"/>
                                <w:szCs w:val="12"/>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19306" id="_x0000_s1030" type="#_x0000_t202" style="position:absolute;margin-left:295.85pt;margin-top:142.05pt;width:17.25pt;height:14.9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" filled="f" strokecolor="white [3212]">
                <v:textbox>
                  <w:txbxContent>
                    <w:p w14:paraId="169B2FA5" w14:textId="05111F4A" w:rsidR="00BD6BCB" w:rsidRPr="00BD6BCB" w:rsidRDefault="0040606D" w:rsidP="00BD6BCB">
                      <w:pPr>
                        <w:rPr>
                          <w:sz w:val="12"/>
                          <w:szCs w:val="12"/>
                        </w:rPr>
                      </w:pPr>
                      <w:r>
                        <w:rPr>
                          <w:sz w:val="12"/>
                          <w:szCs w:val="12"/>
                        </w:rPr>
                        <w:t>4</w:t>
                      </w:r>
                    </w:p>
                  </w:txbxContent>
                </v:textbox>
                <w10:wrap type="square"/>
              </v:shape>
            </w:pict>
          </mc:Fallback>
        </mc:AlternateContent>
      </w:r>
      <w:r w:rsidR="00A734FC">
        <w:rPr>
          <w:rFonts w:eastAsiaTheme="minorEastAsia"/>
          <w:noProof/>
        </w:rPr>
        <mc:AlternateContent>
          <mc:Choice Requires="wps">
            <w:drawing>
              <wp:anchor distT="0" distB="0" distL="114300" distR="114300" simplePos="0" relativeHeight="251663360" behindDoc="0" locked="0" layoutInCell="1" allowOverlap="1" wp14:anchorId="58DE24B4" wp14:editId="71D2C168">
                <wp:simplePos x="0" y="0"/>
                <wp:positionH relativeFrom="column">
                  <wp:posOffset>2290445</wp:posOffset>
                </wp:positionH>
                <wp:positionV relativeFrom="paragraph">
                  <wp:posOffset>1329690</wp:posOffset>
                </wp:positionV>
                <wp:extent cx="154305" cy="88900"/>
                <wp:effectExtent l="0" t="0" r="17145" b="25400"/>
                <wp:wrapNone/>
                <wp:docPr id="166100653" name="Rectangle 2"/>
                <wp:cNvGraphicFramePr/>
                <a:graphic xmlns:a="http://schemas.openxmlformats.org/drawingml/2006/main">
                  <a:graphicData uri="http://schemas.microsoft.com/office/word/2010/wordprocessingShape">
                    <wps:wsp>
                      <wps:cNvSpPr/>
                      <wps:spPr>
                        <a:xfrm>
                          <a:off x="0" y="0"/>
                          <a:ext cx="154305" cy="88900"/>
                        </a:xfrm>
                        <a:prstGeom prst="rect">
                          <a:avLst/>
                        </a:prstGeom>
                        <a:solidFill>
                          <a:schemeClr val="tx1">
                            <a:lumMod val="50000"/>
                            <a:lumOff val="50000"/>
                          </a:schemeClr>
                        </a:solidFill>
                        <a:ln w="3175">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65EE4" id="Rectangle 2" o:spid="_x0000_s1026" style="position:absolute;margin-left:180.35pt;margin-top:104.7pt;width:12.15pt;height: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" fillcolor="gray [1629]" strokecolor="white [3212]" strokeweight=".25pt"/>
            </w:pict>
          </mc:Fallback>
        </mc:AlternateContent>
      </w:r>
      <w:r w:rsidR="00A734FC">
        <w:rPr>
          <w:rFonts w:eastAsiaTheme="minorEastAsia"/>
          <w:noProof/>
        </w:rPr>
        <mc:AlternateContent>
          <mc:Choice Requires="wps">
            <w:drawing>
              <wp:anchor distT="0" distB="0" distL="114300" distR="114300" simplePos="0" relativeHeight="251678720" behindDoc="0" locked="0" layoutInCell="1" allowOverlap="1" wp14:anchorId="5396CB4F" wp14:editId="1DB36C99">
                <wp:simplePos x="0" y="0"/>
                <wp:positionH relativeFrom="column">
                  <wp:posOffset>1306401</wp:posOffset>
                </wp:positionH>
                <wp:positionV relativeFrom="paragraph">
                  <wp:posOffset>1480609</wp:posOffset>
                </wp:positionV>
                <wp:extent cx="231569" cy="160317"/>
                <wp:effectExtent l="0" t="38100" r="54610" b="30480"/>
                <wp:wrapNone/>
                <wp:docPr id="130998177" name="Straight Arrow Connector 3"/>
                <wp:cNvGraphicFramePr/>
                <a:graphic xmlns:a="http://schemas.openxmlformats.org/drawingml/2006/main">
                  <a:graphicData uri="http://schemas.microsoft.com/office/word/2010/wordprocessingShape">
                    <wps:wsp>
                      <wps:cNvCnPr/>
                      <wps:spPr>
                        <a:xfrm flipV="1">
                          <a:off x="0" y="0"/>
                          <a:ext cx="231569" cy="160317"/>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5D9F3B" id="Straight Arrow Connector 3" o:spid="_x0000_s1026" type="#_x0000_t32" style="position:absolute;margin-left:102.85pt;margin-top:116.6pt;width:18.25pt;height:12.6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" strokecolor="white [3212]" strokeweight=".5pt">
                <v:stroke endarrow="block" joinstyle="miter"/>
              </v:shape>
            </w:pict>
          </mc:Fallback>
        </mc:AlternateContent>
      </w:r>
      <w:r w:rsidR="004B198D">
        <w:rPr>
          <w:rFonts w:eastAsiaTheme="minorEastAsia"/>
          <w:noProof/>
        </w:rPr>
        <mc:AlternateContent>
          <mc:Choice Requires="wps">
            <w:drawing>
              <wp:anchor distT="0" distB="0" distL="114300" distR="114300" simplePos="0" relativeHeight="251665408" behindDoc="0" locked="0" layoutInCell="1" allowOverlap="1" wp14:anchorId="0DF3F9F9" wp14:editId="5E4ADFF6">
                <wp:simplePos x="0" y="0"/>
                <wp:positionH relativeFrom="column">
                  <wp:posOffset>1513199</wp:posOffset>
                </wp:positionH>
                <wp:positionV relativeFrom="paragraph">
                  <wp:posOffset>1379219</wp:posOffset>
                </wp:positionV>
                <wp:extent cx="154305" cy="88900"/>
                <wp:effectExtent l="38100" t="57150" r="36195" b="63500"/>
                <wp:wrapNone/>
                <wp:docPr id="1634555103" name="Rectangle 2"/>
                <wp:cNvGraphicFramePr/>
                <a:graphic xmlns:a="http://schemas.openxmlformats.org/drawingml/2006/main">
                  <a:graphicData uri="http://schemas.microsoft.com/office/word/2010/wordprocessingShape">
                    <wps:wsp>
                      <wps:cNvSpPr/>
                      <wps:spPr>
                        <a:xfrm rot="2146343">
                          <a:off x="0" y="0"/>
                          <a:ext cx="154305" cy="88900"/>
                        </a:xfrm>
                        <a:prstGeom prst="rect">
                          <a:avLst/>
                        </a:prstGeom>
                        <a:solidFill>
                          <a:schemeClr val="tx1">
                            <a:lumMod val="50000"/>
                            <a:lumOff val="50000"/>
                          </a:schemeClr>
                        </a:solidFill>
                        <a:ln w="3175">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12104E" id="Rectangle 2" o:spid="_x0000_s1026" style="position:absolute;margin-left:119.15pt;margin-top:108.6pt;width:12.15pt;height:7pt;rotation:2344379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" fillcolor="gray [1629]" strokecolor="white [3212]" strokeweight=".25pt"/>
            </w:pict>
          </mc:Fallback>
        </mc:AlternateContent>
      </w:r>
      <w:r w:rsidR="00BD6BCB">
        <w:rPr>
          <w:rFonts w:eastAsiaTheme="minorEastAsia"/>
          <w:noProof/>
        </w:rPr>
        <mc:AlternateContent>
          <mc:Choice Requires="wps">
            <w:drawing>
              <wp:anchor distT="0" distB="0" distL="114300" distR="114300" simplePos="0" relativeHeight="251680768" behindDoc="0" locked="0" layoutInCell="1" allowOverlap="1" wp14:anchorId="794B095D" wp14:editId="519719D8">
                <wp:simplePos x="0" y="0"/>
                <wp:positionH relativeFrom="column">
                  <wp:posOffset>1864426</wp:posOffset>
                </wp:positionH>
                <wp:positionV relativeFrom="paragraph">
                  <wp:posOffset>1427810</wp:posOffset>
                </wp:positionV>
                <wp:extent cx="231569" cy="118522"/>
                <wp:effectExtent l="0" t="38100" r="54610" b="34290"/>
                <wp:wrapNone/>
                <wp:docPr id="1272324631" name="Straight Arrow Connector 3"/>
                <wp:cNvGraphicFramePr/>
                <a:graphic xmlns:a="http://schemas.openxmlformats.org/drawingml/2006/main">
                  <a:graphicData uri="http://schemas.microsoft.com/office/word/2010/wordprocessingShape">
                    <wps:wsp>
                      <wps:cNvCnPr/>
                      <wps:spPr>
                        <a:xfrm flipV="1">
                          <a:off x="0" y="0"/>
                          <a:ext cx="231569" cy="118522"/>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649E5D" id="Straight Arrow Connector 3" o:spid="_x0000_s1026" type="#_x0000_t32" style="position:absolute;margin-left:146.8pt;margin-top:112.45pt;width:18.25pt;height:9.3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" strokecolor="white [3212]" strokeweight=".5pt">
                <v:stroke endarrow="block" joinstyle="miter"/>
              </v:shape>
            </w:pict>
          </mc:Fallback>
        </mc:AlternateContent>
      </w:r>
      <w:r w:rsidR="00BD6BCB" w:rsidRPr="006C6A54">
        <w:rPr>
          <w:rFonts w:eastAsiaTheme="minorEastAsia"/>
          <w:noProof/>
        </w:rPr>
        <mc:AlternateContent>
          <mc:Choice Requires="wps">
            <w:drawing>
              <wp:anchor distT="45720" distB="45720" distL="114300" distR="114300" simplePos="0" relativeHeight="251682816" behindDoc="0" locked="0" layoutInCell="1" allowOverlap="1" wp14:anchorId="0214268B" wp14:editId="100D730A">
                <wp:simplePos x="0" y="0"/>
                <wp:positionH relativeFrom="column">
                  <wp:posOffset>1613535</wp:posOffset>
                </wp:positionH>
                <wp:positionV relativeFrom="paragraph">
                  <wp:posOffset>1553845</wp:posOffset>
                </wp:positionV>
                <wp:extent cx="219075" cy="189865"/>
                <wp:effectExtent l="0" t="0" r="2857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89865"/>
                        </a:xfrm>
                        <a:prstGeom prst="rect">
                          <a:avLst/>
                        </a:prstGeom>
                        <a:noFill/>
                        <a:ln w="9525">
                          <a:solidFill>
                            <a:schemeClr val="bg1"/>
                          </a:solidFill>
                          <a:miter lim="800000"/>
                          <a:headEnd/>
                          <a:tailEnd/>
                        </a:ln>
                      </wps:spPr>
                      <wps:txbx>
                        <w:txbxContent>
                          <w:p w14:paraId="5A04C5A0" w14:textId="09BC78B5" w:rsidR="00BD6BCB" w:rsidRPr="00BD6BCB" w:rsidRDefault="00BD6BCB">
                            <w:pPr>
                              <w:rPr>
                                <w:sz w:val="12"/>
                                <w:szCs w:val="12"/>
                              </w:rPr>
                            </w:pPr>
                            <w:r w:rsidRPr="00BD6BCB">
                              <w:rPr>
                                <w:sz w:val="12"/>
                                <w:szCs w:val="12"/>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4268B" id="_x0000_s1031" type="#_x0000_t202" style="position:absolute;margin-left:127.05pt;margin-top:122.35pt;width:17.25pt;height:14.9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" filled="f" strokecolor="white [3212]">
                <v:textbox>
                  <w:txbxContent>
                    <w:p w14:paraId="5A04C5A0" w14:textId="09BC78B5" w:rsidR="00BD6BCB" w:rsidRPr="00BD6BCB" w:rsidRDefault="00BD6BCB">
                      <w:pPr>
                        <w:rPr>
                          <w:sz w:val="12"/>
                          <w:szCs w:val="12"/>
                        </w:rPr>
                      </w:pPr>
                      <w:r w:rsidRPr="00BD6BCB">
                        <w:rPr>
                          <w:sz w:val="12"/>
                          <w:szCs w:val="12"/>
                        </w:rPr>
                        <w:t>1</w:t>
                      </w:r>
                    </w:p>
                  </w:txbxContent>
                </v:textbox>
                <w10:wrap type="square"/>
              </v:shape>
            </w:pict>
          </mc:Fallback>
        </mc:AlternateContent>
      </w:r>
      <w:r w:rsidR="00BD6BCB" w:rsidRPr="006C6A54">
        <w:rPr>
          <w:rFonts w:eastAsiaTheme="minorEastAsia"/>
          <w:noProof/>
        </w:rPr>
        <mc:AlternateContent>
          <mc:Choice Requires="wps">
            <w:drawing>
              <wp:anchor distT="45720" distB="45720" distL="114300" distR="114300" simplePos="0" relativeHeight="251684864" behindDoc="0" locked="0" layoutInCell="1" allowOverlap="1" wp14:anchorId="39008735" wp14:editId="5225A0C9">
                <wp:simplePos x="0" y="0"/>
                <wp:positionH relativeFrom="column">
                  <wp:posOffset>1125739</wp:posOffset>
                </wp:positionH>
                <wp:positionV relativeFrom="paragraph">
                  <wp:posOffset>1675204</wp:posOffset>
                </wp:positionV>
                <wp:extent cx="219075" cy="189865"/>
                <wp:effectExtent l="0" t="0" r="28575" b="19685"/>
                <wp:wrapSquare wrapText="bothSides"/>
                <wp:docPr id="113158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189865"/>
                        </a:xfrm>
                        <a:prstGeom prst="rect">
                          <a:avLst/>
                        </a:prstGeom>
                        <a:noFill/>
                        <a:ln w="9525">
                          <a:solidFill>
                            <a:schemeClr val="bg1"/>
                          </a:solidFill>
                          <a:miter lim="800000"/>
                          <a:headEnd/>
                          <a:tailEnd/>
                        </a:ln>
                      </wps:spPr>
                      <wps:txbx>
                        <w:txbxContent>
                          <w:p w14:paraId="6847AC81" w14:textId="24F2F5CB" w:rsidR="00BD6BCB" w:rsidRPr="00BD6BCB" w:rsidRDefault="00BD6BCB" w:rsidP="00BD6BCB">
                            <w:pPr>
                              <w:rPr>
                                <w:sz w:val="12"/>
                                <w:szCs w:val="12"/>
                              </w:rPr>
                            </w:pPr>
                            <w:r>
                              <w:rPr>
                                <w:sz w:val="12"/>
                                <w:szCs w:val="12"/>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08735" id="_x0000_s1032" type="#_x0000_t202" style="position:absolute;margin-left:88.65pt;margin-top:131.9pt;width:17.25pt;height:14.9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" filled="f" strokecolor="white [3212]">
                <v:textbox>
                  <w:txbxContent>
                    <w:p w14:paraId="6847AC81" w14:textId="24F2F5CB" w:rsidR="00BD6BCB" w:rsidRPr="00BD6BCB" w:rsidRDefault="00BD6BCB" w:rsidP="00BD6BCB">
                      <w:pPr>
                        <w:rPr>
                          <w:sz w:val="12"/>
                          <w:szCs w:val="12"/>
                        </w:rPr>
                      </w:pPr>
                      <w:r>
                        <w:rPr>
                          <w:sz w:val="12"/>
                          <w:szCs w:val="12"/>
                        </w:rPr>
                        <w:t>2</w:t>
                      </w:r>
                    </w:p>
                  </w:txbxContent>
                </v:textbox>
                <w10:wrap type="square"/>
              </v:shape>
            </w:pict>
          </mc:Fallback>
        </mc:AlternateContent>
      </w:r>
    </w:p>
    <w:p w14:paraId="3D48D39B" w14:textId="77777777" w:rsidR="006327A4" w:rsidRDefault="006327A4" w:rsidP="00576F7E">
      <w:pPr>
        <w:rPr>
          <w:u w:val="single"/>
        </w:rPr>
      </w:pPr>
    </w:p>
    <w:p w14:paraId="207699DA" w14:textId="4263780A" w:rsidR="006327A4" w:rsidRDefault="006327A4" w:rsidP="006327A4">
      <w:pPr>
        <w:pStyle w:val="Caption"/>
        <w:jc w:val="center"/>
        <w:rPr>
          <w:u w:val="single"/>
        </w:rPr>
      </w:pPr>
      <w:bookmarkStart w:id="31" w:name="_Toc216428068"/>
      <w:r>
        <w:t xml:space="preserve">Figure </w:t>
      </w:r>
      <w:r>
        <w:fldChar w:fldCharType="begin"/>
      </w:r>
      <w:r>
        <w:instrText xml:space="preserve"> SEQ Figure \* ARABIC </w:instrText>
      </w:r>
      <w:r>
        <w:fldChar w:fldCharType="separate"/>
      </w:r>
      <w:r>
        <w:rPr>
          <w:noProof/>
        </w:rPr>
        <w:t>3</w:t>
      </w:r>
      <w:r>
        <w:fldChar w:fldCharType="end"/>
      </w:r>
      <w:r>
        <w:t xml:space="preserve"> - ESH Layout</w:t>
      </w:r>
      <w:bookmarkEnd w:id="31"/>
    </w:p>
    <w:p w14:paraId="6A4CB7C8" w14:textId="77777777" w:rsidR="006327A4" w:rsidRDefault="006327A4" w:rsidP="00576F7E">
      <w:pPr>
        <w:rPr>
          <w:u w:val="single"/>
        </w:rPr>
      </w:pPr>
    </w:p>
    <w:p w14:paraId="0CD14677" w14:textId="00F8F7F2" w:rsidR="00576F7E" w:rsidRPr="0001306F" w:rsidRDefault="00576F7E" w:rsidP="00576F7E">
      <w:pPr>
        <w:rPr>
          <w:u w:val="single"/>
        </w:rPr>
      </w:pPr>
      <w:r w:rsidRPr="0001306F">
        <w:rPr>
          <w:u w:val="single"/>
        </w:rPr>
        <w:t xml:space="preserve">ESH 1: HD 1.1B (50kg) </w:t>
      </w:r>
      <w:r w:rsidR="0001306F" w:rsidRPr="0001306F">
        <w:rPr>
          <w:u w:val="single"/>
        </w:rPr>
        <w:t>-</w:t>
      </w:r>
    </w:p>
    <w:p w14:paraId="217D73F2" w14:textId="2EC0BA54" w:rsidR="0001306F" w:rsidRDefault="002D6F22" w:rsidP="00576F7E">
      <w:r>
        <w:t>The scaled distance coefficie</w:t>
      </w:r>
      <w:r w:rsidR="0001306F">
        <w:t>nt (K-factor) for ESH 1:</w:t>
      </w:r>
    </w:p>
    <w:p w14:paraId="7B4F14C0" w14:textId="6A00D77A" w:rsidR="00D11708" w:rsidRDefault="00D11708" w:rsidP="00576F7E">
      <w:r>
        <w:t>- IMD</w:t>
      </w:r>
      <w:r w:rsidR="00BC024D">
        <w:t xml:space="preserve"> = 6</w:t>
      </w:r>
    </w:p>
    <w:p w14:paraId="57A9B5DE" w14:textId="298EFA26" w:rsidR="00BC024D" w:rsidRDefault="00BC024D" w:rsidP="00576F7E">
      <w:r>
        <w:t>- PTRD = 15</w:t>
      </w:r>
    </w:p>
    <w:p w14:paraId="6777F330" w14:textId="0C64838E" w:rsidR="00BC024D" w:rsidRDefault="00BC024D" w:rsidP="00576F7E">
      <w:r>
        <w:t xml:space="preserve">- IBD = </w:t>
      </w:r>
      <w:r w:rsidR="00B14BB6">
        <w:t>22.2</w:t>
      </w:r>
    </w:p>
    <w:p w14:paraId="2FF4AE58" w14:textId="5FBCFC1E" w:rsidR="0095065A" w:rsidRDefault="0095065A" w:rsidP="00576F7E">
      <w:r>
        <w:t>- VBD = 44.4</w:t>
      </w:r>
    </w:p>
    <w:p w14:paraId="7B694D97" w14:textId="70C0992D" w:rsidR="0095065A" w:rsidRDefault="0095065A" w:rsidP="00576F7E">
      <w:r>
        <w:t>Therefore, the QD’s for ESH 1 are:</w:t>
      </w:r>
    </w:p>
    <w:p w14:paraId="1DFEE56D" w14:textId="056A259D" w:rsidR="00D20094" w:rsidRDefault="00D20094" w:rsidP="00576F7E">
      <w:pPr>
        <w:rPr>
          <w:rFonts w:eastAsiaTheme="minorEastAsia"/>
        </w:rPr>
      </w:pPr>
      <w:r>
        <w:rPr>
          <w:rFonts w:eastAsiaTheme="minorEastAsia"/>
        </w:rPr>
        <w:t>IMD -</w:t>
      </w:r>
    </w:p>
    <w:p w14:paraId="3C7E931D" w14:textId="684AF0A5" w:rsidR="0095065A" w:rsidRPr="0076594A" w:rsidRDefault="0076594A" w:rsidP="00576F7E">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5EB7B303" w14:textId="77654F2A" w:rsidR="0076594A" w:rsidRPr="0076594A" w:rsidRDefault="0076594A" w:rsidP="00576F7E">
      <w:pPr>
        <w:rPr>
          <w:rFonts w:eastAsiaTheme="minorEastAsia"/>
        </w:rPr>
      </w:pPr>
      <m:oMathPara>
        <m:oMathParaPr>
          <m:jc m:val="left"/>
        </m:oMathParaPr>
        <m:oMath>
          <m:r>
            <w:rPr>
              <w:rFonts w:ascii="Cambria Math" w:hAnsi="Cambria Math"/>
            </w:rPr>
            <m:t xml:space="preserve">D = 6 × </m:t>
          </m:r>
          <m:rad>
            <m:radPr>
              <m:ctrlPr>
                <w:rPr>
                  <w:rFonts w:ascii="Cambria Math" w:hAnsi="Cambria Math"/>
                  <w:i/>
                </w:rPr>
              </m:ctrlPr>
            </m:radPr>
            <m:deg>
              <m:r>
                <w:rPr>
                  <w:rFonts w:ascii="Cambria Math" w:hAnsi="Cambria Math"/>
                </w:rPr>
                <m:t>3</m:t>
              </m:r>
            </m:deg>
            <m:e>
              <m:r>
                <w:rPr>
                  <w:rFonts w:ascii="Cambria Math" w:hAnsi="Cambria Math"/>
                </w:rPr>
                <m:t>50</m:t>
              </m:r>
            </m:e>
          </m:rad>
          <m:r>
            <w:rPr>
              <w:rFonts w:ascii="Cambria Math" w:hAnsi="Cambria Math"/>
            </w:rPr>
            <m:t xml:space="preserve"> </m:t>
          </m:r>
        </m:oMath>
      </m:oMathPara>
    </w:p>
    <w:p w14:paraId="2A2D70ED" w14:textId="4CB6D2B4" w:rsidR="0076594A" w:rsidRPr="00210E6B" w:rsidRDefault="001541A9" w:rsidP="00576F7E">
      <w:pPr>
        <w:rPr>
          <w:rFonts w:eastAsiaTheme="minorEastAsia"/>
        </w:rPr>
      </w:pPr>
      <m:oMathPara>
        <m:oMathParaPr>
          <m:jc m:val="left"/>
        </m:oMathParaPr>
        <m:oMath>
          <m:r>
            <w:rPr>
              <w:rFonts w:ascii="Cambria Math" w:hAnsi="Cambria Math"/>
            </w:rPr>
            <m:t>D = 22.1m</m:t>
          </m:r>
        </m:oMath>
      </m:oMathPara>
    </w:p>
    <w:p w14:paraId="4E5CC684" w14:textId="77777777" w:rsidR="00210E6B" w:rsidRDefault="00210E6B" w:rsidP="00576F7E">
      <w:pPr>
        <w:rPr>
          <w:rFonts w:eastAsiaTheme="minorEastAsia"/>
        </w:rPr>
      </w:pPr>
    </w:p>
    <w:p w14:paraId="78F6500D" w14:textId="3BC86584" w:rsidR="00210E6B" w:rsidRDefault="00210E6B" w:rsidP="00576F7E">
      <w:pPr>
        <w:rPr>
          <w:rFonts w:eastAsiaTheme="minorEastAsia"/>
        </w:rPr>
      </w:pPr>
      <w:r>
        <w:rPr>
          <w:rFonts w:eastAsiaTheme="minorEastAsia"/>
        </w:rPr>
        <w:t>PTRD –</w:t>
      </w:r>
    </w:p>
    <w:p w14:paraId="4DA877F8" w14:textId="77777777" w:rsidR="00210E6B" w:rsidRPr="0076594A" w:rsidRDefault="00210E6B" w:rsidP="00210E6B">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530F5017" w14:textId="401906D3" w:rsidR="00210E6B" w:rsidRPr="0076594A" w:rsidRDefault="00210E6B" w:rsidP="00210E6B">
      <w:pPr>
        <w:rPr>
          <w:rFonts w:eastAsiaTheme="minorEastAsia"/>
        </w:rPr>
      </w:pPr>
      <m:oMathPara>
        <m:oMathParaPr>
          <m:jc m:val="left"/>
        </m:oMathParaPr>
        <m:oMath>
          <m:r>
            <w:rPr>
              <w:rFonts w:ascii="Cambria Math" w:hAnsi="Cambria Math"/>
            </w:rPr>
            <m:t xml:space="preserve">D = 15 × </m:t>
          </m:r>
          <m:rad>
            <m:radPr>
              <m:ctrlPr>
                <w:rPr>
                  <w:rFonts w:ascii="Cambria Math" w:hAnsi="Cambria Math"/>
                  <w:i/>
                </w:rPr>
              </m:ctrlPr>
            </m:radPr>
            <m:deg>
              <m:r>
                <w:rPr>
                  <w:rFonts w:ascii="Cambria Math" w:hAnsi="Cambria Math"/>
                </w:rPr>
                <m:t>3</m:t>
              </m:r>
            </m:deg>
            <m:e>
              <m:r>
                <w:rPr>
                  <w:rFonts w:ascii="Cambria Math" w:hAnsi="Cambria Math"/>
                </w:rPr>
                <m:t>50</m:t>
              </m:r>
            </m:e>
          </m:rad>
          <m:r>
            <w:rPr>
              <w:rFonts w:ascii="Cambria Math" w:hAnsi="Cambria Math"/>
            </w:rPr>
            <m:t xml:space="preserve"> </m:t>
          </m:r>
        </m:oMath>
      </m:oMathPara>
    </w:p>
    <w:p w14:paraId="1291227E" w14:textId="5A21B91C" w:rsidR="00210E6B" w:rsidRPr="00210E6B" w:rsidRDefault="00210E6B" w:rsidP="00210E6B">
      <w:pPr>
        <w:rPr>
          <w:rFonts w:eastAsiaTheme="minorEastAsia"/>
        </w:rPr>
      </w:pPr>
      <m:oMathPara>
        <m:oMathParaPr>
          <m:jc m:val="left"/>
        </m:oMathParaPr>
        <m:oMath>
          <m:r>
            <w:rPr>
              <w:rFonts w:ascii="Cambria Math" w:hAnsi="Cambria Math"/>
            </w:rPr>
            <m:t>D = 55.3m</m:t>
          </m:r>
        </m:oMath>
      </m:oMathPara>
    </w:p>
    <w:p w14:paraId="1811FFDD" w14:textId="77777777" w:rsidR="00210E6B" w:rsidRDefault="00210E6B" w:rsidP="00576F7E"/>
    <w:p w14:paraId="2CD036D4" w14:textId="2C9BE281" w:rsidR="00F07F42" w:rsidRDefault="00F07F42" w:rsidP="00576F7E">
      <w:r>
        <w:t>IBD –</w:t>
      </w:r>
    </w:p>
    <w:p w14:paraId="5920EFFC" w14:textId="77777777" w:rsidR="00F07F42" w:rsidRPr="0076594A" w:rsidRDefault="00F07F42" w:rsidP="00F07F42">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5FA36A9D" w14:textId="2D02C823" w:rsidR="00F07F42" w:rsidRPr="0076594A" w:rsidRDefault="00F07F42" w:rsidP="00F07F42">
      <w:pPr>
        <w:rPr>
          <w:rFonts w:eastAsiaTheme="minorEastAsia"/>
        </w:rPr>
      </w:pPr>
      <m:oMathPara>
        <m:oMathParaPr>
          <m:jc m:val="left"/>
        </m:oMathParaPr>
        <m:oMath>
          <m:r>
            <w:rPr>
              <w:rFonts w:ascii="Cambria Math" w:hAnsi="Cambria Math"/>
            </w:rPr>
            <m:t xml:space="preserve">D = 22.2 × </m:t>
          </m:r>
          <m:rad>
            <m:radPr>
              <m:ctrlPr>
                <w:rPr>
                  <w:rFonts w:ascii="Cambria Math" w:hAnsi="Cambria Math"/>
                  <w:i/>
                </w:rPr>
              </m:ctrlPr>
            </m:radPr>
            <m:deg>
              <m:r>
                <w:rPr>
                  <w:rFonts w:ascii="Cambria Math" w:hAnsi="Cambria Math"/>
                </w:rPr>
                <m:t>3</m:t>
              </m:r>
            </m:deg>
            <m:e>
              <m:r>
                <w:rPr>
                  <w:rFonts w:ascii="Cambria Math" w:hAnsi="Cambria Math"/>
                </w:rPr>
                <m:t>50</m:t>
              </m:r>
            </m:e>
          </m:rad>
          <m:r>
            <w:rPr>
              <w:rFonts w:ascii="Cambria Math" w:hAnsi="Cambria Math"/>
            </w:rPr>
            <m:t xml:space="preserve"> </m:t>
          </m:r>
        </m:oMath>
      </m:oMathPara>
    </w:p>
    <w:p w14:paraId="1B3E0199" w14:textId="74491B7B" w:rsidR="00F07F42" w:rsidRPr="00084A12" w:rsidRDefault="00F07F42" w:rsidP="00F07F42">
      <w:pPr>
        <w:rPr>
          <w:rFonts w:eastAsiaTheme="minorEastAsia"/>
        </w:rPr>
      </w:pPr>
      <m:oMathPara>
        <m:oMathParaPr>
          <m:jc m:val="left"/>
        </m:oMathParaPr>
        <m:oMath>
          <m:r>
            <w:rPr>
              <w:rFonts w:ascii="Cambria Math" w:hAnsi="Cambria Math"/>
            </w:rPr>
            <m:t>D = 81.8m</m:t>
          </m:r>
        </m:oMath>
      </m:oMathPara>
    </w:p>
    <w:p w14:paraId="14906F56" w14:textId="77777777" w:rsidR="001855A6" w:rsidRDefault="001855A6" w:rsidP="00F07F42">
      <w:pPr>
        <w:rPr>
          <w:rFonts w:eastAsiaTheme="minorEastAsia"/>
        </w:rPr>
      </w:pPr>
    </w:p>
    <w:p w14:paraId="4ADF3277" w14:textId="60FE3DA9" w:rsidR="00084A12" w:rsidRDefault="00084A12" w:rsidP="00F07F42">
      <w:pPr>
        <w:rPr>
          <w:rFonts w:eastAsiaTheme="minorEastAsia"/>
        </w:rPr>
      </w:pPr>
      <w:r>
        <w:rPr>
          <w:rFonts w:eastAsiaTheme="minorEastAsia"/>
        </w:rPr>
        <w:t xml:space="preserve">VBD – </w:t>
      </w:r>
    </w:p>
    <w:p w14:paraId="77E4461B" w14:textId="77777777" w:rsidR="00084A12" w:rsidRPr="0076594A" w:rsidRDefault="00084A12" w:rsidP="00084A12">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0B62742C" w14:textId="73E9434C" w:rsidR="00084A12" w:rsidRPr="0076594A" w:rsidRDefault="00084A12" w:rsidP="00084A12">
      <w:pPr>
        <w:rPr>
          <w:rFonts w:eastAsiaTheme="minorEastAsia"/>
        </w:rPr>
      </w:pPr>
      <m:oMathPara>
        <m:oMathParaPr>
          <m:jc m:val="left"/>
        </m:oMathParaPr>
        <m:oMath>
          <m:r>
            <w:rPr>
              <w:rFonts w:ascii="Cambria Math" w:hAnsi="Cambria Math"/>
            </w:rPr>
            <m:t xml:space="preserve">D = 44.4 × </m:t>
          </m:r>
          <m:rad>
            <m:radPr>
              <m:ctrlPr>
                <w:rPr>
                  <w:rFonts w:ascii="Cambria Math" w:hAnsi="Cambria Math"/>
                  <w:i/>
                </w:rPr>
              </m:ctrlPr>
            </m:radPr>
            <m:deg>
              <m:r>
                <w:rPr>
                  <w:rFonts w:ascii="Cambria Math" w:hAnsi="Cambria Math"/>
                </w:rPr>
                <m:t>3</m:t>
              </m:r>
            </m:deg>
            <m:e>
              <m:r>
                <w:rPr>
                  <w:rFonts w:ascii="Cambria Math" w:hAnsi="Cambria Math"/>
                </w:rPr>
                <m:t>50</m:t>
              </m:r>
            </m:e>
          </m:rad>
          <m:r>
            <w:rPr>
              <w:rFonts w:ascii="Cambria Math" w:hAnsi="Cambria Math"/>
            </w:rPr>
            <m:t xml:space="preserve"> </m:t>
          </m:r>
        </m:oMath>
      </m:oMathPara>
    </w:p>
    <w:p w14:paraId="5B0F60EC" w14:textId="3AD8C47C" w:rsidR="00084A12" w:rsidRPr="00084A12" w:rsidRDefault="00084A12" w:rsidP="00084A12">
      <w:pPr>
        <w:rPr>
          <w:rFonts w:eastAsiaTheme="minorEastAsia"/>
        </w:rPr>
      </w:pPr>
      <m:oMathPara>
        <m:oMathParaPr>
          <m:jc m:val="left"/>
        </m:oMathParaPr>
        <m:oMath>
          <m:r>
            <w:rPr>
              <w:rFonts w:ascii="Cambria Math" w:hAnsi="Cambria Math"/>
            </w:rPr>
            <m:t>D = 163.6m</m:t>
          </m:r>
        </m:oMath>
      </m:oMathPara>
    </w:p>
    <w:p w14:paraId="595686C1" w14:textId="77777777" w:rsidR="0035762E" w:rsidRDefault="0035762E" w:rsidP="00DE1250">
      <w:pPr>
        <w:rPr>
          <w:u w:val="single"/>
        </w:rPr>
      </w:pPr>
    </w:p>
    <w:p w14:paraId="15810845" w14:textId="533CAA1A" w:rsidR="00DE1250" w:rsidRPr="0001306F" w:rsidRDefault="00DE1250" w:rsidP="00DE1250">
      <w:pPr>
        <w:rPr>
          <w:u w:val="single"/>
        </w:rPr>
      </w:pPr>
      <w:r w:rsidRPr="0001306F">
        <w:rPr>
          <w:u w:val="single"/>
        </w:rPr>
        <w:t xml:space="preserve">ESH </w:t>
      </w:r>
      <w:r>
        <w:rPr>
          <w:u w:val="single"/>
        </w:rPr>
        <w:t>2</w:t>
      </w:r>
      <w:r w:rsidRPr="0001306F">
        <w:rPr>
          <w:u w:val="single"/>
        </w:rPr>
        <w:t>: HD 1.1</w:t>
      </w:r>
      <w:r>
        <w:rPr>
          <w:u w:val="single"/>
        </w:rPr>
        <w:t>D</w:t>
      </w:r>
      <w:r w:rsidRPr="0001306F">
        <w:rPr>
          <w:u w:val="single"/>
        </w:rPr>
        <w:t xml:space="preserve"> (</w:t>
      </w:r>
      <w:r>
        <w:rPr>
          <w:u w:val="single"/>
        </w:rPr>
        <w:t>3,200</w:t>
      </w:r>
      <w:r w:rsidRPr="0001306F">
        <w:rPr>
          <w:u w:val="single"/>
        </w:rPr>
        <w:t>kg) -</w:t>
      </w:r>
    </w:p>
    <w:p w14:paraId="1226FE89" w14:textId="412B86DC" w:rsidR="00DE1250" w:rsidRDefault="00DE1250" w:rsidP="00DE1250">
      <w:r>
        <w:t>The scaled distance coefficient (K-factor) for ESH 2:</w:t>
      </w:r>
    </w:p>
    <w:p w14:paraId="7CFF7B79" w14:textId="77777777" w:rsidR="00DE1250" w:rsidRDefault="00DE1250" w:rsidP="00DE1250">
      <w:r>
        <w:t>- IMD = 6</w:t>
      </w:r>
    </w:p>
    <w:p w14:paraId="7030C984" w14:textId="77777777" w:rsidR="00DE1250" w:rsidRDefault="00DE1250" w:rsidP="00DE1250">
      <w:r>
        <w:t>- PTRD = 15</w:t>
      </w:r>
    </w:p>
    <w:p w14:paraId="1AAFB0D6" w14:textId="77777777" w:rsidR="00DE1250" w:rsidRDefault="00DE1250" w:rsidP="00DE1250">
      <w:r>
        <w:t>- IBD = 22.2</w:t>
      </w:r>
    </w:p>
    <w:p w14:paraId="611FBA29" w14:textId="77777777" w:rsidR="00DE1250" w:rsidRDefault="00DE1250" w:rsidP="00DE1250">
      <w:r>
        <w:t>- VBD = 44.4</w:t>
      </w:r>
    </w:p>
    <w:p w14:paraId="1935AE7C" w14:textId="77777777" w:rsidR="00DE1250" w:rsidRDefault="00DE1250" w:rsidP="00DE1250">
      <w:r>
        <w:t>Therefore, the QD’s for ESH 1 are:</w:t>
      </w:r>
    </w:p>
    <w:p w14:paraId="3B737AA0" w14:textId="77777777" w:rsidR="00DE1250" w:rsidRDefault="00DE1250" w:rsidP="00DE1250">
      <w:pPr>
        <w:rPr>
          <w:rFonts w:eastAsiaTheme="minorEastAsia"/>
        </w:rPr>
      </w:pPr>
      <w:r>
        <w:rPr>
          <w:rFonts w:eastAsiaTheme="minorEastAsia"/>
        </w:rPr>
        <w:t>IMD -</w:t>
      </w:r>
    </w:p>
    <w:p w14:paraId="58343313" w14:textId="77777777" w:rsidR="00DE1250" w:rsidRPr="0076594A" w:rsidRDefault="00DE1250" w:rsidP="00DE1250">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65984FC5" w14:textId="0A6C3D4A" w:rsidR="00DE1250" w:rsidRPr="0076594A" w:rsidRDefault="00DE1250" w:rsidP="00DE1250">
      <w:pPr>
        <w:rPr>
          <w:rFonts w:eastAsiaTheme="minorEastAsia"/>
        </w:rPr>
      </w:pPr>
      <m:oMathPara>
        <m:oMathParaPr>
          <m:jc m:val="left"/>
        </m:oMathParaPr>
        <m:oMath>
          <m:r>
            <w:rPr>
              <w:rFonts w:ascii="Cambria Math" w:hAnsi="Cambria Math"/>
            </w:rPr>
            <m:t xml:space="preserve">D = 6 × </m:t>
          </m:r>
          <m:rad>
            <m:radPr>
              <m:ctrlPr>
                <w:rPr>
                  <w:rFonts w:ascii="Cambria Math" w:hAnsi="Cambria Math"/>
                  <w:i/>
                </w:rPr>
              </m:ctrlPr>
            </m:radPr>
            <m:deg>
              <m:r>
                <w:rPr>
                  <w:rFonts w:ascii="Cambria Math" w:hAnsi="Cambria Math"/>
                </w:rPr>
                <m:t>3</m:t>
              </m:r>
            </m:deg>
            <m:e>
              <m:r>
                <w:rPr>
                  <w:rFonts w:ascii="Cambria Math" w:hAnsi="Cambria Math"/>
                </w:rPr>
                <m:t>3,200</m:t>
              </m:r>
            </m:e>
          </m:rad>
          <m:r>
            <w:rPr>
              <w:rFonts w:ascii="Cambria Math" w:hAnsi="Cambria Math"/>
            </w:rPr>
            <m:t xml:space="preserve"> </m:t>
          </m:r>
        </m:oMath>
      </m:oMathPara>
    </w:p>
    <w:p w14:paraId="1F3919AD" w14:textId="3507D723" w:rsidR="00DE1250" w:rsidRPr="00210E6B" w:rsidRDefault="00DE1250" w:rsidP="00DE1250">
      <w:pPr>
        <w:rPr>
          <w:rFonts w:eastAsiaTheme="minorEastAsia"/>
        </w:rPr>
      </w:pPr>
      <m:oMathPara>
        <m:oMathParaPr>
          <m:jc m:val="left"/>
        </m:oMathParaPr>
        <m:oMath>
          <m:r>
            <w:rPr>
              <w:rFonts w:ascii="Cambria Math" w:hAnsi="Cambria Math"/>
            </w:rPr>
            <m:t>D = 88.4m</m:t>
          </m:r>
        </m:oMath>
      </m:oMathPara>
    </w:p>
    <w:p w14:paraId="6C9AC4E8" w14:textId="77777777" w:rsidR="00DE1250" w:rsidRDefault="00DE1250" w:rsidP="00DE1250">
      <w:pPr>
        <w:rPr>
          <w:rFonts w:eastAsiaTheme="minorEastAsia"/>
        </w:rPr>
      </w:pPr>
    </w:p>
    <w:p w14:paraId="0880E7EE" w14:textId="77777777" w:rsidR="00DE1250" w:rsidRDefault="00DE1250" w:rsidP="00DE1250">
      <w:pPr>
        <w:rPr>
          <w:rFonts w:eastAsiaTheme="minorEastAsia"/>
        </w:rPr>
      </w:pPr>
      <w:r>
        <w:rPr>
          <w:rFonts w:eastAsiaTheme="minorEastAsia"/>
        </w:rPr>
        <w:t>PTRD –</w:t>
      </w:r>
    </w:p>
    <w:p w14:paraId="544E3B73" w14:textId="77777777" w:rsidR="00DE1250" w:rsidRPr="0076594A" w:rsidRDefault="00DE1250" w:rsidP="00DE1250">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584B8823" w14:textId="51C07D7C" w:rsidR="00DE1250" w:rsidRPr="0076594A" w:rsidRDefault="00DE1250" w:rsidP="00DE1250">
      <w:pPr>
        <w:rPr>
          <w:rFonts w:eastAsiaTheme="minorEastAsia"/>
        </w:rPr>
      </w:pPr>
      <m:oMathPara>
        <m:oMathParaPr>
          <m:jc m:val="left"/>
        </m:oMathParaPr>
        <m:oMath>
          <m:r>
            <w:rPr>
              <w:rFonts w:ascii="Cambria Math" w:hAnsi="Cambria Math"/>
            </w:rPr>
            <m:t xml:space="preserve">D = 15 × </m:t>
          </m:r>
          <m:rad>
            <m:radPr>
              <m:ctrlPr>
                <w:rPr>
                  <w:rFonts w:ascii="Cambria Math" w:hAnsi="Cambria Math"/>
                  <w:i/>
                </w:rPr>
              </m:ctrlPr>
            </m:radPr>
            <m:deg>
              <m:r>
                <w:rPr>
                  <w:rFonts w:ascii="Cambria Math" w:hAnsi="Cambria Math"/>
                </w:rPr>
                <m:t>3</m:t>
              </m:r>
            </m:deg>
            <m:e>
              <m:r>
                <w:rPr>
                  <w:rFonts w:ascii="Cambria Math" w:hAnsi="Cambria Math"/>
                </w:rPr>
                <m:t>3,200</m:t>
              </m:r>
            </m:e>
          </m:rad>
          <m:r>
            <w:rPr>
              <w:rFonts w:ascii="Cambria Math" w:hAnsi="Cambria Math"/>
            </w:rPr>
            <m:t xml:space="preserve"> </m:t>
          </m:r>
        </m:oMath>
      </m:oMathPara>
    </w:p>
    <w:p w14:paraId="64B28CFD" w14:textId="08D53030" w:rsidR="00DE1250" w:rsidRPr="00210E6B" w:rsidRDefault="00DE1250" w:rsidP="00DE1250">
      <w:pPr>
        <w:rPr>
          <w:rFonts w:eastAsiaTheme="minorEastAsia"/>
        </w:rPr>
      </w:pPr>
      <m:oMathPara>
        <m:oMathParaPr>
          <m:jc m:val="left"/>
        </m:oMathParaPr>
        <m:oMath>
          <m:r>
            <w:rPr>
              <w:rFonts w:ascii="Cambria Math" w:hAnsi="Cambria Math"/>
            </w:rPr>
            <m:t xml:space="preserve">D = 221.0m </m:t>
          </m:r>
        </m:oMath>
      </m:oMathPara>
    </w:p>
    <w:p w14:paraId="30D7C3CA" w14:textId="77777777" w:rsidR="00DE1250" w:rsidRDefault="00DE1250" w:rsidP="00DE1250"/>
    <w:p w14:paraId="607EFC37" w14:textId="77777777" w:rsidR="00DE1250" w:rsidRDefault="00DE1250" w:rsidP="00DE1250">
      <w:r>
        <w:t>IBD –</w:t>
      </w:r>
    </w:p>
    <w:p w14:paraId="029EB009" w14:textId="77777777" w:rsidR="00DE1250" w:rsidRPr="0076594A" w:rsidRDefault="00DE1250" w:rsidP="00DE1250">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1CD40BE2" w14:textId="7B7B59E0" w:rsidR="00DE1250" w:rsidRPr="0076594A" w:rsidRDefault="00DE1250" w:rsidP="00DE1250">
      <w:pPr>
        <w:rPr>
          <w:rFonts w:eastAsiaTheme="minorEastAsia"/>
        </w:rPr>
      </w:pPr>
      <m:oMathPara>
        <m:oMathParaPr>
          <m:jc m:val="left"/>
        </m:oMathParaPr>
        <m:oMath>
          <m:r>
            <w:rPr>
              <w:rFonts w:ascii="Cambria Math" w:hAnsi="Cambria Math"/>
            </w:rPr>
            <m:t xml:space="preserve">D = 22.2 × </m:t>
          </m:r>
          <m:rad>
            <m:radPr>
              <m:ctrlPr>
                <w:rPr>
                  <w:rFonts w:ascii="Cambria Math" w:hAnsi="Cambria Math"/>
                  <w:i/>
                </w:rPr>
              </m:ctrlPr>
            </m:radPr>
            <m:deg>
              <m:r>
                <w:rPr>
                  <w:rFonts w:ascii="Cambria Math" w:hAnsi="Cambria Math"/>
                </w:rPr>
                <m:t>3</m:t>
              </m:r>
            </m:deg>
            <m:e>
              <m:r>
                <w:rPr>
                  <w:rFonts w:ascii="Cambria Math" w:hAnsi="Cambria Math"/>
                </w:rPr>
                <m:t>3,200</m:t>
              </m:r>
            </m:e>
          </m:rad>
          <m:r>
            <w:rPr>
              <w:rFonts w:ascii="Cambria Math" w:hAnsi="Cambria Math"/>
            </w:rPr>
            <m:t xml:space="preserve"> </m:t>
          </m:r>
        </m:oMath>
      </m:oMathPara>
    </w:p>
    <w:p w14:paraId="0DD8A2F1" w14:textId="5134304C" w:rsidR="00DE1250" w:rsidRPr="00084A12" w:rsidRDefault="00DE1250" w:rsidP="00DE1250">
      <w:pPr>
        <w:rPr>
          <w:rFonts w:eastAsiaTheme="minorEastAsia"/>
        </w:rPr>
      </w:pPr>
      <m:oMathPara>
        <m:oMathParaPr>
          <m:jc m:val="left"/>
        </m:oMathParaPr>
        <m:oMath>
          <m:r>
            <w:rPr>
              <w:rFonts w:ascii="Cambria Math" w:hAnsi="Cambria Math"/>
            </w:rPr>
            <m:t xml:space="preserve">D = 327.1m </m:t>
          </m:r>
        </m:oMath>
      </m:oMathPara>
    </w:p>
    <w:p w14:paraId="2180B075" w14:textId="77777777" w:rsidR="001855A6" w:rsidRDefault="001855A6" w:rsidP="00DE1250">
      <w:pPr>
        <w:rPr>
          <w:rFonts w:eastAsiaTheme="minorEastAsia"/>
        </w:rPr>
      </w:pPr>
    </w:p>
    <w:p w14:paraId="4AEFA6C1" w14:textId="747AAE61" w:rsidR="00DE1250" w:rsidRDefault="00DE1250" w:rsidP="00DE1250">
      <w:pPr>
        <w:rPr>
          <w:rFonts w:eastAsiaTheme="minorEastAsia"/>
        </w:rPr>
      </w:pPr>
      <w:r>
        <w:rPr>
          <w:rFonts w:eastAsiaTheme="minorEastAsia"/>
        </w:rPr>
        <w:t xml:space="preserve">VBD – </w:t>
      </w:r>
    </w:p>
    <w:p w14:paraId="66DD2496" w14:textId="77777777" w:rsidR="00DE1250" w:rsidRPr="0076594A" w:rsidRDefault="00DE1250" w:rsidP="00DE1250">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31831681" w14:textId="77777777" w:rsidR="001855A6" w:rsidRPr="001855A6" w:rsidRDefault="00DE1250" w:rsidP="00576F7E">
      <w:pPr>
        <w:rPr>
          <w:rFonts w:eastAsiaTheme="minorEastAsia"/>
        </w:rPr>
      </w:pPr>
      <m:oMathPara>
        <m:oMathParaPr>
          <m:jc m:val="left"/>
        </m:oMathParaPr>
        <m:oMath>
          <m:r>
            <w:rPr>
              <w:rFonts w:ascii="Cambria Math" w:hAnsi="Cambria Math"/>
            </w:rPr>
            <m:t xml:space="preserve">D = 44.4 × </m:t>
          </m:r>
          <m:rad>
            <m:radPr>
              <m:ctrlPr>
                <w:rPr>
                  <w:rFonts w:ascii="Cambria Math" w:hAnsi="Cambria Math"/>
                  <w:i/>
                </w:rPr>
              </m:ctrlPr>
            </m:radPr>
            <m:deg>
              <m:r>
                <w:rPr>
                  <w:rFonts w:ascii="Cambria Math" w:hAnsi="Cambria Math"/>
                </w:rPr>
                <m:t>3</m:t>
              </m:r>
            </m:deg>
            <m:e>
              <m:r>
                <w:rPr>
                  <w:rFonts w:ascii="Cambria Math" w:hAnsi="Cambria Math"/>
                </w:rPr>
                <m:t>3,200</m:t>
              </m:r>
            </m:e>
          </m:rad>
          <m:r>
            <w:rPr>
              <w:rFonts w:ascii="Cambria Math" w:hAnsi="Cambria Math"/>
            </w:rPr>
            <m:t xml:space="preserve"> </m:t>
          </m:r>
        </m:oMath>
      </m:oMathPara>
    </w:p>
    <w:p w14:paraId="45D6F16F" w14:textId="1600A33D" w:rsidR="00F07F42" w:rsidRPr="001855A6" w:rsidRDefault="00DE1250" w:rsidP="00576F7E">
      <w:pPr>
        <w:rPr>
          <w:rFonts w:eastAsiaTheme="minorEastAsia"/>
        </w:rPr>
      </w:pPr>
      <m:oMathPara>
        <m:oMathParaPr>
          <m:jc m:val="left"/>
        </m:oMathParaPr>
        <m:oMath>
          <m:r>
            <w:rPr>
              <w:rFonts w:ascii="Cambria Math" w:hAnsi="Cambria Math"/>
            </w:rPr>
            <m:t>D = 654.3m</m:t>
          </m:r>
        </m:oMath>
      </m:oMathPara>
    </w:p>
    <w:p w14:paraId="6D0F2C84" w14:textId="77777777" w:rsidR="001855A6" w:rsidRDefault="001855A6" w:rsidP="0035762E"/>
    <w:p w14:paraId="75FB577F" w14:textId="11257AA7" w:rsidR="00012A3B" w:rsidRPr="00F36419" w:rsidRDefault="00012A3B" w:rsidP="0035762E">
      <w:pPr>
        <w:rPr>
          <w:u w:val="single"/>
        </w:rPr>
      </w:pPr>
      <w:r w:rsidRPr="00F36419">
        <w:rPr>
          <w:u w:val="single"/>
        </w:rPr>
        <w:t>ESH 3: HD 1.1E (1,250kg) + 1.1F (500kg)</w:t>
      </w:r>
      <w:r w:rsidR="001855A6" w:rsidRPr="00F36419">
        <w:rPr>
          <w:u w:val="single"/>
        </w:rPr>
        <w:t xml:space="preserve"> - </w:t>
      </w:r>
    </w:p>
    <w:p w14:paraId="4E3AC758" w14:textId="5682AB34" w:rsidR="0035762E" w:rsidRDefault="0035762E" w:rsidP="0035762E">
      <w:r>
        <w:t xml:space="preserve">The scaled distance coefficient (K-factor) for ESH </w:t>
      </w:r>
      <w:r w:rsidR="00741AB1">
        <w:t>3</w:t>
      </w:r>
      <w:r>
        <w:t>:</w:t>
      </w:r>
    </w:p>
    <w:p w14:paraId="3FFE6824" w14:textId="77777777" w:rsidR="0035762E" w:rsidRDefault="0035762E" w:rsidP="0035762E">
      <w:r>
        <w:t>- IMD = 6</w:t>
      </w:r>
    </w:p>
    <w:p w14:paraId="1DEDF982" w14:textId="77777777" w:rsidR="0035762E" w:rsidRDefault="0035762E" w:rsidP="0035762E">
      <w:r>
        <w:t>- PTRD = 15</w:t>
      </w:r>
    </w:p>
    <w:p w14:paraId="4D89AE31" w14:textId="77777777" w:rsidR="0035762E" w:rsidRDefault="0035762E" w:rsidP="0035762E">
      <w:r>
        <w:t>- IBD = 22.2</w:t>
      </w:r>
    </w:p>
    <w:p w14:paraId="35EC6FF5" w14:textId="77777777" w:rsidR="0035762E" w:rsidRDefault="0035762E" w:rsidP="0035762E">
      <w:r>
        <w:t>- VBD = 44.4</w:t>
      </w:r>
    </w:p>
    <w:p w14:paraId="4A8FE1E5" w14:textId="77777777" w:rsidR="0035762E" w:rsidRDefault="0035762E" w:rsidP="0035762E">
      <w:r>
        <w:t>Therefore, the QD’s for ESH 1 are:</w:t>
      </w:r>
    </w:p>
    <w:p w14:paraId="0CD9EA82" w14:textId="77777777" w:rsidR="0035762E" w:rsidRDefault="0035762E" w:rsidP="0035762E">
      <w:pPr>
        <w:rPr>
          <w:rFonts w:eastAsiaTheme="minorEastAsia"/>
        </w:rPr>
      </w:pPr>
      <w:r>
        <w:rPr>
          <w:rFonts w:eastAsiaTheme="minorEastAsia"/>
        </w:rPr>
        <w:t>IMD -</w:t>
      </w:r>
    </w:p>
    <w:p w14:paraId="1F062850" w14:textId="77777777" w:rsidR="0035762E" w:rsidRPr="0076594A" w:rsidRDefault="0035762E" w:rsidP="0035762E">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4A45498C" w14:textId="173F14E0" w:rsidR="0035762E" w:rsidRPr="0076594A" w:rsidRDefault="0035762E" w:rsidP="0035762E">
      <w:pPr>
        <w:rPr>
          <w:rFonts w:eastAsiaTheme="minorEastAsia"/>
        </w:rPr>
      </w:pPr>
      <m:oMathPara>
        <m:oMathParaPr>
          <m:jc m:val="left"/>
        </m:oMathParaPr>
        <m:oMath>
          <m:r>
            <w:rPr>
              <w:rFonts w:ascii="Cambria Math" w:hAnsi="Cambria Math"/>
            </w:rPr>
            <m:t xml:space="preserve">D = 6 × </m:t>
          </m:r>
          <m:rad>
            <m:radPr>
              <m:ctrlPr>
                <w:rPr>
                  <w:rFonts w:ascii="Cambria Math" w:hAnsi="Cambria Math"/>
                  <w:i/>
                </w:rPr>
              </m:ctrlPr>
            </m:radPr>
            <m:deg>
              <m:r>
                <w:rPr>
                  <w:rFonts w:ascii="Cambria Math" w:hAnsi="Cambria Math"/>
                </w:rPr>
                <m:t>3</m:t>
              </m:r>
            </m:deg>
            <m:e>
              <m:r>
                <w:rPr>
                  <w:rFonts w:ascii="Cambria Math" w:hAnsi="Cambria Math"/>
                </w:rPr>
                <m:t>1,750</m:t>
              </m:r>
            </m:e>
          </m:rad>
          <m:r>
            <w:rPr>
              <w:rFonts w:ascii="Cambria Math" w:hAnsi="Cambria Math"/>
            </w:rPr>
            <m:t xml:space="preserve"> </m:t>
          </m:r>
        </m:oMath>
      </m:oMathPara>
    </w:p>
    <w:p w14:paraId="5F235A72" w14:textId="0D19E931" w:rsidR="0035762E" w:rsidRPr="00210E6B" w:rsidRDefault="0035762E" w:rsidP="0035762E">
      <w:pPr>
        <w:rPr>
          <w:rFonts w:eastAsiaTheme="minorEastAsia"/>
        </w:rPr>
      </w:pPr>
      <m:oMathPara>
        <m:oMathParaPr>
          <m:jc m:val="left"/>
        </m:oMathParaPr>
        <m:oMath>
          <m:r>
            <w:rPr>
              <w:rFonts w:ascii="Cambria Math" w:hAnsi="Cambria Math"/>
            </w:rPr>
            <m:t>D = 72.3m</m:t>
          </m:r>
        </m:oMath>
      </m:oMathPara>
    </w:p>
    <w:p w14:paraId="6A51B867" w14:textId="77777777" w:rsidR="0035762E" w:rsidRDefault="0035762E" w:rsidP="0035762E">
      <w:pPr>
        <w:rPr>
          <w:rFonts w:eastAsiaTheme="minorEastAsia"/>
        </w:rPr>
      </w:pPr>
    </w:p>
    <w:p w14:paraId="5C1C4452" w14:textId="77777777" w:rsidR="0035762E" w:rsidRDefault="0035762E" w:rsidP="0035762E">
      <w:pPr>
        <w:rPr>
          <w:rFonts w:eastAsiaTheme="minorEastAsia"/>
        </w:rPr>
      </w:pPr>
      <w:r>
        <w:rPr>
          <w:rFonts w:eastAsiaTheme="minorEastAsia"/>
        </w:rPr>
        <w:t>PTRD –</w:t>
      </w:r>
    </w:p>
    <w:p w14:paraId="4375F620" w14:textId="77777777" w:rsidR="0035762E" w:rsidRPr="0076594A" w:rsidRDefault="0035762E" w:rsidP="0035762E">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1F6FF887" w14:textId="55D22495" w:rsidR="0035762E" w:rsidRPr="0076594A" w:rsidRDefault="0035762E" w:rsidP="0035762E">
      <w:pPr>
        <w:rPr>
          <w:rFonts w:eastAsiaTheme="minorEastAsia"/>
        </w:rPr>
      </w:pPr>
      <m:oMathPara>
        <m:oMathParaPr>
          <m:jc m:val="left"/>
        </m:oMathParaPr>
        <m:oMath>
          <m:r>
            <w:rPr>
              <w:rFonts w:ascii="Cambria Math" w:hAnsi="Cambria Math"/>
            </w:rPr>
            <m:t xml:space="preserve">D = 15 × </m:t>
          </m:r>
          <m:rad>
            <m:radPr>
              <m:ctrlPr>
                <w:rPr>
                  <w:rFonts w:ascii="Cambria Math" w:hAnsi="Cambria Math"/>
                  <w:i/>
                </w:rPr>
              </m:ctrlPr>
            </m:radPr>
            <m:deg>
              <m:r>
                <w:rPr>
                  <w:rFonts w:ascii="Cambria Math" w:hAnsi="Cambria Math"/>
                </w:rPr>
                <m:t>3</m:t>
              </m:r>
            </m:deg>
            <m:e>
              <m:r>
                <w:rPr>
                  <w:rFonts w:ascii="Cambria Math" w:hAnsi="Cambria Math"/>
                </w:rPr>
                <m:t>1,750</m:t>
              </m:r>
            </m:e>
          </m:rad>
          <m:r>
            <w:rPr>
              <w:rFonts w:ascii="Cambria Math" w:hAnsi="Cambria Math"/>
            </w:rPr>
            <m:t xml:space="preserve"> </m:t>
          </m:r>
        </m:oMath>
      </m:oMathPara>
    </w:p>
    <w:p w14:paraId="259E10C9" w14:textId="1D282557" w:rsidR="0035762E" w:rsidRPr="00210E6B" w:rsidRDefault="0035762E" w:rsidP="0035762E">
      <w:pPr>
        <w:rPr>
          <w:rFonts w:eastAsiaTheme="minorEastAsia"/>
        </w:rPr>
      </w:pPr>
      <m:oMathPara>
        <m:oMathParaPr>
          <m:jc m:val="left"/>
        </m:oMathParaPr>
        <m:oMath>
          <m:r>
            <w:rPr>
              <w:rFonts w:ascii="Cambria Math" w:hAnsi="Cambria Math"/>
            </w:rPr>
            <m:t xml:space="preserve">D = 180.8m </m:t>
          </m:r>
        </m:oMath>
      </m:oMathPara>
    </w:p>
    <w:p w14:paraId="3BF6BC45" w14:textId="77777777" w:rsidR="0035762E" w:rsidRDefault="0035762E" w:rsidP="0035762E"/>
    <w:p w14:paraId="03A18753" w14:textId="77777777" w:rsidR="0035762E" w:rsidRDefault="0035762E" w:rsidP="0035762E">
      <w:r>
        <w:t>IBD –</w:t>
      </w:r>
    </w:p>
    <w:p w14:paraId="66D12FFA" w14:textId="77777777" w:rsidR="0035762E" w:rsidRPr="0076594A" w:rsidRDefault="0035762E" w:rsidP="0035762E">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022A65D6" w14:textId="0B0D9CBF" w:rsidR="0035762E" w:rsidRPr="0076594A" w:rsidRDefault="0035762E" w:rsidP="0035762E">
      <w:pPr>
        <w:rPr>
          <w:rFonts w:eastAsiaTheme="minorEastAsia"/>
        </w:rPr>
      </w:pPr>
      <m:oMathPara>
        <m:oMathParaPr>
          <m:jc m:val="left"/>
        </m:oMathParaPr>
        <m:oMath>
          <m:r>
            <w:rPr>
              <w:rFonts w:ascii="Cambria Math" w:hAnsi="Cambria Math"/>
            </w:rPr>
            <m:t xml:space="preserve">D = 22.2 × </m:t>
          </m:r>
          <m:rad>
            <m:radPr>
              <m:ctrlPr>
                <w:rPr>
                  <w:rFonts w:ascii="Cambria Math" w:hAnsi="Cambria Math"/>
                  <w:i/>
                </w:rPr>
              </m:ctrlPr>
            </m:radPr>
            <m:deg>
              <m:r>
                <w:rPr>
                  <w:rFonts w:ascii="Cambria Math" w:hAnsi="Cambria Math"/>
                </w:rPr>
                <m:t>3</m:t>
              </m:r>
            </m:deg>
            <m:e>
              <m:r>
                <w:rPr>
                  <w:rFonts w:ascii="Cambria Math" w:hAnsi="Cambria Math"/>
                </w:rPr>
                <m:t>1,750</m:t>
              </m:r>
            </m:e>
          </m:rad>
          <m:r>
            <w:rPr>
              <w:rFonts w:ascii="Cambria Math" w:hAnsi="Cambria Math"/>
            </w:rPr>
            <m:t xml:space="preserve"> </m:t>
          </m:r>
        </m:oMath>
      </m:oMathPara>
    </w:p>
    <w:p w14:paraId="2F917851" w14:textId="6A1A6D58" w:rsidR="0035762E" w:rsidRPr="00084A12" w:rsidRDefault="0035762E" w:rsidP="0035762E">
      <w:pPr>
        <w:rPr>
          <w:rFonts w:eastAsiaTheme="minorEastAsia"/>
        </w:rPr>
      </w:pPr>
      <m:oMathPara>
        <m:oMathParaPr>
          <m:jc m:val="left"/>
        </m:oMathParaPr>
        <m:oMath>
          <m:r>
            <w:rPr>
              <w:rFonts w:ascii="Cambria Math" w:hAnsi="Cambria Math"/>
            </w:rPr>
            <m:t xml:space="preserve">D = 267.5m </m:t>
          </m:r>
        </m:oMath>
      </m:oMathPara>
    </w:p>
    <w:p w14:paraId="45DAC314" w14:textId="77777777" w:rsidR="001855A6" w:rsidRDefault="001855A6" w:rsidP="0035762E">
      <w:pPr>
        <w:rPr>
          <w:rFonts w:eastAsiaTheme="minorEastAsia"/>
        </w:rPr>
      </w:pPr>
    </w:p>
    <w:p w14:paraId="12345CD5" w14:textId="4F1DD0A9" w:rsidR="001855A6" w:rsidRDefault="0035762E" w:rsidP="0035762E">
      <w:pPr>
        <w:rPr>
          <w:rFonts w:eastAsiaTheme="minorEastAsia"/>
        </w:rPr>
      </w:pPr>
      <w:r>
        <w:rPr>
          <w:rFonts w:eastAsiaTheme="minorEastAsia"/>
        </w:rPr>
        <w:t xml:space="preserve">VBD – </w:t>
      </w:r>
    </w:p>
    <w:p w14:paraId="6ECD62C8" w14:textId="77777777" w:rsidR="0035762E" w:rsidRPr="0076594A" w:rsidRDefault="0035762E" w:rsidP="0035762E">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585388AB" w14:textId="0872C1D6" w:rsidR="0035762E" w:rsidRPr="0076594A" w:rsidRDefault="0035762E" w:rsidP="0035762E">
      <w:pPr>
        <w:rPr>
          <w:rFonts w:eastAsiaTheme="minorEastAsia"/>
        </w:rPr>
      </w:pPr>
      <m:oMathPara>
        <m:oMathParaPr>
          <m:jc m:val="left"/>
        </m:oMathParaPr>
        <m:oMath>
          <m:r>
            <w:rPr>
              <w:rFonts w:ascii="Cambria Math" w:hAnsi="Cambria Math"/>
            </w:rPr>
            <m:t xml:space="preserve">D = 44.4 × </m:t>
          </m:r>
          <m:rad>
            <m:radPr>
              <m:ctrlPr>
                <w:rPr>
                  <w:rFonts w:ascii="Cambria Math" w:hAnsi="Cambria Math"/>
                  <w:i/>
                </w:rPr>
              </m:ctrlPr>
            </m:radPr>
            <m:deg>
              <m:r>
                <w:rPr>
                  <w:rFonts w:ascii="Cambria Math" w:hAnsi="Cambria Math"/>
                </w:rPr>
                <m:t>3</m:t>
              </m:r>
            </m:deg>
            <m:e>
              <m:r>
                <w:rPr>
                  <w:rFonts w:ascii="Cambria Math" w:hAnsi="Cambria Math"/>
                </w:rPr>
                <m:t>1,750</m:t>
              </m:r>
            </m:e>
          </m:rad>
          <m:r>
            <w:rPr>
              <w:rFonts w:ascii="Cambria Math" w:hAnsi="Cambria Math"/>
            </w:rPr>
            <m:t xml:space="preserve"> </m:t>
          </m:r>
        </m:oMath>
      </m:oMathPara>
    </w:p>
    <w:p w14:paraId="17AEE542" w14:textId="232B1D2C" w:rsidR="0035762E" w:rsidRPr="00084A12" w:rsidRDefault="0035762E" w:rsidP="0035762E">
      <w:pPr>
        <w:rPr>
          <w:rFonts w:eastAsiaTheme="minorEastAsia"/>
        </w:rPr>
      </w:pPr>
      <m:oMathPara>
        <m:oMathParaPr>
          <m:jc m:val="left"/>
        </m:oMathParaPr>
        <m:oMath>
          <m:r>
            <w:rPr>
              <w:rFonts w:ascii="Cambria Math" w:hAnsi="Cambria Math"/>
            </w:rPr>
            <m:t>D = 535.1m</m:t>
          </m:r>
        </m:oMath>
      </m:oMathPara>
    </w:p>
    <w:p w14:paraId="23034436" w14:textId="77777777" w:rsidR="00741AB1" w:rsidRDefault="00741AB1" w:rsidP="00741AB1"/>
    <w:p w14:paraId="2DE2E995" w14:textId="38CABA26" w:rsidR="00741AB1" w:rsidRPr="00B743D3" w:rsidRDefault="00741AB1" w:rsidP="00741AB1">
      <w:pPr>
        <w:rPr>
          <w:u w:val="single"/>
        </w:rPr>
      </w:pPr>
      <w:r w:rsidRPr="00B743D3">
        <w:rPr>
          <w:u w:val="single"/>
        </w:rPr>
        <w:t>ESH 4: HD 1.2C (350kg) + 1.2D (100kg) + 1.2F (50kg)</w:t>
      </w:r>
      <w:r w:rsidR="001855A6" w:rsidRPr="00B743D3">
        <w:rPr>
          <w:u w:val="single"/>
        </w:rPr>
        <w:t xml:space="preserve"> -</w:t>
      </w:r>
    </w:p>
    <w:p w14:paraId="0BF74D8D" w14:textId="6C25D8A5" w:rsidR="00741AB1" w:rsidRDefault="00741AB1" w:rsidP="00741AB1">
      <w:r>
        <w:t>The scaled distance coefficient (K-factor) for ESH 4:</w:t>
      </w:r>
    </w:p>
    <w:p w14:paraId="2966D1AC" w14:textId="1BFEAE31" w:rsidR="00741AB1" w:rsidRDefault="00741AB1" w:rsidP="00741AB1">
      <w:r>
        <w:t xml:space="preserve">- IMD = </w:t>
      </w:r>
      <w:r w:rsidR="000F1368">
        <w:t>3</w:t>
      </w:r>
    </w:p>
    <w:p w14:paraId="688676D8" w14:textId="148BFE5C" w:rsidR="00741AB1" w:rsidRDefault="00741AB1" w:rsidP="00741AB1">
      <w:r>
        <w:t xml:space="preserve">- PTRD = </w:t>
      </w:r>
      <w:r w:rsidR="000F1368">
        <w:t>6</w:t>
      </w:r>
    </w:p>
    <w:p w14:paraId="098A21A0" w14:textId="08C7E3D8" w:rsidR="00741AB1" w:rsidRDefault="00741AB1" w:rsidP="00741AB1">
      <w:r>
        <w:t xml:space="preserve">- IBD = </w:t>
      </w:r>
      <w:r w:rsidR="000F1368">
        <w:t>10</w:t>
      </w:r>
    </w:p>
    <w:p w14:paraId="1338B2D9" w14:textId="2C08BF66" w:rsidR="00741AB1" w:rsidRDefault="00741AB1" w:rsidP="00741AB1">
      <w:r>
        <w:t xml:space="preserve">- VBD = </w:t>
      </w:r>
      <w:r w:rsidR="000F1368">
        <w:t>20</w:t>
      </w:r>
    </w:p>
    <w:p w14:paraId="0131D965" w14:textId="77777777" w:rsidR="00741AB1" w:rsidRDefault="00741AB1" w:rsidP="00741AB1">
      <w:r>
        <w:t>Therefore, the QD’s for ESH 1 are:</w:t>
      </w:r>
    </w:p>
    <w:p w14:paraId="706DB1C2" w14:textId="77777777" w:rsidR="00741AB1" w:rsidRDefault="00741AB1" w:rsidP="00741AB1">
      <w:pPr>
        <w:rPr>
          <w:rFonts w:eastAsiaTheme="minorEastAsia"/>
        </w:rPr>
      </w:pPr>
      <w:r>
        <w:rPr>
          <w:rFonts w:eastAsiaTheme="minorEastAsia"/>
        </w:rPr>
        <w:t>IMD -</w:t>
      </w:r>
    </w:p>
    <w:p w14:paraId="3B4956EA" w14:textId="77777777" w:rsidR="00741AB1" w:rsidRPr="0076594A" w:rsidRDefault="00741AB1" w:rsidP="00741AB1">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0798228E" w14:textId="7D07E86D" w:rsidR="00741AB1" w:rsidRPr="0076594A" w:rsidRDefault="00741AB1" w:rsidP="00741AB1">
      <w:pPr>
        <w:rPr>
          <w:rFonts w:eastAsiaTheme="minorEastAsia"/>
        </w:rPr>
      </w:pPr>
      <m:oMathPara>
        <m:oMathParaPr>
          <m:jc m:val="left"/>
        </m:oMathParaPr>
        <m:oMath>
          <m:r>
            <w:rPr>
              <w:rFonts w:ascii="Cambria Math" w:hAnsi="Cambria Math"/>
            </w:rPr>
            <m:t xml:space="preserve">D = 3 × </m:t>
          </m:r>
          <m:rad>
            <m:radPr>
              <m:ctrlPr>
                <w:rPr>
                  <w:rFonts w:ascii="Cambria Math" w:hAnsi="Cambria Math"/>
                  <w:i/>
                </w:rPr>
              </m:ctrlPr>
            </m:radPr>
            <m:deg>
              <m:r>
                <w:rPr>
                  <w:rFonts w:ascii="Cambria Math" w:hAnsi="Cambria Math"/>
                </w:rPr>
                <m:t>3</m:t>
              </m:r>
            </m:deg>
            <m:e>
              <m:r>
                <w:rPr>
                  <w:rFonts w:ascii="Cambria Math" w:hAnsi="Cambria Math"/>
                </w:rPr>
                <m:t>500</m:t>
              </m:r>
            </m:e>
          </m:rad>
          <m:r>
            <w:rPr>
              <w:rFonts w:ascii="Cambria Math" w:hAnsi="Cambria Math"/>
            </w:rPr>
            <m:t xml:space="preserve"> </m:t>
          </m:r>
        </m:oMath>
      </m:oMathPara>
    </w:p>
    <w:p w14:paraId="7272695D" w14:textId="52111BD1" w:rsidR="00741AB1" w:rsidRPr="00210E6B" w:rsidRDefault="00741AB1" w:rsidP="00741AB1">
      <w:pPr>
        <w:rPr>
          <w:rFonts w:eastAsiaTheme="minorEastAsia"/>
        </w:rPr>
      </w:pPr>
      <m:oMathPara>
        <m:oMathParaPr>
          <m:jc m:val="left"/>
        </m:oMathParaPr>
        <m:oMath>
          <m:r>
            <w:rPr>
              <w:rFonts w:ascii="Cambria Math" w:hAnsi="Cambria Math"/>
            </w:rPr>
            <m:t>D = 23.8m</m:t>
          </m:r>
        </m:oMath>
      </m:oMathPara>
    </w:p>
    <w:p w14:paraId="2A411570" w14:textId="77777777" w:rsidR="00741AB1" w:rsidRDefault="00741AB1" w:rsidP="00741AB1">
      <w:pPr>
        <w:rPr>
          <w:rFonts w:eastAsiaTheme="minorEastAsia"/>
        </w:rPr>
      </w:pPr>
    </w:p>
    <w:p w14:paraId="1DE03EE2" w14:textId="77777777" w:rsidR="00741AB1" w:rsidRDefault="00741AB1" w:rsidP="00741AB1">
      <w:pPr>
        <w:rPr>
          <w:rFonts w:eastAsiaTheme="minorEastAsia"/>
        </w:rPr>
      </w:pPr>
      <w:r>
        <w:rPr>
          <w:rFonts w:eastAsiaTheme="minorEastAsia"/>
        </w:rPr>
        <w:t>PTRD –</w:t>
      </w:r>
    </w:p>
    <w:p w14:paraId="3ED92BBC" w14:textId="77777777" w:rsidR="00741AB1" w:rsidRPr="0076594A" w:rsidRDefault="00741AB1" w:rsidP="00741AB1">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2C6F97A6" w14:textId="5C676E2D" w:rsidR="00741AB1" w:rsidRPr="0076594A" w:rsidRDefault="00741AB1" w:rsidP="00741AB1">
      <w:pPr>
        <w:rPr>
          <w:rFonts w:eastAsiaTheme="minorEastAsia"/>
        </w:rPr>
      </w:pPr>
      <m:oMathPara>
        <m:oMathParaPr>
          <m:jc m:val="left"/>
        </m:oMathParaPr>
        <m:oMath>
          <m:r>
            <w:rPr>
              <w:rFonts w:ascii="Cambria Math" w:hAnsi="Cambria Math"/>
            </w:rPr>
            <m:t xml:space="preserve">D = 6 × </m:t>
          </m:r>
          <m:rad>
            <m:radPr>
              <m:ctrlPr>
                <w:rPr>
                  <w:rFonts w:ascii="Cambria Math" w:hAnsi="Cambria Math"/>
                  <w:i/>
                </w:rPr>
              </m:ctrlPr>
            </m:radPr>
            <m:deg>
              <m:r>
                <w:rPr>
                  <w:rFonts w:ascii="Cambria Math" w:hAnsi="Cambria Math"/>
                </w:rPr>
                <m:t>3</m:t>
              </m:r>
            </m:deg>
            <m:e>
              <m:r>
                <w:rPr>
                  <w:rFonts w:ascii="Cambria Math" w:hAnsi="Cambria Math"/>
                </w:rPr>
                <m:t>500</m:t>
              </m:r>
            </m:e>
          </m:rad>
          <m:r>
            <w:rPr>
              <w:rFonts w:ascii="Cambria Math" w:hAnsi="Cambria Math"/>
            </w:rPr>
            <m:t xml:space="preserve"> </m:t>
          </m:r>
        </m:oMath>
      </m:oMathPara>
    </w:p>
    <w:p w14:paraId="501998AA" w14:textId="131EB2EE" w:rsidR="00741AB1" w:rsidRPr="00210E6B" w:rsidRDefault="00741AB1" w:rsidP="00741AB1">
      <w:pPr>
        <w:rPr>
          <w:rFonts w:eastAsiaTheme="minorEastAsia"/>
        </w:rPr>
      </w:pPr>
      <m:oMathPara>
        <m:oMathParaPr>
          <m:jc m:val="left"/>
        </m:oMathParaPr>
        <m:oMath>
          <m:r>
            <w:rPr>
              <w:rFonts w:ascii="Cambria Math" w:hAnsi="Cambria Math"/>
            </w:rPr>
            <m:t>D =</m:t>
          </m:r>
          <m:r>
            <w:rPr>
              <w:rFonts w:ascii="Cambria Math" w:eastAsiaTheme="minorEastAsia" w:hAnsi="Cambria Math"/>
            </w:rPr>
            <m:t xml:space="preserve"> 47.6m</m:t>
          </m:r>
        </m:oMath>
      </m:oMathPara>
    </w:p>
    <w:p w14:paraId="0102980A" w14:textId="77777777" w:rsidR="00741AB1" w:rsidRDefault="00741AB1" w:rsidP="00741AB1"/>
    <w:p w14:paraId="5B8F68C9" w14:textId="77777777" w:rsidR="00741AB1" w:rsidRDefault="00741AB1" w:rsidP="00741AB1">
      <w:r>
        <w:t>IBD –</w:t>
      </w:r>
    </w:p>
    <w:p w14:paraId="27B3C6DB" w14:textId="77777777" w:rsidR="00741AB1" w:rsidRPr="0076594A" w:rsidRDefault="00741AB1" w:rsidP="00741AB1">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36E08AB6" w14:textId="531D5FBA" w:rsidR="00741AB1" w:rsidRPr="0076594A" w:rsidRDefault="00741AB1" w:rsidP="00741AB1">
      <w:pPr>
        <w:rPr>
          <w:rFonts w:eastAsiaTheme="minorEastAsia"/>
        </w:rPr>
      </w:pPr>
      <m:oMathPara>
        <m:oMathParaPr>
          <m:jc m:val="left"/>
        </m:oMathParaPr>
        <m:oMath>
          <m:r>
            <w:rPr>
              <w:rFonts w:ascii="Cambria Math" w:hAnsi="Cambria Math"/>
            </w:rPr>
            <m:t xml:space="preserve">D = 10 × </m:t>
          </m:r>
          <m:rad>
            <m:radPr>
              <m:ctrlPr>
                <w:rPr>
                  <w:rFonts w:ascii="Cambria Math" w:hAnsi="Cambria Math"/>
                  <w:i/>
                </w:rPr>
              </m:ctrlPr>
            </m:radPr>
            <m:deg>
              <m:r>
                <w:rPr>
                  <w:rFonts w:ascii="Cambria Math" w:hAnsi="Cambria Math"/>
                </w:rPr>
                <m:t>3</m:t>
              </m:r>
            </m:deg>
            <m:e>
              <m:r>
                <w:rPr>
                  <w:rFonts w:ascii="Cambria Math" w:hAnsi="Cambria Math"/>
                </w:rPr>
                <m:t>500</m:t>
              </m:r>
            </m:e>
          </m:rad>
          <m:r>
            <w:rPr>
              <w:rFonts w:ascii="Cambria Math" w:hAnsi="Cambria Math"/>
            </w:rPr>
            <m:t xml:space="preserve"> </m:t>
          </m:r>
        </m:oMath>
      </m:oMathPara>
    </w:p>
    <w:p w14:paraId="5F364913" w14:textId="1BBA821E" w:rsidR="00741AB1" w:rsidRPr="001855A6" w:rsidRDefault="00741AB1" w:rsidP="00741AB1">
      <w:pPr>
        <w:rPr>
          <w:rFonts w:eastAsiaTheme="minorEastAsia"/>
        </w:rPr>
      </w:pPr>
      <m:oMathPara>
        <m:oMathParaPr>
          <m:jc m:val="left"/>
        </m:oMathParaPr>
        <m:oMath>
          <m:r>
            <w:rPr>
              <w:rFonts w:ascii="Cambria Math" w:hAnsi="Cambria Math"/>
            </w:rPr>
            <m:t xml:space="preserve">D = 79.4m </m:t>
          </m:r>
        </m:oMath>
      </m:oMathPara>
    </w:p>
    <w:p w14:paraId="2FFE521B" w14:textId="77777777" w:rsidR="001855A6" w:rsidRPr="00084A12" w:rsidRDefault="001855A6" w:rsidP="00741AB1">
      <w:pPr>
        <w:rPr>
          <w:rFonts w:eastAsiaTheme="minorEastAsia"/>
        </w:rPr>
      </w:pPr>
    </w:p>
    <w:p w14:paraId="409E3964" w14:textId="77777777" w:rsidR="00741AB1" w:rsidRDefault="00741AB1" w:rsidP="00741AB1">
      <w:pPr>
        <w:rPr>
          <w:rFonts w:eastAsiaTheme="minorEastAsia"/>
        </w:rPr>
      </w:pPr>
      <w:r>
        <w:rPr>
          <w:rFonts w:eastAsiaTheme="minorEastAsia"/>
        </w:rPr>
        <w:t xml:space="preserve">VBD – </w:t>
      </w:r>
    </w:p>
    <w:p w14:paraId="110C82DA" w14:textId="77777777" w:rsidR="00741AB1" w:rsidRPr="0076594A" w:rsidRDefault="00741AB1" w:rsidP="00741AB1">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2804B0A6" w14:textId="772EBE9E" w:rsidR="00741AB1" w:rsidRPr="0076594A" w:rsidRDefault="00741AB1" w:rsidP="00741AB1">
      <w:pPr>
        <w:rPr>
          <w:rFonts w:eastAsiaTheme="minorEastAsia"/>
        </w:rPr>
      </w:pPr>
      <m:oMathPara>
        <m:oMathParaPr>
          <m:jc m:val="left"/>
        </m:oMathParaPr>
        <m:oMath>
          <m:r>
            <w:rPr>
              <w:rFonts w:ascii="Cambria Math" w:hAnsi="Cambria Math"/>
            </w:rPr>
            <m:t xml:space="preserve">D = 20 × </m:t>
          </m:r>
          <m:rad>
            <m:radPr>
              <m:ctrlPr>
                <w:rPr>
                  <w:rFonts w:ascii="Cambria Math" w:hAnsi="Cambria Math"/>
                  <w:i/>
                </w:rPr>
              </m:ctrlPr>
            </m:radPr>
            <m:deg>
              <m:r>
                <w:rPr>
                  <w:rFonts w:ascii="Cambria Math" w:hAnsi="Cambria Math"/>
                </w:rPr>
                <m:t>3</m:t>
              </m:r>
            </m:deg>
            <m:e>
              <m:r>
                <w:rPr>
                  <w:rFonts w:ascii="Cambria Math" w:hAnsi="Cambria Math"/>
                </w:rPr>
                <m:t>500</m:t>
              </m:r>
            </m:e>
          </m:rad>
          <m:r>
            <w:rPr>
              <w:rFonts w:ascii="Cambria Math" w:hAnsi="Cambria Math"/>
            </w:rPr>
            <m:t xml:space="preserve"> </m:t>
          </m:r>
        </m:oMath>
      </m:oMathPara>
    </w:p>
    <w:p w14:paraId="5331A7CB" w14:textId="7A6CFD28" w:rsidR="0035762E" w:rsidRPr="00B743D3" w:rsidRDefault="00741AB1" w:rsidP="00741AB1">
      <w:pPr>
        <w:rPr>
          <w:rFonts w:eastAsiaTheme="minorEastAsia"/>
        </w:rPr>
      </w:pPr>
      <m:oMathPara>
        <m:oMathParaPr>
          <m:jc m:val="left"/>
        </m:oMathParaPr>
        <m:oMath>
          <m:r>
            <w:rPr>
              <w:rFonts w:ascii="Cambria Math" w:hAnsi="Cambria Math"/>
            </w:rPr>
            <m:t xml:space="preserve">D = 158.7m </m:t>
          </m:r>
        </m:oMath>
      </m:oMathPara>
    </w:p>
    <w:p w14:paraId="4BEFEE4E" w14:textId="77777777" w:rsidR="00B743D3" w:rsidRPr="001855A6" w:rsidRDefault="00B743D3" w:rsidP="00741AB1">
      <w:pPr>
        <w:rPr>
          <w:rFonts w:eastAsiaTheme="minorEastAsia"/>
        </w:rPr>
      </w:pPr>
    </w:p>
    <w:p w14:paraId="0B654F03" w14:textId="1AB5D6F1" w:rsidR="001F7E6B" w:rsidRPr="00B743D3" w:rsidRDefault="001F7E6B" w:rsidP="001F7E6B">
      <w:pPr>
        <w:rPr>
          <w:u w:val="single"/>
        </w:rPr>
      </w:pPr>
      <w:r w:rsidRPr="00B743D3">
        <w:rPr>
          <w:u w:val="single"/>
        </w:rPr>
        <w:t>ESH 5: HD 1.4S (1,000kg) + 1.3C (1,000kg)</w:t>
      </w:r>
      <w:r w:rsidR="001855A6" w:rsidRPr="00B743D3">
        <w:rPr>
          <w:u w:val="single"/>
        </w:rPr>
        <w:t xml:space="preserve"> - </w:t>
      </w:r>
    </w:p>
    <w:p w14:paraId="15B7E201" w14:textId="08AC7984" w:rsidR="001F7E6B" w:rsidRDefault="001F7E6B" w:rsidP="001F7E6B">
      <w:r>
        <w:t>The scaled distance coefficient (K-factor) for ESH 5:</w:t>
      </w:r>
    </w:p>
    <w:p w14:paraId="4A65F1BE" w14:textId="0F82D63C" w:rsidR="001F7E6B" w:rsidRDefault="001F7E6B" w:rsidP="001F7E6B">
      <w:r>
        <w:t xml:space="preserve">- IMD = </w:t>
      </w:r>
      <w:r w:rsidR="005D3213">
        <w:t>8</w:t>
      </w:r>
    </w:p>
    <w:p w14:paraId="43F7D466" w14:textId="7E5CF71C" w:rsidR="001F7E6B" w:rsidRDefault="001F7E6B" w:rsidP="001F7E6B">
      <w:r>
        <w:t xml:space="preserve">- PTRD = </w:t>
      </w:r>
      <w:r w:rsidR="005D3213">
        <w:t>14.8</w:t>
      </w:r>
    </w:p>
    <w:p w14:paraId="159C26BF" w14:textId="39919F82" w:rsidR="001F7E6B" w:rsidRDefault="001F7E6B" w:rsidP="001F7E6B">
      <w:r>
        <w:t xml:space="preserve">- IBD = </w:t>
      </w:r>
      <w:r w:rsidR="00B76577">
        <w:t>22.2</w:t>
      </w:r>
    </w:p>
    <w:p w14:paraId="22873120" w14:textId="0D3B1FA3" w:rsidR="001F7E6B" w:rsidRDefault="001F7E6B" w:rsidP="001F7E6B">
      <w:r>
        <w:t xml:space="preserve">- VBD = </w:t>
      </w:r>
      <w:r w:rsidR="00B76577">
        <w:t>44.4</w:t>
      </w:r>
    </w:p>
    <w:p w14:paraId="377453E5" w14:textId="77777777" w:rsidR="001F7E6B" w:rsidRDefault="001F7E6B" w:rsidP="001F7E6B">
      <w:r>
        <w:t>Therefore, the QD’s for ESH 1 are:</w:t>
      </w:r>
    </w:p>
    <w:p w14:paraId="04C345AC" w14:textId="77777777" w:rsidR="001F7E6B" w:rsidRDefault="001F7E6B" w:rsidP="001F7E6B">
      <w:pPr>
        <w:rPr>
          <w:rFonts w:eastAsiaTheme="minorEastAsia"/>
        </w:rPr>
      </w:pPr>
      <w:r>
        <w:rPr>
          <w:rFonts w:eastAsiaTheme="minorEastAsia"/>
        </w:rPr>
        <w:t>IMD -</w:t>
      </w:r>
    </w:p>
    <w:p w14:paraId="525483EB" w14:textId="77777777" w:rsidR="001F7E6B" w:rsidRPr="0076594A" w:rsidRDefault="001F7E6B" w:rsidP="001F7E6B">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0F559D33" w14:textId="3B13AE91" w:rsidR="001F7E6B" w:rsidRPr="0076594A" w:rsidRDefault="001F7E6B" w:rsidP="001F7E6B">
      <w:pPr>
        <w:rPr>
          <w:rFonts w:eastAsiaTheme="minorEastAsia"/>
        </w:rPr>
      </w:pPr>
      <m:oMathPara>
        <m:oMathParaPr>
          <m:jc m:val="left"/>
        </m:oMathParaPr>
        <m:oMath>
          <m:r>
            <w:rPr>
              <w:rFonts w:ascii="Cambria Math" w:hAnsi="Cambria Math"/>
            </w:rPr>
            <m:t xml:space="preserve">D = 8 × </m:t>
          </m:r>
          <m:rad>
            <m:radPr>
              <m:ctrlPr>
                <w:rPr>
                  <w:rFonts w:ascii="Cambria Math" w:hAnsi="Cambria Math"/>
                  <w:i/>
                </w:rPr>
              </m:ctrlPr>
            </m:radPr>
            <m:deg>
              <m:r>
                <w:rPr>
                  <w:rFonts w:ascii="Cambria Math" w:hAnsi="Cambria Math"/>
                </w:rPr>
                <m:t>3</m:t>
              </m:r>
            </m:deg>
            <m:e>
              <m:r>
                <w:rPr>
                  <w:rFonts w:ascii="Cambria Math" w:hAnsi="Cambria Math"/>
                </w:rPr>
                <m:t>1000</m:t>
              </m:r>
            </m:e>
          </m:rad>
          <m:r>
            <w:rPr>
              <w:rFonts w:ascii="Cambria Math" w:hAnsi="Cambria Math"/>
            </w:rPr>
            <m:t xml:space="preserve"> </m:t>
          </m:r>
        </m:oMath>
      </m:oMathPara>
    </w:p>
    <w:p w14:paraId="627C644C" w14:textId="329B8E94" w:rsidR="001F7E6B" w:rsidRPr="00210E6B" w:rsidRDefault="001F7E6B" w:rsidP="001F7E6B">
      <w:pPr>
        <w:rPr>
          <w:rFonts w:eastAsiaTheme="minorEastAsia"/>
        </w:rPr>
      </w:pPr>
      <m:oMathPara>
        <m:oMathParaPr>
          <m:jc m:val="left"/>
        </m:oMathParaPr>
        <m:oMath>
          <m:r>
            <w:rPr>
              <w:rFonts w:ascii="Cambria Math" w:hAnsi="Cambria Math"/>
            </w:rPr>
            <m:t>D = 80m</m:t>
          </m:r>
        </m:oMath>
      </m:oMathPara>
    </w:p>
    <w:p w14:paraId="5920AF58" w14:textId="77777777" w:rsidR="001F7E6B" w:rsidRDefault="001F7E6B" w:rsidP="001F7E6B">
      <w:pPr>
        <w:rPr>
          <w:rFonts w:eastAsiaTheme="minorEastAsia"/>
        </w:rPr>
      </w:pPr>
    </w:p>
    <w:p w14:paraId="55F3A6D9" w14:textId="77777777" w:rsidR="001F7E6B" w:rsidRDefault="001F7E6B" w:rsidP="001F7E6B">
      <w:pPr>
        <w:rPr>
          <w:rFonts w:eastAsiaTheme="minorEastAsia"/>
        </w:rPr>
      </w:pPr>
      <w:r>
        <w:rPr>
          <w:rFonts w:eastAsiaTheme="minorEastAsia"/>
        </w:rPr>
        <w:t>PTRD –</w:t>
      </w:r>
    </w:p>
    <w:p w14:paraId="7F54B18A" w14:textId="77777777" w:rsidR="001F7E6B" w:rsidRPr="0076594A" w:rsidRDefault="001F7E6B" w:rsidP="001F7E6B">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6F2BEBBF" w14:textId="3A5C033C" w:rsidR="001F7E6B" w:rsidRPr="0076594A" w:rsidRDefault="001F7E6B" w:rsidP="001F7E6B">
      <w:pPr>
        <w:rPr>
          <w:rFonts w:eastAsiaTheme="minorEastAsia"/>
        </w:rPr>
      </w:pPr>
      <m:oMathPara>
        <m:oMathParaPr>
          <m:jc m:val="left"/>
        </m:oMathParaPr>
        <m:oMath>
          <m:r>
            <w:rPr>
              <w:rFonts w:ascii="Cambria Math" w:hAnsi="Cambria Math"/>
            </w:rPr>
            <m:t xml:space="preserve">D = 14.8 × </m:t>
          </m:r>
          <m:rad>
            <m:radPr>
              <m:ctrlPr>
                <w:rPr>
                  <w:rFonts w:ascii="Cambria Math" w:hAnsi="Cambria Math"/>
                  <w:i/>
                </w:rPr>
              </m:ctrlPr>
            </m:radPr>
            <m:deg>
              <m:r>
                <w:rPr>
                  <w:rFonts w:ascii="Cambria Math" w:hAnsi="Cambria Math"/>
                </w:rPr>
                <m:t>3</m:t>
              </m:r>
            </m:deg>
            <m:e>
              <m:r>
                <w:rPr>
                  <w:rFonts w:ascii="Cambria Math" w:hAnsi="Cambria Math"/>
                </w:rPr>
                <m:t>1000</m:t>
              </m:r>
            </m:e>
          </m:rad>
          <m:r>
            <w:rPr>
              <w:rFonts w:ascii="Cambria Math" w:hAnsi="Cambria Math"/>
            </w:rPr>
            <m:t xml:space="preserve"> </m:t>
          </m:r>
        </m:oMath>
      </m:oMathPara>
    </w:p>
    <w:p w14:paraId="02FFFEE5" w14:textId="49551392" w:rsidR="001F7E6B" w:rsidRPr="00210E6B" w:rsidRDefault="001F7E6B" w:rsidP="001F7E6B">
      <w:pPr>
        <w:rPr>
          <w:rFonts w:eastAsiaTheme="minorEastAsia"/>
        </w:rPr>
      </w:pPr>
      <m:oMathPara>
        <m:oMathParaPr>
          <m:jc m:val="left"/>
        </m:oMathParaPr>
        <m:oMath>
          <m:r>
            <w:rPr>
              <w:rFonts w:ascii="Cambria Math" w:hAnsi="Cambria Math"/>
            </w:rPr>
            <m:t>D =</m:t>
          </m:r>
          <m:r>
            <w:rPr>
              <w:rFonts w:ascii="Cambria Math" w:eastAsiaTheme="minorEastAsia" w:hAnsi="Cambria Math"/>
            </w:rPr>
            <m:t xml:space="preserve"> 148m</m:t>
          </m:r>
        </m:oMath>
      </m:oMathPara>
    </w:p>
    <w:p w14:paraId="31E23816" w14:textId="77777777" w:rsidR="001F7E6B" w:rsidRDefault="001F7E6B" w:rsidP="001F7E6B"/>
    <w:p w14:paraId="4E8E73DE" w14:textId="77777777" w:rsidR="001F7E6B" w:rsidRDefault="001F7E6B" w:rsidP="001F7E6B">
      <w:r>
        <w:t>IBD –</w:t>
      </w:r>
    </w:p>
    <w:p w14:paraId="49FFEE41" w14:textId="77777777" w:rsidR="001F7E6B" w:rsidRPr="0076594A" w:rsidRDefault="001F7E6B" w:rsidP="001F7E6B">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7A640EF3" w14:textId="596FF858" w:rsidR="001F7E6B" w:rsidRPr="0076594A" w:rsidRDefault="001F7E6B" w:rsidP="001F7E6B">
      <w:pPr>
        <w:rPr>
          <w:rFonts w:eastAsiaTheme="minorEastAsia"/>
        </w:rPr>
      </w:pPr>
      <m:oMathPara>
        <m:oMathParaPr>
          <m:jc m:val="left"/>
        </m:oMathParaPr>
        <m:oMath>
          <m:r>
            <w:rPr>
              <w:rFonts w:ascii="Cambria Math" w:hAnsi="Cambria Math"/>
            </w:rPr>
            <m:t xml:space="preserve">D = 22.2 × </m:t>
          </m:r>
          <m:rad>
            <m:radPr>
              <m:ctrlPr>
                <w:rPr>
                  <w:rFonts w:ascii="Cambria Math" w:hAnsi="Cambria Math"/>
                  <w:i/>
                </w:rPr>
              </m:ctrlPr>
            </m:radPr>
            <m:deg>
              <m:r>
                <w:rPr>
                  <w:rFonts w:ascii="Cambria Math" w:hAnsi="Cambria Math"/>
                </w:rPr>
                <m:t>3</m:t>
              </m:r>
            </m:deg>
            <m:e>
              <m:r>
                <w:rPr>
                  <w:rFonts w:ascii="Cambria Math" w:hAnsi="Cambria Math"/>
                </w:rPr>
                <m:t>1000</m:t>
              </m:r>
            </m:e>
          </m:rad>
          <m:r>
            <w:rPr>
              <w:rFonts w:ascii="Cambria Math" w:hAnsi="Cambria Math"/>
            </w:rPr>
            <m:t xml:space="preserve"> </m:t>
          </m:r>
        </m:oMath>
      </m:oMathPara>
    </w:p>
    <w:p w14:paraId="6B9E6A39" w14:textId="5152D248" w:rsidR="001F7E6B" w:rsidRPr="00084A12" w:rsidRDefault="001F7E6B" w:rsidP="001F7E6B">
      <w:pPr>
        <w:rPr>
          <w:rFonts w:eastAsiaTheme="minorEastAsia"/>
        </w:rPr>
      </w:pPr>
      <m:oMathPara>
        <m:oMathParaPr>
          <m:jc m:val="left"/>
        </m:oMathParaPr>
        <m:oMath>
          <m:r>
            <w:rPr>
              <w:rFonts w:ascii="Cambria Math" w:hAnsi="Cambria Math"/>
            </w:rPr>
            <m:t xml:space="preserve">D = 222m </m:t>
          </m:r>
        </m:oMath>
      </m:oMathPara>
    </w:p>
    <w:p w14:paraId="375E06EA" w14:textId="77777777" w:rsidR="001F7E6B" w:rsidRDefault="001F7E6B" w:rsidP="001F7E6B">
      <w:pPr>
        <w:rPr>
          <w:rFonts w:eastAsiaTheme="minorEastAsia"/>
        </w:rPr>
      </w:pPr>
      <w:r>
        <w:rPr>
          <w:rFonts w:eastAsiaTheme="minorEastAsia"/>
        </w:rPr>
        <w:t xml:space="preserve">VBD – </w:t>
      </w:r>
    </w:p>
    <w:p w14:paraId="2D3C22BD" w14:textId="77777777" w:rsidR="001F7E6B" w:rsidRPr="0076594A" w:rsidRDefault="001F7E6B" w:rsidP="001F7E6B">
      <w:pPr>
        <w:rPr>
          <w:rFonts w:eastAsiaTheme="minorEastAsia"/>
        </w:rPr>
      </w:pPr>
      <m:oMathPara>
        <m:oMathParaPr>
          <m:jc m:val="left"/>
        </m:oMathParaPr>
        <m:oMath>
          <m:r>
            <w:rPr>
              <w:rFonts w:ascii="Cambria Math" w:hAnsi="Cambria Math"/>
            </w:rPr>
            <m:t xml:space="preserve">D = K × </m:t>
          </m:r>
          <m:rad>
            <m:radPr>
              <m:ctrlPr>
                <w:rPr>
                  <w:rFonts w:ascii="Cambria Math" w:hAnsi="Cambria Math"/>
                  <w:i/>
                </w:rPr>
              </m:ctrlPr>
            </m:radPr>
            <m:deg>
              <m:r>
                <w:rPr>
                  <w:rFonts w:ascii="Cambria Math" w:hAnsi="Cambria Math"/>
                </w:rPr>
                <m:t>3</m:t>
              </m:r>
            </m:deg>
            <m:e>
              <m:r>
                <w:rPr>
                  <w:rFonts w:ascii="Cambria Math" w:hAnsi="Cambria Math"/>
                </w:rPr>
                <m:t>NEQ</m:t>
              </m:r>
            </m:e>
          </m:rad>
        </m:oMath>
      </m:oMathPara>
    </w:p>
    <w:p w14:paraId="770D7D6E" w14:textId="430FF75C" w:rsidR="001F7E6B" w:rsidRPr="0076594A" w:rsidRDefault="001F7E6B" w:rsidP="001F7E6B">
      <w:pPr>
        <w:rPr>
          <w:rFonts w:eastAsiaTheme="minorEastAsia"/>
        </w:rPr>
      </w:pPr>
      <m:oMathPara>
        <m:oMathParaPr>
          <m:jc m:val="left"/>
        </m:oMathParaPr>
        <m:oMath>
          <m:r>
            <w:rPr>
              <w:rFonts w:ascii="Cambria Math" w:hAnsi="Cambria Math"/>
            </w:rPr>
            <m:t xml:space="preserve">D = 44.4 × </m:t>
          </m:r>
          <m:rad>
            <m:radPr>
              <m:ctrlPr>
                <w:rPr>
                  <w:rFonts w:ascii="Cambria Math" w:hAnsi="Cambria Math"/>
                  <w:i/>
                </w:rPr>
              </m:ctrlPr>
            </m:radPr>
            <m:deg>
              <m:r>
                <w:rPr>
                  <w:rFonts w:ascii="Cambria Math" w:hAnsi="Cambria Math"/>
                </w:rPr>
                <m:t>3</m:t>
              </m:r>
            </m:deg>
            <m:e>
              <m:r>
                <w:rPr>
                  <w:rFonts w:ascii="Cambria Math" w:hAnsi="Cambria Math"/>
                </w:rPr>
                <m:t>1000</m:t>
              </m:r>
            </m:e>
          </m:rad>
          <m:r>
            <w:rPr>
              <w:rFonts w:ascii="Cambria Math" w:hAnsi="Cambria Math"/>
            </w:rPr>
            <m:t xml:space="preserve"> </m:t>
          </m:r>
        </m:oMath>
      </m:oMathPara>
    </w:p>
    <w:p w14:paraId="5B91DDD2" w14:textId="5A1889D8" w:rsidR="001F7E6B" w:rsidRPr="00084A12" w:rsidRDefault="001F7E6B" w:rsidP="001F7E6B">
      <w:pPr>
        <w:rPr>
          <w:rFonts w:eastAsiaTheme="minorEastAsia"/>
        </w:rPr>
      </w:pPr>
      <m:oMathPara>
        <m:oMathParaPr>
          <m:jc m:val="left"/>
        </m:oMathParaPr>
        <m:oMath>
          <m:r>
            <w:rPr>
              <w:rFonts w:ascii="Cambria Math" w:hAnsi="Cambria Math"/>
            </w:rPr>
            <m:t xml:space="preserve">D = 444m </m:t>
          </m:r>
        </m:oMath>
      </m:oMathPara>
    </w:p>
    <w:p w14:paraId="2293570C" w14:textId="77777777" w:rsidR="00760764" w:rsidRDefault="00760764" w:rsidP="001F7E6B"/>
    <w:tbl>
      <w:tblPr>
        <w:tblStyle w:val="TableGrid"/>
        <w:tblW w:w="0" w:type="auto"/>
        <w:tblLook w:val="04A0" w:firstRow="1" w:lastRow="0" w:firstColumn="1" w:lastColumn="0" w:noHBand="0" w:noVBand="1"/>
      </w:tblPr>
      <w:tblGrid>
        <w:gridCol w:w="1803"/>
        <w:gridCol w:w="1803"/>
        <w:gridCol w:w="1803"/>
        <w:gridCol w:w="1803"/>
        <w:gridCol w:w="1804"/>
      </w:tblGrid>
      <w:tr w:rsidR="00526FF6" w14:paraId="582765F7" w14:textId="77777777" w:rsidTr="00760764">
        <w:tc>
          <w:tcPr>
            <w:tcW w:w="1803" w:type="dxa"/>
            <w:vAlign w:val="center"/>
          </w:tcPr>
          <w:p w14:paraId="4358426E" w14:textId="35169BC6" w:rsidR="00526FF6" w:rsidRPr="00526FF6" w:rsidRDefault="00526FF6" w:rsidP="00760764">
            <w:pPr>
              <w:jc w:val="center"/>
            </w:pPr>
            <w:r w:rsidRPr="00526FF6">
              <w:t>ESH</w:t>
            </w:r>
          </w:p>
        </w:tc>
        <w:tc>
          <w:tcPr>
            <w:tcW w:w="1803" w:type="dxa"/>
            <w:vAlign w:val="center"/>
          </w:tcPr>
          <w:p w14:paraId="2BF95100" w14:textId="47538C30" w:rsidR="00526FF6" w:rsidRPr="00526FF6" w:rsidRDefault="00760764" w:rsidP="00760764">
            <w:pPr>
              <w:jc w:val="center"/>
            </w:pPr>
            <w:r>
              <w:t>IMD</w:t>
            </w:r>
            <w:r w:rsidR="008E0C53">
              <w:t xml:space="preserve"> (m)</w:t>
            </w:r>
          </w:p>
        </w:tc>
        <w:tc>
          <w:tcPr>
            <w:tcW w:w="1803" w:type="dxa"/>
            <w:vAlign w:val="center"/>
          </w:tcPr>
          <w:p w14:paraId="16A53B14" w14:textId="36AEA3F8" w:rsidR="00526FF6" w:rsidRPr="00526FF6" w:rsidRDefault="00760764" w:rsidP="00760764">
            <w:pPr>
              <w:jc w:val="center"/>
            </w:pPr>
            <w:r>
              <w:t>PTRD</w:t>
            </w:r>
            <w:r w:rsidR="008E0C53">
              <w:t xml:space="preserve"> (m)</w:t>
            </w:r>
          </w:p>
        </w:tc>
        <w:tc>
          <w:tcPr>
            <w:tcW w:w="1803" w:type="dxa"/>
            <w:vAlign w:val="center"/>
          </w:tcPr>
          <w:p w14:paraId="5BD82C15" w14:textId="14E00C06" w:rsidR="00526FF6" w:rsidRPr="00526FF6" w:rsidRDefault="00760764" w:rsidP="00760764">
            <w:pPr>
              <w:jc w:val="center"/>
            </w:pPr>
            <w:r>
              <w:t>IBD</w:t>
            </w:r>
            <w:r w:rsidR="008E0C53">
              <w:t xml:space="preserve"> (m)</w:t>
            </w:r>
          </w:p>
        </w:tc>
        <w:tc>
          <w:tcPr>
            <w:tcW w:w="1804" w:type="dxa"/>
            <w:vAlign w:val="center"/>
          </w:tcPr>
          <w:p w14:paraId="0F1FF5DA" w14:textId="376D206F" w:rsidR="00526FF6" w:rsidRPr="00526FF6" w:rsidRDefault="00760764" w:rsidP="00760764">
            <w:pPr>
              <w:jc w:val="center"/>
            </w:pPr>
            <w:r>
              <w:t>VBD</w:t>
            </w:r>
            <w:r w:rsidR="008E0C53">
              <w:t xml:space="preserve"> (m)</w:t>
            </w:r>
          </w:p>
        </w:tc>
      </w:tr>
      <w:tr w:rsidR="00526FF6" w14:paraId="6FDE7D38" w14:textId="77777777" w:rsidTr="00760764">
        <w:tc>
          <w:tcPr>
            <w:tcW w:w="1803" w:type="dxa"/>
            <w:vAlign w:val="center"/>
          </w:tcPr>
          <w:p w14:paraId="7A7F904A" w14:textId="1D67F3D1" w:rsidR="00526FF6" w:rsidRPr="00526FF6" w:rsidRDefault="00760764" w:rsidP="00760764">
            <w:pPr>
              <w:jc w:val="center"/>
            </w:pPr>
            <w:r>
              <w:t>1</w:t>
            </w:r>
          </w:p>
        </w:tc>
        <w:tc>
          <w:tcPr>
            <w:tcW w:w="1803" w:type="dxa"/>
            <w:vAlign w:val="center"/>
          </w:tcPr>
          <w:p w14:paraId="0ACF65BD" w14:textId="74400B72" w:rsidR="00526FF6" w:rsidRPr="00526FF6" w:rsidRDefault="00430FE5" w:rsidP="00760764">
            <w:pPr>
              <w:jc w:val="center"/>
            </w:pPr>
            <w:r>
              <w:t>22.1</w:t>
            </w:r>
          </w:p>
        </w:tc>
        <w:tc>
          <w:tcPr>
            <w:tcW w:w="1803" w:type="dxa"/>
            <w:vAlign w:val="center"/>
          </w:tcPr>
          <w:p w14:paraId="517ECB11" w14:textId="1B0F337D" w:rsidR="00526FF6" w:rsidRPr="00526FF6" w:rsidRDefault="00430FE5" w:rsidP="00760764">
            <w:pPr>
              <w:jc w:val="center"/>
            </w:pPr>
            <w:r>
              <w:t>55.3</w:t>
            </w:r>
          </w:p>
        </w:tc>
        <w:tc>
          <w:tcPr>
            <w:tcW w:w="1803" w:type="dxa"/>
            <w:vAlign w:val="center"/>
          </w:tcPr>
          <w:p w14:paraId="084128FD" w14:textId="46703C97" w:rsidR="00526FF6" w:rsidRPr="00526FF6" w:rsidRDefault="00430FE5" w:rsidP="00760764">
            <w:pPr>
              <w:jc w:val="center"/>
            </w:pPr>
            <w:r>
              <w:t>81.8</w:t>
            </w:r>
          </w:p>
        </w:tc>
        <w:tc>
          <w:tcPr>
            <w:tcW w:w="1804" w:type="dxa"/>
            <w:vAlign w:val="center"/>
          </w:tcPr>
          <w:p w14:paraId="46CE3545" w14:textId="2D4DF208" w:rsidR="00526FF6" w:rsidRPr="00526FF6" w:rsidRDefault="00430FE5" w:rsidP="00760764">
            <w:pPr>
              <w:jc w:val="center"/>
            </w:pPr>
            <w:r>
              <w:t>163.6</w:t>
            </w:r>
          </w:p>
        </w:tc>
      </w:tr>
      <w:tr w:rsidR="00526FF6" w14:paraId="027EED9A" w14:textId="77777777" w:rsidTr="00760764">
        <w:tc>
          <w:tcPr>
            <w:tcW w:w="1803" w:type="dxa"/>
            <w:vAlign w:val="center"/>
          </w:tcPr>
          <w:p w14:paraId="4576AF6D" w14:textId="380156AB" w:rsidR="00526FF6" w:rsidRPr="00526FF6" w:rsidRDefault="00760764" w:rsidP="00760764">
            <w:pPr>
              <w:jc w:val="center"/>
            </w:pPr>
            <w:r>
              <w:t>2</w:t>
            </w:r>
          </w:p>
        </w:tc>
        <w:tc>
          <w:tcPr>
            <w:tcW w:w="1803" w:type="dxa"/>
            <w:vAlign w:val="center"/>
          </w:tcPr>
          <w:p w14:paraId="7534B998" w14:textId="6F5EBC17" w:rsidR="00526FF6" w:rsidRPr="00526FF6" w:rsidRDefault="00F85CDC" w:rsidP="00760764">
            <w:pPr>
              <w:jc w:val="center"/>
            </w:pPr>
            <w:r>
              <w:t>88.4</w:t>
            </w:r>
          </w:p>
        </w:tc>
        <w:tc>
          <w:tcPr>
            <w:tcW w:w="1803" w:type="dxa"/>
            <w:vAlign w:val="center"/>
          </w:tcPr>
          <w:p w14:paraId="02C0E3A0" w14:textId="72C6DC2E" w:rsidR="00526FF6" w:rsidRPr="00526FF6" w:rsidRDefault="00F85CDC" w:rsidP="00760764">
            <w:pPr>
              <w:jc w:val="center"/>
            </w:pPr>
            <w:r>
              <w:t>221</w:t>
            </w:r>
          </w:p>
        </w:tc>
        <w:tc>
          <w:tcPr>
            <w:tcW w:w="1803" w:type="dxa"/>
            <w:vAlign w:val="center"/>
          </w:tcPr>
          <w:p w14:paraId="3CE917B7" w14:textId="72AE1B1A" w:rsidR="00526FF6" w:rsidRPr="00526FF6" w:rsidRDefault="00F85CDC" w:rsidP="00760764">
            <w:pPr>
              <w:jc w:val="center"/>
            </w:pPr>
            <w:r>
              <w:t>327.1</w:t>
            </w:r>
          </w:p>
        </w:tc>
        <w:tc>
          <w:tcPr>
            <w:tcW w:w="1804" w:type="dxa"/>
            <w:vAlign w:val="center"/>
          </w:tcPr>
          <w:p w14:paraId="553F8FDD" w14:textId="5E60AB97" w:rsidR="00526FF6" w:rsidRPr="00526FF6" w:rsidRDefault="00F85CDC" w:rsidP="00760764">
            <w:pPr>
              <w:jc w:val="center"/>
            </w:pPr>
            <w:r>
              <w:t>654.3</w:t>
            </w:r>
          </w:p>
        </w:tc>
      </w:tr>
      <w:tr w:rsidR="00526FF6" w14:paraId="0312F1B9" w14:textId="77777777" w:rsidTr="00760764">
        <w:tc>
          <w:tcPr>
            <w:tcW w:w="1803" w:type="dxa"/>
            <w:vAlign w:val="center"/>
          </w:tcPr>
          <w:p w14:paraId="5A6DD807" w14:textId="2666AB60" w:rsidR="00526FF6" w:rsidRPr="00526FF6" w:rsidRDefault="00760764" w:rsidP="00760764">
            <w:pPr>
              <w:jc w:val="center"/>
            </w:pPr>
            <w:r>
              <w:t>3</w:t>
            </w:r>
          </w:p>
        </w:tc>
        <w:tc>
          <w:tcPr>
            <w:tcW w:w="1803" w:type="dxa"/>
            <w:vAlign w:val="center"/>
          </w:tcPr>
          <w:p w14:paraId="43056F65" w14:textId="31439F7C" w:rsidR="00526FF6" w:rsidRPr="00526FF6" w:rsidRDefault="00F85CDC" w:rsidP="00760764">
            <w:pPr>
              <w:jc w:val="center"/>
            </w:pPr>
            <w:r>
              <w:t>72.3</w:t>
            </w:r>
          </w:p>
        </w:tc>
        <w:tc>
          <w:tcPr>
            <w:tcW w:w="1803" w:type="dxa"/>
            <w:vAlign w:val="center"/>
          </w:tcPr>
          <w:p w14:paraId="428F40EB" w14:textId="142028EF" w:rsidR="00526FF6" w:rsidRPr="00526FF6" w:rsidRDefault="00F85CDC" w:rsidP="00760764">
            <w:pPr>
              <w:jc w:val="center"/>
            </w:pPr>
            <w:r>
              <w:t>180.8</w:t>
            </w:r>
          </w:p>
        </w:tc>
        <w:tc>
          <w:tcPr>
            <w:tcW w:w="1803" w:type="dxa"/>
            <w:vAlign w:val="center"/>
          </w:tcPr>
          <w:p w14:paraId="0CBA5F4D" w14:textId="10EDA87C" w:rsidR="00526FF6" w:rsidRPr="00526FF6" w:rsidRDefault="008E0C53" w:rsidP="00760764">
            <w:pPr>
              <w:jc w:val="center"/>
            </w:pPr>
            <w:r>
              <w:t>267.5</w:t>
            </w:r>
          </w:p>
        </w:tc>
        <w:tc>
          <w:tcPr>
            <w:tcW w:w="1804" w:type="dxa"/>
            <w:vAlign w:val="center"/>
          </w:tcPr>
          <w:p w14:paraId="64E6BDF9" w14:textId="5D8BB209" w:rsidR="00526FF6" w:rsidRPr="00526FF6" w:rsidRDefault="008E0C53" w:rsidP="00760764">
            <w:pPr>
              <w:jc w:val="center"/>
            </w:pPr>
            <w:r>
              <w:t>535.1</w:t>
            </w:r>
          </w:p>
        </w:tc>
      </w:tr>
      <w:tr w:rsidR="00526FF6" w14:paraId="637A4862" w14:textId="77777777" w:rsidTr="00760764">
        <w:tc>
          <w:tcPr>
            <w:tcW w:w="1803" w:type="dxa"/>
            <w:vAlign w:val="center"/>
          </w:tcPr>
          <w:p w14:paraId="32A935D6" w14:textId="4BC93FC4" w:rsidR="00526FF6" w:rsidRPr="00526FF6" w:rsidRDefault="00760764" w:rsidP="00760764">
            <w:pPr>
              <w:jc w:val="center"/>
            </w:pPr>
            <w:r>
              <w:t>4</w:t>
            </w:r>
          </w:p>
        </w:tc>
        <w:tc>
          <w:tcPr>
            <w:tcW w:w="1803" w:type="dxa"/>
            <w:vAlign w:val="center"/>
          </w:tcPr>
          <w:p w14:paraId="20830FF6" w14:textId="28A2DC23" w:rsidR="00526FF6" w:rsidRPr="00526FF6" w:rsidRDefault="008E0C53" w:rsidP="00760764">
            <w:pPr>
              <w:jc w:val="center"/>
            </w:pPr>
            <w:r>
              <w:t>23.8</w:t>
            </w:r>
          </w:p>
        </w:tc>
        <w:tc>
          <w:tcPr>
            <w:tcW w:w="1803" w:type="dxa"/>
            <w:vAlign w:val="center"/>
          </w:tcPr>
          <w:p w14:paraId="5F081334" w14:textId="1B9C9417" w:rsidR="00526FF6" w:rsidRPr="00526FF6" w:rsidRDefault="008E0C53" w:rsidP="00760764">
            <w:pPr>
              <w:jc w:val="center"/>
            </w:pPr>
            <w:r>
              <w:t>47.6</w:t>
            </w:r>
          </w:p>
        </w:tc>
        <w:tc>
          <w:tcPr>
            <w:tcW w:w="1803" w:type="dxa"/>
            <w:vAlign w:val="center"/>
          </w:tcPr>
          <w:p w14:paraId="53D58CA1" w14:textId="499345D0" w:rsidR="00526FF6" w:rsidRPr="00526FF6" w:rsidRDefault="008E0C53" w:rsidP="00760764">
            <w:pPr>
              <w:jc w:val="center"/>
            </w:pPr>
            <w:r>
              <w:t>79.4</w:t>
            </w:r>
          </w:p>
        </w:tc>
        <w:tc>
          <w:tcPr>
            <w:tcW w:w="1804" w:type="dxa"/>
            <w:vAlign w:val="center"/>
          </w:tcPr>
          <w:p w14:paraId="4280D50E" w14:textId="5E4993AA" w:rsidR="00526FF6" w:rsidRPr="00526FF6" w:rsidRDefault="008E0C53" w:rsidP="00760764">
            <w:pPr>
              <w:jc w:val="center"/>
            </w:pPr>
            <w:r>
              <w:t>158.7</w:t>
            </w:r>
          </w:p>
        </w:tc>
      </w:tr>
      <w:tr w:rsidR="00526FF6" w14:paraId="414907FC" w14:textId="77777777" w:rsidTr="00760764">
        <w:tc>
          <w:tcPr>
            <w:tcW w:w="1803" w:type="dxa"/>
            <w:vAlign w:val="center"/>
          </w:tcPr>
          <w:p w14:paraId="329B329B" w14:textId="02A01D65" w:rsidR="00526FF6" w:rsidRPr="00526FF6" w:rsidRDefault="00760764" w:rsidP="00760764">
            <w:pPr>
              <w:jc w:val="center"/>
            </w:pPr>
            <w:r>
              <w:t>5</w:t>
            </w:r>
          </w:p>
        </w:tc>
        <w:tc>
          <w:tcPr>
            <w:tcW w:w="1803" w:type="dxa"/>
            <w:vAlign w:val="center"/>
          </w:tcPr>
          <w:p w14:paraId="06F12CC5" w14:textId="5C281AD5" w:rsidR="00526FF6" w:rsidRPr="00526FF6" w:rsidRDefault="008E0C53" w:rsidP="00760764">
            <w:pPr>
              <w:jc w:val="center"/>
            </w:pPr>
            <w:r>
              <w:t>80</w:t>
            </w:r>
          </w:p>
        </w:tc>
        <w:tc>
          <w:tcPr>
            <w:tcW w:w="1803" w:type="dxa"/>
            <w:vAlign w:val="center"/>
          </w:tcPr>
          <w:p w14:paraId="6D4F277A" w14:textId="462B77A9" w:rsidR="00526FF6" w:rsidRPr="00526FF6" w:rsidRDefault="008E0C53" w:rsidP="00760764">
            <w:pPr>
              <w:jc w:val="center"/>
            </w:pPr>
            <w:r>
              <w:t>148</w:t>
            </w:r>
          </w:p>
        </w:tc>
        <w:tc>
          <w:tcPr>
            <w:tcW w:w="1803" w:type="dxa"/>
            <w:vAlign w:val="center"/>
          </w:tcPr>
          <w:p w14:paraId="10AA7014" w14:textId="0B234BE5" w:rsidR="00526FF6" w:rsidRPr="00526FF6" w:rsidRDefault="008E0C53" w:rsidP="00760764">
            <w:pPr>
              <w:jc w:val="center"/>
            </w:pPr>
            <w:r>
              <w:t>222</w:t>
            </w:r>
          </w:p>
        </w:tc>
        <w:tc>
          <w:tcPr>
            <w:tcW w:w="1804" w:type="dxa"/>
            <w:vAlign w:val="center"/>
          </w:tcPr>
          <w:p w14:paraId="759A735F" w14:textId="6F31DBA0" w:rsidR="00526FF6" w:rsidRPr="00526FF6" w:rsidRDefault="008E0C53" w:rsidP="00760764">
            <w:pPr>
              <w:jc w:val="center"/>
            </w:pPr>
            <w:r>
              <w:t>444</w:t>
            </w:r>
          </w:p>
        </w:tc>
      </w:tr>
    </w:tbl>
    <w:p w14:paraId="54D562F2" w14:textId="77777777" w:rsidR="000A2482" w:rsidRDefault="000A2482" w:rsidP="008E0C53"/>
    <w:p w14:paraId="2D592781" w14:textId="5407277E" w:rsidR="006327A4" w:rsidRDefault="006327A4" w:rsidP="006327A4">
      <w:pPr>
        <w:pStyle w:val="Caption"/>
        <w:jc w:val="center"/>
      </w:pPr>
      <w:bookmarkStart w:id="32" w:name="_Toc216428075"/>
      <w:r>
        <w:t xml:space="preserve">Table </w:t>
      </w:r>
      <w:r>
        <w:fldChar w:fldCharType="begin"/>
      </w:r>
      <w:r>
        <w:instrText xml:space="preserve"> SEQ Table \* ARABIC </w:instrText>
      </w:r>
      <w:r>
        <w:fldChar w:fldCharType="separate"/>
      </w:r>
      <w:r>
        <w:rPr>
          <w:noProof/>
        </w:rPr>
        <w:t>4</w:t>
      </w:r>
      <w:r>
        <w:fldChar w:fldCharType="end"/>
      </w:r>
      <w:r>
        <w:t xml:space="preserve"> - Exposed Sites Quantity Distances</w:t>
      </w:r>
      <w:bookmarkEnd w:id="32"/>
    </w:p>
    <w:p w14:paraId="1955846F" w14:textId="64206BA7" w:rsidR="000A2482" w:rsidRDefault="000A2482" w:rsidP="000A2482">
      <w:pPr>
        <w:pStyle w:val="Heading1"/>
      </w:pPr>
      <w:bookmarkStart w:id="33" w:name="_Toc216426800"/>
      <w:r>
        <w:t>Safety Questions for Risk Reduction</w:t>
      </w:r>
      <w:bookmarkEnd w:id="33"/>
    </w:p>
    <w:p w14:paraId="7B8F6DA0" w14:textId="57120824" w:rsidR="000A2482" w:rsidRDefault="0067158F" w:rsidP="000A2482">
      <w:r>
        <w:t xml:space="preserve">There are many </w:t>
      </w:r>
      <w:r w:rsidR="00E417EC">
        <w:t xml:space="preserve">questions that could be asked to Big Bang Solutions regarding their plans to build an explosive </w:t>
      </w:r>
      <w:r w:rsidR="00AD65B9">
        <w:t>storage facility in Swansea, specifically the waterfront area</w:t>
      </w:r>
      <w:r>
        <w:t xml:space="preserve"> as from first glance the plan seems very dangerous to the </w:t>
      </w:r>
      <w:r w:rsidR="00367A5A">
        <w:t xml:space="preserve">public, which was the first thought of the Swansea council. Some questions that </w:t>
      </w:r>
      <w:r w:rsidR="009A3600">
        <w:t>could be asked to Big Bang Storage Solutions are</w:t>
      </w:r>
      <w:r w:rsidR="00FA78A6">
        <w:t>:</w:t>
      </w:r>
    </w:p>
    <w:p w14:paraId="173FCD6F" w14:textId="7CA2B65B" w:rsidR="009A3600" w:rsidRDefault="00FA78A6" w:rsidP="00FA78A6">
      <w:pPr>
        <w:pStyle w:val="ListParagraph"/>
        <w:numPr>
          <w:ilvl w:val="0"/>
          <w:numId w:val="11"/>
        </w:numPr>
      </w:pPr>
      <w:r>
        <w:t xml:space="preserve">Regarding ESH 5, which stores 1000kg of HD 1.4S &amp; 100kg of HD 1.3C, are there any compatibility </w:t>
      </w:r>
      <w:r w:rsidR="004B3E23">
        <w:t>group conflicts preventing them from being stored together?</w:t>
      </w:r>
    </w:p>
    <w:p w14:paraId="2C714BF8" w14:textId="7553C480" w:rsidR="004B3E23" w:rsidRDefault="00C45994" w:rsidP="00FA78A6">
      <w:pPr>
        <w:pStyle w:val="ListParagraph"/>
        <w:numPr>
          <w:ilvl w:val="0"/>
          <w:numId w:val="11"/>
        </w:numPr>
      </w:pPr>
      <w:r>
        <w:t>Regarding ESH 3 &amp; 4, what type of ammunition is specifically being stored inside which falls under the Hazard Divisions and Compatibility Groups that have been pro</w:t>
      </w:r>
      <w:r w:rsidR="00D90816">
        <w:t>vided?</w:t>
      </w:r>
    </w:p>
    <w:p w14:paraId="6C81E374" w14:textId="6D280C62" w:rsidR="00D90816" w:rsidRDefault="00D90816" w:rsidP="00FA78A6">
      <w:pPr>
        <w:pStyle w:val="ListParagraph"/>
        <w:numPr>
          <w:ilvl w:val="0"/>
          <w:numId w:val="11"/>
        </w:numPr>
      </w:pPr>
      <w:r>
        <w:t>Why was this location selected?</w:t>
      </w:r>
    </w:p>
    <w:p w14:paraId="4811C023" w14:textId="48CFC053" w:rsidR="00D90816" w:rsidRDefault="00D90816" w:rsidP="00FA78A6">
      <w:pPr>
        <w:pStyle w:val="ListParagraph"/>
        <w:numPr>
          <w:ilvl w:val="0"/>
          <w:numId w:val="11"/>
        </w:numPr>
      </w:pPr>
      <w:r>
        <w:t>Can the total NEQ be reduced and spread across another storage facility?</w:t>
      </w:r>
    </w:p>
    <w:p w14:paraId="7D83E48F" w14:textId="6F119723" w:rsidR="00D90816" w:rsidRDefault="0038782C" w:rsidP="00FA78A6">
      <w:pPr>
        <w:pStyle w:val="ListParagraph"/>
        <w:numPr>
          <w:ilvl w:val="0"/>
          <w:numId w:val="11"/>
        </w:numPr>
      </w:pPr>
      <w:r>
        <w:t xml:space="preserve">If the ammunition is specifically needed in this area for a reason, is there another area close by that </w:t>
      </w:r>
      <w:r w:rsidR="005A04B9">
        <w:t>offers a bigger plot of land to build the explosive site on?</w:t>
      </w:r>
    </w:p>
    <w:p w14:paraId="2BF98F06" w14:textId="5F33FCAD" w:rsidR="000A2482" w:rsidRPr="000A2482" w:rsidRDefault="000A2482" w:rsidP="000A2482">
      <w:pPr>
        <w:pStyle w:val="Heading1"/>
      </w:pPr>
      <w:bookmarkStart w:id="34" w:name="_Toc216426801"/>
      <w:r>
        <w:t>Conclusion</w:t>
      </w:r>
      <w:bookmarkEnd w:id="34"/>
    </w:p>
    <w:p w14:paraId="27264F1D" w14:textId="0924D0E7" w:rsidR="00294C7E" w:rsidRDefault="004C71D7" w:rsidP="000A7834">
      <w:pPr>
        <w:tabs>
          <w:tab w:val="left" w:pos="950"/>
        </w:tabs>
        <w:rPr>
          <w:rFonts w:ascii="Arial" w:hAnsi="Arial" w:cs="Arial"/>
        </w:rPr>
      </w:pPr>
      <w:r>
        <w:rPr>
          <w:rFonts w:ascii="Arial" w:hAnsi="Arial" w:cs="Arial"/>
        </w:rPr>
        <w:t>After initially reviewing the requirements that Big Bang Storage Solutions had requested in their plans for an Explosive Storage Facility</w:t>
      </w:r>
      <w:r w:rsidR="006B5BB5">
        <w:rPr>
          <w:rFonts w:ascii="Arial" w:hAnsi="Arial" w:cs="Arial"/>
        </w:rPr>
        <w:t xml:space="preserve">, the whole plan looks like it would be a huge hazard and concern to the public and the local area. </w:t>
      </w:r>
    </w:p>
    <w:p w14:paraId="0A964AB7" w14:textId="531A692F" w:rsidR="006B5BB5" w:rsidRDefault="006B5BB5" w:rsidP="000A7834">
      <w:pPr>
        <w:tabs>
          <w:tab w:val="left" w:pos="950"/>
        </w:tabs>
        <w:rPr>
          <w:rFonts w:ascii="Arial" w:hAnsi="Arial" w:cs="Arial"/>
        </w:rPr>
      </w:pPr>
      <w:r>
        <w:rPr>
          <w:rFonts w:ascii="Arial" w:hAnsi="Arial" w:cs="Arial"/>
        </w:rPr>
        <w:t xml:space="preserve">From carrying out research in all related areas </w:t>
      </w:r>
      <w:r w:rsidR="009676D3">
        <w:rPr>
          <w:rFonts w:ascii="Arial" w:hAnsi="Arial" w:cs="Arial"/>
        </w:rPr>
        <w:t>and by undertaking Quantity Distance Calculations I is clear that the plan from Big Bang Storage Solutions for a</w:t>
      </w:r>
      <w:r w:rsidR="00D250C3">
        <w:rPr>
          <w:rFonts w:ascii="Arial" w:hAnsi="Arial" w:cs="Arial"/>
        </w:rPr>
        <w:t>n Explosive Storage Facility to be built in Swansea, in the specific area they put forward would be too dangerous and could never go ahead.</w:t>
      </w:r>
    </w:p>
    <w:p w14:paraId="714F3A00" w14:textId="47141D38" w:rsidR="00D250C3" w:rsidRDefault="00D250C3" w:rsidP="000A7834">
      <w:pPr>
        <w:tabs>
          <w:tab w:val="left" w:pos="950"/>
        </w:tabs>
        <w:rPr>
          <w:rFonts w:ascii="Arial" w:hAnsi="Arial" w:cs="Arial"/>
        </w:rPr>
      </w:pPr>
      <w:r>
        <w:rPr>
          <w:rFonts w:ascii="Arial" w:hAnsi="Arial" w:cs="Arial"/>
        </w:rPr>
        <w:t>First off, the plan breaches various</w:t>
      </w:r>
      <w:r w:rsidR="00415B07">
        <w:rPr>
          <w:rFonts w:ascii="Arial" w:hAnsi="Arial" w:cs="Arial"/>
        </w:rPr>
        <w:t xml:space="preserve"> rules and regulations under JSP 482, E</w:t>
      </w:r>
      <w:r w:rsidR="00F16BFB">
        <w:rPr>
          <w:rFonts w:ascii="Arial" w:hAnsi="Arial" w:cs="Arial"/>
        </w:rPr>
        <w:t>R2014 and HSE Guidance. Th</w:t>
      </w:r>
      <w:r w:rsidR="008218E7">
        <w:rPr>
          <w:rFonts w:ascii="Arial" w:hAnsi="Arial" w:cs="Arial"/>
        </w:rPr>
        <w:t>ere are unachievable QD’s and an excessive NEQ</w:t>
      </w:r>
      <w:r w:rsidR="00362C80">
        <w:rPr>
          <w:rFonts w:ascii="Arial" w:hAnsi="Arial" w:cs="Arial"/>
        </w:rPr>
        <w:t xml:space="preserve"> that mean the storage facility breaches these regulations.</w:t>
      </w:r>
    </w:p>
    <w:p w14:paraId="62C6182B" w14:textId="00E970C4" w:rsidR="00362C80" w:rsidRDefault="0024700B" w:rsidP="000A7834">
      <w:pPr>
        <w:tabs>
          <w:tab w:val="left" w:pos="950"/>
        </w:tabs>
        <w:rPr>
          <w:rFonts w:ascii="Arial" w:hAnsi="Arial" w:cs="Arial"/>
        </w:rPr>
      </w:pPr>
      <w:r>
        <w:rPr>
          <w:rFonts w:ascii="Arial" w:hAnsi="Arial" w:cs="Arial"/>
        </w:rPr>
        <w:t xml:space="preserve">The total NEQ of the storage facility is 8,000kg and is very HD 1.1 dominant which </w:t>
      </w:r>
      <w:r w:rsidR="001E35BD">
        <w:rPr>
          <w:rFonts w:ascii="Arial" w:hAnsi="Arial" w:cs="Arial"/>
        </w:rPr>
        <w:t>according to ER2014 local authority limits, this cannot be greater than 2,000kg without a HSE license</w:t>
      </w:r>
      <w:r w:rsidR="00D1033A">
        <w:rPr>
          <w:rFonts w:ascii="Arial" w:hAnsi="Arial" w:cs="Arial"/>
        </w:rPr>
        <w:t xml:space="preserve">. HD 1.1/1.2 explosives </w:t>
      </w:r>
      <w:r w:rsidR="005414DC">
        <w:rPr>
          <w:rFonts w:ascii="Arial" w:hAnsi="Arial" w:cs="Arial"/>
        </w:rPr>
        <w:t>are classified as relevant explosives which require a LP41 license</w:t>
      </w:r>
      <w:r w:rsidR="00224DEC">
        <w:rPr>
          <w:rFonts w:ascii="Arial" w:hAnsi="Arial" w:cs="Arial"/>
        </w:rPr>
        <w:t xml:space="preserve"> if greater than 2,000kg. </w:t>
      </w:r>
      <w:r w:rsidR="00D35A6F">
        <w:rPr>
          <w:rFonts w:ascii="Arial" w:hAnsi="Arial" w:cs="Arial"/>
        </w:rPr>
        <w:t>I</w:t>
      </w:r>
      <w:r w:rsidR="00224DEC">
        <w:rPr>
          <w:rFonts w:ascii="Arial" w:hAnsi="Arial" w:cs="Arial"/>
        </w:rPr>
        <w:t xml:space="preserve">t will </w:t>
      </w:r>
      <w:r w:rsidR="00D35A6F">
        <w:rPr>
          <w:rFonts w:ascii="Arial" w:hAnsi="Arial" w:cs="Arial"/>
        </w:rPr>
        <w:t xml:space="preserve">also </w:t>
      </w:r>
      <w:r w:rsidR="00224DEC">
        <w:rPr>
          <w:rFonts w:ascii="Arial" w:hAnsi="Arial" w:cs="Arial"/>
        </w:rPr>
        <w:t xml:space="preserve">require a DOSR site plan </w:t>
      </w:r>
      <w:r w:rsidR="00D35A6F">
        <w:rPr>
          <w:rFonts w:ascii="Arial" w:hAnsi="Arial" w:cs="Arial"/>
        </w:rPr>
        <w:t>and with it being situated in a residential area, this will be impossible.</w:t>
      </w:r>
    </w:p>
    <w:p w14:paraId="4CF5F6F2" w14:textId="13ECEFB8" w:rsidR="00E83342" w:rsidRDefault="00CA03FC" w:rsidP="000A7834">
      <w:pPr>
        <w:tabs>
          <w:tab w:val="left" w:pos="950"/>
        </w:tabs>
        <w:rPr>
          <w:rFonts w:ascii="Arial" w:hAnsi="Arial" w:cs="Arial"/>
        </w:rPr>
      </w:pPr>
      <w:r>
        <w:rPr>
          <w:rFonts w:ascii="Arial" w:hAnsi="Arial" w:cs="Arial"/>
        </w:rPr>
        <w:t xml:space="preserve">With all this taken into consideration, the plan for an Explosive Storage Facility, planned by Big Bang Storage Solutions </w:t>
      </w:r>
      <w:r w:rsidR="00AA75CD">
        <w:rPr>
          <w:rFonts w:ascii="Arial" w:hAnsi="Arial" w:cs="Arial"/>
        </w:rPr>
        <w:t>CANNOT go ahead.</w:t>
      </w:r>
    </w:p>
    <w:p w14:paraId="574FE84A" w14:textId="77777777" w:rsidR="00E83342" w:rsidRDefault="00E83342" w:rsidP="000A7834">
      <w:pPr>
        <w:tabs>
          <w:tab w:val="left" w:pos="950"/>
        </w:tabs>
        <w:rPr>
          <w:rFonts w:ascii="Arial" w:hAnsi="Arial" w:cs="Arial"/>
        </w:rPr>
      </w:pPr>
    </w:p>
    <w:p w14:paraId="1A0D5FA9" w14:textId="77777777" w:rsidR="00E83342" w:rsidRDefault="00E83342" w:rsidP="000A7834">
      <w:pPr>
        <w:tabs>
          <w:tab w:val="left" w:pos="950"/>
        </w:tabs>
        <w:rPr>
          <w:rFonts w:ascii="Arial" w:hAnsi="Arial" w:cs="Arial"/>
        </w:rPr>
      </w:pPr>
    </w:p>
    <w:p w14:paraId="54DA8889" w14:textId="77777777" w:rsidR="00E83342" w:rsidRDefault="00E83342" w:rsidP="000A7834">
      <w:pPr>
        <w:tabs>
          <w:tab w:val="left" w:pos="950"/>
        </w:tabs>
        <w:rPr>
          <w:rFonts w:ascii="Arial" w:hAnsi="Arial" w:cs="Arial"/>
        </w:rPr>
      </w:pPr>
    </w:p>
    <w:p w14:paraId="6F87381A" w14:textId="77777777" w:rsidR="00E83342" w:rsidRDefault="00E83342" w:rsidP="000A7834">
      <w:pPr>
        <w:tabs>
          <w:tab w:val="left" w:pos="950"/>
        </w:tabs>
        <w:rPr>
          <w:rFonts w:ascii="Arial" w:hAnsi="Arial" w:cs="Arial"/>
        </w:rPr>
      </w:pPr>
    </w:p>
    <w:p w14:paraId="6BD330E6" w14:textId="77777777" w:rsidR="00E83342" w:rsidRDefault="00E83342" w:rsidP="000A7834">
      <w:pPr>
        <w:tabs>
          <w:tab w:val="left" w:pos="950"/>
        </w:tabs>
        <w:rPr>
          <w:rFonts w:ascii="Arial" w:hAnsi="Arial" w:cs="Arial"/>
        </w:rPr>
      </w:pPr>
    </w:p>
    <w:p w14:paraId="5BF52271" w14:textId="77777777" w:rsidR="00E83342" w:rsidRDefault="00E83342" w:rsidP="000A7834">
      <w:pPr>
        <w:tabs>
          <w:tab w:val="left" w:pos="950"/>
        </w:tabs>
        <w:rPr>
          <w:rFonts w:ascii="Arial" w:hAnsi="Arial" w:cs="Arial"/>
        </w:rPr>
      </w:pPr>
    </w:p>
    <w:p w14:paraId="0919D050" w14:textId="77777777" w:rsidR="005B1D0F" w:rsidRDefault="005B1D0F" w:rsidP="000A7834">
      <w:pPr>
        <w:tabs>
          <w:tab w:val="left" w:pos="950"/>
        </w:tabs>
        <w:rPr>
          <w:rFonts w:ascii="Arial" w:hAnsi="Arial" w:cs="Arial"/>
        </w:rPr>
      </w:pPr>
    </w:p>
    <w:p w14:paraId="65089D93" w14:textId="77777777" w:rsidR="005B1D0F" w:rsidRDefault="005B1D0F" w:rsidP="000A7834">
      <w:pPr>
        <w:tabs>
          <w:tab w:val="left" w:pos="950"/>
        </w:tabs>
        <w:rPr>
          <w:rFonts w:ascii="Arial" w:hAnsi="Arial" w:cs="Arial"/>
        </w:rPr>
      </w:pPr>
    </w:p>
    <w:p w14:paraId="2B5D95EF" w14:textId="77777777" w:rsidR="005B1D0F" w:rsidRDefault="005B1D0F" w:rsidP="000A7834">
      <w:pPr>
        <w:tabs>
          <w:tab w:val="left" w:pos="950"/>
        </w:tabs>
        <w:rPr>
          <w:rFonts w:ascii="Arial" w:hAnsi="Arial" w:cs="Arial"/>
        </w:rPr>
      </w:pPr>
    </w:p>
    <w:bookmarkStart w:id="35" w:name="_Toc216426802" w:displacedByCustomXml="next"/>
    <w:sdt>
      <w:sdtPr>
        <w:rPr>
          <w:rFonts w:asciiTheme="minorHAnsi" w:eastAsiaTheme="minorHAnsi" w:hAnsiTheme="minorHAnsi" w:cstheme="minorBidi"/>
          <w:color w:val="auto"/>
          <w:sz w:val="24"/>
          <w:szCs w:val="24"/>
        </w:rPr>
        <w:id w:val="1870343374"/>
        <w:docPartObj>
          <w:docPartGallery w:val="Bibliographies"/>
          <w:docPartUnique/>
        </w:docPartObj>
      </w:sdtPr>
      <w:sdtEndPr/>
      <w:sdtContent>
        <w:p w14:paraId="6E07E1B6" w14:textId="6E5115CC" w:rsidR="00294C7E" w:rsidRDefault="00294C7E">
          <w:pPr>
            <w:pStyle w:val="Heading1"/>
          </w:pPr>
          <w:r>
            <w:t>References</w:t>
          </w:r>
          <w:bookmarkEnd w:id="35"/>
        </w:p>
        <w:sdt>
          <w:sdtPr>
            <w:id w:val="-573587230"/>
            <w:bibliography/>
          </w:sdtPr>
          <w:sdtEndPr/>
          <w:sdtContent>
            <w:p w14:paraId="4468357B" w14:textId="77777777" w:rsidR="002866E4" w:rsidRDefault="00294C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6"/>
                <w:gridCol w:w="8700"/>
              </w:tblGrid>
              <w:tr w:rsidR="002866E4" w14:paraId="43BD2914" w14:textId="77777777">
                <w:trPr>
                  <w:divId w:val="601381948"/>
                  <w:tblCellSpacing w:w="15" w:type="dxa"/>
                </w:trPr>
                <w:tc>
                  <w:tcPr>
                    <w:tcW w:w="50" w:type="pct"/>
                    <w:hideMark/>
                  </w:tcPr>
                  <w:p w14:paraId="0180E659" w14:textId="096A0C58" w:rsidR="002866E4" w:rsidRDefault="002866E4">
                    <w:pPr>
                      <w:pStyle w:val="Bibliography"/>
                      <w:rPr>
                        <w:noProof/>
                        <w:kern w:val="0"/>
                        <w14:ligatures w14:val="none"/>
                      </w:rPr>
                    </w:pPr>
                    <w:r>
                      <w:rPr>
                        <w:noProof/>
                      </w:rPr>
                      <w:t xml:space="preserve">[1] </w:t>
                    </w:r>
                  </w:p>
                </w:tc>
                <w:tc>
                  <w:tcPr>
                    <w:tcW w:w="0" w:type="auto"/>
                    <w:hideMark/>
                  </w:tcPr>
                  <w:p w14:paraId="49119CE7" w14:textId="77777777" w:rsidR="002866E4" w:rsidRDefault="002866E4">
                    <w:pPr>
                      <w:pStyle w:val="Bibliography"/>
                      <w:rPr>
                        <w:noProof/>
                      </w:rPr>
                    </w:pPr>
                    <w:r>
                      <w:rPr>
                        <w:noProof/>
                      </w:rPr>
                      <w:t>D. S. Authority, “DSA 03.OME Part 2 (JSP 482) - Defence Code of Practice (DCOP) and Guidance Notes for In-Service and Operational Safety Management of OME,” 2019.</w:t>
                    </w:r>
                  </w:p>
                </w:tc>
              </w:tr>
              <w:tr w:rsidR="002866E4" w14:paraId="4FF4060E" w14:textId="77777777">
                <w:trPr>
                  <w:divId w:val="601381948"/>
                  <w:tblCellSpacing w:w="15" w:type="dxa"/>
                </w:trPr>
                <w:tc>
                  <w:tcPr>
                    <w:tcW w:w="50" w:type="pct"/>
                    <w:hideMark/>
                  </w:tcPr>
                  <w:p w14:paraId="4ADDBD6E" w14:textId="77777777" w:rsidR="002866E4" w:rsidRDefault="002866E4">
                    <w:pPr>
                      <w:pStyle w:val="Bibliography"/>
                      <w:rPr>
                        <w:noProof/>
                      </w:rPr>
                    </w:pPr>
                    <w:r>
                      <w:rPr>
                        <w:noProof/>
                      </w:rPr>
                      <w:t xml:space="preserve">[2] </w:t>
                    </w:r>
                  </w:p>
                </w:tc>
                <w:tc>
                  <w:tcPr>
                    <w:tcW w:w="0" w:type="auto"/>
                    <w:hideMark/>
                  </w:tcPr>
                  <w:p w14:paraId="37B904A5" w14:textId="77777777" w:rsidR="002866E4" w:rsidRDefault="002866E4">
                    <w:pPr>
                      <w:pStyle w:val="Bibliography"/>
                      <w:rPr>
                        <w:noProof/>
                      </w:rPr>
                    </w:pPr>
                    <w:r>
                      <w:rPr>
                        <w:noProof/>
                      </w:rPr>
                      <w:t>N. I. S. –. D. I. DIVISION, “MANUAL OF NATO SAFETY PRINCIPLES FOR THE STORAGE OF MILITARY AMMUNITION AND EXPLOSIVES,” 2010.</w:t>
                    </w:r>
                  </w:p>
                </w:tc>
              </w:tr>
              <w:tr w:rsidR="002866E4" w14:paraId="0A026DD9" w14:textId="77777777">
                <w:trPr>
                  <w:divId w:val="601381948"/>
                  <w:tblCellSpacing w:w="15" w:type="dxa"/>
                </w:trPr>
                <w:tc>
                  <w:tcPr>
                    <w:tcW w:w="50" w:type="pct"/>
                    <w:hideMark/>
                  </w:tcPr>
                  <w:p w14:paraId="5F99384D" w14:textId="77777777" w:rsidR="002866E4" w:rsidRDefault="002866E4">
                    <w:pPr>
                      <w:pStyle w:val="Bibliography"/>
                      <w:rPr>
                        <w:noProof/>
                      </w:rPr>
                    </w:pPr>
                    <w:r>
                      <w:rPr>
                        <w:noProof/>
                      </w:rPr>
                      <w:t xml:space="preserve">[3] </w:t>
                    </w:r>
                  </w:p>
                </w:tc>
                <w:tc>
                  <w:tcPr>
                    <w:tcW w:w="0" w:type="auto"/>
                    <w:hideMark/>
                  </w:tcPr>
                  <w:p w14:paraId="1411CD6C" w14:textId="77777777" w:rsidR="002866E4" w:rsidRDefault="002866E4">
                    <w:pPr>
                      <w:pStyle w:val="Bibliography"/>
                      <w:rPr>
                        <w:noProof/>
                      </w:rPr>
                    </w:pPr>
                    <w:r>
                      <w:rPr>
                        <w:noProof/>
                      </w:rPr>
                      <w:t>Q. D. a. L. Criteria, “JSP 482 Edition 4, Chapter 10, Section 5, CRITERIA FOR STORAGE AND LOADING/UNLOADING OF EXPLOSIVES,” 2013.</w:t>
                    </w:r>
                  </w:p>
                </w:tc>
              </w:tr>
              <w:tr w:rsidR="002866E4" w14:paraId="1D05073A" w14:textId="77777777">
                <w:trPr>
                  <w:divId w:val="601381948"/>
                  <w:tblCellSpacing w:w="15" w:type="dxa"/>
                </w:trPr>
                <w:tc>
                  <w:tcPr>
                    <w:tcW w:w="50" w:type="pct"/>
                    <w:hideMark/>
                  </w:tcPr>
                  <w:p w14:paraId="1A3CC77F" w14:textId="77777777" w:rsidR="002866E4" w:rsidRDefault="002866E4">
                    <w:pPr>
                      <w:pStyle w:val="Bibliography"/>
                      <w:rPr>
                        <w:noProof/>
                      </w:rPr>
                    </w:pPr>
                    <w:r>
                      <w:rPr>
                        <w:noProof/>
                      </w:rPr>
                      <w:t xml:space="preserve">[4] </w:t>
                    </w:r>
                  </w:p>
                </w:tc>
                <w:tc>
                  <w:tcPr>
                    <w:tcW w:w="0" w:type="auto"/>
                    <w:hideMark/>
                  </w:tcPr>
                  <w:p w14:paraId="28BE0651" w14:textId="77777777" w:rsidR="002866E4" w:rsidRDefault="002866E4">
                    <w:pPr>
                      <w:pStyle w:val="Bibliography"/>
                      <w:rPr>
                        <w:noProof/>
                      </w:rPr>
                    </w:pPr>
                    <w:r>
                      <w:rPr>
                        <w:noProof/>
                      </w:rPr>
                      <w:t>GOV.UK, “GOV.UK,” 23 August 2013. [Online]. Available: https://www.gov.uk/government/collections/jsp-482-mod-explosives-regulations.</w:t>
                    </w:r>
                  </w:p>
                </w:tc>
              </w:tr>
              <w:tr w:rsidR="002866E4" w14:paraId="17BD8267" w14:textId="77777777">
                <w:trPr>
                  <w:divId w:val="601381948"/>
                  <w:tblCellSpacing w:w="15" w:type="dxa"/>
                </w:trPr>
                <w:tc>
                  <w:tcPr>
                    <w:tcW w:w="50" w:type="pct"/>
                    <w:hideMark/>
                  </w:tcPr>
                  <w:p w14:paraId="64F2FF94" w14:textId="77777777" w:rsidR="002866E4" w:rsidRDefault="002866E4">
                    <w:pPr>
                      <w:pStyle w:val="Bibliography"/>
                      <w:rPr>
                        <w:noProof/>
                      </w:rPr>
                    </w:pPr>
                    <w:r>
                      <w:rPr>
                        <w:noProof/>
                      </w:rPr>
                      <w:t xml:space="preserve">[5] </w:t>
                    </w:r>
                  </w:p>
                </w:tc>
                <w:tc>
                  <w:tcPr>
                    <w:tcW w:w="0" w:type="auto"/>
                    <w:hideMark/>
                  </w:tcPr>
                  <w:p w14:paraId="5943C3DB" w14:textId="77777777" w:rsidR="002866E4" w:rsidRDefault="002866E4">
                    <w:pPr>
                      <w:pStyle w:val="Bibliography"/>
                      <w:rPr>
                        <w:noProof/>
                      </w:rPr>
                    </w:pPr>
                    <w:r>
                      <w:rPr>
                        <w:noProof/>
                      </w:rPr>
                      <w:t>HSE, “Health and Safety Executive,” 2014. [Online]. Available: https://www.hse.gov.uk/explosives/licensing/storage/index.htm.</w:t>
                    </w:r>
                  </w:p>
                </w:tc>
              </w:tr>
              <w:tr w:rsidR="002866E4" w14:paraId="1CD27798" w14:textId="77777777">
                <w:trPr>
                  <w:divId w:val="601381948"/>
                  <w:tblCellSpacing w:w="15" w:type="dxa"/>
                </w:trPr>
                <w:tc>
                  <w:tcPr>
                    <w:tcW w:w="50" w:type="pct"/>
                    <w:hideMark/>
                  </w:tcPr>
                  <w:p w14:paraId="5C4054BA" w14:textId="77777777" w:rsidR="002866E4" w:rsidRDefault="002866E4">
                    <w:pPr>
                      <w:pStyle w:val="Bibliography"/>
                      <w:rPr>
                        <w:noProof/>
                      </w:rPr>
                    </w:pPr>
                    <w:r>
                      <w:rPr>
                        <w:noProof/>
                      </w:rPr>
                      <w:t xml:space="preserve">[6] </w:t>
                    </w:r>
                  </w:p>
                </w:tc>
                <w:tc>
                  <w:tcPr>
                    <w:tcW w:w="0" w:type="auto"/>
                    <w:hideMark/>
                  </w:tcPr>
                  <w:p w14:paraId="2AFF3CF6" w14:textId="77777777" w:rsidR="002866E4" w:rsidRDefault="002866E4">
                    <w:pPr>
                      <w:pStyle w:val="Bibliography"/>
                      <w:rPr>
                        <w:noProof/>
                      </w:rPr>
                    </w:pPr>
                    <w:r>
                      <w:rPr>
                        <w:noProof/>
                      </w:rPr>
                      <w:t>J. 4. C. 13, “Storage and handling rules”.</w:t>
                    </w:r>
                  </w:p>
                </w:tc>
              </w:tr>
              <w:tr w:rsidR="002866E4" w14:paraId="7E45A434" w14:textId="77777777">
                <w:trPr>
                  <w:divId w:val="601381948"/>
                  <w:tblCellSpacing w:w="15" w:type="dxa"/>
                </w:trPr>
                <w:tc>
                  <w:tcPr>
                    <w:tcW w:w="50" w:type="pct"/>
                    <w:hideMark/>
                  </w:tcPr>
                  <w:p w14:paraId="5142CDF8" w14:textId="77777777" w:rsidR="002866E4" w:rsidRDefault="002866E4">
                    <w:pPr>
                      <w:pStyle w:val="Bibliography"/>
                      <w:rPr>
                        <w:noProof/>
                      </w:rPr>
                    </w:pPr>
                    <w:r>
                      <w:rPr>
                        <w:noProof/>
                      </w:rPr>
                      <w:t xml:space="preserve">[7] </w:t>
                    </w:r>
                  </w:p>
                </w:tc>
                <w:tc>
                  <w:tcPr>
                    <w:tcW w:w="0" w:type="auto"/>
                    <w:hideMark/>
                  </w:tcPr>
                  <w:p w14:paraId="0AE49570" w14:textId="77777777" w:rsidR="002866E4" w:rsidRDefault="002866E4">
                    <w:pPr>
                      <w:pStyle w:val="Bibliography"/>
                      <w:rPr>
                        <w:noProof/>
                      </w:rPr>
                    </w:pPr>
                    <w:r>
                      <w:rPr>
                        <w:noProof/>
                      </w:rPr>
                      <w:t>GOV.UK, “ESTC No. 6,” [Online]. Available: https://www.gov.uk/government/publications/explosives-storage-and-transport-committee-estc-standard-no-6.</w:t>
                    </w:r>
                  </w:p>
                </w:tc>
              </w:tr>
              <w:tr w:rsidR="002866E4" w14:paraId="67F5907A" w14:textId="77777777">
                <w:trPr>
                  <w:divId w:val="601381948"/>
                  <w:tblCellSpacing w:w="15" w:type="dxa"/>
                </w:trPr>
                <w:tc>
                  <w:tcPr>
                    <w:tcW w:w="50" w:type="pct"/>
                    <w:hideMark/>
                  </w:tcPr>
                  <w:p w14:paraId="50B959C6" w14:textId="77777777" w:rsidR="002866E4" w:rsidRDefault="002866E4">
                    <w:pPr>
                      <w:pStyle w:val="Bibliography"/>
                      <w:rPr>
                        <w:noProof/>
                      </w:rPr>
                    </w:pPr>
                    <w:r>
                      <w:rPr>
                        <w:noProof/>
                      </w:rPr>
                      <w:t xml:space="preserve">[8] </w:t>
                    </w:r>
                  </w:p>
                </w:tc>
                <w:tc>
                  <w:tcPr>
                    <w:tcW w:w="0" w:type="auto"/>
                    <w:hideMark/>
                  </w:tcPr>
                  <w:p w14:paraId="71B5D692" w14:textId="77777777" w:rsidR="002866E4" w:rsidRDefault="002866E4">
                    <w:pPr>
                      <w:pStyle w:val="Bibliography"/>
                      <w:rPr>
                        <w:noProof/>
                      </w:rPr>
                    </w:pPr>
                    <w:r>
                      <w:rPr>
                        <w:noProof/>
                      </w:rPr>
                      <w:t>Legislation.gov.uk, “Explosives Act 1975,” [Online]. Available: https://www.legislation.gov.uk/ukpga/Vict/38-39/17.</w:t>
                    </w:r>
                  </w:p>
                </w:tc>
              </w:tr>
              <w:tr w:rsidR="002866E4" w14:paraId="3D4EE3A6" w14:textId="77777777">
                <w:trPr>
                  <w:divId w:val="601381948"/>
                  <w:tblCellSpacing w:w="15" w:type="dxa"/>
                </w:trPr>
                <w:tc>
                  <w:tcPr>
                    <w:tcW w:w="50" w:type="pct"/>
                    <w:hideMark/>
                  </w:tcPr>
                  <w:p w14:paraId="52B498D2" w14:textId="77777777" w:rsidR="002866E4" w:rsidRDefault="002866E4">
                    <w:pPr>
                      <w:pStyle w:val="Bibliography"/>
                      <w:rPr>
                        <w:noProof/>
                      </w:rPr>
                    </w:pPr>
                    <w:r>
                      <w:rPr>
                        <w:noProof/>
                      </w:rPr>
                      <w:t xml:space="preserve">[9] </w:t>
                    </w:r>
                  </w:p>
                </w:tc>
                <w:tc>
                  <w:tcPr>
                    <w:tcW w:w="0" w:type="auto"/>
                    <w:hideMark/>
                  </w:tcPr>
                  <w:p w14:paraId="75579DD5" w14:textId="77777777" w:rsidR="002866E4" w:rsidRDefault="002866E4">
                    <w:pPr>
                      <w:pStyle w:val="Bibliography"/>
                      <w:rPr>
                        <w:noProof/>
                      </w:rPr>
                    </w:pPr>
                    <w:r>
                      <w:rPr>
                        <w:noProof/>
                      </w:rPr>
                      <w:t>“HSE,” [Online]. Available: https://www.hse.gov.uk/legislation/hswa.htm.</w:t>
                    </w:r>
                  </w:p>
                </w:tc>
              </w:tr>
              <w:tr w:rsidR="002866E4" w14:paraId="4F830693" w14:textId="77777777">
                <w:trPr>
                  <w:divId w:val="601381948"/>
                  <w:tblCellSpacing w:w="15" w:type="dxa"/>
                </w:trPr>
                <w:tc>
                  <w:tcPr>
                    <w:tcW w:w="50" w:type="pct"/>
                    <w:hideMark/>
                  </w:tcPr>
                  <w:p w14:paraId="1680271B" w14:textId="77777777" w:rsidR="002866E4" w:rsidRDefault="002866E4">
                    <w:pPr>
                      <w:pStyle w:val="Bibliography"/>
                      <w:rPr>
                        <w:noProof/>
                      </w:rPr>
                    </w:pPr>
                    <w:r>
                      <w:rPr>
                        <w:noProof/>
                      </w:rPr>
                      <w:t xml:space="preserve">[10] </w:t>
                    </w:r>
                  </w:p>
                </w:tc>
                <w:tc>
                  <w:tcPr>
                    <w:tcW w:w="0" w:type="auto"/>
                    <w:hideMark/>
                  </w:tcPr>
                  <w:p w14:paraId="4D68FB71" w14:textId="77777777" w:rsidR="002866E4" w:rsidRDefault="002866E4">
                    <w:pPr>
                      <w:pStyle w:val="Bibliography"/>
                      <w:rPr>
                        <w:noProof/>
                      </w:rPr>
                    </w:pPr>
                    <w:r>
                      <w:rPr>
                        <w:noProof/>
                      </w:rPr>
                      <w:t>legislation.gov.uk, “The Planning (Hazardous Substances) Regulations 2015,” [Online]. Available: https://www.legislation.gov.uk/uksi/2015/627/contents.</w:t>
                    </w:r>
                  </w:p>
                </w:tc>
              </w:tr>
              <w:tr w:rsidR="002866E4" w14:paraId="3CBF9ADF" w14:textId="77777777">
                <w:trPr>
                  <w:divId w:val="601381948"/>
                  <w:tblCellSpacing w:w="15" w:type="dxa"/>
                </w:trPr>
                <w:tc>
                  <w:tcPr>
                    <w:tcW w:w="50" w:type="pct"/>
                    <w:hideMark/>
                  </w:tcPr>
                  <w:p w14:paraId="70A01E26" w14:textId="77777777" w:rsidR="002866E4" w:rsidRDefault="002866E4">
                    <w:pPr>
                      <w:pStyle w:val="Bibliography"/>
                      <w:rPr>
                        <w:noProof/>
                      </w:rPr>
                    </w:pPr>
                    <w:r>
                      <w:rPr>
                        <w:noProof/>
                      </w:rPr>
                      <w:t xml:space="preserve">[11] </w:t>
                    </w:r>
                  </w:p>
                </w:tc>
                <w:tc>
                  <w:tcPr>
                    <w:tcW w:w="0" w:type="auto"/>
                    <w:hideMark/>
                  </w:tcPr>
                  <w:p w14:paraId="49B19576" w14:textId="77777777" w:rsidR="002866E4" w:rsidRDefault="002866E4">
                    <w:pPr>
                      <w:pStyle w:val="Bibliography"/>
                      <w:rPr>
                        <w:noProof/>
                      </w:rPr>
                    </w:pPr>
                    <w:r>
                      <w:rPr>
                        <w:noProof/>
                      </w:rPr>
                      <w:t>D. S. Authority, “DSA 03.OME Part 2 (JSP 482) - Chapter 11,” [Online]. Available: https://assets.publishing.service.gov.uk/media/5ee8cbade90e0704245b644d/DSA_03_OME_PART_2__JSP_482__CH_11__Nov_19__-_mod_gov_uk.pdf.</w:t>
                    </w:r>
                  </w:p>
                </w:tc>
              </w:tr>
              <w:tr w:rsidR="002866E4" w14:paraId="11A9EBFE" w14:textId="77777777">
                <w:trPr>
                  <w:divId w:val="601381948"/>
                  <w:tblCellSpacing w:w="15" w:type="dxa"/>
                </w:trPr>
                <w:tc>
                  <w:tcPr>
                    <w:tcW w:w="50" w:type="pct"/>
                    <w:hideMark/>
                  </w:tcPr>
                  <w:p w14:paraId="1DA53009" w14:textId="77777777" w:rsidR="002866E4" w:rsidRDefault="002866E4">
                    <w:pPr>
                      <w:pStyle w:val="Bibliography"/>
                      <w:rPr>
                        <w:noProof/>
                      </w:rPr>
                    </w:pPr>
                    <w:r>
                      <w:rPr>
                        <w:noProof/>
                      </w:rPr>
                      <w:t xml:space="preserve">[12] </w:t>
                    </w:r>
                  </w:p>
                </w:tc>
                <w:tc>
                  <w:tcPr>
                    <w:tcW w:w="0" w:type="auto"/>
                    <w:hideMark/>
                  </w:tcPr>
                  <w:p w14:paraId="653086A2" w14:textId="77777777" w:rsidR="002866E4" w:rsidRDefault="002866E4">
                    <w:pPr>
                      <w:pStyle w:val="Bibliography"/>
                      <w:rPr>
                        <w:noProof/>
                      </w:rPr>
                    </w:pPr>
                    <w:r>
                      <w:rPr>
                        <w:noProof/>
                      </w:rPr>
                      <w:t>D. S. Authority, “DSA 03.OME Part 2 (JSP 482) - Chapter 13,” [Online]. Available: https://assets.publishing.service.gov.uk/media/5ee8cbade90e0704245b644d/DSA_03_OME_PART_2__JSP_482__CH_11__Nov_19__-_mod_gov_uk.pdf.</w:t>
                    </w:r>
                  </w:p>
                </w:tc>
              </w:tr>
            </w:tbl>
            <w:p w14:paraId="3ECF1B68" w14:textId="77777777" w:rsidR="002866E4" w:rsidRDefault="002866E4">
              <w:pPr>
                <w:divId w:val="601381948"/>
                <w:rPr>
                  <w:rFonts w:eastAsia="Times New Roman"/>
                  <w:noProof/>
                </w:rPr>
              </w:pPr>
            </w:p>
            <w:p w14:paraId="7E5A599D" w14:textId="1C107232" w:rsidR="00785E81" w:rsidRPr="00F97B3D" w:rsidRDefault="00294C7E" w:rsidP="00785E81">
              <w:r>
                <w:rPr>
                  <w:b/>
                  <w:bCs/>
                  <w:noProof/>
                </w:rPr>
                <w:fldChar w:fldCharType="end"/>
              </w:r>
            </w:p>
          </w:sdtContent>
        </w:sdt>
      </w:sdtContent>
    </w:sdt>
    <w:p w14:paraId="30DF1AF1" w14:textId="77777777" w:rsidR="00785E81" w:rsidRPr="00785E81" w:rsidRDefault="00785E81" w:rsidP="00785E81">
      <w:pPr>
        <w:rPr>
          <w:rFonts w:ascii="Arial" w:hAnsi="Arial" w:cs="Arial"/>
        </w:rPr>
      </w:pPr>
    </w:p>
    <w:p w14:paraId="3C6B6D4F" w14:textId="77777777" w:rsidR="00785E81" w:rsidRDefault="00785E81" w:rsidP="00785E81">
      <w:pPr>
        <w:rPr>
          <w:rFonts w:ascii="Arial" w:hAnsi="Arial" w:cs="Arial"/>
        </w:rPr>
      </w:pPr>
    </w:p>
    <w:p w14:paraId="3191F338" w14:textId="320B1D14" w:rsidR="00785E81" w:rsidRDefault="00BB645F" w:rsidP="00785E81">
      <w:pPr>
        <w:rPr>
          <w:rFonts w:ascii="Arial" w:hAnsi="Arial" w:cs="Arial"/>
          <w:color w:val="FFFFFF" w:themeColor="background1"/>
        </w:rPr>
      </w:pPr>
      <w:sdt>
        <w:sdtPr>
          <w:rPr>
            <w:rFonts w:ascii="Arial" w:hAnsi="Arial" w:cs="Arial"/>
            <w:color w:val="FFFFFF" w:themeColor="background1"/>
          </w:rPr>
          <w:id w:val="-876925006"/>
          <w:citation/>
        </w:sdtPr>
        <w:sdtEndPr/>
        <w:sdtContent>
          <w:r w:rsidR="00785E81" w:rsidRPr="002866E4">
            <w:rPr>
              <w:rFonts w:ascii="Arial" w:hAnsi="Arial" w:cs="Arial"/>
              <w:color w:val="FFFFFF" w:themeColor="background1"/>
            </w:rPr>
            <w:fldChar w:fldCharType="begin"/>
          </w:r>
          <w:r w:rsidR="00785E81" w:rsidRPr="002866E4">
            <w:rPr>
              <w:rFonts w:ascii="Arial" w:hAnsi="Arial" w:cs="Arial"/>
              <w:color w:val="FFFFFF" w:themeColor="background1"/>
            </w:rPr>
            <w:instrText xml:space="preserve"> CITATION JSP \l 2057 </w:instrText>
          </w:r>
          <w:r w:rsidR="00785E81"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[6]</w:t>
          </w:r>
          <w:r w:rsidR="00785E81" w:rsidRPr="002866E4">
            <w:rPr>
              <w:rFonts w:ascii="Arial" w:hAnsi="Arial" w:cs="Arial"/>
              <w:color w:val="FFFFFF" w:themeColor="background1"/>
            </w:rPr>
            <w:fldChar w:fldCharType="end"/>
          </w:r>
        </w:sdtContent>
      </w:sdt>
      <w:r w:rsidR="00785E81" w:rsidRPr="002866E4">
        <w:rPr>
          <w:rFonts w:ascii="Arial" w:hAnsi="Arial" w:cs="Arial"/>
          <w:color w:val="FFFFFF" w:themeColor="background1"/>
        </w:rPr>
        <w:t xml:space="preserve"> </w:t>
      </w:r>
      <w:sdt>
        <w:sdtPr>
          <w:rPr>
            <w:rFonts w:ascii="Arial" w:hAnsi="Arial" w:cs="Arial"/>
            <w:color w:val="FFFFFF" w:themeColor="background1"/>
          </w:rPr>
          <w:id w:val="75332007"/>
          <w:citation/>
        </w:sdtPr>
        <w:sdtEndPr/>
        <w:sdtContent>
          <w:r w:rsidR="000E02B1" w:rsidRPr="002866E4">
            <w:rPr>
              <w:rFonts w:ascii="Arial" w:hAnsi="Arial" w:cs="Arial"/>
              <w:color w:val="FFFFFF" w:themeColor="background1"/>
            </w:rPr>
            <w:fldChar w:fldCharType="begin"/>
          </w:r>
          <w:r w:rsidR="00D5750F" w:rsidRPr="002866E4">
            <w:rPr>
              <w:rFonts w:ascii="Arial" w:hAnsi="Arial" w:cs="Arial"/>
              <w:color w:val="FFFFFF" w:themeColor="background1"/>
            </w:rPr>
            <w:instrText xml:space="preserve">CITATION EST \l 2057 </w:instrText>
          </w:r>
          <w:r w:rsidR="000E02B1"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[7]</w:t>
          </w:r>
          <w:r w:rsidR="000E02B1" w:rsidRPr="002866E4">
            <w:rPr>
              <w:rFonts w:ascii="Arial" w:hAnsi="Arial" w:cs="Arial"/>
              <w:color w:val="FFFFFF" w:themeColor="background1"/>
            </w:rPr>
            <w:fldChar w:fldCharType="end"/>
          </w:r>
        </w:sdtContent>
      </w:sdt>
      <w:r w:rsidR="000E02B1" w:rsidRPr="002866E4">
        <w:rPr>
          <w:rFonts w:ascii="Arial" w:hAnsi="Arial" w:cs="Arial"/>
          <w:color w:val="FFFFFF" w:themeColor="background1"/>
        </w:rPr>
        <w:t xml:space="preserve"> </w:t>
      </w:r>
      <w:sdt>
        <w:sdtPr>
          <w:rPr>
            <w:rFonts w:ascii="Arial" w:hAnsi="Arial" w:cs="Arial"/>
            <w:color w:val="FFFFFF" w:themeColor="background1"/>
          </w:rPr>
          <w:id w:val="-72590518"/>
          <w:citation/>
        </w:sdtPr>
        <w:sdtEndPr/>
        <w:sdtContent>
          <w:r w:rsidR="000E02B1" w:rsidRPr="002866E4">
            <w:rPr>
              <w:rFonts w:ascii="Arial" w:hAnsi="Arial" w:cs="Arial"/>
              <w:color w:val="FFFFFF" w:themeColor="background1"/>
            </w:rPr>
            <w:fldChar w:fldCharType="begin"/>
          </w:r>
          <w:r w:rsidR="000E02B1" w:rsidRPr="002866E4">
            <w:rPr>
              <w:rFonts w:ascii="Arial" w:hAnsi="Arial" w:cs="Arial"/>
              <w:color w:val="FFFFFF" w:themeColor="background1"/>
            </w:rPr>
            <w:instrText xml:space="preserve"> CITATION Leg \l 2057 </w:instrText>
          </w:r>
          <w:r w:rsidR="000E02B1"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[8]</w:t>
          </w:r>
          <w:r w:rsidR="000E02B1" w:rsidRPr="002866E4">
            <w:rPr>
              <w:rFonts w:ascii="Arial" w:hAnsi="Arial" w:cs="Arial"/>
              <w:color w:val="FFFFFF" w:themeColor="background1"/>
            </w:rPr>
            <w:fldChar w:fldCharType="end"/>
          </w:r>
        </w:sdtContent>
      </w:sdt>
      <w:r w:rsidR="00D5750F" w:rsidRPr="002866E4">
        <w:rPr>
          <w:rFonts w:ascii="Arial" w:hAnsi="Arial" w:cs="Arial"/>
          <w:color w:val="FFFFFF" w:themeColor="background1"/>
        </w:rPr>
        <w:t xml:space="preserve"> </w:t>
      </w:r>
      <w:sdt>
        <w:sdtPr>
          <w:rPr>
            <w:rFonts w:ascii="Arial" w:hAnsi="Arial" w:cs="Arial"/>
            <w:color w:val="FFFFFF" w:themeColor="background1"/>
          </w:rPr>
          <w:id w:val="-233163147"/>
          <w:citation/>
        </w:sdtPr>
        <w:sdtEndPr/>
        <w:sdtContent>
          <w:r w:rsidR="0066208E" w:rsidRPr="002866E4">
            <w:rPr>
              <w:rFonts w:ascii="Arial" w:hAnsi="Arial" w:cs="Arial"/>
              <w:color w:val="FFFFFF" w:themeColor="background1"/>
            </w:rPr>
            <w:fldChar w:fldCharType="begin"/>
          </w:r>
          <w:r w:rsidR="0066208E" w:rsidRPr="002866E4">
            <w:rPr>
              <w:rFonts w:ascii="Arial" w:hAnsi="Arial" w:cs="Arial"/>
              <w:color w:val="FFFFFF" w:themeColor="background1"/>
            </w:rPr>
            <w:instrText xml:space="preserve"> CITATION HSE \l 2057 </w:instrText>
          </w:r>
          <w:r w:rsidR="0066208E"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[9]</w:t>
          </w:r>
          <w:r w:rsidR="0066208E" w:rsidRPr="002866E4">
            <w:rPr>
              <w:rFonts w:ascii="Arial" w:hAnsi="Arial" w:cs="Arial"/>
              <w:color w:val="FFFFFF" w:themeColor="background1"/>
            </w:rPr>
            <w:fldChar w:fldCharType="end"/>
          </w:r>
        </w:sdtContent>
      </w:sdt>
      <w:sdt>
        <w:sdtPr>
          <w:rPr>
            <w:rFonts w:ascii="Arial" w:hAnsi="Arial" w:cs="Arial"/>
            <w:color w:val="FFFFFF" w:themeColor="background1"/>
          </w:rPr>
          <w:id w:val="1327552236"/>
          <w:citation/>
        </w:sdtPr>
        <w:sdtEndPr/>
        <w:sdtContent>
          <w:r w:rsidR="000036B6" w:rsidRPr="002866E4">
            <w:rPr>
              <w:rFonts w:ascii="Arial" w:hAnsi="Arial" w:cs="Arial"/>
              <w:color w:val="FFFFFF" w:themeColor="background1"/>
            </w:rPr>
            <w:fldChar w:fldCharType="begin"/>
          </w:r>
          <w:r w:rsidR="000036B6" w:rsidRPr="002866E4">
            <w:rPr>
              <w:rFonts w:ascii="Arial" w:hAnsi="Arial" w:cs="Arial"/>
              <w:color w:val="FFFFFF" w:themeColor="background1"/>
            </w:rPr>
            <w:instrText xml:space="preserve"> CITATION leg \l 2057 </w:instrText>
          </w:r>
          <w:r w:rsidR="000036B6"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 xml:space="preserve"> [10]</w:t>
          </w:r>
          <w:r w:rsidR="000036B6" w:rsidRPr="002866E4">
            <w:rPr>
              <w:rFonts w:ascii="Arial" w:hAnsi="Arial" w:cs="Arial"/>
              <w:color w:val="FFFFFF" w:themeColor="background1"/>
            </w:rPr>
            <w:fldChar w:fldCharType="end"/>
          </w:r>
        </w:sdtContent>
      </w:sdt>
      <w:r w:rsidR="00373D5F" w:rsidRPr="002866E4">
        <w:rPr>
          <w:rFonts w:ascii="Arial" w:hAnsi="Arial" w:cs="Arial"/>
          <w:color w:val="FFFFFF" w:themeColor="background1"/>
        </w:rPr>
        <w:t xml:space="preserve"> </w:t>
      </w:r>
      <w:sdt>
        <w:sdtPr>
          <w:rPr>
            <w:rFonts w:ascii="Arial" w:hAnsi="Arial" w:cs="Arial"/>
            <w:color w:val="FFFFFF" w:themeColor="background1"/>
          </w:rPr>
          <w:id w:val="1683003441"/>
          <w:citation/>
        </w:sdtPr>
        <w:sdtEndPr/>
        <w:sdtContent>
          <w:r w:rsidR="00373D5F" w:rsidRPr="002866E4">
            <w:rPr>
              <w:rFonts w:ascii="Arial" w:hAnsi="Arial" w:cs="Arial"/>
              <w:color w:val="FFFFFF" w:themeColor="background1"/>
            </w:rPr>
            <w:fldChar w:fldCharType="begin"/>
          </w:r>
          <w:r w:rsidR="00373D5F" w:rsidRPr="002866E4">
            <w:rPr>
              <w:rFonts w:ascii="Arial" w:hAnsi="Arial" w:cs="Arial"/>
              <w:color w:val="FFFFFF" w:themeColor="background1"/>
            </w:rPr>
            <w:instrText xml:space="preserve"> CITATION Def \l 2057 </w:instrText>
          </w:r>
          <w:r w:rsidR="00373D5F"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[11]</w:t>
          </w:r>
          <w:r w:rsidR="00373D5F" w:rsidRPr="002866E4">
            <w:rPr>
              <w:rFonts w:ascii="Arial" w:hAnsi="Arial" w:cs="Arial"/>
              <w:color w:val="FFFFFF" w:themeColor="background1"/>
            </w:rPr>
            <w:fldChar w:fldCharType="end"/>
          </w:r>
        </w:sdtContent>
      </w:sdt>
      <w:sdt>
        <w:sdtPr>
          <w:rPr>
            <w:rFonts w:ascii="Arial" w:hAnsi="Arial" w:cs="Arial"/>
            <w:color w:val="FFFFFF" w:themeColor="background1"/>
          </w:rPr>
          <w:id w:val="-1442756142"/>
          <w:citation/>
        </w:sdtPr>
        <w:sdtEndPr/>
        <w:sdtContent>
          <w:r w:rsidR="00AE637C" w:rsidRPr="002866E4">
            <w:rPr>
              <w:rFonts w:ascii="Arial" w:hAnsi="Arial" w:cs="Arial"/>
              <w:color w:val="FFFFFF" w:themeColor="background1"/>
            </w:rPr>
            <w:fldChar w:fldCharType="begin"/>
          </w:r>
          <w:r w:rsidR="00AE637C" w:rsidRPr="002866E4">
            <w:rPr>
              <w:rFonts w:ascii="Arial" w:hAnsi="Arial" w:cs="Arial"/>
              <w:color w:val="FFFFFF" w:themeColor="background1"/>
            </w:rPr>
            <w:instrText xml:space="preserve"> CITATION Def1 \l 2057 </w:instrText>
          </w:r>
          <w:r w:rsidR="00AE637C" w:rsidRPr="002866E4">
            <w:rPr>
              <w:rFonts w:ascii="Arial" w:hAnsi="Arial" w:cs="Arial"/>
              <w:color w:val="FFFFFF" w:themeColor="background1"/>
            </w:rPr>
            <w:fldChar w:fldCharType="separate"/>
          </w:r>
          <w:r w:rsidR="002866E4" w:rsidRPr="002866E4">
            <w:rPr>
              <w:rFonts w:ascii="Arial" w:hAnsi="Arial" w:cs="Arial"/>
              <w:noProof/>
              <w:color w:val="FFFFFF" w:themeColor="background1"/>
            </w:rPr>
            <w:t xml:space="preserve"> [12]</w:t>
          </w:r>
          <w:r w:rsidR="00AE637C" w:rsidRPr="002866E4">
            <w:rPr>
              <w:rFonts w:ascii="Arial" w:hAnsi="Arial" w:cs="Arial"/>
              <w:color w:val="FFFFFF" w:themeColor="background1"/>
            </w:rPr>
            <w:fldChar w:fldCharType="end"/>
          </w:r>
        </w:sdtContent>
      </w:sdt>
    </w:p>
    <w:p w14:paraId="1098A462" w14:textId="77777777" w:rsidR="00CF7690" w:rsidRPr="00CF7690" w:rsidRDefault="00CF7690" w:rsidP="00CF7690">
      <w:pPr>
        <w:rPr>
          <w:rFonts w:ascii="Arial" w:hAnsi="Arial" w:cs="Arial"/>
        </w:rPr>
      </w:pPr>
    </w:p>
    <w:p w14:paraId="189917D7" w14:textId="77777777" w:rsidR="00CF7690" w:rsidRPr="00CF7690" w:rsidRDefault="00CF7690" w:rsidP="00CF7690">
      <w:pPr>
        <w:rPr>
          <w:rFonts w:ascii="Arial" w:hAnsi="Arial" w:cs="Arial"/>
        </w:rPr>
      </w:pPr>
    </w:p>
    <w:p w14:paraId="23C6DC57" w14:textId="77777777" w:rsidR="00CF7690" w:rsidRPr="00CF7690" w:rsidRDefault="00CF7690" w:rsidP="00CF7690">
      <w:pPr>
        <w:rPr>
          <w:rFonts w:ascii="Arial" w:hAnsi="Arial" w:cs="Arial"/>
        </w:rPr>
      </w:pPr>
    </w:p>
    <w:p w14:paraId="51795721" w14:textId="77777777" w:rsidR="00CF7690" w:rsidRPr="00CF7690" w:rsidRDefault="00CF7690" w:rsidP="00CF7690">
      <w:pPr>
        <w:rPr>
          <w:rFonts w:ascii="Arial" w:hAnsi="Arial" w:cs="Arial"/>
        </w:rPr>
      </w:pPr>
    </w:p>
    <w:p w14:paraId="097F7920" w14:textId="77777777" w:rsidR="00CF7690" w:rsidRPr="00CF7690" w:rsidRDefault="00CF7690" w:rsidP="00CF7690">
      <w:pPr>
        <w:rPr>
          <w:rFonts w:ascii="Arial" w:hAnsi="Arial" w:cs="Arial"/>
        </w:rPr>
      </w:pPr>
    </w:p>
    <w:p w14:paraId="61775DB4" w14:textId="77777777" w:rsidR="00CF7690" w:rsidRPr="00CF7690" w:rsidRDefault="00CF7690" w:rsidP="00CF7690">
      <w:pPr>
        <w:rPr>
          <w:rFonts w:ascii="Arial" w:hAnsi="Arial" w:cs="Arial"/>
        </w:rPr>
      </w:pPr>
    </w:p>
    <w:p w14:paraId="6C0F4BCB" w14:textId="77777777" w:rsidR="00CF7690" w:rsidRDefault="00CF7690" w:rsidP="00CF7690">
      <w:pPr>
        <w:rPr>
          <w:rFonts w:ascii="Arial" w:hAnsi="Arial" w:cs="Arial"/>
          <w:color w:val="FFFFFF" w:themeColor="background1"/>
        </w:rPr>
      </w:pPr>
    </w:p>
    <w:p w14:paraId="7EEFEF6C" w14:textId="77777777" w:rsidR="00CF7690" w:rsidRDefault="00CF7690" w:rsidP="00CF7690">
      <w:pPr>
        <w:rPr>
          <w:rFonts w:ascii="Arial" w:hAnsi="Arial" w:cs="Arial"/>
          <w:color w:val="FFFFFF" w:themeColor="background1"/>
        </w:rPr>
      </w:pPr>
    </w:p>
    <w:p w14:paraId="69B526C7" w14:textId="3AC5E348" w:rsidR="00CF7690" w:rsidRPr="00CF7690" w:rsidRDefault="00CF7690" w:rsidP="00CF7690">
      <w:pPr>
        <w:jc w:val="center"/>
        <w:rPr>
          <w:rFonts w:ascii="Arial" w:hAnsi="Arial" w:cs="Arial"/>
        </w:rPr>
      </w:pPr>
      <w:r>
        <w:rPr>
          <w:rFonts w:ascii="Arial" w:hAnsi="Arial" w:cs="Arial"/>
        </w:rPr>
        <w:t>End Page</w:t>
      </w:r>
    </w:p>
    <w:sectPr w:rsidR="00CF7690" w:rsidRPr="00CF7690" w:rsidSect="000A78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9F3C1" w14:textId="77777777" w:rsidR="008D1D1B" w:rsidRDefault="008D1D1B" w:rsidP="008D1D1B">
      <w:pPr>
        <w:spacing w:after="0" w:line="240" w:lineRule="auto"/>
      </w:pPr>
      <w:r>
        <w:separator/>
      </w:r>
    </w:p>
  </w:endnote>
  <w:endnote w:type="continuationSeparator" w:id="0">
    <w:p w14:paraId="22B409E6" w14:textId="77777777" w:rsidR="008D1D1B" w:rsidRDefault="008D1D1B" w:rsidP="008D1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708B1" w14:textId="77777777" w:rsidR="008D1D1B" w:rsidRDefault="008D1D1B" w:rsidP="008D1D1B">
      <w:pPr>
        <w:spacing w:after="0" w:line="240" w:lineRule="auto"/>
      </w:pPr>
      <w:r>
        <w:separator/>
      </w:r>
    </w:p>
  </w:footnote>
  <w:footnote w:type="continuationSeparator" w:id="0">
    <w:p w14:paraId="07DE65C3" w14:textId="77777777" w:rsidR="008D1D1B" w:rsidRDefault="008D1D1B" w:rsidP="008D1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27CD2"/>
    <w:multiLevelType w:val="hybridMultilevel"/>
    <w:tmpl w:val="C9289A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57B9C"/>
    <w:multiLevelType w:val="hybridMultilevel"/>
    <w:tmpl w:val="BCCC6A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C3D42"/>
    <w:multiLevelType w:val="hybridMultilevel"/>
    <w:tmpl w:val="A45850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F1AB0"/>
    <w:multiLevelType w:val="hybridMultilevel"/>
    <w:tmpl w:val="B90E015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12495A"/>
    <w:multiLevelType w:val="hybridMultilevel"/>
    <w:tmpl w:val="9D7E94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02D48"/>
    <w:multiLevelType w:val="hybridMultilevel"/>
    <w:tmpl w:val="B7A005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47892"/>
    <w:multiLevelType w:val="hybridMultilevel"/>
    <w:tmpl w:val="7FB277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B81BC6"/>
    <w:multiLevelType w:val="hybridMultilevel"/>
    <w:tmpl w:val="859671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0A47AE"/>
    <w:multiLevelType w:val="hybridMultilevel"/>
    <w:tmpl w:val="4E569FA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750B96"/>
    <w:multiLevelType w:val="hybridMultilevel"/>
    <w:tmpl w:val="4B103A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25061"/>
    <w:multiLevelType w:val="hybridMultilevel"/>
    <w:tmpl w:val="A6F23A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C0A63"/>
    <w:multiLevelType w:val="hybridMultilevel"/>
    <w:tmpl w:val="77F8FB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25435346">
    <w:abstractNumId w:val="11"/>
  </w:num>
  <w:num w:numId="2" w16cid:durableId="1383560291">
    <w:abstractNumId w:val="8"/>
  </w:num>
  <w:num w:numId="3" w16cid:durableId="1060834152">
    <w:abstractNumId w:val="3"/>
  </w:num>
  <w:num w:numId="4" w16cid:durableId="1110395427">
    <w:abstractNumId w:val="10"/>
  </w:num>
  <w:num w:numId="5" w16cid:durableId="282427371">
    <w:abstractNumId w:val="5"/>
  </w:num>
  <w:num w:numId="6" w16cid:durableId="2093627297">
    <w:abstractNumId w:val="7"/>
  </w:num>
  <w:num w:numId="7" w16cid:durableId="2094620656">
    <w:abstractNumId w:val="4"/>
  </w:num>
  <w:num w:numId="8" w16cid:durableId="699086401">
    <w:abstractNumId w:val="1"/>
  </w:num>
  <w:num w:numId="9" w16cid:durableId="1883786460">
    <w:abstractNumId w:val="9"/>
  </w:num>
  <w:num w:numId="10" w16cid:durableId="1626616816">
    <w:abstractNumId w:val="2"/>
  </w:num>
  <w:num w:numId="11" w16cid:durableId="1583444373">
    <w:abstractNumId w:val="6"/>
  </w:num>
  <w:num w:numId="12" w16cid:durableId="81611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834"/>
    <w:rsid w:val="000000F9"/>
    <w:rsid w:val="00002BE1"/>
    <w:rsid w:val="00003509"/>
    <w:rsid w:val="000036B6"/>
    <w:rsid w:val="00004E07"/>
    <w:rsid w:val="00004FCD"/>
    <w:rsid w:val="000117DD"/>
    <w:rsid w:val="00012A3B"/>
    <w:rsid w:val="0001306F"/>
    <w:rsid w:val="00015705"/>
    <w:rsid w:val="00016A13"/>
    <w:rsid w:val="000223FE"/>
    <w:rsid w:val="00025628"/>
    <w:rsid w:val="00031DD6"/>
    <w:rsid w:val="00036B7F"/>
    <w:rsid w:val="00036F92"/>
    <w:rsid w:val="00043019"/>
    <w:rsid w:val="00050393"/>
    <w:rsid w:val="00051B09"/>
    <w:rsid w:val="0005636A"/>
    <w:rsid w:val="000629D2"/>
    <w:rsid w:val="00066935"/>
    <w:rsid w:val="00067266"/>
    <w:rsid w:val="00073A0B"/>
    <w:rsid w:val="0008022B"/>
    <w:rsid w:val="00080954"/>
    <w:rsid w:val="00081B06"/>
    <w:rsid w:val="00083276"/>
    <w:rsid w:val="00084A12"/>
    <w:rsid w:val="00094C57"/>
    <w:rsid w:val="000A2482"/>
    <w:rsid w:val="000A7834"/>
    <w:rsid w:val="000B2022"/>
    <w:rsid w:val="000C126B"/>
    <w:rsid w:val="000C208F"/>
    <w:rsid w:val="000C747E"/>
    <w:rsid w:val="000D15EF"/>
    <w:rsid w:val="000D15F2"/>
    <w:rsid w:val="000D3B11"/>
    <w:rsid w:val="000D47EC"/>
    <w:rsid w:val="000D7400"/>
    <w:rsid w:val="000E02B1"/>
    <w:rsid w:val="000F1368"/>
    <w:rsid w:val="000F53BC"/>
    <w:rsid w:val="000F74CA"/>
    <w:rsid w:val="00122345"/>
    <w:rsid w:val="00122C3D"/>
    <w:rsid w:val="00123D00"/>
    <w:rsid w:val="001261DE"/>
    <w:rsid w:val="0013132C"/>
    <w:rsid w:val="00131F51"/>
    <w:rsid w:val="0014764E"/>
    <w:rsid w:val="001541A9"/>
    <w:rsid w:val="00155A8B"/>
    <w:rsid w:val="00164129"/>
    <w:rsid w:val="00165F13"/>
    <w:rsid w:val="001678DB"/>
    <w:rsid w:val="0017027E"/>
    <w:rsid w:val="001754C3"/>
    <w:rsid w:val="001762ED"/>
    <w:rsid w:val="00176ACF"/>
    <w:rsid w:val="00181040"/>
    <w:rsid w:val="00182589"/>
    <w:rsid w:val="00184C2C"/>
    <w:rsid w:val="001855A6"/>
    <w:rsid w:val="00190AA8"/>
    <w:rsid w:val="0019328C"/>
    <w:rsid w:val="00195DC5"/>
    <w:rsid w:val="001B3C16"/>
    <w:rsid w:val="001B6F30"/>
    <w:rsid w:val="001D39F6"/>
    <w:rsid w:val="001E1430"/>
    <w:rsid w:val="001E35BD"/>
    <w:rsid w:val="001E4D9C"/>
    <w:rsid w:val="001F5F84"/>
    <w:rsid w:val="001F6A3A"/>
    <w:rsid w:val="001F7E6B"/>
    <w:rsid w:val="00202887"/>
    <w:rsid w:val="00202DB2"/>
    <w:rsid w:val="00210E6B"/>
    <w:rsid w:val="002147AD"/>
    <w:rsid w:val="0021540B"/>
    <w:rsid w:val="00216C00"/>
    <w:rsid w:val="00224A55"/>
    <w:rsid w:val="00224DEC"/>
    <w:rsid w:val="00233EEE"/>
    <w:rsid w:val="002401CD"/>
    <w:rsid w:val="002469A7"/>
    <w:rsid w:val="0024700B"/>
    <w:rsid w:val="00250628"/>
    <w:rsid w:val="00252FF3"/>
    <w:rsid w:val="00257A3F"/>
    <w:rsid w:val="00262EE9"/>
    <w:rsid w:val="00265925"/>
    <w:rsid w:val="002672A7"/>
    <w:rsid w:val="002731B4"/>
    <w:rsid w:val="00284532"/>
    <w:rsid w:val="0028583D"/>
    <w:rsid w:val="002866E4"/>
    <w:rsid w:val="00287D6E"/>
    <w:rsid w:val="002901C5"/>
    <w:rsid w:val="00294C7E"/>
    <w:rsid w:val="002C00CC"/>
    <w:rsid w:val="002C10AF"/>
    <w:rsid w:val="002C5082"/>
    <w:rsid w:val="002C7499"/>
    <w:rsid w:val="002D66AB"/>
    <w:rsid w:val="002D6F22"/>
    <w:rsid w:val="002E1C85"/>
    <w:rsid w:val="002F0413"/>
    <w:rsid w:val="00312C9A"/>
    <w:rsid w:val="003178CF"/>
    <w:rsid w:val="00327C56"/>
    <w:rsid w:val="00337A99"/>
    <w:rsid w:val="003512E2"/>
    <w:rsid w:val="00352675"/>
    <w:rsid w:val="0035762E"/>
    <w:rsid w:val="003613CB"/>
    <w:rsid w:val="00362C80"/>
    <w:rsid w:val="00363B38"/>
    <w:rsid w:val="00364407"/>
    <w:rsid w:val="00366BEF"/>
    <w:rsid w:val="00367A5A"/>
    <w:rsid w:val="003703F1"/>
    <w:rsid w:val="00373D5F"/>
    <w:rsid w:val="00376993"/>
    <w:rsid w:val="0038782C"/>
    <w:rsid w:val="00392704"/>
    <w:rsid w:val="003938FD"/>
    <w:rsid w:val="003A074A"/>
    <w:rsid w:val="003A17FF"/>
    <w:rsid w:val="003A181D"/>
    <w:rsid w:val="003A18E5"/>
    <w:rsid w:val="003A1CA0"/>
    <w:rsid w:val="003C0F3A"/>
    <w:rsid w:val="003C2130"/>
    <w:rsid w:val="003C4FA0"/>
    <w:rsid w:val="003C5285"/>
    <w:rsid w:val="003C5958"/>
    <w:rsid w:val="003D1C39"/>
    <w:rsid w:val="003D365C"/>
    <w:rsid w:val="003D45C3"/>
    <w:rsid w:val="003D6043"/>
    <w:rsid w:val="003F11D4"/>
    <w:rsid w:val="003F70C8"/>
    <w:rsid w:val="00403931"/>
    <w:rsid w:val="0040606D"/>
    <w:rsid w:val="004077F0"/>
    <w:rsid w:val="0041096D"/>
    <w:rsid w:val="00413368"/>
    <w:rsid w:val="00415B07"/>
    <w:rsid w:val="00420514"/>
    <w:rsid w:val="00422979"/>
    <w:rsid w:val="004258B0"/>
    <w:rsid w:val="00425AC8"/>
    <w:rsid w:val="004273D5"/>
    <w:rsid w:val="00430FE5"/>
    <w:rsid w:val="00436365"/>
    <w:rsid w:val="0043641C"/>
    <w:rsid w:val="00436928"/>
    <w:rsid w:val="00437719"/>
    <w:rsid w:val="004404C8"/>
    <w:rsid w:val="004553BB"/>
    <w:rsid w:val="00461E89"/>
    <w:rsid w:val="00463BED"/>
    <w:rsid w:val="00466AAC"/>
    <w:rsid w:val="0047124B"/>
    <w:rsid w:val="00484C0F"/>
    <w:rsid w:val="004922C6"/>
    <w:rsid w:val="0049421F"/>
    <w:rsid w:val="004A0528"/>
    <w:rsid w:val="004A3A4E"/>
    <w:rsid w:val="004B1094"/>
    <w:rsid w:val="004B198D"/>
    <w:rsid w:val="004B1CF3"/>
    <w:rsid w:val="004B2020"/>
    <w:rsid w:val="004B3E23"/>
    <w:rsid w:val="004C23BE"/>
    <w:rsid w:val="004C71D7"/>
    <w:rsid w:val="004D2EEF"/>
    <w:rsid w:val="004D463A"/>
    <w:rsid w:val="004E40CB"/>
    <w:rsid w:val="004F2A39"/>
    <w:rsid w:val="004F4C35"/>
    <w:rsid w:val="004F6E13"/>
    <w:rsid w:val="00504E5A"/>
    <w:rsid w:val="00510164"/>
    <w:rsid w:val="005162EB"/>
    <w:rsid w:val="00526FF6"/>
    <w:rsid w:val="005341EF"/>
    <w:rsid w:val="00535166"/>
    <w:rsid w:val="00535A78"/>
    <w:rsid w:val="005405B5"/>
    <w:rsid w:val="005414DC"/>
    <w:rsid w:val="0054704C"/>
    <w:rsid w:val="0055410F"/>
    <w:rsid w:val="00555CE2"/>
    <w:rsid w:val="005765A6"/>
    <w:rsid w:val="00576F7E"/>
    <w:rsid w:val="00581EEC"/>
    <w:rsid w:val="00583997"/>
    <w:rsid w:val="005916D3"/>
    <w:rsid w:val="005A04B9"/>
    <w:rsid w:val="005A12B0"/>
    <w:rsid w:val="005A1B95"/>
    <w:rsid w:val="005A21AE"/>
    <w:rsid w:val="005A2B5E"/>
    <w:rsid w:val="005A3A26"/>
    <w:rsid w:val="005B028C"/>
    <w:rsid w:val="005B1D0F"/>
    <w:rsid w:val="005B43C3"/>
    <w:rsid w:val="005C6288"/>
    <w:rsid w:val="005D1421"/>
    <w:rsid w:val="005D3213"/>
    <w:rsid w:val="005E3EAC"/>
    <w:rsid w:val="005E5C38"/>
    <w:rsid w:val="005F3857"/>
    <w:rsid w:val="00600259"/>
    <w:rsid w:val="0060265D"/>
    <w:rsid w:val="006037BE"/>
    <w:rsid w:val="006059A7"/>
    <w:rsid w:val="0061290A"/>
    <w:rsid w:val="00623523"/>
    <w:rsid w:val="00627F7C"/>
    <w:rsid w:val="006306B9"/>
    <w:rsid w:val="00630C93"/>
    <w:rsid w:val="006327A4"/>
    <w:rsid w:val="006347F0"/>
    <w:rsid w:val="0064040A"/>
    <w:rsid w:val="006406E0"/>
    <w:rsid w:val="00646E94"/>
    <w:rsid w:val="00647272"/>
    <w:rsid w:val="00647D54"/>
    <w:rsid w:val="00650DB6"/>
    <w:rsid w:val="00652AF5"/>
    <w:rsid w:val="00661049"/>
    <w:rsid w:val="0066170D"/>
    <w:rsid w:val="0066208E"/>
    <w:rsid w:val="0066474C"/>
    <w:rsid w:val="006700E7"/>
    <w:rsid w:val="006713F7"/>
    <w:rsid w:val="0067158F"/>
    <w:rsid w:val="00676C2E"/>
    <w:rsid w:val="0068492B"/>
    <w:rsid w:val="00694292"/>
    <w:rsid w:val="006A4BEF"/>
    <w:rsid w:val="006B5BB5"/>
    <w:rsid w:val="006C6A54"/>
    <w:rsid w:val="006C6ECD"/>
    <w:rsid w:val="006C7991"/>
    <w:rsid w:val="006D3906"/>
    <w:rsid w:val="006D790F"/>
    <w:rsid w:val="006D795C"/>
    <w:rsid w:val="006E281B"/>
    <w:rsid w:val="006E28DD"/>
    <w:rsid w:val="006E332D"/>
    <w:rsid w:val="006F1178"/>
    <w:rsid w:val="007016F2"/>
    <w:rsid w:val="00720A48"/>
    <w:rsid w:val="0072255F"/>
    <w:rsid w:val="0072355A"/>
    <w:rsid w:val="00724817"/>
    <w:rsid w:val="00732920"/>
    <w:rsid w:val="007352DA"/>
    <w:rsid w:val="00741AB1"/>
    <w:rsid w:val="0074340C"/>
    <w:rsid w:val="00745B44"/>
    <w:rsid w:val="00760764"/>
    <w:rsid w:val="00763155"/>
    <w:rsid w:val="0076594A"/>
    <w:rsid w:val="00765B9D"/>
    <w:rsid w:val="00776000"/>
    <w:rsid w:val="00785A1D"/>
    <w:rsid w:val="00785E81"/>
    <w:rsid w:val="00794E22"/>
    <w:rsid w:val="00795B8B"/>
    <w:rsid w:val="007A2C4A"/>
    <w:rsid w:val="007A4D3C"/>
    <w:rsid w:val="007B0F01"/>
    <w:rsid w:val="007B16BF"/>
    <w:rsid w:val="007B32C5"/>
    <w:rsid w:val="007C5B52"/>
    <w:rsid w:val="007D0D68"/>
    <w:rsid w:val="007D174B"/>
    <w:rsid w:val="007D4BA9"/>
    <w:rsid w:val="007E3B6A"/>
    <w:rsid w:val="007F33E2"/>
    <w:rsid w:val="007F7BBB"/>
    <w:rsid w:val="007F7F70"/>
    <w:rsid w:val="0080533B"/>
    <w:rsid w:val="00811A82"/>
    <w:rsid w:val="008135DD"/>
    <w:rsid w:val="00821253"/>
    <w:rsid w:val="00821495"/>
    <w:rsid w:val="008218E7"/>
    <w:rsid w:val="008228C5"/>
    <w:rsid w:val="0082752D"/>
    <w:rsid w:val="00832437"/>
    <w:rsid w:val="0083353A"/>
    <w:rsid w:val="00835BB6"/>
    <w:rsid w:val="008449B9"/>
    <w:rsid w:val="008513AD"/>
    <w:rsid w:val="008535A4"/>
    <w:rsid w:val="00853B56"/>
    <w:rsid w:val="00855FBD"/>
    <w:rsid w:val="0085668D"/>
    <w:rsid w:val="008569AE"/>
    <w:rsid w:val="0087320D"/>
    <w:rsid w:val="00874F49"/>
    <w:rsid w:val="008751F2"/>
    <w:rsid w:val="0088764E"/>
    <w:rsid w:val="00892E9A"/>
    <w:rsid w:val="008964E2"/>
    <w:rsid w:val="008A34BA"/>
    <w:rsid w:val="008B0996"/>
    <w:rsid w:val="008B2B4C"/>
    <w:rsid w:val="008D1D1B"/>
    <w:rsid w:val="008D3191"/>
    <w:rsid w:val="008D4E57"/>
    <w:rsid w:val="008D662C"/>
    <w:rsid w:val="008E0C53"/>
    <w:rsid w:val="008E2295"/>
    <w:rsid w:val="008F1E5F"/>
    <w:rsid w:val="009006C9"/>
    <w:rsid w:val="00901661"/>
    <w:rsid w:val="009126C2"/>
    <w:rsid w:val="00933A89"/>
    <w:rsid w:val="0094110C"/>
    <w:rsid w:val="009470B2"/>
    <w:rsid w:val="0095065A"/>
    <w:rsid w:val="009525B0"/>
    <w:rsid w:val="0095729B"/>
    <w:rsid w:val="009676D3"/>
    <w:rsid w:val="009708DA"/>
    <w:rsid w:val="00970B0B"/>
    <w:rsid w:val="00972A94"/>
    <w:rsid w:val="00980B68"/>
    <w:rsid w:val="009831D6"/>
    <w:rsid w:val="009A3600"/>
    <w:rsid w:val="009A52BB"/>
    <w:rsid w:val="009A5692"/>
    <w:rsid w:val="009A6659"/>
    <w:rsid w:val="009B42D9"/>
    <w:rsid w:val="009C1838"/>
    <w:rsid w:val="009D2611"/>
    <w:rsid w:val="009D6035"/>
    <w:rsid w:val="009D7672"/>
    <w:rsid w:val="009E1CFC"/>
    <w:rsid w:val="009E5F1E"/>
    <w:rsid w:val="009E79C4"/>
    <w:rsid w:val="009F447C"/>
    <w:rsid w:val="00A062D2"/>
    <w:rsid w:val="00A22668"/>
    <w:rsid w:val="00A25AA1"/>
    <w:rsid w:val="00A31A1E"/>
    <w:rsid w:val="00A327D5"/>
    <w:rsid w:val="00A33038"/>
    <w:rsid w:val="00A36C14"/>
    <w:rsid w:val="00A42A7B"/>
    <w:rsid w:val="00A47270"/>
    <w:rsid w:val="00A60B1D"/>
    <w:rsid w:val="00A678E3"/>
    <w:rsid w:val="00A734FC"/>
    <w:rsid w:val="00A84C1A"/>
    <w:rsid w:val="00A86613"/>
    <w:rsid w:val="00A9221A"/>
    <w:rsid w:val="00A94D04"/>
    <w:rsid w:val="00A96415"/>
    <w:rsid w:val="00A97C8A"/>
    <w:rsid w:val="00AA1EEF"/>
    <w:rsid w:val="00AA4FF2"/>
    <w:rsid w:val="00AA75CD"/>
    <w:rsid w:val="00AB5444"/>
    <w:rsid w:val="00AD3D36"/>
    <w:rsid w:val="00AD5606"/>
    <w:rsid w:val="00AD65B9"/>
    <w:rsid w:val="00AD71C8"/>
    <w:rsid w:val="00AE637C"/>
    <w:rsid w:val="00B132F5"/>
    <w:rsid w:val="00B139EA"/>
    <w:rsid w:val="00B14BB6"/>
    <w:rsid w:val="00B17452"/>
    <w:rsid w:val="00B21830"/>
    <w:rsid w:val="00B41DF6"/>
    <w:rsid w:val="00B465B1"/>
    <w:rsid w:val="00B504BE"/>
    <w:rsid w:val="00B561C5"/>
    <w:rsid w:val="00B743D3"/>
    <w:rsid w:val="00B74546"/>
    <w:rsid w:val="00B76577"/>
    <w:rsid w:val="00B938BA"/>
    <w:rsid w:val="00B95065"/>
    <w:rsid w:val="00B97429"/>
    <w:rsid w:val="00BB083F"/>
    <w:rsid w:val="00BB42F9"/>
    <w:rsid w:val="00BB645F"/>
    <w:rsid w:val="00BC024D"/>
    <w:rsid w:val="00BC088B"/>
    <w:rsid w:val="00BC6187"/>
    <w:rsid w:val="00BC72B2"/>
    <w:rsid w:val="00BD0CB1"/>
    <w:rsid w:val="00BD355E"/>
    <w:rsid w:val="00BD4624"/>
    <w:rsid w:val="00BD46B4"/>
    <w:rsid w:val="00BD6BCB"/>
    <w:rsid w:val="00BE06C0"/>
    <w:rsid w:val="00BE092A"/>
    <w:rsid w:val="00BE1F1F"/>
    <w:rsid w:val="00BE3079"/>
    <w:rsid w:val="00BF1ADA"/>
    <w:rsid w:val="00BF55C4"/>
    <w:rsid w:val="00BF6246"/>
    <w:rsid w:val="00C02E3D"/>
    <w:rsid w:val="00C13447"/>
    <w:rsid w:val="00C22BC8"/>
    <w:rsid w:val="00C25D92"/>
    <w:rsid w:val="00C31E78"/>
    <w:rsid w:val="00C413FE"/>
    <w:rsid w:val="00C41C7E"/>
    <w:rsid w:val="00C45994"/>
    <w:rsid w:val="00C61C03"/>
    <w:rsid w:val="00C65E67"/>
    <w:rsid w:val="00C66132"/>
    <w:rsid w:val="00C8231B"/>
    <w:rsid w:val="00C848C3"/>
    <w:rsid w:val="00C94F56"/>
    <w:rsid w:val="00CA03FC"/>
    <w:rsid w:val="00CA0447"/>
    <w:rsid w:val="00CB7264"/>
    <w:rsid w:val="00CB7C75"/>
    <w:rsid w:val="00CB7C95"/>
    <w:rsid w:val="00CC09B5"/>
    <w:rsid w:val="00CD46D9"/>
    <w:rsid w:val="00CE06A0"/>
    <w:rsid w:val="00CE5BA1"/>
    <w:rsid w:val="00CF7690"/>
    <w:rsid w:val="00D10004"/>
    <w:rsid w:val="00D1033A"/>
    <w:rsid w:val="00D11708"/>
    <w:rsid w:val="00D125C5"/>
    <w:rsid w:val="00D156F6"/>
    <w:rsid w:val="00D20094"/>
    <w:rsid w:val="00D2249D"/>
    <w:rsid w:val="00D250C3"/>
    <w:rsid w:val="00D35A6F"/>
    <w:rsid w:val="00D3619C"/>
    <w:rsid w:val="00D52B1E"/>
    <w:rsid w:val="00D5750F"/>
    <w:rsid w:val="00D65171"/>
    <w:rsid w:val="00D87B0E"/>
    <w:rsid w:val="00D87C1B"/>
    <w:rsid w:val="00D90816"/>
    <w:rsid w:val="00DA2D93"/>
    <w:rsid w:val="00DA3765"/>
    <w:rsid w:val="00DA37A1"/>
    <w:rsid w:val="00DB130E"/>
    <w:rsid w:val="00DB1CD7"/>
    <w:rsid w:val="00DD1CD0"/>
    <w:rsid w:val="00DD654A"/>
    <w:rsid w:val="00DD708E"/>
    <w:rsid w:val="00DD7819"/>
    <w:rsid w:val="00DE1250"/>
    <w:rsid w:val="00DE1355"/>
    <w:rsid w:val="00DE3178"/>
    <w:rsid w:val="00E0495D"/>
    <w:rsid w:val="00E04B90"/>
    <w:rsid w:val="00E066A5"/>
    <w:rsid w:val="00E066BD"/>
    <w:rsid w:val="00E07159"/>
    <w:rsid w:val="00E11530"/>
    <w:rsid w:val="00E13A80"/>
    <w:rsid w:val="00E20896"/>
    <w:rsid w:val="00E305CD"/>
    <w:rsid w:val="00E3454C"/>
    <w:rsid w:val="00E37E4F"/>
    <w:rsid w:val="00E417EC"/>
    <w:rsid w:val="00E51D3C"/>
    <w:rsid w:val="00E53BC1"/>
    <w:rsid w:val="00E5464A"/>
    <w:rsid w:val="00E619EA"/>
    <w:rsid w:val="00E63DBE"/>
    <w:rsid w:val="00E70568"/>
    <w:rsid w:val="00E72380"/>
    <w:rsid w:val="00E766DB"/>
    <w:rsid w:val="00E83342"/>
    <w:rsid w:val="00EA32BA"/>
    <w:rsid w:val="00EA4FF1"/>
    <w:rsid w:val="00EB6DDF"/>
    <w:rsid w:val="00EF5DD7"/>
    <w:rsid w:val="00F01037"/>
    <w:rsid w:val="00F027C4"/>
    <w:rsid w:val="00F04667"/>
    <w:rsid w:val="00F07F42"/>
    <w:rsid w:val="00F07FFC"/>
    <w:rsid w:val="00F16BFB"/>
    <w:rsid w:val="00F23A3F"/>
    <w:rsid w:val="00F3065C"/>
    <w:rsid w:val="00F36419"/>
    <w:rsid w:val="00F36D16"/>
    <w:rsid w:val="00F378D5"/>
    <w:rsid w:val="00F40D8A"/>
    <w:rsid w:val="00F51429"/>
    <w:rsid w:val="00F5606B"/>
    <w:rsid w:val="00F560C8"/>
    <w:rsid w:val="00F568F9"/>
    <w:rsid w:val="00F62AD0"/>
    <w:rsid w:val="00F71498"/>
    <w:rsid w:val="00F85CDC"/>
    <w:rsid w:val="00F932AC"/>
    <w:rsid w:val="00F97B3D"/>
    <w:rsid w:val="00FA78A6"/>
    <w:rsid w:val="00FB0B0A"/>
    <w:rsid w:val="00FB3C5C"/>
    <w:rsid w:val="00FB768D"/>
    <w:rsid w:val="00FC059B"/>
    <w:rsid w:val="00FC3DF4"/>
    <w:rsid w:val="00FC4109"/>
    <w:rsid w:val="00FE02ED"/>
    <w:rsid w:val="00FE2250"/>
    <w:rsid w:val="00FF7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C3AD0"/>
  <w15:chartTrackingRefBased/>
  <w15:docId w15:val="{1D58DFD2-1847-4C1C-AF61-94A97860B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954"/>
  </w:style>
  <w:style w:type="paragraph" w:styleId="Heading1">
    <w:name w:val="heading 1"/>
    <w:basedOn w:val="Normal"/>
    <w:next w:val="Normal"/>
    <w:link w:val="Heading1Char"/>
    <w:uiPriority w:val="9"/>
    <w:qFormat/>
    <w:rsid w:val="000A7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7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7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7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7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78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78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78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78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7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7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7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7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7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834"/>
    <w:rPr>
      <w:rFonts w:eastAsiaTheme="majorEastAsia" w:cstheme="majorBidi"/>
      <w:color w:val="272727" w:themeColor="text1" w:themeTint="D8"/>
    </w:rPr>
  </w:style>
  <w:style w:type="paragraph" w:styleId="Title">
    <w:name w:val="Title"/>
    <w:basedOn w:val="Normal"/>
    <w:next w:val="Normal"/>
    <w:link w:val="TitleChar"/>
    <w:uiPriority w:val="10"/>
    <w:qFormat/>
    <w:rsid w:val="000A78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7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834"/>
    <w:pPr>
      <w:spacing w:before="160"/>
      <w:jc w:val="center"/>
    </w:pPr>
    <w:rPr>
      <w:i/>
      <w:iCs/>
      <w:color w:val="404040" w:themeColor="text1" w:themeTint="BF"/>
    </w:rPr>
  </w:style>
  <w:style w:type="character" w:customStyle="1" w:styleId="QuoteChar">
    <w:name w:val="Quote Char"/>
    <w:basedOn w:val="DefaultParagraphFont"/>
    <w:link w:val="Quote"/>
    <w:uiPriority w:val="29"/>
    <w:rsid w:val="000A7834"/>
    <w:rPr>
      <w:i/>
      <w:iCs/>
      <w:color w:val="404040" w:themeColor="text1" w:themeTint="BF"/>
    </w:rPr>
  </w:style>
  <w:style w:type="paragraph" w:styleId="ListParagraph">
    <w:name w:val="List Paragraph"/>
    <w:basedOn w:val="Normal"/>
    <w:uiPriority w:val="34"/>
    <w:qFormat/>
    <w:rsid w:val="000A7834"/>
    <w:pPr>
      <w:ind w:left="720"/>
      <w:contextualSpacing/>
    </w:pPr>
  </w:style>
  <w:style w:type="character" w:styleId="IntenseEmphasis">
    <w:name w:val="Intense Emphasis"/>
    <w:basedOn w:val="DefaultParagraphFont"/>
    <w:uiPriority w:val="21"/>
    <w:qFormat/>
    <w:rsid w:val="000A7834"/>
    <w:rPr>
      <w:i/>
      <w:iCs/>
      <w:color w:val="0F4761" w:themeColor="accent1" w:themeShade="BF"/>
    </w:rPr>
  </w:style>
  <w:style w:type="paragraph" w:styleId="IntenseQuote">
    <w:name w:val="Intense Quote"/>
    <w:basedOn w:val="Normal"/>
    <w:next w:val="Normal"/>
    <w:link w:val="IntenseQuoteChar"/>
    <w:uiPriority w:val="30"/>
    <w:qFormat/>
    <w:rsid w:val="000A7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7834"/>
    <w:rPr>
      <w:i/>
      <w:iCs/>
      <w:color w:val="0F4761" w:themeColor="accent1" w:themeShade="BF"/>
    </w:rPr>
  </w:style>
  <w:style w:type="character" w:styleId="IntenseReference">
    <w:name w:val="Intense Reference"/>
    <w:basedOn w:val="DefaultParagraphFont"/>
    <w:uiPriority w:val="32"/>
    <w:qFormat/>
    <w:rsid w:val="000A7834"/>
    <w:rPr>
      <w:b/>
      <w:bCs/>
      <w:smallCaps/>
      <w:color w:val="0F4761" w:themeColor="accent1" w:themeShade="BF"/>
      <w:spacing w:val="5"/>
    </w:rPr>
  </w:style>
  <w:style w:type="paragraph" w:styleId="NoSpacing">
    <w:name w:val="No Spacing"/>
    <w:link w:val="NoSpacingChar"/>
    <w:uiPriority w:val="1"/>
    <w:qFormat/>
    <w:rsid w:val="000A783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783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A783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F1178"/>
    <w:pPr>
      <w:spacing w:after="100"/>
    </w:pPr>
  </w:style>
  <w:style w:type="paragraph" w:styleId="TOC2">
    <w:name w:val="toc 2"/>
    <w:basedOn w:val="Normal"/>
    <w:next w:val="Normal"/>
    <w:autoRedefine/>
    <w:uiPriority w:val="39"/>
    <w:unhideWhenUsed/>
    <w:rsid w:val="006F1178"/>
    <w:pPr>
      <w:spacing w:after="100"/>
      <w:ind w:left="240"/>
    </w:pPr>
  </w:style>
  <w:style w:type="character" w:styleId="Hyperlink">
    <w:name w:val="Hyperlink"/>
    <w:basedOn w:val="DefaultParagraphFont"/>
    <w:uiPriority w:val="99"/>
    <w:unhideWhenUsed/>
    <w:rsid w:val="006F1178"/>
    <w:rPr>
      <w:color w:val="467886" w:themeColor="hyperlink"/>
      <w:u w:val="single"/>
    </w:rPr>
  </w:style>
  <w:style w:type="table" w:styleId="TableGrid">
    <w:name w:val="Table Grid"/>
    <w:basedOn w:val="TableNormal"/>
    <w:uiPriority w:val="39"/>
    <w:rsid w:val="00000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525B0"/>
    <w:rPr>
      <w:color w:val="666666"/>
    </w:rPr>
  </w:style>
  <w:style w:type="paragraph" w:styleId="Bibliography">
    <w:name w:val="Bibliography"/>
    <w:basedOn w:val="Normal"/>
    <w:next w:val="Normal"/>
    <w:uiPriority w:val="37"/>
    <w:unhideWhenUsed/>
    <w:rsid w:val="002147AD"/>
  </w:style>
  <w:style w:type="paragraph" w:styleId="Caption">
    <w:name w:val="caption"/>
    <w:basedOn w:val="Normal"/>
    <w:next w:val="Normal"/>
    <w:uiPriority w:val="35"/>
    <w:unhideWhenUsed/>
    <w:qFormat/>
    <w:rsid w:val="00004FC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D1D1B"/>
    <w:pPr>
      <w:spacing w:after="0"/>
    </w:pPr>
  </w:style>
  <w:style w:type="paragraph" w:styleId="Header">
    <w:name w:val="header"/>
    <w:basedOn w:val="Normal"/>
    <w:link w:val="HeaderChar"/>
    <w:uiPriority w:val="99"/>
    <w:unhideWhenUsed/>
    <w:rsid w:val="008D1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D1B"/>
  </w:style>
  <w:style w:type="paragraph" w:styleId="Footer">
    <w:name w:val="footer"/>
    <w:basedOn w:val="Normal"/>
    <w:link w:val="FooterChar"/>
    <w:uiPriority w:val="99"/>
    <w:unhideWhenUsed/>
    <w:rsid w:val="008D1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953350">
      <w:bodyDiv w:val="1"/>
      <w:marLeft w:val="0"/>
      <w:marRight w:val="0"/>
      <w:marTop w:val="0"/>
      <w:marBottom w:val="0"/>
      <w:divBdr>
        <w:top w:val="none" w:sz="0" w:space="0" w:color="auto"/>
        <w:left w:val="none" w:sz="0" w:space="0" w:color="auto"/>
        <w:bottom w:val="none" w:sz="0" w:space="0" w:color="auto"/>
        <w:right w:val="none" w:sz="0" w:space="0" w:color="auto"/>
      </w:divBdr>
    </w:div>
    <w:div w:id="187523811">
      <w:bodyDiv w:val="1"/>
      <w:marLeft w:val="0"/>
      <w:marRight w:val="0"/>
      <w:marTop w:val="0"/>
      <w:marBottom w:val="0"/>
      <w:divBdr>
        <w:top w:val="none" w:sz="0" w:space="0" w:color="auto"/>
        <w:left w:val="none" w:sz="0" w:space="0" w:color="auto"/>
        <w:bottom w:val="none" w:sz="0" w:space="0" w:color="auto"/>
        <w:right w:val="none" w:sz="0" w:space="0" w:color="auto"/>
      </w:divBdr>
    </w:div>
    <w:div w:id="228541453">
      <w:bodyDiv w:val="1"/>
      <w:marLeft w:val="0"/>
      <w:marRight w:val="0"/>
      <w:marTop w:val="0"/>
      <w:marBottom w:val="0"/>
      <w:divBdr>
        <w:top w:val="none" w:sz="0" w:space="0" w:color="auto"/>
        <w:left w:val="none" w:sz="0" w:space="0" w:color="auto"/>
        <w:bottom w:val="none" w:sz="0" w:space="0" w:color="auto"/>
        <w:right w:val="none" w:sz="0" w:space="0" w:color="auto"/>
      </w:divBdr>
    </w:div>
    <w:div w:id="255947057">
      <w:bodyDiv w:val="1"/>
      <w:marLeft w:val="0"/>
      <w:marRight w:val="0"/>
      <w:marTop w:val="0"/>
      <w:marBottom w:val="0"/>
      <w:divBdr>
        <w:top w:val="none" w:sz="0" w:space="0" w:color="auto"/>
        <w:left w:val="none" w:sz="0" w:space="0" w:color="auto"/>
        <w:bottom w:val="none" w:sz="0" w:space="0" w:color="auto"/>
        <w:right w:val="none" w:sz="0" w:space="0" w:color="auto"/>
      </w:divBdr>
    </w:div>
    <w:div w:id="277371018">
      <w:bodyDiv w:val="1"/>
      <w:marLeft w:val="0"/>
      <w:marRight w:val="0"/>
      <w:marTop w:val="0"/>
      <w:marBottom w:val="0"/>
      <w:divBdr>
        <w:top w:val="none" w:sz="0" w:space="0" w:color="auto"/>
        <w:left w:val="none" w:sz="0" w:space="0" w:color="auto"/>
        <w:bottom w:val="none" w:sz="0" w:space="0" w:color="auto"/>
        <w:right w:val="none" w:sz="0" w:space="0" w:color="auto"/>
      </w:divBdr>
    </w:div>
    <w:div w:id="285936724">
      <w:bodyDiv w:val="1"/>
      <w:marLeft w:val="0"/>
      <w:marRight w:val="0"/>
      <w:marTop w:val="0"/>
      <w:marBottom w:val="0"/>
      <w:divBdr>
        <w:top w:val="none" w:sz="0" w:space="0" w:color="auto"/>
        <w:left w:val="none" w:sz="0" w:space="0" w:color="auto"/>
        <w:bottom w:val="none" w:sz="0" w:space="0" w:color="auto"/>
        <w:right w:val="none" w:sz="0" w:space="0" w:color="auto"/>
      </w:divBdr>
    </w:div>
    <w:div w:id="292445399">
      <w:bodyDiv w:val="1"/>
      <w:marLeft w:val="0"/>
      <w:marRight w:val="0"/>
      <w:marTop w:val="0"/>
      <w:marBottom w:val="0"/>
      <w:divBdr>
        <w:top w:val="none" w:sz="0" w:space="0" w:color="auto"/>
        <w:left w:val="none" w:sz="0" w:space="0" w:color="auto"/>
        <w:bottom w:val="none" w:sz="0" w:space="0" w:color="auto"/>
        <w:right w:val="none" w:sz="0" w:space="0" w:color="auto"/>
      </w:divBdr>
    </w:div>
    <w:div w:id="305090517">
      <w:bodyDiv w:val="1"/>
      <w:marLeft w:val="0"/>
      <w:marRight w:val="0"/>
      <w:marTop w:val="0"/>
      <w:marBottom w:val="0"/>
      <w:divBdr>
        <w:top w:val="none" w:sz="0" w:space="0" w:color="auto"/>
        <w:left w:val="none" w:sz="0" w:space="0" w:color="auto"/>
        <w:bottom w:val="none" w:sz="0" w:space="0" w:color="auto"/>
        <w:right w:val="none" w:sz="0" w:space="0" w:color="auto"/>
      </w:divBdr>
    </w:div>
    <w:div w:id="331567383">
      <w:bodyDiv w:val="1"/>
      <w:marLeft w:val="0"/>
      <w:marRight w:val="0"/>
      <w:marTop w:val="0"/>
      <w:marBottom w:val="0"/>
      <w:divBdr>
        <w:top w:val="none" w:sz="0" w:space="0" w:color="auto"/>
        <w:left w:val="none" w:sz="0" w:space="0" w:color="auto"/>
        <w:bottom w:val="none" w:sz="0" w:space="0" w:color="auto"/>
        <w:right w:val="none" w:sz="0" w:space="0" w:color="auto"/>
      </w:divBdr>
    </w:div>
    <w:div w:id="351686252">
      <w:bodyDiv w:val="1"/>
      <w:marLeft w:val="0"/>
      <w:marRight w:val="0"/>
      <w:marTop w:val="0"/>
      <w:marBottom w:val="0"/>
      <w:divBdr>
        <w:top w:val="none" w:sz="0" w:space="0" w:color="auto"/>
        <w:left w:val="none" w:sz="0" w:space="0" w:color="auto"/>
        <w:bottom w:val="none" w:sz="0" w:space="0" w:color="auto"/>
        <w:right w:val="none" w:sz="0" w:space="0" w:color="auto"/>
      </w:divBdr>
    </w:div>
    <w:div w:id="414863413">
      <w:bodyDiv w:val="1"/>
      <w:marLeft w:val="0"/>
      <w:marRight w:val="0"/>
      <w:marTop w:val="0"/>
      <w:marBottom w:val="0"/>
      <w:divBdr>
        <w:top w:val="none" w:sz="0" w:space="0" w:color="auto"/>
        <w:left w:val="none" w:sz="0" w:space="0" w:color="auto"/>
        <w:bottom w:val="none" w:sz="0" w:space="0" w:color="auto"/>
        <w:right w:val="none" w:sz="0" w:space="0" w:color="auto"/>
      </w:divBdr>
    </w:div>
    <w:div w:id="440495179">
      <w:bodyDiv w:val="1"/>
      <w:marLeft w:val="0"/>
      <w:marRight w:val="0"/>
      <w:marTop w:val="0"/>
      <w:marBottom w:val="0"/>
      <w:divBdr>
        <w:top w:val="none" w:sz="0" w:space="0" w:color="auto"/>
        <w:left w:val="none" w:sz="0" w:space="0" w:color="auto"/>
        <w:bottom w:val="none" w:sz="0" w:space="0" w:color="auto"/>
        <w:right w:val="none" w:sz="0" w:space="0" w:color="auto"/>
      </w:divBdr>
    </w:div>
    <w:div w:id="443430341">
      <w:bodyDiv w:val="1"/>
      <w:marLeft w:val="0"/>
      <w:marRight w:val="0"/>
      <w:marTop w:val="0"/>
      <w:marBottom w:val="0"/>
      <w:divBdr>
        <w:top w:val="none" w:sz="0" w:space="0" w:color="auto"/>
        <w:left w:val="none" w:sz="0" w:space="0" w:color="auto"/>
        <w:bottom w:val="none" w:sz="0" w:space="0" w:color="auto"/>
        <w:right w:val="none" w:sz="0" w:space="0" w:color="auto"/>
      </w:divBdr>
    </w:div>
    <w:div w:id="504588509">
      <w:bodyDiv w:val="1"/>
      <w:marLeft w:val="0"/>
      <w:marRight w:val="0"/>
      <w:marTop w:val="0"/>
      <w:marBottom w:val="0"/>
      <w:divBdr>
        <w:top w:val="none" w:sz="0" w:space="0" w:color="auto"/>
        <w:left w:val="none" w:sz="0" w:space="0" w:color="auto"/>
        <w:bottom w:val="none" w:sz="0" w:space="0" w:color="auto"/>
        <w:right w:val="none" w:sz="0" w:space="0" w:color="auto"/>
      </w:divBdr>
    </w:div>
    <w:div w:id="539436978">
      <w:bodyDiv w:val="1"/>
      <w:marLeft w:val="0"/>
      <w:marRight w:val="0"/>
      <w:marTop w:val="0"/>
      <w:marBottom w:val="0"/>
      <w:divBdr>
        <w:top w:val="none" w:sz="0" w:space="0" w:color="auto"/>
        <w:left w:val="none" w:sz="0" w:space="0" w:color="auto"/>
        <w:bottom w:val="none" w:sz="0" w:space="0" w:color="auto"/>
        <w:right w:val="none" w:sz="0" w:space="0" w:color="auto"/>
      </w:divBdr>
    </w:div>
    <w:div w:id="553663846">
      <w:bodyDiv w:val="1"/>
      <w:marLeft w:val="0"/>
      <w:marRight w:val="0"/>
      <w:marTop w:val="0"/>
      <w:marBottom w:val="0"/>
      <w:divBdr>
        <w:top w:val="none" w:sz="0" w:space="0" w:color="auto"/>
        <w:left w:val="none" w:sz="0" w:space="0" w:color="auto"/>
        <w:bottom w:val="none" w:sz="0" w:space="0" w:color="auto"/>
        <w:right w:val="none" w:sz="0" w:space="0" w:color="auto"/>
      </w:divBdr>
    </w:div>
    <w:div w:id="571891834">
      <w:bodyDiv w:val="1"/>
      <w:marLeft w:val="0"/>
      <w:marRight w:val="0"/>
      <w:marTop w:val="0"/>
      <w:marBottom w:val="0"/>
      <w:divBdr>
        <w:top w:val="none" w:sz="0" w:space="0" w:color="auto"/>
        <w:left w:val="none" w:sz="0" w:space="0" w:color="auto"/>
        <w:bottom w:val="none" w:sz="0" w:space="0" w:color="auto"/>
        <w:right w:val="none" w:sz="0" w:space="0" w:color="auto"/>
      </w:divBdr>
    </w:div>
    <w:div w:id="601381948">
      <w:bodyDiv w:val="1"/>
      <w:marLeft w:val="0"/>
      <w:marRight w:val="0"/>
      <w:marTop w:val="0"/>
      <w:marBottom w:val="0"/>
      <w:divBdr>
        <w:top w:val="none" w:sz="0" w:space="0" w:color="auto"/>
        <w:left w:val="none" w:sz="0" w:space="0" w:color="auto"/>
        <w:bottom w:val="none" w:sz="0" w:space="0" w:color="auto"/>
        <w:right w:val="none" w:sz="0" w:space="0" w:color="auto"/>
      </w:divBdr>
    </w:div>
    <w:div w:id="610237357">
      <w:bodyDiv w:val="1"/>
      <w:marLeft w:val="0"/>
      <w:marRight w:val="0"/>
      <w:marTop w:val="0"/>
      <w:marBottom w:val="0"/>
      <w:divBdr>
        <w:top w:val="none" w:sz="0" w:space="0" w:color="auto"/>
        <w:left w:val="none" w:sz="0" w:space="0" w:color="auto"/>
        <w:bottom w:val="none" w:sz="0" w:space="0" w:color="auto"/>
        <w:right w:val="none" w:sz="0" w:space="0" w:color="auto"/>
      </w:divBdr>
    </w:div>
    <w:div w:id="636648010">
      <w:bodyDiv w:val="1"/>
      <w:marLeft w:val="0"/>
      <w:marRight w:val="0"/>
      <w:marTop w:val="0"/>
      <w:marBottom w:val="0"/>
      <w:divBdr>
        <w:top w:val="none" w:sz="0" w:space="0" w:color="auto"/>
        <w:left w:val="none" w:sz="0" w:space="0" w:color="auto"/>
        <w:bottom w:val="none" w:sz="0" w:space="0" w:color="auto"/>
        <w:right w:val="none" w:sz="0" w:space="0" w:color="auto"/>
      </w:divBdr>
    </w:div>
    <w:div w:id="671446048">
      <w:bodyDiv w:val="1"/>
      <w:marLeft w:val="0"/>
      <w:marRight w:val="0"/>
      <w:marTop w:val="0"/>
      <w:marBottom w:val="0"/>
      <w:divBdr>
        <w:top w:val="none" w:sz="0" w:space="0" w:color="auto"/>
        <w:left w:val="none" w:sz="0" w:space="0" w:color="auto"/>
        <w:bottom w:val="none" w:sz="0" w:space="0" w:color="auto"/>
        <w:right w:val="none" w:sz="0" w:space="0" w:color="auto"/>
      </w:divBdr>
    </w:div>
    <w:div w:id="676003873">
      <w:bodyDiv w:val="1"/>
      <w:marLeft w:val="0"/>
      <w:marRight w:val="0"/>
      <w:marTop w:val="0"/>
      <w:marBottom w:val="0"/>
      <w:divBdr>
        <w:top w:val="none" w:sz="0" w:space="0" w:color="auto"/>
        <w:left w:val="none" w:sz="0" w:space="0" w:color="auto"/>
        <w:bottom w:val="none" w:sz="0" w:space="0" w:color="auto"/>
        <w:right w:val="none" w:sz="0" w:space="0" w:color="auto"/>
      </w:divBdr>
    </w:div>
    <w:div w:id="682054961">
      <w:bodyDiv w:val="1"/>
      <w:marLeft w:val="0"/>
      <w:marRight w:val="0"/>
      <w:marTop w:val="0"/>
      <w:marBottom w:val="0"/>
      <w:divBdr>
        <w:top w:val="none" w:sz="0" w:space="0" w:color="auto"/>
        <w:left w:val="none" w:sz="0" w:space="0" w:color="auto"/>
        <w:bottom w:val="none" w:sz="0" w:space="0" w:color="auto"/>
        <w:right w:val="none" w:sz="0" w:space="0" w:color="auto"/>
      </w:divBdr>
    </w:div>
    <w:div w:id="686098504">
      <w:bodyDiv w:val="1"/>
      <w:marLeft w:val="0"/>
      <w:marRight w:val="0"/>
      <w:marTop w:val="0"/>
      <w:marBottom w:val="0"/>
      <w:divBdr>
        <w:top w:val="none" w:sz="0" w:space="0" w:color="auto"/>
        <w:left w:val="none" w:sz="0" w:space="0" w:color="auto"/>
        <w:bottom w:val="none" w:sz="0" w:space="0" w:color="auto"/>
        <w:right w:val="none" w:sz="0" w:space="0" w:color="auto"/>
      </w:divBdr>
    </w:div>
    <w:div w:id="715156513">
      <w:bodyDiv w:val="1"/>
      <w:marLeft w:val="0"/>
      <w:marRight w:val="0"/>
      <w:marTop w:val="0"/>
      <w:marBottom w:val="0"/>
      <w:divBdr>
        <w:top w:val="none" w:sz="0" w:space="0" w:color="auto"/>
        <w:left w:val="none" w:sz="0" w:space="0" w:color="auto"/>
        <w:bottom w:val="none" w:sz="0" w:space="0" w:color="auto"/>
        <w:right w:val="none" w:sz="0" w:space="0" w:color="auto"/>
      </w:divBdr>
    </w:div>
    <w:div w:id="716658725">
      <w:bodyDiv w:val="1"/>
      <w:marLeft w:val="0"/>
      <w:marRight w:val="0"/>
      <w:marTop w:val="0"/>
      <w:marBottom w:val="0"/>
      <w:divBdr>
        <w:top w:val="none" w:sz="0" w:space="0" w:color="auto"/>
        <w:left w:val="none" w:sz="0" w:space="0" w:color="auto"/>
        <w:bottom w:val="none" w:sz="0" w:space="0" w:color="auto"/>
        <w:right w:val="none" w:sz="0" w:space="0" w:color="auto"/>
      </w:divBdr>
    </w:div>
    <w:div w:id="717359544">
      <w:bodyDiv w:val="1"/>
      <w:marLeft w:val="0"/>
      <w:marRight w:val="0"/>
      <w:marTop w:val="0"/>
      <w:marBottom w:val="0"/>
      <w:divBdr>
        <w:top w:val="none" w:sz="0" w:space="0" w:color="auto"/>
        <w:left w:val="none" w:sz="0" w:space="0" w:color="auto"/>
        <w:bottom w:val="none" w:sz="0" w:space="0" w:color="auto"/>
        <w:right w:val="none" w:sz="0" w:space="0" w:color="auto"/>
      </w:divBdr>
    </w:div>
    <w:div w:id="717894204">
      <w:bodyDiv w:val="1"/>
      <w:marLeft w:val="0"/>
      <w:marRight w:val="0"/>
      <w:marTop w:val="0"/>
      <w:marBottom w:val="0"/>
      <w:divBdr>
        <w:top w:val="none" w:sz="0" w:space="0" w:color="auto"/>
        <w:left w:val="none" w:sz="0" w:space="0" w:color="auto"/>
        <w:bottom w:val="none" w:sz="0" w:space="0" w:color="auto"/>
        <w:right w:val="none" w:sz="0" w:space="0" w:color="auto"/>
      </w:divBdr>
    </w:div>
    <w:div w:id="733241068">
      <w:bodyDiv w:val="1"/>
      <w:marLeft w:val="0"/>
      <w:marRight w:val="0"/>
      <w:marTop w:val="0"/>
      <w:marBottom w:val="0"/>
      <w:divBdr>
        <w:top w:val="none" w:sz="0" w:space="0" w:color="auto"/>
        <w:left w:val="none" w:sz="0" w:space="0" w:color="auto"/>
        <w:bottom w:val="none" w:sz="0" w:space="0" w:color="auto"/>
        <w:right w:val="none" w:sz="0" w:space="0" w:color="auto"/>
      </w:divBdr>
    </w:div>
    <w:div w:id="781844926">
      <w:bodyDiv w:val="1"/>
      <w:marLeft w:val="0"/>
      <w:marRight w:val="0"/>
      <w:marTop w:val="0"/>
      <w:marBottom w:val="0"/>
      <w:divBdr>
        <w:top w:val="none" w:sz="0" w:space="0" w:color="auto"/>
        <w:left w:val="none" w:sz="0" w:space="0" w:color="auto"/>
        <w:bottom w:val="none" w:sz="0" w:space="0" w:color="auto"/>
        <w:right w:val="none" w:sz="0" w:space="0" w:color="auto"/>
      </w:divBdr>
    </w:div>
    <w:div w:id="787048220">
      <w:bodyDiv w:val="1"/>
      <w:marLeft w:val="0"/>
      <w:marRight w:val="0"/>
      <w:marTop w:val="0"/>
      <w:marBottom w:val="0"/>
      <w:divBdr>
        <w:top w:val="none" w:sz="0" w:space="0" w:color="auto"/>
        <w:left w:val="none" w:sz="0" w:space="0" w:color="auto"/>
        <w:bottom w:val="none" w:sz="0" w:space="0" w:color="auto"/>
        <w:right w:val="none" w:sz="0" w:space="0" w:color="auto"/>
      </w:divBdr>
    </w:div>
    <w:div w:id="824668272">
      <w:bodyDiv w:val="1"/>
      <w:marLeft w:val="0"/>
      <w:marRight w:val="0"/>
      <w:marTop w:val="0"/>
      <w:marBottom w:val="0"/>
      <w:divBdr>
        <w:top w:val="none" w:sz="0" w:space="0" w:color="auto"/>
        <w:left w:val="none" w:sz="0" w:space="0" w:color="auto"/>
        <w:bottom w:val="none" w:sz="0" w:space="0" w:color="auto"/>
        <w:right w:val="none" w:sz="0" w:space="0" w:color="auto"/>
      </w:divBdr>
    </w:div>
    <w:div w:id="864516922">
      <w:bodyDiv w:val="1"/>
      <w:marLeft w:val="0"/>
      <w:marRight w:val="0"/>
      <w:marTop w:val="0"/>
      <w:marBottom w:val="0"/>
      <w:divBdr>
        <w:top w:val="none" w:sz="0" w:space="0" w:color="auto"/>
        <w:left w:val="none" w:sz="0" w:space="0" w:color="auto"/>
        <w:bottom w:val="none" w:sz="0" w:space="0" w:color="auto"/>
        <w:right w:val="none" w:sz="0" w:space="0" w:color="auto"/>
      </w:divBdr>
    </w:div>
    <w:div w:id="872494430">
      <w:bodyDiv w:val="1"/>
      <w:marLeft w:val="0"/>
      <w:marRight w:val="0"/>
      <w:marTop w:val="0"/>
      <w:marBottom w:val="0"/>
      <w:divBdr>
        <w:top w:val="none" w:sz="0" w:space="0" w:color="auto"/>
        <w:left w:val="none" w:sz="0" w:space="0" w:color="auto"/>
        <w:bottom w:val="none" w:sz="0" w:space="0" w:color="auto"/>
        <w:right w:val="none" w:sz="0" w:space="0" w:color="auto"/>
      </w:divBdr>
    </w:div>
    <w:div w:id="882325104">
      <w:bodyDiv w:val="1"/>
      <w:marLeft w:val="0"/>
      <w:marRight w:val="0"/>
      <w:marTop w:val="0"/>
      <w:marBottom w:val="0"/>
      <w:divBdr>
        <w:top w:val="none" w:sz="0" w:space="0" w:color="auto"/>
        <w:left w:val="none" w:sz="0" w:space="0" w:color="auto"/>
        <w:bottom w:val="none" w:sz="0" w:space="0" w:color="auto"/>
        <w:right w:val="none" w:sz="0" w:space="0" w:color="auto"/>
      </w:divBdr>
    </w:div>
    <w:div w:id="946035200">
      <w:bodyDiv w:val="1"/>
      <w:marLeft w:val="0"/>
      <w:marRight w:val="0"/>
      <w:marTop w:val="0"/>
      <w:marBottom w:val="0"/>
      <w:divBdr>
        <w:top w:val="none" w:sz="0" w:space="0" w:color="auto"/>
        <w:left w:val="none" w:sz="0" w:space="0" w:color="auto"/>
        <w:bottom w:val="none" w:sz="0" w:space="0" w:color="auto"/>
        <w:right w:val="none" w:sz="0" w:space="0" w:color="auto"/>
      </w:divBdr>
    </w:div>
    <w:div w:id="953823131">
      <w:bodyDiv w:val="1"/>
      <w:marLeft w:val="0"/>
      <w:marRight w:val="0"/>
      <w:marTop w:val="0"/>
      <w:marBottom w:val="0"/>
      <w:divBdr>
        <w:top w:val="none" w:sz="0" w:space="0" w:color="auto"/>
        <w:left w:val="none" w:sz="0" w:space="0" w:color="auto"/>
        <w:bottom w:val="none" w:sz="0" w:space="0" w:color="auto"/>
        <w:right w:val="none" w:sz="0" w:space="0" w:color="auto"/>
      </w:divBdr>
    </w:div>
    <w:div w:id="963848668">
      <w:bodyDiv w:val="1"/>
      <w:marLeft w:val="0"/>
      <w:marRight w:val="0"/>
      <w:marTop w:val="0"/>
      <w:marBottom w:val="0"/>
      <w:divBdr>
        <w:top w:val="none" w:sz="0" w:space="0" w:color="auto"/>
        <w:left w:val="none" w:sz="0" w:space="0" w:color="auto"/>
        <w:bottom w:val="none" w:sz="0" w:space="0" w:color="auto"/>
        <w:right w:val="none" w:sz="0" w:space="0" w:color="auto"/>
      </w:divBdr>
    </w:div>
    <w:div w:id="1010791763">
      <w:bodyDiv w:val="1"/>
      <w:marLeft w:val="0"/>
      <w:marRight w:val="0"/>
      <w:marTop w:val="0"/>
      <w:marBottom w:val="0"/>
      <w:divBdr>
        <w:top w:val="none" w:sz="0" w:space="0" w:color="auto"/>
        <w:left w:val="none" w:sz="0" w:space="0" w:color="auto"/>
        <w:bottom w:val="none" w:sz="0" w:space="0" w:color="auto"/>
        <w:right w:val="none" w:sz="0" w:space="0" w:color="auto"/>
      </w:divBdr>
    </w:div>
    <w:div w:id="1028919232">
      <w:bodyDiv w:val="1"/>
      <w:marLeft w:val="0"/>
      <w:marRight w:val="0"/>
      <w:marTop w:val="0"/>
      <w:marBottom w:val="0"/>
      <w:divBdr>
        <w:top w:val="none" w:sz="0" w:space="0" w:color="auto"/>
        <w:left w:val="none" w:sz="0" w:space="0" w:color="auto"/>
        <w:bottom w:val="none" w:sz="0" w:space="0" w:color="auto"/>
        <w:right w:val="none" w:sz="0" w:space="0" w:color="auto"/>
      </w:divBdr>
    </w:div>
    <w:div w:id="1035891111">
      <w:bodyDiv w:val="1"/>
      <w:marLeft w:val="0"/>
      <w:marRight w:val="0"/>
      <w:marTop w:val="0"/>
      <w:marBottom w:val="0"/>
      <w:divBdr>
        <w:top w:val="none" w:sz="0" w:space="0" w:color="auto"/>
        <w:left w:val="none" w:sz="0" w:space="0" w:color="auto"/>
        <w:bottom w:val="none" w:sz="0" w:space="0" w:color="auto"/>
        <w:right w:val="none" w:sz="0" w:space="0" w:color="auto"/>
      </w:divBdr>
    </w:div>
    <w:div w:id="1037971359">
      <w:bodyDiv w:val="1"/>
      <w:marLeft w:val="0"/>
      <w:marRight w:val="0"/>
      <w:marTop w:val="0"/>
      <w:marBottom w:val="0"/>
      <w:divBdr>
        <w:top w:val="none" w:sz="0" w:space="0" w:color="auto"/>
        <w:left w:val="none" w:sz="0" w:space="0" w:color="auto"/>
        <w:bottom w:val="none" w:sz="0" w:space="0" w:color="auto"/>
        <w:right w:val="none" w:sz="0" w:space="0" w:color="auto"/>
      </w:divBdr>
    </w:div>
    <w:div w:id="1041050579">
      <w:bodyDiv w:val="1"/>
      <w:marLeft w:val="0"/>
      <w:marRight w:val="0"/>
      <w:marTop w:val="0"/>
      <w:marBottom w:val="0"/>
      <w:divBdr>
        <w:top w:val="none" w:sz="0" w:space="0" w:color="auto"/>
        <w:left w:val="none" w:sz="0" w:space="0" w:color="auto"/>
        <w:bottom w:val="none" w:sz="0" w:space="0" w:color="auto"/>
        <w:right w:val="none" w:sz="0" w:space="0" w:color="auto"/>
      </w:divBdr>
    </w:div>
    <w:div w:id="1055852329">
      <w:bodyDiv w:val="1"/>
      <w:marLeft w:val="0"/>
      <w:marRight w:val="0"/>
      <w:marTop w:val="0"/>
      <w:marBottom w:val="0"/>
      <w:divBdr>
        <w:top w:val="none" w:sz="0" w:space="0" w:color="auto"/>
        <w:left w:val="none" w:sz="0" w:space="0" w:color="auto"/>
        <w:bottom w:val="none" w:sz="0" w:space="0" w:color="auto"/>
        <w:right w:val="none" w:sz="0" w:space="0" w:color="auto"/>
      </w:divBdr>
    </w:div>
    <w:div w:id="1088186804">
      <w:bodyDiv w:val="1"/>
      <w:marLeft w:val="0"/>
      <w:marRight w:val="0"/>
      <w:marTop w:val="0"/>
      <w:marBottom w:val="0"/>
      <w:divBdr>
        <w:top w:val="none" w:sz="0" w:space="0" w:color="auto"/>
        <w:left w:val="none" w:sz="0" w:space="0" w:color="auto"/>
        <w:bottom w:val="none" w:sz="0" w:space="0" w:color="auto"/>
        <w:right w:val="none" w:sz="0" w:space="0" w:color="auto"/>
      </w:divBdr>
    </w:div>
    <w:div w:id="1096636045">
      <w:bodyDiv w:val="1"/>
      <w:marLeft w:val="0"/>
      <w:marRight w:val="0"/>
      <w:marTop w:val="0"/>
      <w:marBottom w:val="0"/>
      <w:divBdr>
        <w:top w:val="none" w:sz="0" w:space="0" w:color="auto"/>
        <w:left w:val="none" w:sz="0" w:space="0" w:color="auto"/>
        <w:bottom w:val="none" w:sz="0" w:space="0" w:color="auto"/>
        <w:right w:val="none" w:sz="0" w:space="0" w:color="auto"/>
      </w:divBdr>
    </w:div>
    <w:div w:id="1127820545">
      <w:bodyDiv w:val="1"/>
      <w:marLeft w:val="0"/>
      <w:marRight w:val="0"/>
      <w:marTop w:val="0"/>
      <w:marBottom w:val="0"/>
      <w:divBdr>
        <w:top w:val="none" w:sz="0" w:space="0" w:color="auto"/>
        <w:left w:val="none" w:sz="0" w:space="0" w:color="auto"/>
        <w:bottom w:val="none" w:sz="0" w:space="0" w:color="auto"/>
        <w:right w:val="none" w:sz="0" w:space="0" w:color="auto"/>
      </w:divBdr>
    </w:div>
    <w:div w:id="1133526061">
      <w:bodyDiv w:val="1"/>
      <w:marLeft w:val="0"/>
      <w:marRight w:val="0"/>
      <w:marTop w:val="0"/>
      <w:marBottom w:val="0"/>
      <w:divBdr>
        <w:top w:val="none" w:sz="0" w:space="0" w:color="auto"/>
        <w:left w:val="none" w:sz="0" w:space="0" w:color="auto"/>
        <w:bottom w:val="none" w:sz="0" w:space="0" w:color="auto"/>
        <w:right w:val="none" w:sz="0" w:space="0" w:color="auto"/>
      </w:divBdr>
    </w:div>
    <w:div w:id="1149857700">
      <w:bodyDiv w:val="1"/>
      <w:marLeft w:val="0"/>
      <w:marRight w:val="0"/>
      <w:marTop w:val="0"/>
      <w:marBottom w:val="0"/>
      <w:divBdr>
        <w:top w:val="none" w:sz="0" w:space="0" w:color="auto"/>
        <w:left w:val="none" w:sz="0" w:space="0" w:color="auto"/>
        <w:bottom w:val="none" w:sz="0" w:space="0" w:color="auto"/>
        <w:right w:val="none" w:sz="0" w:space="0" w:color="auto"/>
      </w:divBdr>
    </w:div>
    <w:div w:id="1177354630">
      <w:bodyDiv w:val="1"/>
      <w:marLeft w:val="0"/>
      <w:marRight w:val="0"/>
      <w:marTop w:val="0"/>
      <w:marBottom w:val="0"/>
      <w:divBdr>
        <w:top w:val="none" w:sz="0" w:space="0" w:color="auto"/>
        <w:left w:val="none" w:sz="0" w:space="0" w:color="auto"/>
        <w:bottom w:val="none" w:sz="0" w:space="0" w:color="auto"/>
        <w:right w:val="none" w:sz="0" w:space="0" w:color="auto"/>
      </w:divBdr>
    </w:div>
    <w:div w:id="1181315646">
      <w:bodyDiv w:val="1"/>
      <w:marLeft w:val="0"/>
      <w:marRight w:val="0"/>
      <w:marTop w:val="0"/>
      <w:marBottom w:val="0"/>
      <w:divBdr>
        <w:top w:val="none" w:sz="0" w:space="0" w:color="auto"/>
        <w:left w:val="none" w:sz="0" w:space="0" w:color="auto"/>
        <w:bottom w:val="none" w:sz="0" w:space="0" w:color="auto"/>
        <w:right w:val="none" w:sz="0" w:space="0" w:color="auto"/>
      </w:divBdr>
    </w:div>
    <w:div w:id="1196040144">
      <w:bodyDiv w:val="1"/>
      <w:marLeft w:val="0"/>
      <w:marRight w:val="0"/>
      <w:marTop w:val="0"/>
      <w:marBottom w:val="0"/>
      <w:divBdr>
        <w:top w:val="none" w:sz="0" w:space="0" w:color="auto"/>
        <w:left w:val="none" w:sz="0" w:space="0" w:color="auto"/>
        <w:bottom w:val="none" w:sz="0" w:space="0" w:color="auto"/>
        <w:right w:val="none" w:sz="0" w:space="0" w:color="auto"/>
      </w:divBdr>
    </w:div>
    <w:div w:id="1237207800">
      <w:bodyDiv w:val="1"/>
      <w:marLeft w:val="0"/>
      <w:marRight w:val="0"/>
      <w:marTop w:val="0"/>
      <w:marBottom w:val="0"/>
      <w:divBdr>
        <w:top w:val="none" w:sz="0" w:space="0" w:color="auto"/>
        <w:left w:val="none" w:sz="0" w:space="0" w:color="auto"/>
        <w:bottom w:val="none" w:sz="0" w:space="0" w:color="auto"/>
        <w:right w:val="none" w:sz="0" w:space="0" w:color="auto"/>
      </w:divBdr>
    </w:div>
    <w:div w:id="1255170256">
      <w:bodyDiv w:val="1"/>
      <w:marLeft w:val="0"/>
      <w:marRight w:val="0"/>
      <w:marTop w:val="0"/>
      <w:marBottom w:val="0"/>
      <w:divBdr>
        <w:top w:val="none" w:sz="0" w:space="0" w:color="auto"/>
        <w:left w:val="none" w:sz="0" w:space="0" w:color="auto"/>
        <w:bottom w:val="none" w:sz="0" w:space="0" w:color="auto"/>
        <w:right w:val="none" w:sz="0" w:space="0" w:color="auto"/>
      </w:divBdr>
    </w:div>
    <w:div w:id="1270552753">
      <w:bodyDiv w:val="1"/>
      <w:marLeft w:val="0"/>
      <w:marRight w:val="0"/>
      <w:marTop w:val="0"/>
      <w:marBottom w:val="0"/>
      <w:divBdr>
        <w:top w:val="none" w:sz="0" w:space="0" w:color="auto"/>
        <w:left w:val="none" w:sz="0" w:space="0" w:color="auto"/>
        <w:bottom w:val="none" w:sz="0" w:space="0" w:color="auto"/>
        <w:right w:val="none" w:sz="0" w:space="0" w:color="auto"/>
      </w:divBdr>
    </w:div>
    <w:div w:id="1299340494">
      <w:bodyDiv w:val="1"/>
      <w:marLeft w:val="0"/>
      <w:marRight w:val="0"/>
      <w:marTop w:val="0"/>
      <w:marBottom w:val="0"/>
      <w:divBdr>
        <w:top w:val="none" w:sz="0" w:space="0" w:color="auto"/>
        <w:left w:val="none" w:sz="0" w:space="0" w:color="auto"/>
        <w:bottom w:val="none" w:sz="0" w:space="0" w:color="auto"/>
        <w:right w:val="none" w:sz="0" w:space="0" w:color="auto"/>
      </w:divBdr>
    </w:div>
    <w:div w:id="1314138101">
      <w:bodyDiv w:val="1"/>
      <w:marLeft w:val="0"/>
      <w:marRight w:val="0"/>
      <w:marTop w:val="0"/>
      <w:marBottom w:val="0"/>
      <w:divBdr>
        <w:top w:val="none" w:sz="0" w:space="0" w:color="auto"/>
        <w:left w:val="none" w:sz="0" w:space="0" w:color="auto"/>
        <w:bottom w:val="none" w:sz="0" w:space="0" w:color="auto"/>
        <w:right w:val="none" w:sz="0" w:space="0" w:color="auto"/>
      </w:divBdr>
    </w:div>
    <w:div w:id="1374109521">
      <w:bodyDiv w:val="1"/>
      <w:marLeft w:val="0"/>
      <w:marRight w:val="0"/>
      <w:marTop w:val="0"/>
      <w:marBottom w:val="0"/>
      <w:divBdr>
        <w:top w:val="none" w:sz="0" w:space="0" w:color="auto"/>
        <w:left w:val="none" w:sz="0" w:space="0" w:color="auto"/>
        <w:bottom w:val="none" w:sz="0" w:space="0" w:color="auto"/>
        <w:right w:val="none" w:sz="0" w:space="0" w:color="auto"/>
      </w:divBdr>
    </w:div>
    <w:div w:id="1377118276">
      <w:bodyDiv w:val="1"/>
      <w:marLeft w:val="0"/>
      <w:marRight w:val="0"/>
      <w:marTop w:val="0"/>
      <w:marBottom w:val="0"/>
      <w:divBdr>
        <w:top w:val="none" w:sz="0" w:space="0" w:color="auto"/>
        <w:left w:val="none" w:sz="0" w:space="0" w:color="auto"/>
        <w:bottom w:val="none" w:sz="0" w:space="0" w:color="auto"/>
        <w:right w:val="none" w:sz="0" w:space="0" w:color="auto"/>
      </w:divBdr>
    </w:div>
    <w:div w:id="1380324855">
      <w:bodyDiv w:val="1"/>
      <w:marLeft w:val="0"/>
      <w:marRight w:val="0"/>
      <w:marTop w:val="0"/>
      <w:marBottom w:val="0"/>
      <w:divBdr>
        <w:top w:val="none" w:sz="0" w:space="0" w:color="auto"/>
        <w:left w:val="none" w:sz="0" w:space="0" w:color="auto"/>
        <w:bottom w:val="none" w:sz="0" w:space="0" w:color="auto"/>
        <w:right w:val="none" w:sz="0" w:space="0" w:color="auto"/>
      </w:divBdr>
    </w:div>
    <w:div w:id="1440754342">
      <w:bodyDiv w:val="1"/>
      <w:marLeft w:val="0"/>
      <w:marRight w:val="0"/>
      <w:marTop w:val="0"/>
      <w:marBottom w:val="0"/>
      <w:divBdr>
        <w:top w:val="none" w:sz="0" w:space="0" w:color="auto"/>
        <w:left w:val="none" w:sz="0" w:space="0" w:color="auto"/>
        <w:bottom w:val="none" w:sz="0" w:space="0" w:color="auto"/>
        <w:right w:val="none" w:sz="0" w:space="0" w:color="auto"/>
      </w:divBdr>
    </w:div>
    <w:div w:id="1465924401">
      <w:bodyDiv w:val="1"/>
      <w:marLeft w:val="0"/>
      <w:marRight w:val="0"/>
      <w:marTop w:val="0"/>
      <w:marBottom w:val="0"/>
      <w:divBdr>
        <w:top w:val="none" w:sz="0" w:space="0" w:color="auto"/>
        <w:left w:val="none" w:sz="0" w:space="0" w:color="auto"/>
        <w:bottom w:val="none" w:sz="0" w:space="0" w:color="auto"/>
        <w:right w:val="none" w:sz="0" w:space="0" w:color="auto"/>
      </w:divBdr>
    </w:div>
    <w:div w:id="1526405824">
      <w:bodyDiv w:val="1"/>
      <w:marLeft w:val="0"/>
      <w:marRight w:val="0"/>
      <w:marTop w:val="0"/>
      <w:marBottom w:val="0"/>
      <w:divBdr>
        <w:top w:val="none" w:sz="0" w:space="0" w:color="auto"/>
        <w:left w:val="none" w:sz="0" w:space="0" w:color="auto"/>
        <w:bottom w:val="none" w:sz="0" w:space="0" w:color="auto"/>
        <w:right w:val="none" w:sz="0" w:space="0" w:color="auto"/>
      </w:divBdr>
    </w:div>
    <w:div w:id="1544949198">
      <w:bodyDiv w:val="1"/>
      <w:marLeft w:val="0"/>
      <w:marRight w:val="0"/>
      <w:marTop w:val="0"/>
      <w:marBottom w:val="0"/>
      <w:divBdr>
        <w:top w:val="none" w:sz="0" w:space="0" w:color="auto"/>
        <w:left w:val="none" w:sz="0" w:space="0" w:color="auto"/>
        <w:bottom w:val="none" w:sz="0" w:space="0" w:color="auto"/>
        <w:right w:val="none" w:sz="0" w:space="0" w:color="auto"/>
      </w:divBdr>
    </w:div>
    <w:div w:id="1552962124">
      <w:bodyDiv w:val="1"/>
      <w:marLeft w:val="0"/>
      <w:marRight w:val="0"/>
      <w:marTop w:val="0"/>
      <w:marBottom w:val="0"/>
      <w:divBdr>
        <w:top w:val="none" w:sz="0" w:space="0" w:color="auto"/>
        <w:left w:val="none" w:sz="0" w:space="0" w:color="auto"/>
        <w:bottom w:val="none" w:sz="0" w:space="0" w:color="auto"/>
        <w:right w:val="none" w:sz="0" w:space="0" w:color="auto"/>
      </w:divBdr>
    </w:div>
    <w:div w:id="1562016749">
      <w:bodyDiv w:val="1"/>
      <w:marLeft w:val="0"/>
      <w:marRight w:val="0"/>
      <w:marTop w:val="0"/>
      <w:marBottom w:val="0"/>
      <w:divBdr>
        <w:top w:val="none" w:sz="0" w:space="0" w:color="auto"/>
        <w:left w:val="none" w:sz="0" w:space="0" w:color="auto"/>
        <w:bottom w:val="none" w:sz="0" w:space="0" w:color="auto"/>
        <w:right w:val="none" w:sz="0" w:space="0" w:color="auto"/>
      </w:divBdr>
    </w:div>
    <w:div w:id="1663043969">
      <w:bodyDiv w:val="1"/>
      <w:marLeft w:val="0"/>
      <w:marRight w:val="0"/>
      <w:marTop w:val="0"/>
      <w:marBottom w:val="0"/>
      <w:divBdr>
        <w:top w:val="none" w:sz="0" w:space="0" w:color="auto"/>
        <w:left w:val="none" w:sz="0" w:space="0" w:color="auto"/>
        <w:bottom w:val="none" w:sz="0" w:space="0" w:color="auto"/>
        <w:right w:val="none" w:sz="0" w:space="0" w:color="auto"/>
      </w:divBdr>
    </w:div>
    <w:div w:id="1664890139">
      <w:bodyDiv w:val="1"/>
      <w:marLeft w:val="0"/>
      <w:marRight w:val="0"/>
      <w:marTop w:val="0"/>
      <w:marBottom w:val="0"/>
      <w:divBdr>
        <w:top w:val="none" w:sz="0" w:space="0" w:color="auto"/>
        <w:left w:val="none" w:sz="0" w:space="0" w:color="auto"/>
        <w:bottom w:val="none" w:sz="0" w:space="0" w:color="auto"/>
        <w:right w:val="none" w:sz="0" w:space="0" w:color="auto"/>
      </w:divBdr>
    </w:div>
    <w:div w:id="1672374056">
      <w:bodyDiv w:val="1"/>
      <w:marLeft w:val="0"/>
      <w:marRight w:val="0"/>
      <w:marTop w:val="0"/>
      <w:marBottom w:val="0"/>
      <w:divBdr>
        <w:top w:val="none" w:sz="0" w:space="0" w:color="auto"/>
        <w:left w:val="none" w:sz="0" w:space="0" w:color="auto"/>
        <w:bottom w:val="none" w:sz="0" w:space="0" w:color="auto"/>
        <w:right w:val="none" w:sz="0" w:space="0" w:color="auto"/>
      </w:divBdr>
    </w:div>
    <w:div w:id="1690326231">
      <w:bodyDiv w:val="1"/>
      <w:marLeft w:val="0"/>
      <w:marRight w:val="0"/>
      <w:marTop w:val="0"/>
      <w:marBottom w:val="0"/>
      <w:divBdr>
        <w:top w:val="none" w:sz="0" w:space="0" w:color="auto"/>
        <w:left w:val="none" w:sz="0" w:space="0" w:color="auto"/>
        <w:bottom w:val="none" w:sz="0" w:space="0" w:color="auto"/>
        <w:right w:val="none" w:sz="0" w:space="0" w:color="auto"/>
      </w:divBdr>
    </w:div>
    <w:div w:id="1699742069">
      <w:bodyDiv w:val="1"/>
      <w:marLeft w:val="0"/>
      <w:marRight w:val="0"/>
      <w:marTop w:val="0"/>
      <w:marBottom w:val="0"/>
      <w:divBdr>
        <w:top w:val="none" w:sz="0" w:space="0" w:color="auto"/>
        <w:left w:val="none" w:sz="0" w:space="0" w:color="auto"/>
        <w:bottom w:val="none" w:sz="0" w:space="0" w:color="auto"/>
        <w:right w:val="none" w:sz="0" w:space="0" w:color="auto"/>
      </w:divBdr>
    </w:div>
    <w:div w:id="1723165509">
      <w:bodyDiv w:val="1"/>
      <w:marLeft w:val="0"/>
      <w:marRight w:val="0"/>
      <w:marTop w:val="0"/>
      <w:marBottom w:val="0"/>
      <w:divBdr>
        <w:top w:val="none" w:sz="0" w:space="0" w:color="auto"/>
        <w:left w:val="none" w:sz="0" w:space="0" w:color="auto"/>
        <w:bottom w:val="none" w:sz="0" w:space="0" w:color="auto"/>
        <w:right w:val="none" w:sz="0" w:space="0" w:color="auto"/>
      </w:divBdr>
    </w:div>
    <w:div w:id="1734815309">
      <w:bodyDiv w:val="1"/>
      <w:marLeft w:val="0"/>
      <w:marRight w:val="0"/>
      <w:marTop w:val="0"/>
      <w:marBottom w:val="0"/>
      <w:divBdr>
        <w:top w:val="none" w:sz="0" w:space="0" w:color="auto"/>
        <w:left w:val="none" w:sz="0" w:space="0" w:color="auto"/>
        <w:bottom w:val="none" w:sz="0" w:space="0" w:color="auto"/>
        <w:right w:val="none" w:sz="0" w:space="0" w:color="auto"/>
      </w:divBdr>
    </w:div>
    <w:div w:id="1748530322">
      <w:bodyDiv w:val="1"/>
      <w:marLeft w:val="0"/>
      <w:marRight w:val="0"/>
      <w:marTop w:val="0"/>
      <w:marBottom w:val="0"/>
      <w:divBdr>
        <w:top w:val="none" w:sz="0" w:space="0" w:color="auto"/>
        <w:left w:val="none" w:sz="0" w:space="0" w:color="auto"/>
        <w:bottom w:val="none" w:sz="0" w:space="0" w:color="auto"/>
        <w:right w:val="none" w:sz="0" w:space="0" w:color="auto"/>
      </w:divBdr>
    </w:div>
    <w:div w:id="1766026059">
      <w:bodyDiv w:val="1"/>
      <w:marLeft w:val="0"/>
      <w:marRight w:val="0"/>
      <w:marTop w:val="0"/>
      <w:marBottom w:val="0"/>
      <w:divBdr>
        <w:top w:val="none" w:sz="0" w:space="0" w:color="auto"/>
        <w:left w:val="none" w:sz="0" w:space="0" w:color="auto"/>
        <w:bottom w:val="none" w:sz="0" w:space="0" w:color="auto"/>
        <w:right w:val="none" w:sz="0" w:space="0" w:color="auto"/>
      </w:divBdr>
    </w:div>
    <w:div w:id="1776292100">
      <w:bodyDiv w:val="1"/>
      <w:marLeft w:val="0"/>
      <w:marRight w:val="0"/>
      <w:marTop w:val="0"/>
      <w:marBottom w:val="0"/>
      <w:divBdr>
        <w:top w:val="none" w:sz="0" w:space="0" w:color="auto"/>
        <w:left w:val="none" w:sz="0" w:space="0" w:color="auto"/>
        <w:bottom w:val="none" w:sz="0" w:space="0" w:color="auto"/>
        <w:right w:val="none" w:sz="0" w:space="0" w:color="auto"/>
      </w:divBdr>
    </w:div>
    <w:div w:id="1780946725">
      <w:bodyDiv w:val="1"/>
      <w:marLeft w:val="0"/>
      <w:marRight w:val="0"/>
      <w:marTop w:val="0"/>
      <w:marBottom w:val="0"/>
      <w:divBdr>
        <w:top w:val="none" w:sz="0" w:space="0" w:color="auto"/>
        <w:left w:val="none" w:sz="0" w:space="0" w:color="auto"/>
        <w:bottom w:val="none" w:sz="0" w:space="0" w:color="auto"/>
        <w:right w:val="none" w:sz="0" w:space="0" w:color="auto"/>
      </w:divBdr>
    </w:div>
    <w:div w:id="1825273867">
      <w:bodyDiv w:val="1"/>
      <w:marLeft w:val="0"/>
      <w:marRight w:val="0"/>
      <w:marTop w:val="0"/>
      <w:marBottom w:val="0"/>
      <w:divBdr>
        <w:top w:val="none" w:sz="0" w:space="0" w:color="auto"/>
        <w:left w:val="none" w:sz="0" w:space="0" w:color="auto"/>
        <w:bottom w:val="none" w:sz="0" w:space="0" w:color="auto"/>
        <w:right w:val="none" w:sz="0" w:space="0" w:color="auto"/>
      </w:divBdr>
    </w:div>
    <w:div w:id="1840656951">
      <w:bodyDiv w:val="1"/>
      <w:marLeft w:val="0"/>
      <w:marRight w:val="0"/>
      <w:marTop w:val="0"/>
      <w:marBottom w:val="0"/>
      <w:divBdr>
        <w:top w:val="none" w:sz="0" w:space="0" w:color="auto"/>
        <w:left w:val="none" w:sz="0" w:space="0" w:color="auto"/>
        <w:bottom w:val="none" w:sz="0" w:space="0" w:color="auto"/>
        <w:right w:val="none" w:sz="0" w:space="0" w:color="auto"/>
      </w:divBdr>
    </w:div>
    <w:div w:id="1853689177">
      <w:bodyDiv w:val="1"/>
      <w:marLeft w:val="0"/>
      <w:marRight w:val="0"/>
      <w:marTop w:val="0"/>
      <w:marBottom w:val="0"/>
      <w:divBdr>
        <w:top w:val="none" w:sz="0" w:space="0" w:color="auto"/>
        <w:left w:val="none" w:sz="0" w:space="0" w:color="auto"/>
        <w:bottom w:val="none" w:sz="0" w:space="0" w:color="auto"/>
        <w:right w:val="none" w:sz="0" w:space="0" w:color="auto"/>
      </w:divBdr>
    </w:div>
    <w:div w:id="1880315644">
      <w:bodyDiv w:val="1"/>
      <w:marLeft w:val="0"/>
      <w:marRight w:val="0"/>
      <w:marTop w:val="0"/>
      <w:marBottom w:val="0"/>
      <w:divBdr>
        <w:top w:val="none" w:sz="0" w:space="0" w:color="auto"/>
        <w:left w:val="none" w:sz="0" w:space="0" w:color="auto"/>
        <w:bottom w:val="none" w:sz="0" w:space="0" w:color="auto"/>
        <w:right w:val="none" w:sz="0" w:space="0" w:color="auto"/>
      </w:divBdr>
    </w:div>
    <w:div w:id="1895117280">
      <w:bodyDiv w:val="1"/>
      <w:marLeft w:val="0"/>
      <w:marRight w:val="0"/>
      <w:marTop w:val="0"/>
      <w:marBottom w:val="0"/>
      <w:divBdr>
        <w:top w:val="none" w:sz="0" w:space="0" w:color="auto"/>
        <w:left w:val="none" w:sz="0" w:space="0" w:color="auto"/>
        <w:bottom w:val="none" w:sz="0" w:space="0" w:color="auto"/>
        <w:right w:val="none" w:sz="0" w:space="0" w:color="auto"/>
      </w:divBdr>
    </w:div>
    <w:div w:id="1909148059">
      <w:bodyDiv w:val="1"/>
      <w:marLeft w:val="0"/>
      <w:marRight w:val="0"/>
      <w:marTop w:val="0"/>
      <w:marBottom w:val="0"/>
      <w:divBdr>
        <w:top w:val="none" w:sz="0" w:space="0" w:color="auto"/>
        <w:left w:val="none" w:sz="0" w:space="0" w:color="auto"/>
        <w:bottom w:val="none" w:sz="0" w:space="0" w:color="auto"/>
        <w:right w:val="none" w:sz="0" w:space="0" w:color="auto"/>
      </w:divBdr>
    </w:div>
    <w:div w:id="1928035307">
      <w:bodyDiv w:val="1"/>
      <w:marLeft w:val="0"/>
      <w:marRight w:val="0"/>
      <w:marTop w:val="0"/>
      <w:marBottom w:val="0"/>
      <w:divBdr>
        <w:top w:val="none" w:sz="0" w:space="0" w:color="auto"/>
        <w:left w:val="none" w:sz="0" w:space="0" w:color="auto"/>
        <w:bottom w:val="none" w:sz="0" w:space="0" w:color="auto"/>
        <w:right w:val="none" w:sz="0" w:space="0" w:color="auto"/>
      </w:divBdr>
    </w:div>
    <w:div w:id="1945919938">
      <w:bodyDiv w:val="1"/>
      <w:marLeft w:val="0"/>
      <w:marRight w:val="0"/>
      <w:marTop w:val="0"/>
      <w:marBottom w:val="0"/>
      <w:divBdr>
        <w:top w:val="none" w:sz="0" w:space="0" w:color="auto"/>
        <w:left w:val="none" w:sz="0" w:space="0" w:color="auto"/>
        <w:bottom w:val="none" w:sz="0" w:space="0" w:color="auto"/>
        <w:right w:val="none" w:sz="0" w:space="0" w:color="auto"/>
      </w:divBdr>
    </w:div>
    <w:div w:id="1956674780">
      <w:bodyDiv w:val="1"/>
      <w:marLeft w:val="0"/>
      <w:marRight w:val="0"/>
      <w:marTop w:val="0"/>
      <w:marBottom w:val="0"/>
      <w:divBdr>
        <w:top w:val="none" w:sz="0" w:space="0" w:color="auto"/>
        <w:left w:val="none" w:sz="0" w:space="0" w:color="auto"/>
        <w:bottom w:val="none" w:sz="0" w:space="0" w:color="auto"/>
        <w:right w:val="none" w:sz="0" w:space="0" w:color="auto"/>
      </w:divBdr>
    </w:div>
    <w:div w:id="1976445652">
      <w:bodyDiv w:val="1"/>
      <w:marLeft w:val="0"/>
      <w:marRight w:val="0"/>
      <w:marTop w:val="0"/>
      <w:marBottom w:val="0"/>
      <w:divBdr>
        <w:top w:val="none" w:sz="0" w:space="0" w:color="auto"/>
        <w:left w:val="none" w:sz="0" w:space="0" w:color="auto"/>
        <w:bottom w:val="none" w:sz="0" w:space="0" w:color="auto"/>
        <w:right w:val="none" w:sz="0" w:space="0" w:color="auto"/>
      </w:divBdr>
    </w:div>
    <w:div w:id="1997298248">
      <w:bodyDiv w:val="1"/>
      <w:marLeft w:val="0"/>
      <w:marRight w:val="0"/>
      <w:marTop w:val="0"/>
      <w:marBottom w:val="0"/>
      <w:divBdr>
        <w:top w:val="none" w:sz="0" w:space="0" w:color="auto"/>
        <w:left w:val="none" w:sz="0" w:space="0" w:color="auto"/>
        <w:bottom w:val="none" w:sz="0" w:space="0" w:color="auto"/>
        <w:right w:val="none" w:sz="0" w:space="0" w:color="auto"/>
      </w:divBdr>
    </w:div>
    <w:div w:id="2003699857">
      <w:bodyDiv w:val="1"/>
      <w:marLeft w:val="0"/>
      <w:marRight w:val="0"/>
      <w:marTop w:val="0"/>
      <w:marBottom w:val="0"/>
      <w:divBdr>
        <w:top w:val="none" w:sz="0" w:space="0" w:color="auto"/>
        <w:left w:val="none" w:sz="0" w:space="0" w:color="auto"/>
        <w:bottom w:val="none" w:sz="0" w:space="0" w:color="auto"/>
        <w:right w:val="none" w:sz="0" w:space="0" w:color="auto"/>
      </w:divBdr>
    </w:div>
    <w:div w:id="2047442016">
      <w:bodyDiv w:val="1"/>
      <w:marLeft w:val="0"/>
      <w:marRight w:val="0"/>
      <w:marTop w:val="0"/>
      <w:marBottom w:val="0"/>
      <w:divBdr>
        <w:top w:val="none" w:sz="0" w:space="0" w:color="auto"/>
        <w:left w:val="none" w:sz="0" w:space="0" w:color="auto"/>
        <w:bottom w:val="none" w:sz="0" w:space="0" w:color="auto"/>
        <w:right w:val="none" w:sz="0" w:space="0" w:color="auto"/>
      </w:divBdr>
    </w:div>
    <w:div w:id="2083915896">
      <w:bodyDiv w:val="1"/>
      <w:marLeft w:val="0"/>
      <w:marRight w:val="0"/>
      <w:marTop w:val="0"/>
      <w:marBottom w:val="0"/>
      <w:divBdr>
        <w:top w:val="none" w:sz="0" w:space="0" w:color="auto"/>
        <w:left w:val="none" w:sz="0" w:space="0" w:color="auto"/>
        <w:bottom w:val="none" w:sz="0" w:space="0" w:color="auto"/>
        <w:right w:val="none" w:sz="0" w:space="0" w:color="auto"/>
      </w:divBdr>
    </w:div>
    <w:div w:id="2090343396">
      <w:bodyDiv w:val="1"/>
      <w:marLeft w:val="0"/>
      <w:marRight w:val="0"/>
      <w:marTop w:val="0"/>
      <w:marBottom w:val="0"/>
      <w:divBdr>
        <w:top w:val="none" w:sz="0" w:space="0" w:color="auto"/>
        <w:left w:val="none" w:sz="0" w:space="0" w:color="auto"/>
        <w:bottom w:val="none" w:sz="0" w:space="0" w:color="auto"/>
        <w:right w:val="none" w:sz="0" w:space="0" w:color="auto"/>
      </w:divBdr>
    </w:div>
    <w:div w:id="2106027310">
      <w:bodyDiv w:val="1"/>
      <w:marLeft w:val="0"/>
      <w:marRight w:val="0"/>
      <w:marTop w:val="0"/>
      <w:marBottom w:val="0"/>
      <w:divBdr>
        <w:top w:val="none" w:sz="0" w:space="0" w:color="auto"/>
        <w:left w:val="none" w:sz="0" w:space="0" w:color="auto"/>
        <w:bottom w:val="none" w:sz="0" w:space="0" w:color="auto"/>
        <w:right w:val="none" w:sz="0" w:space="0" w:color="auto"/>
      </w:divBdr>
    </w:div>
    <w:div w:id="2119639861">
      <w:bodyDiv w:val="1"/>
      <w:marLeft w:val="0"/>
      <w:marRight w:val="0"/>
      <w:marTop w:val="0"/>
      <w:marBottom w:val="0"/>
      <w:divBdr>
        <w:top w:val="none" w:sz="0" w:space="0" w:color="auto"/>
        <w:left w:val="none" w:sz="0" w:space="0" w:color="auto"/>
        <w:bottom w:val="none" w:sz="0" w:space="0" w:color="auto"/>
        <w:right w:val="none" w:sz="0" w:space="0" w:color="auto"/>
      </w:divBdr>
    </w:div>
    <w:div w:id="2126078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DIV10</b:Tag>
    <b:SourceType>Report</b:SourceType>
    <b:Guid>{A857EC24-33B1-4F28-B637-E3234025FDEF}</b:Guid>
    <b:Title>MANUAL OF NATO SAFETY PRINCIPLES FOR THE STORAGE OF MILITARY AMMUNITION AND EXPLOSIVES</b:Title>
    <b:Year>2010</b:Year>
    <b:Author>
      <b:Author>
        <b:NameList>
          <b:Person>
            <b:Last>DIVISION</b:Last>
            <b:First>NATO</b:First>
            <b:Middle>INTERNATIONAL STAFF – DEFENCE INVESTMENT</b:Middle>
          </b:Person>
        </b:NameList>
      </b:Author>
    </b:Author>
    <b:Month>May 2010</b:Month>
    <b:RefOrder>2</b:RefOrder>
  </b:Source>
  <b:Source>
    <b:Tag>Qua13</b:Tag>
    <b:SourceType>Report</b:SourceType>
    <b:Guid>{D882DB1F-1D34-473D-B77F-39ACA96A782F}</b:Guid>
    <b:Author>
      <b:Author>
        <b:NameList>
          <b:Person>
            <b:Last>Criteria</b:Last>
            <b:First>Quantity</b:First>
            <b:Middle>Distances and Licensing</b:Middle>
          </b:Person>
        </b:NameList>
      </b:Author>
    </b:Author>
    <b:Title>JSP 482 Edition 4, Chapter 10, Section 5, CRITERIA FOR STORAGE AND LOADING/UNLOADING OF  EXPLOSIVES </b:Title>
    <b:Year>2013</b:Year>
    <b:RefOrder>3</b:RefOrder>
  </b:Source>
  <b:Source>
    <b:Tag>GOV13</b:Tag>
    <b:SourceType>InternetSite</b:SourceType>
    <b:Guid>{EA6F6E73-C646-445A-A9F9-D1C3A702424F}</b:Guid>
    <b:Title>GOV.UK</b:Title>
    <b:Year>2013</b:Year>
    <b:Author>
      <b:Author>
        <b:NameList>
          <b:Person>
            <b:Last>GOV.UK</b:Last>
          </b:Person>
        </b:NameList>
      </b:Author>
    </b:Author>
    <b:Month>August</b:Month>
    <b:Day>23</b:Day>
    <b:URL>https://www.gov.uk/government/collections/jsp-482-mod-explosives-regulations</b:URL>
    <b:RefOrder>4</b:RefOrder>
  </b:Source>
  <b:Source>
    <b:Tag>Def19</b:Tag>
    <b:SourceType>Report</b:SourceType>
    <b:Guid>{220D08FA-956B-49D6-9857-5C829C30D842}</b:Guid>
    <b:Title>DSA 03.OME Part 2 (JSP 482) - Defence Code of Practice (DCOP) and Guidance Notes for In-Service and Operational Safety Management of OME</b:Title>
    <b:Year>2019</b:Year>
    <b:Author>
      <b:Author>
        <b:NameList>
          <b:Person>
            <b:Last>Authority</b:Last>
            <b:First>Defence</b:First>
            <b:Middle>Safety</b:Middle>
          </b:Person>
        </b:NameList>
      </b:Author>
    </b:Author>
    <b:RefOrder>1</b:RefOrder>
  </b:Source>
  <b:Source>
    <b:Tag>HSE14</b:Tag>
    <b:SourceType>InternetSite</b:SourceType>
    <b:Guid>{7A247B05-552B-4DD3-B768-FA59400AEF0F}</b:Guid>
    <b:Title>Health and Safety Executive</b:Title>
    <b:Year>2014</b:Year>
    <b:Author>
      <b:Author>
        <b:NameList>
          <b:Person>
            <b:Last>HSE</b:Last>
          </b:Person>
        </b:NameList>
      </b:Author>
    </b:Author>
    <b:URL>https://www.hse.gov.uk/explosives/licensing/storage/index.htm</b:URL>
    <b:RefOrder>5</b:RefOrder>
  </b:Source>
  <b:Source>
    <b:Tag>JSP</b:Tag>
    <b:SourceType>Report</b:SourceType>
    <b:Guid>{EDCD78E7-52DF-4E9B-81FF-28B5E3AED317}</b:Guid>
    <b:Title>Storage and handling rules</b:Title>
    <b:Author>
      <b:Author>
        <b:NameList>
          <b:Person>
            <b:Last>13</b:Last>
            <b:First>JSP</b:First>
            <b:Middle>482 Chapter</b:Middle>
          </b:Person>
        </b:NameList>
      </b:Author>
    </b:Author>
    <b:RefOrder>6</b:RefOrder>
  </b:Source>
  <b:Source>
    <b:Tag>Leg</b:Tag>
    <b:SourceType>InternetSite</b:SourceType>
    <b:Guid>{DE8429E1-CBDE-4F9C-97F4-04C07C22FD6B}</b:Guid>
    <b:Title>Explosives Act 1975</b:Title>
    <b:Author>
      <b:Author>
        <b:NameList>
          <b:Person>
            <b:Last>Legislation.gov.uk</b:Last>
          </b:Person>
        </b:NameList>
      </b:Author>
    </b:Author>
    <b:URL>https://www.legislation.gov.uk/ukpga/Vict/38-39/17</b:URL>
    <b:RefOrder>8</b:RefOrder>
  </b:Source>
  <b:Source>
    <b:Tag>EST</b:Tag>
    <b:SourceType>InternetSite</b:SourceType>
    <b:Guid>{804BB4FA-59FF-4A67-9ED7-2A1BE773D438}</b:Guid>
    <b:Title>ESTC No. 6</b:Title>
    <b:Author>
      <b:Author>
        <b:NameList>
          <b:Person>
            <b:Last>GOV.UK</b:Last>
          </b:Person>
        </b:NameList>
      </b:Author>
    </b:Author>
    <b:URL>https://www.gov.uk/government/publications/explosives-storage-and-transport-committee-estc-standard-no-6</b:URL>
    <b:RefOrder>7</b:RefOrder>
  </b:Source>
  <b:Source>
    <b:Tag>HSE</b:Tag>
    <b:SourceType>InternetSite</b:SourceType>
    <b:Guid>{8AB5B833-5E54-4295-B581-273B0EEEA3D7}</b:Guid>
    <b:Title>HSE</b:Title>
    <b:URL>https://www.hse.gov.uk/legislation/hswa.htm</b:URL>
    <b:RefOrder>9</b:RefOrder>
  </b:Source>
  <b:Source>
    <b:Tag>leg</b:Tag>
    <b:SourceType>InternetSite</b:SourceType>
    <b:Guid>{DACE1952-B042-41F8-BD25-B4FE38CCC4BC}</b:Guid>
    <b:Author>
      <b:Author>
        <b:NameList>
          <b:Person>
            <b:Last>legislation.gov.uk</b:Last>
          </b:Person>
        </b:NameList>
      </b:Author>
    </b:Author>
    <b:Title>The Planning (Hazardous Substances) Regulations 2015</b:Title>
    <b:URL>https://www.legislation.gov.uk/uksi/2015/627/contents</b:URL>
    <b:RefOrder>10</b:RefOrder>
  </b:Source>
  <b:Source>
    <b:Tag>Def</b:Tag>
    <b:SourceType>DocumentFromInternetSite</b:SourceType>
    <b:Guid>{56DE7DFE-CE35-4320-991A-7FBF1870EDB6}</b:Guid>
    <b:Title>DSA 03.OME Part 2 (JSP 482) - Chapter 11</b:Title>
    <b:URL>https://assets.publishing.service.gov.uk/media/5ee8cbade90e0704245b644d/DSA_03_OME_PART_2__JSP_482__CH_11__Nov_19__-_mod_gov_uk.pdf</b:URL>
    <b:Author>
      <b:Author>
        <b:NameList>
          <b:Person>
            <b:Last>Authority</b:Last>
            <b:First>Defence</b:First>
            <b:Middle>Safety</b:Middle>
          </b:Person>
        </b:NameList>
      </b:Author>
    </b:Author>
    <b:RefOrder>11</b:RefOrder>
  </b:Source>
  <b:Source>
    <b:Tag>Def1</b:Tag>
    <b:SourceType>DocumentFromInternetSite</b:SourceType>
    <b:Guid>{BCC4FC60-CA08-4FDD-8046-F9710FD92658}</b:Guid>
    <b:Author>
      <b:Author>
        <b:NameList>
          <b:Person>
            <b:Last>Authority</b:Last>
            <b:First>Defence</b:First>
            <b:Middle>Safety</b:Middle>
          </b:Person>
        </b:NameList>
      </b:Author>
    </b:Author>
    <b:Title>DSA 03.OME Part 2 (JSP 482) - Chapter 13</b:Title>
    <b:URL>https://assets.publishing.service.gov.uk/media/5ee8cbade90e0704245b644d/DSA_03_OME_PART_2__JSP_482__CH_11__Nov_19__-_mod_gov_uk.pdf</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78174D-C51F-449E-A2E0-8164ADFA175D}">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0685cde0-1612-4589-899c-6313cf88cfb3}" enabled="1" method="Privileged" siteId="{3b3b5e66-62b2-4f04-8848-ac445bc41444}" removed="0"/>
</clbl:labelList>
</file>

<file path=docProps/app.xml><?xml version="1.0" encoding="utf-8"?>
<Properties xmlns="http://schemas.openxmlformats.org/officeDocument/2006/extended-properties" xmlns:vt="http://schemas.openxmlformats.org/officeDocument/2006/docPropsVTypes">
  <Template>Normal</Template>
  <TotalTime>5</TotalTime>
  <Pages>1</Pages>
  <Words>3960</Words>
  <Characters>22576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ACDA 6022 – OME Safety Management &amp; Law</vt:lpstr>
    </vt:vector>
  </TitlesOfParts>
  <Company/>
  <LinksUpToDate>false</LinksUpToDate>
  <CharactersWithSpaces>26484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6022 – OME Safety Management &amp; Law</dc:title>
  <dc:subject>Council Request for Safety Report: Siting an ammunition depot on the SA1 Waterfront</dc:subject>
  <dc:creator>Finn Mallon</dc:creator>
  <cp:keywords/>
  <dc:description/>
  <cp:lastModifiedBy>Finn</cp:lastModifiedBy>
  <cp:revision>2</cp:revision>
  <dcterms:created xsi:type="dcterms:W3CDTF">2025-12-12T11:28:00Z</dcterms:created>
  <dcterms:modified xsi:type="dcterms:W3CDTF">2025-12-12T11:28:00Z</dcterms:modified>
</cp:coreProperties>
</file>