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9E7AB"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Diabetes and Health Promotion: Highlighting the "Diabetes: Know Your Risk" Campaign.</w:t>
      </w:r>
    </w:p>
    <w:p w14:paraId="25595B12"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This essay will examine a particular health promotion program that aims to prevent and manage diabetes. The talk will define and explain health promotion, outline the selected intervention, outline its objectives, target audience, and expected results, and look at the research that supports its necessity. With the help of this methodical approach, we hope to offer a thorough grasp of the vital role that health promotion plays in managing diabetes.</w:t>
      </w:r>
    </w:p>
    <w:p w14:paraId="7007941C"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One of the main pillars of public health is health promotion, which is essential for reducing the effects of chronic illnesses like diabetes. It includes a wide range of actions intended to enhance the health of the individual and the community. According to the World Health Organization (WHO), health promotion encompasses social and environmental interventions in addition to individual behaviour and is the process of giving people more control over their health (WHO, 2023). Effective diabetes management necessitates a multifaceted strategy that considers biological effects as well as lifestyle, environmental, and social factors. Interventions in health promotion that aim to inform and empower people to make better decisions for themselves and their communities are essential to this. According to the University of Georgia (2023), health educators are crucial in this regard because they design and oversee programs on nutrition, exercise, and managing chronic illnesses—all of which are critical for improving general health.</w:t>
      </w:r>
    </w:p>
    <w:p w14:paraId="6DC9D674"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What is Health Promotion?</w:t>
      </w:r>
    </w:p>
    <w:p w14:paraId="733509B6"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Enhancing the general health of people and communities is the goal of health promotion, which is a comprehensive strategy that goes beyond simply focusing on individual behaviour. As per the World Health Organization, health promotion is the process that empowers individuals to take charge of their health and make improvements to it. A wide range of social and environmental interventions are included in this process, which goes beyond individual behaviour. By addressing the different factors that influence health outcomes, the objective is to enable people and communities to take control of their health.</w:t>
      </w:r>
    </w:p>
    <w:p w14:paraId="54C288C5" w14:textId="0045DAA3"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lastRenderedPageBreak/>
        <w:t>Health promotion, as outlined by Russell Viner and Aidan Macfarlane</w:t>
      </w:r>
      <w:r w:rsidR="00FF2A87">
        <w:rPr>
          <w:rFonts w:eastAsia="Times New Roman" w:cstheme="minorHAnsi"/>
          <w:b/>
          <w:bCs/>
          <w:kern w:val="36"/>
          <w:sz w:val="24"/>
          <w:szCs w:val="24"/>
          <w:lang w:eastAsia="en-GB"/>
          <w14:ligatures w14:val="none"/>
        </w:rPr>
        <w:t xml:space="preserve"> (2015)</w:t>
      </w:r>
      <w:r w:rsidRPr="0091713C">
        <w:rPr>
          <w:rFonts w:eastAsia="Times New Roman" w:cstheme="minorHAnsi"/>
          <w:b/>
          <w:bCs/>
          <w:kern w:val="36"/>
          <w:sz w:val="24"/>
          <w:szCs w:val="24"/>
          <w:lang w:eastAsia="en-GB"/>
          <w14:ligatures w14:val="none"/>
        </w:rPr>
        <w:t>, involves strategies to encourage lifestyle changes for optimal health. This approach emphasizes awareness, behaviour change, and fostering environments that support healthy choices, focusing on disease prevention rather than just symptom treatment. In the context of diabetes, health promotion extends beyond medical care to include educating individuals about healthy living, risk awareness, and self-management. This can involve public campaigns, educational initiatives, and community programs that encourage regular medical checkups, exercise, and healthy eating, highlighting health promotion as a broad concept with various methods to enhance overall health.</w:t>
      </w:r>
    </w:p>
    <w:p w14:paraId="4605DEEF"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Description of the Health Promotion Intervention:</w:t>
      </w:r>
    </w:p>
    <w:p w14:paraId="6A4649D8"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The "Diabetes: Know Your Risk" health promotion campaign aims to address diabetes through community engagement and education. It consists of two main parts: community workshops and educational brochures. The brochures focus on early detection of diabetes symptoms, lifestyle adjustments, and dietary changes. Community workshops, led by healthcare professionals, offer personalized learning experiences. Digital tools like a website and social media presence provide additional information, forums for support, and fitness advice.</w:t>
      </w:r>
    </w:p>
    <w:p w14:paraId="258BC733"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Aim of the Intervention in Diabetes:</w:t>
      </w:r>
    </w:p>
    <w:p w14:paraId="7E65C04C"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 xml:space="preserve">The "Diabetes: Know Your Risk" initiative emphasizes early detection and proactive treatment of diabetes, aligning with research by Herman et al. (2015), which shows that early intervention in type 2 diabetes significantly reduces heart-related issues and deaths. This supports the campaign's aim to educate about diabetes risks and symptoms, highlighting the benefits of early action for better health outcomes. Additionally, screening programs are crucial for early detection of type 2 diabetes because it accounts for over 90% of diabetes cases and can have serious complications. By focusing on reducing the prevalence of undiagnosed diabetes and encouraging at-risk individuals to seek medical advice and adopt healthier lifestyles, the campaign addresses a critical need in public health. The advancement of effective treatments and rising public awareness of </w:t>
      </w:r>
      <w:r w:rsidRPr="0091713C">
        <w:rPr>
          <w:rFonts w:eastAsia="Times New Roman" w:cstheme="minorHAnsi"/>
          <w:b/>
          <w:bCs/>
          <w:kern w:val="36"/>
          <w:sz w:val="24"/>
          <w:szCs w:val="24"/>
          <w:lang w:eastAsia="en-GB"/>
          <w14:ligatures w14:val="none"/>
        </w:rPr>
        <w:lastRenderedPageBreak/>
        <w:t>the risk factors for type 2 diabetes contribute to the campaign's goals of promoting early detection and effective management (Chatterjee, Khunti, and Davies, 2017).</w:t>
      </w:r>
    </w:p>
    <w:p w14:paraId="208F1C79"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Target audience:</w:t>
      </w:r>
    </w:p>
    <w:p w14:paraId="2D4400FC"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 xml:space="preserve"> Adults of all ages are among the carefully selected target audience for the "Diabetes: Know Your Risk" campaign, with an emphasis on individuals who are more likely to develop diabetes. This includes overweight or obese people, people with a family history of diabetes, and people who lead sedentary lives. Furthermore, the campaign gives communities with higher diabetes incidences special attention.</w:t>
      </w:r>
    </w:p>
    <w:p w14:paraId="24E691C6" w14:textId="2FDD4C2D"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 xml:space="preserve">Key risk factors for type 2 diabetes have been identified by research, which validates this targeting strategy. A thorough analysis published by Ley et al. (2018) states that a mix of genetic, metabolic, and </w:t>
      </w:r>
      <w:r w:rsidR="0091713C" w:rsidRPr="0091713C">
        <w:rPr>
          <w:rFonts w:eastAsia="Times New Roman" w:cstheme="minorHAnsi"/>
          <w:b/>
          <w:bCs/>
          <w:kern w:val="36"/>
          <w:sz w:val="24"/>
          <w:szCs w:val="24"/>
          <w:lang w:eastAsia="en-GB"/>
          <w14:ligatures w14:val="none"/>
        </w:rPr>
        <w:t>behavioural</w:t>
      </w:r>
      <w:r w:rsidRPr="0091713C">
        <w:rPr>
          <w:rFonts w:eastAsia="Times New Roman" w:cstheme="minorHAnsi"/>
          <w:b/>
          <w:bCs/>
          <w:kern w:val="36"/>
          <w:sz w:val="24"/>
          <w:szCs w:val="24"/>
          <w:lang w:eastAsia="en-GB"/>
          <w14:ligatures w14:val="none"/>
        </w:rPr>
        <w:t xml:space="preserve"> factors influence type 2 diabetes. This includes risk factors that can be changed, such as obesity, physical inactivity, and diet. The review emphasizes how critical it is to address these risk factors through preventative and educational initiatives, which is exactly what the "Diabetes: Know Your Risk" campaign is all about.</w:t>
      </w:r>
    </w:p>
    <w:p w14:paraId="3C7324AF"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Furthermore, the Centers for Disease Control and Prevention (CDC) have identified certain demographic groups, including African Americans, Asian Americans, American Indians, Alaska Natives, Hispanics or Latinos, and some Pacific Islanders, who have a higher risk of developing diabetes. The CDC also highlights how lifestyle modifications can prevent or reverse prediabetes, highlighting the significance of initiatives like "Diabetes: Know Your Risk" in encouraging these modifications and increasing public awareness (Centers for Disease Control and Prevention, 2022).</w:t>
      </w:r>
    </w:p>
    <w:p w14:paraId="2853198E"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Intervention Outcomes:</w:t>
      </w:r>
    </w:p>
    <w:p w14:paraId="1708171C"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 xml:space="preserve">The goals of related public health campaigns are in line with the anticipated results of the "Diabetes: Know Your Risk" campaign, according to CDC (2019). The goal of these campaigns is to raise public awareness of diabetes symptoms and risk factors. Additionally, they emphasize the importance of promoting healthy lifestyle choices like eating a balanced diet, exercising frequently, and getting checked for diabetes. The </w:t>
      </w:r>
      <w:r w:rsidRPr="0091713C">
        <w:rPr>
          <w:rFonts w:eastAsia="Times New Roman" w:cstheme="minorHAnsi"/>
          <w:b/>
          <w:bCs/>
          <w:kern w:val="36"/>
          <w:sz w:val="24"/>
          <w:szCs w:val="24"/>
          <w:lang w:eastAsia="en-GB"/>
          <w14:ligatures w14:val="none"/>
        </w:rPr>
        <w:lastRenderedPageBreak/>
        <w:t>ultimate objective is to help reduce the frequency and severity of diabetes cases, which will improve public health related to diabetes overall. Public awareness campaigns from the CDC show a dedication to these objectives through a range of media outlets, such as print, broadcast, digital, and social media.</w:t>
      </w:r>
    </w:p>
    <w:p w14:paraId="2C6B3B54" w14:textId="77777777" w:rsidR="00B45057"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Conclusion:</w:t>
      </w:r>
    </w:p>
    <w:p w14:paraId="5DB1DB52" w14:textId="28CFDB29" w:rsidR="00BF169A" w:rsidRPr="0091713C" w:rsidRDefault="00B45057" w:rsidP="00B45057">
      <w:pPr>
        <w:spacing w:after="240" w:line="360" w:lineRule="auto"/>
        <w:outlineLvl w:val="0"/>
        <w:rPr>
          <w:rFonts w:eastAsia="Times New Roman" w:cstheme="minorHAnsi"/>
          <w:b/>
          <w:bCs/>
          <w:kern w:val="36"/>
          <w:sz w:val="24"/>
          <w:szCs w:val="24"/>
          <w:lang w:eastAsia="en-GB"/>
          <w14:ligatures w14:val="none"/>
        </w:rPr>
      </w:pPr>
      <w:r w:rsidRPr="0091713C">
        <w:rPr>
          <w:rFonts w:eastAsia="Times New Roman" w:cstheme="minorHAnsi"/>
          <w:b/>
          <w:bCs/>
          <w:kern w:val="36"/>
          <w:sz w:val="24"/>
          <w:szCs w:val="24"/>
          <w:lang w:eastAsia="en-GB"/>
          <w14:ligatures w14:val="none"/>
        </w:rPr>
        <w:t>In conclusion, this paper summarizes the critical role that health promotion plays in tackling diabetes, a significant public health issue. A focused intervention designed to increase public awareness, educate the public, and encourage healthy behaviours to prevent and manage diabetes is the "Diabetes: Know Your Risk" campaign. The objectives, target population, and expected results of the intervention are in line with the pressing need for greater diabetes education and awareness that has been shown in recent research. This initiative to promote health is evidence of the effectiveness of well-informed tactics in preventing chronic illnesses and improving public health outcomes (Centers for Disease Control and Prevention,2019).</w:t>
      </w:r>
    </w:p>
    <w:p w14:paraId="52CC22D8" w14:textId="4D5C017C" w:rsidR="00350AA0" w:rsidRPr="002437D1" w:rsidRDefault="007113E3" w:rsidP="007113E3">
      <w:pPr>
        <w:spacing w:after="240" w:line="360" w:lineRule="auto"/>
        <w:outlineLvl w:val="0"/>
        <w:rPr>
          <w:rFonts w:eastAsia="Times New Roman" w:cstheme="minorHAnsi"/>
          <w:b/>
          <w:bCs/>
          <w:kern w:val="36"/>
          <w:sz w:val="24"/>
          <w:szCs w:val="24"/>
          <w:lang w:eastAsia="en-GB"/>
          <w14:ligatures w14:val="none"/>
        </w:rPr>
      </w:pPr>
      <w:r w:rsidRPr="002437D1">
        <w:rPr>
          <w:rFonts w:eastAsia="Times New Roman" w:cstheme="minorHAnsi"/>
          <w:b/>
          <w:bCs/>
          <w:kern w:val="36"/>
          <w:sz w:val="24"/>
          <w:szCs w:val="24"/>
          <w:lang w:eastAsia="en-GB"/>
          <w14:ligatures w14:val="none"/>
        </w:rPr>
        <w:t>Reference list</w:t>
      </w:r>
    </w:p>
    <w:p w14:paraId="7739AB3D" w14:textId="77777777" w:rsidR="007113E3" w:rsidRPr="002437D1" w:rsidRDefault="007113E3" w:rsidP="007113E3">
      <w:pPr>
        <w:spacing w:after="240" w:line="360" w:lineRule="auto"/>
        <w:rPr>
          <w:rFonts w:eastAsia="Times New Roman" w:cstheme="minorHAnsi"/>
          <w:kern w:val="0"/>
          <w:sz w:val="24"/>
          <w:szCs w:val="24"/>
          <w:lang w:eastAsia="en-GB"/>
          <w14:ligatures w14:val="none"/>
        </w:rPr>
      </w:pPr>
      <w:r w:rsidRPr="002437D1">
        <w:rPr>
          <w:rFonts w:eastAsia="Times New Roman" w:cstheme="minorHAnsi"/>
          <w:kern w:val="0"/>
          <w:sz w:val="24"/>
          <w:szCs w:val="24"/>
          <w:lang w:eastAsia="en-GB"/>
          <w14:ligatures w14:val="none"/>
        </w:rPr>
        <w:t xml:space="preserve">Centers for Disease Control and Prevention (2019) </w:t>
      </w:r>
      <w:r w:rsidRPr="002437D1">
        <w:rPr>
          <w:rFonts w:eastAsia="Times New Roman" w:cstheme="minorHAnsi"/>
          <w:i/>
          <w:iCs/>
          <w:kern w:val="0"/>
          <w:sz w:val="24"/>
          <w:szCs w:val="24"/>
          <w:lang w:eastAsia="en-GB"/>
          <w14:ligatures w14:val="none"/>
        </w:rPr>
        <w:t>Division of Diabetes Translation</w:t>
      </w:r>
      <w:r w:rsidRPr="002437D1">
        <w:rPr>
          <w:rFonts w:eastAsia="Times New Roman" w:cstheme="minorHAnsi"/>
          <w:kern w:val="0"/>
          <w:sz w:val="24"/>
          <w:szCs w:val="24"/>
          <w:lang w:eastAsia="en-GB"/>
          <w14:ligatures w14:val="none"/>
        </w:rPr>
        <w:t>. Available at: https://www.cdc.gov/diabetes/index.html (Accessed 07 Dec. 2023).</w:t>
      </w:r>
    </w:p>
    <w:p w14:paraId="7A6B49E1" w14:textId="77777777" w:rsidR="007113E3" w:rsidRPr="002437D1" w:rsidRDefault="007113E3" w:rsidP="007113E3">
      <w:pPr>
        <w:spacing w:after="240" w:line="360" w:lineRule="auto"/>
        <w:rPr>
          <w:rFonts w:eastAsia="Times New Roman" w:cstheme="minorHAnsi"/>
          <w:kern w:val="0"/>
          <w:sz w:val="24"/>
          <w:szCs w:val="24"/>
          <w:lang w:eastAsia="en-GB"/>
          <w14:ligatures w14:val="none"/>
        </w:rPr>
      </w:pPr>
      <w:r w:rsidRPr="002437D1">
        <w:rPr>
          <w:rFonts w:eastAsia="Times New Roman" w:cstheme="minorHAnsi"/>
          <w:kern w:val="0"/>
          <w:sz w:val="24"/>
          <w:szCs w:val="24"/>
          <w:lang w:eastAsia="en-GB"/>
          <w14:ligatures w14:val="none"/>
        </w:rPr>
        <w:t xml:space="preserve">Centers for Disease Control and Prevention (2019) </w:t>
      </w:r>
      <w:r w:rsidRPr="002437D1">
        <w:rPr>
          <w:rFonts w:eastAsia="Times New Roman" w:cstheme="minorHAnsi"/>
          <w:i/>
          <w:iCs/>
          <w:kern w:val="0"/>
          <w:sz w:val="24"/>
          <w:szCs w:val="24"/>
          <w:lang w:eastAsia="en-GB"/>
          <w14:ligatures w14:val="none"/>
        </w:rPr>
        <w:t>Awareness Campaigns</w:t>
      </w:r>
      <w:r w:rsidRPr="002437D1">
        <w:rPr>
          <w:rFonts w:eastAsia="Times New Roman" w:cstheme="minorHAnsi"/>
          <w:kern w:val="0"/>
          <w:sz w:val="24"/>
          <w:szCs w:val="24"/>
          <w:lang w:eastAsia="en-GB"/>
          <w14:ligatures w14:val="none"/>
        </w:rPr>
        <w:t>. Available at: https://www.cdc.gov/diabetes/campaigns/index.html (Accessed 07 Dec. 2023).</w:t>
      </w:r>
    </w:p>
    <w:p w14:paraId="00FE2D5C" w14:textId="77777777" w:rsidR="007113E3" w:rsidRPr="002437D1" w:rsidRDefault="007113E3" w:rsidP="007113E3">
      <w:pPr>
        <w:spacing w:after="240" w:line="360" w:lineRule="auto"/>
        <w:rPr>
          <w:rFonts w:eastAsia="Times New Roman" w:cstheme="minorHAnsi"/>
          <w:kern w:val="0"/>
          <w:sz w:val="24"/>
          <w:szCs w:val="24"/>
          <w:lang w:eastAsia="en-GB"/>
          <w14:ligatures w14:val="none"/>
        </w:rPr>
      </w:pPr>
      <w:r w:rsidRPr="002437D1">
        <w:rPr>
          <w:rFonts w:eastAsia="Times New Roman" w:cstheme="minorHAnsi"/>
          <w:kern w:val="0"/>
          <w:sz w:val="24"/>
          <w:szCs w:val="24"/>
          <w:lang w:eastAsia="en-GB"/>
          <w14:ligatures w14:val="none"/>
        </w:rPr>
        <w:t xml:space="preserve">Centers for Disease Control and Prevention (2022) </w:t>
      </w:r>
      <w:r w:rsidRPr="002437D1">
        <w:rPr>
          <w:rFonts w:eastAsia="Times New Roman" w:cstheme="minorHAnsi"/>
          <w:i/>
          <w:iCs/>
          <w:kern w:val="0"/>
          <w:sz w:val="24"/>
          <w:szCs w:val="24"/>
          <w:lang w:eastAsia="en-GB"/>
          <w14:ligatures w14:val="none"/>
        </w:rPr>
        <w:t>Diabetes Risk Factors</w:t>
      </w:r>
      <w:r w:rsidRPr="002437D1">
        <w:rPr>
          <w:rFonts w:eastAsia="Times New Roman" w:cstheme="minorHAnsi"/>
          <w:kern w:val="0"/>
          <w:sz w:val="24"/>
          <w:szCs w:val="24"/>
          <w:lang w:eastAsia="en-GB"/>
          <w14:ligatures w14:val="none"/>
        </w:rPr>
        <w:t>. Available at: https://www.cdc.gov/diabetes/basics/risk-factors.html (Accessed 07 Dec. 2023).</w:t>
      </w:r>
    </w:p>
    <w:p w14:paraId="321ED633" w14:textId="77777777" w:rsidR="007113E3" w:rsidRPr="002437D1" w:rsidRDefault="007113E3" w:rsidP="007113E3">
      <w:pPr>
        <w:spacing w:after="240" w:line="360" w:lineRule="auto"/>
        <w:rPr>
          <w:rFonts w:eastAsia="Times New Roman" w:cstheme="minorHAnsi"/>
          <w:kern w:val="0"/>
          <w:sz w:val="24"/>
          <w:szCs w:val="24"/>
          <w:lang w:eastAsia="en-GB"/>
          <w14:ligatures w14:val="none"/>
        </w:rPr>
      </w:pPr>
      <w:r w:rsidRPr="002437D1">
        <w:rPr>
          <w:rFonts w:eastAsia="Times New Roman" w:cstheme="minorHAnsi"/>
          <w:kern w:val="0"/>
          <w:sz w:val="24"/>
          <w:szCs w:val="24"/>
          <w:lang w:eastAsia="en-GB"/>
          <w14:ligatures w14:val="none"/>
        </w:rPr>
        <w:t xml:space="preserve">Chatterjee, S., Khunti, K. and Davies, M.J. (2017) Type 2 Diabetes. </w:t>
      </w:r>
      <w:r w:rsidRPr="002437D1">
        <w:rPr>
          <w:rFonts w:eastAsia="Times New Roman" w:cstheme="minorHAnsi"/>
          <w:i/>
          <w:iCs/>
          <w:kern w:val="0"/>
          <w:sz w:val="24"/>
          <w:szCs w:val="24"/>
          <w:lang w:eastAsia="en-GB"/>
          <w14:ligatures w14:val="none"/>
        </w:rPr>
        <w:t>The Lancet</w:t>
      </w:r>
      <w:r w:rsidRPr="002437D1">
        <w:rPr>
          <w:rFonts w:eastAsia="Times New Roman" w:cstheme="minorHAnsi"/>
          <w:kern w:val="0"/>
          <w:sz w:val="24"/>
          <w:szCs w:val="24"/>
          <w:lang w:eastAsia="en-GB"/>
          <w14:ligatures w14:val="none"/>
        </w:rPr>
        <w:t xml:space="preserve">, 389(10085), pp.2239–2251. Available at: </w:t>
      </w:r>
      <w:proofErr w:type="spellStart"/>
      <w:proofErr w:type="gramStart"/>
      <w:r w:rsidRPr="002437D1">
        <w:rPr>
          <w:rFonts w:eastAsia="Times New Roman" w:cstheme="minorHAnsi"/>
          <w:kern w:val="0"/>
          <w:sz w:val="24"/>
          <w:szCs w:val="24"/>
          <w:lang w:eastAsia="en-GB"/>
          <w14:ligatures w14:val="none"/>
        </w:rPr>
        <w:t>doi:https</w:t>
      </w:r>
      <w:proofErr w:type="spellEnd"/>
      <w:r w:rsidRPr="002437D1">
        <w:rPr>
          <w:rFonts w:eastAsia="Times New Roman" w:cstheme="minorHAnsi"/>
          <w:kern w:val="0"/>
          <w:sz w:val="24"/>
          <w:szCs w:val="24"/>
          <w:lang w:eastAsia="en-GB"/>
          <w14:ligatures w14:val="none"/>
        </w:rPr>
        <w:t>://doi.org/10.1016/s0140-6736(17)30058-2</w:t>
      </w:r>
      <w:proofErr w:type="gramEnd"/>
      <w:r w:rsidRPr="002437D1">
        <w:rPr>
          <w:rFonts w:eastAsia="Times New Roman" w:cstheme="minorHAnsi"/>
          <w:kern w:val="0"/>
          <w:sz w:val="24"/>
          <w:szCs w:val="24"/>
          <w:lang w:eastAsia="en-GB"/>
          <w14:ligatures w14:val="none"/>
        </w:rPr>
        <w:t>. (Accessed 08 December 2023).</w:t>
      </w:r>
    </w:p>
    <w:p w14:paraId="640C29B5" w14:textId="77777777" w:rsidR="007113E3" w:rsidRPr="002437D1" w:rsidRDefault="007113E3" w:rsidP="007113E3">
      <w:pPr>
        <w:spacing w:after="240" w:line="360" w:lineRule="auto"/>
        <w:rPr>
          <w:rFonts w:eastAsia="Times New Roman" w:cstheme="minorHAnsi"/>
          <w:kern w:val="0"/>
          <w:sz w:val="24"/>
          <w:szCs w:val="24"/>
          <w:lang w:eastAsia="en-GB"/>
          <w14:ligatures w14:val="none"/>
        </w:rPr>
      </w:pPr>
      <w:r w:rsidRPr="002437D1">
        <w:rPr>
          <w:rFonts w:eastAsia="Times New Roman" w:cstheme="minorHAnsi"/>
          <w:kern w:val="0"/>
          <w:sz w:val="24"/>
          <w:szCs w:val="24"/>
          <w:lang w:eastAsia="en-GB"/>
          <w14:ligatures w14:val="none"/>
        </w:rPr>
        <w:t xml:space="preserve">College of Public Health UGA. </w:t>
      </w:r>
      <w:r w:rsidRPr="002437D1">
        <w:rPr>
          <w:rFonts w:eastAsia="Times New Roman" w:cstheme="minorHAnsi"/>
          <w:i/>
          <w:iCs/>
          <w:kern w:val="0"/>
          <w:sz w:val="24"/>
          <w:szCs w:val="24"/>
          <w:lang w:eastAsia="en-GB"/>
          <w14:ligatures w14:val="none"/>
        </w:rPr>
        <w:t>What is Health Promotion?</w:t>
      </w:r>
      <w:r w:rsidRPr="002437D1">
        <w:rPr>
          <w:rFonts w:eastAsia="Times New Roman" w:cstheme="minorHAnsi"/>
          <w:kern w:val="0"/>
          <w:sz w:val="24"/>
          <w:szCs w:val="24"/>
          <w:lang w:eastAsia="en-GB"/>
          <w14:ligatures w14:val="none"/>
        </w:rPr>
        <w:t xml:space="preserve">  College of Public Health UGA. Available at: </w:t>
      </w:r>
      <w:hyperlink r:id="rId6" w:anchor=":~:text=Health%20promotion%20is%20a%20behavioral" w:history="1">
        <w:r w:rsidRPr="002437D1">
          <w:rPr>
            <w:rFonts w:eastAsia="Times New Roman" w:cstheme="minorHAnsi"/>
            <w:color w:val="0563C1" w:themeColor="hyperlink"/>
            <w:kern w:val="0"/>
            <w:sz w:val="24"/>
            <w:szCs w:val="24"/>
            <w:u w:val="single"/>
            <w:lang w:eastAsia="en-GB"/>
            <w14:ligatures w14:val="none"/>
          </w:rPr>
          <w:t>https://publichealth.uga.edu/departments/health-promotion-behavior/what-</w:t>
        </w:r>
        <w:r w:rsidRPr="002437D1">
          <w:rPr>
            <w:rFonts w:eastAsia="Times New Roman" w:cstheme="minorHAnsi"/>
            <w:color w:val="0563C1" w:themeColor="hyperlink"/>
            <w:kern w:val="0"/>
            <w:sz w:val="24"/>
            <w:szCs w:val="24"/>
            <w:u w:val="single"/>
            <w:lang w:eastAsia="en-GB"/>
            <w14:ligatures w14:val="none"/>
          </w:rPr>
          <w:lastRenderedPageBreak/>
          <w:t>is-health-promotion/#:~:text=Health%20promotion%20is%20a%20behavioral</w:t>
        </w:r>
      </w:hyperlink>
      <w:r w:rsidRPr="002437D1">
        <w:rPr>
          <w:rFonts w:eastAsia="Times New Roman" w:cstheme="minorHAnsi"/>
          <w:kern w:val="0"/>
          <w:sz w:val="24"/>
          <w:szCs w:val="24"/>
          <w:lang w:eastAsia="en-GB"/>
          <w14:ligatures w14:val="none"/>
        </w:rPr>
        <w:t>. (Accessed 09 December 2023).</w:t>
      </w:r>
    </w:p>
    <w:p w14:paraId="41A8FF86" w14:textId="77777777" w:rsidR="007113E3" w:rsidRPr="002437D1" w:rsidRDefault="007113E3" w:rsidP="007113E3">
      <w:pPr>
        <w:spacing w:after="240" w:line="360" w:lineRule="auto"/>
        <w:rPr>
          <w:rFonts w:eastAsia="Times New Roman" w:cstheme="minorHAnsi"/>
          <w:kern w:val="0"/>
          <w:sz w:val="24"/>
          <w:szCs w:val="24"/>
          <w:lang w:eastAsia="en-GB"/>
          <w14:ligatures w14:val="none"/>
        </w:rPr>
      </w:pPr>
      <w:r w:rsidRPr="002437D1">
        <w:rPr>
          <w:rFonts w:eastAsia="Times New Roman" w:cstheme="minorHAnsi"/>
          <w:kern w:val="0"/>
          <w:sz w:val="24"/>
          <w:szCs w:val="24"/>
          <w:lang w:eastAsia="en-GB"/>
          <w14:ligatures w14:val="none"/>
        </w:rPr>
        <w:t xml:space="preserve">Funnell, </w:t>
      </w:r>
      <w:proofErr w:type="gramStart"/>
      <w:r w:rsidRPr="002437D1">
        <w:rPr>
          <w:rFonts w:eastAsia="Times New Roman" w:cstheme="minorHAnsi"/>
          <w:kern w:val="0"/>
          <w:sz w:val="24"/>
          <w:szCs w:val="24"/>
          <w:lang w:eastAsia="en-GB"/>
          <w14:ligatures w14:val="none"/>
        </w:rPr>
        <w:t>M.M.</w:t>
      </w:r>
      <w:proofErr w:type="gramEnd"/>
      <w:r w:rsidRPr="002437D1">
        <w:rPr>
          <w:rFonts w:eastAsia="Times New Roman" w:cstheme="minorHAnsi"/>
          <w:kern w:val="0"/>
          <w:sz w:val="24"/>
          <w:szCs w:val="24"/>
          <w:lang w:eastAsia="en-GB"/>
          <w14:ligatures w14:val="none"/>
        </w:rPr>
        <w:t xml:space="preserve"> and Anderson, R.M. (2004) Empowerment and Self-Management of Diabetes. </w:t>
      </w:r>
      <w:r w:rsidRPr="002437D1">
        <w:rPr>
          <w:rFonts w:eastAsia="Times New Roman" w:cstheme="minorHAnsi"/>
          <w:i/>
          <w:iCs/>
          <w:kern w:val="0"/>
          <w:sz w:val="24"/>
          <w:szCs w:val="24"/>
          <w:lang w:eastAsia="en-GB"/>
          <w14:ligatures w14:val="none"/>
        </w:rPr>
        <w:t>Clinical Diabetes</w:t>
      </w:r>
      <w:r w:rsidRPr="002437D1">
        <w:rPr>
          <w:rFonts w:eastAsia="Times New Roman" w:cstheme="minorHAnsi"/>
          <w:kern w:val="0"/>
          <w:sz w:val="24"/>
          <w:szCs w:val="24"/>
          <w:lang w:eastAsia="en-GB"/>
          <w14:ligatures w14:val="none"/>
        </w:rPr>
        <w:t xml:space="preserve">, 22(3), pp.123–127. Available at: </w:t>
      </w:r>
      <w:proofErr w:type="spellStart"/>
      <w:proofErr w:type="gramStart"/>
      <w:r w:rsidRPr="002437D1">
        <w:rPr>
          <w:rFonts w:eastAsia="Times New Roman" w:cstheme="minorHAnsi"/>
          <w:kern w:val="0"/>
          <w:sz w:val="24"/>
          <w:szCs w:val="24"/>
          <w:lang w:eastAsia="en-GB"/>
          <w14:ligatures w14:val="none"/>
        </w:rPr>
        <w:t>doi:https</w:t>
      </w:r>
      <w:proofErr w:type="spellEnd"/>
      <w:r w:rsidRPr="002437D1">
        <w:rPr>
          <w:rFonts w:eastAsia="Times New Roman" w:cstheme="minorHAnsi"/>
          <w:kern w:val="0"/>
          <w:sz w:val="24"/>
          <w:szCs w:val="24"/>
          <w:lang w:eastAsia="en-GB"/>
          <w14:ligatures w14:val="none"/>
        </w:rPr>
        <w:t>://doi.org/10.2337/diaclin.22.3.123</w:t>
      </w:r>
      <w:proofErr w:type="gramEnd"/>
      <w:r w:rsidRPr="002437D1">
        <w:rPr>
          <w:rFonts w:eastAsia="Times New Roman" w:cstheme="minorHAnsi"/>
          <w:kern w:val="0"/>
          <w:sz w:val="24"/>
          <w:szCs w:val="24"/>
          <w:lang w:eastAsia="en-GB"/>
          <w14:ligatures w14:val="none"/>
        </w:rPr>
        <w:t>. (Accessed 11 December 2023).</w:t>
      </w:r>
    </w:p>
    <w:p w14:paraId="0B5F9618" w14:textId="77777777" w:rsidR="007113E3" w:rsidRPr="002437D1" w:rsidRDefault="007113E3" w:rsidP="007113E3">
      <w:pPr>
        <w:spacing w:after="240" w:line="360" w:lineRule="auto"/>
        <w:rPr>
          <w:rFonts w:eastAsia="Times New Roman" w:cstheme="minorHAnsi"/>
          <w:kern w:val="0"/>
          <w:sz w:val="24"/>
          <w:szCs w:val="24"/>
          <w:lang w:eastAsia="en-GB"/>
          <w14:ligatures w14:val="none"/>
        </w:rPr>
      </w:pPr>
      <w:r w:rsidRPr="002437D1">
        <w:rPr>
          <w:rFonts w:eastAsia="Times New Roman" w:cstheme="minorHAnsi"/>
          <w:kern w:val="0"/>
          <w:sz w:val="24"/>
          <w:szCs w:val="24"/>
          <w:lang w:eastAsia="en-GB"/>
          <w14:ligatures w14:val="none"/>
        </w:rPr>
        <w:t xml:space="preserve">Herman, W.H., Ye, W., Griffin, S.J., Simmons, R.K., Davies, M.J., Khunti, K., Rutten, G.E.H.M., </w:t>
      </w:r>
      <w:proofErr w:type="spellStart"/>
      <w:r w:rsidRPr="002437D1">
        <w:rPr>
          <w:rFonts w:eastAsia="Times New Roman" w:cstheme="minorHAnsi"/>
          <w:kern w:val="0"/>
          <w:sz w:val="24"/>
          <w:szCs w:val="24"/>
          <w:lang w:eastAsia="en-GB"/>
          <w14:ligatures w14:val="none"/>
        </w:rPr>
        <w:t>Sandbaek</w:t>
      </w:r>
      <w:proofErr w:type="spellEnd"/>
      <w:r w:rsidRPr="002437D1">
        <w:rPr>
          <w:rFonts w:eastAsia="Times New Roman" w:cstheme="minorHAnsi"/>
          <w:kern w:val="0"/>
          <w:sz w:val="24"/>
          <w:szCs w:val="24"/>
          <w:lang w:eastAsia="en-GB"/>
          <w14:ligatures w14:val="none"/>
        </w:rPr>
        <w:t xml:space="preserve">, A., Lauritzen, T., Borch-Johnsen, K., Brown, M.B. and Wareham, N.J. (2015) Early Detection and Treatment of Type 2 Diabetes Reduce Cardiovascular Morbidity and Mortality: A Simulation of the Results of the Anglo-Danish-Dutch Study of Intensive Treatment in People with Screen-Detected Diabetes in Primary Care. </w:t>
      </w:r>
      <w:r w:rsidRPr="002437D1">
        <w:rPr>
          <w:rFonts w:eastAsia="Times New Roman" w:cstheme="minorHAnsi"/>
          <w:i/>
          <w:iCs/>
          <w:kern w:val="0"/>
          <w:sz w:val="24"/>
          <w:szCs w:val="24"/>
          <w:lang w:eastAsia="en-GB"/>
          <w14:ligatures w14:val="none"/>
        </w:rPr>
        <w:t>Diabetes Care</w:t>
      </w:r>
      <w:r w:rsidRPr="002437D1">
        <w:rPr>
          <w:rFonts w:eastAsia="Times New Roman" w:cstheme="minorHAnsi"/>
          <w:kern w:val="0"/>
          <w:sz w:val="24"/>
          <w:szCs w:val="24"/>
          <w:lang w:eastAsia="en-GB"/>
          <w14:ligatures w14:val="none"/>
        </w:rPr>
        <w:t xml:space="preserve">, 38(8), pp.1449–1455. Available at: </w:t>
      </w:r>
      <w:proofErr w:type="spellStart"/>
      <w:proofErr w:type="gramStart"/>
      <w:r w:rsidRPr="002437D1">
        <w:rPr>
          <w:rFonts w:eastAsia="Times New Roman" w:cstheme="minorHAnsi"/>
          <w:kern w:val="0"/>
          <w:sz w:val="24"/>
          <w:szCs w:val="24"/>
          <w:lang w:eastAsia="en-GB"/>
          <w14:ligatures w14:val="none"/>
        </w:rPr>
        <w:t>doi:https</w:t>
      </w:r>
      <w:proofErr w:type="spellEnd"/>
      <w:r w:rsidRPr="002437D1">
        <w:rPr>
          <w:rFonts w:eastAsia="Times New Roman" w:cstheme="minorHAnsi"/>
          <w:kern w:val="0"/>
          <w:sz w:val="24"/>
          <w:szCs w:val="24"/>
          <w:lang w:eastAsia="en-GB"/>
          <w14:ligatures w14:val="none"/>
        </w:rPr>
        <w:t>://doi.org/10.2337/dc14-2459</w:t>
      </w:r>
      <w:proofErr w:type="gramEnd"/>
      <w:r w:rsidRPr="002437D1">
        <w:rPr>
          <w:rFonts w:eastAsia="Times New Roman" w:cstheme="minorHAnsi"/>
          <w:kern w:val="0"/>
          <w:sz w:val="24"/>
          <w:szCs w:val="24"/>
          <w:lang w:eastAsia="en-GB"/>
          <w14:ligatures w14:val="none"/>
        </w:rPr>
        <w:t>. (Accessed 11 December 2023).</w:t>
      </w:r>
    </w:p>
    <w:p w14:paraId="6D0DC519" w14:textId="77777777" w:rsidR="007113E3" w:rsidRPr="002437D1" w:rsidRDefault="007113E3" w:rsidP="007113E3">
      <w:pPr>
        <w:spacing w:after="240" w:line="360" w:lineRule="auto"/>
        <w:rPr>
          <w:rFonts w:eastAsia="Times New Roman" w:cstheme="minorHAnsi"/>
          <w:kern w:val="0"/>
          <w:sz w:val="24"/>
          <w:szCs w:val="24"/>
          <w:lang w:eastAsia="en-GB"/>
          <w14:ligatures w14:val="none"/>
        </w:rPr>
      </w:pPr>
      <w:r w:rsidRPr="002437D1">
        <w:rPr>
          <w:rFonts w:eastAsia="Times New Roman" w:cstheme="minorHAnsi"/>
          <w:kern w:val="0"/>
          <w:sz w:val="24"/>
          <w:szCs w:val="24"/>
          <w:lang w:eastAsia="en-GB"/>
          <w14:ligatures w14:val="none"/>
        </w:rPr>
        <w:t xml:space="preserve">Ley, S.H., Schulze, M.B., </w:t>
      </w:r>
      <w:proofErr w:type="spellStart"/>
      <w:r w:rsidRPr="002437D1">
        <w:rPr>
          <w:rFonts w:eastAsia="Times New Roman" w:cstheme="minorHAnsi"/>
          <w:kern w:val="0"/>
          <w:sz w:val="24"/>
          <w:szCs w:val="24"/>
          <w:lang w:eastAsia="en-GB"/>
          <w14:ligatures w14:val="none"/>
        </w:rPr>
        <w:t>Hivert</w:t>
      </w:r>
      <w:proofErr w:type="spellEnd"/>
      <w:r w:rsidRPr="002437D1">
        <w:rPr>
          <w:rFonts w:eastAsia="Times New Roman" w:cstheme="minorHAnsi"/>
          <w:kern w:val="0"/>
          <w:sz w:val="24"/>
          <w:szCs w:val="24"/>
          <w:lang w:eastAsia="en-GB"/>
          <w14:ligatures w14:val="none"/>
        </w:rPr>
        <w:t xml:space="preserve">, M.-F., Meigs, J.B. and Hu, F.B. (2018) </w:t>
      </w:r>
      <w:r w:rsidRPr="002437D1">
        <w:rPr>
          <w:rFonts w:eastAsia="Times New Roman" w:cstheme="minorHAnsi"/>
          <w:i/>
          <w:iCs/>
          <w:kern w:val="0"/>
          <w:sz w:val="24"/>
          <w:szCs w:val="24"/>
          <w:lang w:eastAsia="en-GB"/>
          <w14:ligatures w14:val="none"/>
        </w:rPr>
        <w:t>Risk Factors for Type 2 Diabetes</w:t>
      </w:r>
      <w:r w:rsidRPr="002437D1">
        <w:rPr>
          <w:rFonts w:eastAsia="Times New Roman" w:cstheme="minorHAnsi"/>
          <w:kern w:val="0"/>
          <w:sz w:val="24"/>
          <w:szCs w:val="24"/>
          <w:lang w:eastAsia="en-GB"/>
          <w14:ligatures w14:val="none"/>
        </w:rPr>
        <w:t>. 3rd ed. Available at: https://www.ncbi.nlm.nih.gov/books/NBK567966/#ch13.rl.r1 (Accessed 7 Dec. 2023).</w:t>
      </w:r>
    </w:p>
    <w:p w14:paraId="444F3AA1" w14:textId="77777777" w:rsidR="007113E3" w:rsidRPr="002437D1" w:rsidRDefault="007113E3" w:rsidP="007113E3">
      <w:pPr>
        <w:spacing w:after="240" w:line="360" w:lineRule="auto"/>
        <w:rPr>
          <w:rFonts w:eastAsia="Times New Roman" w:cstheme="minorHAnsi"/>
          <w:kern w:val="0"/>
          <w:sz w:val="24"/>
          <w:szCs w:val="24"/>
          <w:lang w:eastAsia="en-GB"/>
          <w14:ligatures w14:val="none"/>
        </w:rPr>
      </w:pPr>
      <w:r w:rsidRPr="002437D1">
        <w:rPr>
          <w:rFonts w:eastAsia="Times New Roman" w:cstheme="minorHAnsi"/>
          <w:kern w:val="0"/>
          <w:sz w:val="24"/>
          <w:szCs w:val="24"/>
          <w:lang w:eastAsia="en-GB"/>
          <w14:ligatures w14:val="none"/>
        </w:rPr>
        <w:t xml:space="preserve">Viner, R. and Macfarlane, A. (2005). Health Promotion. </w:t>
      </w:r>
      <w:r w:rsidRPr="002437D1">
        <w:rPr>
          <w:rFonts w:eastAsia="Times New Roman" w:cstheme="minorHAnsi"/>
          <w:i/>
          <w:iCs/>
          <w:kern w:val="0"/>
          <w:sz w:val="24"/>
          <w:szCs w:val="24"/>
          <w:lang w:eastAsia="en-GB"/>
          <w14:ligatures w14:val="none"/>
        </w:rPr>
        <w:t>BMJ</w:t>
      </w:r>
      <w:r w:rsidRPr="002437D1">
        <w:rPr>
          <w:rFonts w:eastAsia="Times New Roman" w:cstheme="minorHAnsi"/>
          <w:kern w:val="0"/>
          <w:sz w:val="24"/>
          <w:szCs w:val="24"/>
          <w:lang w:eastAsia="en-GB"/>
          <w14:ligatures w14:val="none"/>
        </w:rPr>
        <w:t xml:space="preserve">, 330(7490), pp.527–529. Available at: </w:t>
      </w:r>
      <w:proofErr w:type="spellStart"/>
      <w:proofErr w:type="gramStart"/>
      <w:r w:rsidRPr="002437D1">
        <w:rPr>
          <w:rFonts w:eastAsia="Times New Roman" w:cstheme="minorHAnsi"/>
          <w:kern w:val="0"/>
          <w:sz w:val="24"/>
          <w:szCs w:val="24"/>
          <w:lang w:eastAsia="en-GB"/>
          <w14:ligatures w14:val="none"/>
        </w:rPr>
        <w:t>doi:https</w:t>
      </w:r>
      <w:proofErr w:type="spellEnd"/>
      <w:r w:rsidRPr="002437D1">
        <w:rPr>
          <w:rFonts w:eastAsia="Times New Roman" w:cstheme="minorHAnsi"/>
          <w:kern w:val="0"/>
          <w:sz w:val="24"/>
          <w:szCs w:val="24"/>
          <w:lang w:eastAsia="en-GB"/>
          <w14:ligatures w14:val="none"/>
        </w:rPr>
        <w:t>://doi.org/10.1136/bmj.330.7490.527</w:t>
      </w:r>
      <w:proofErr w:type="gramEnd"/>
      <w:r w:rsidRPr="002437D1">
        <w:rPr>
          <w:rFonts w:eastAsia="Times New Roman" w:cstheme="minorHAnsi"/>
          <w:kern w:val="0"/>
          <w:sz w:val="24"/>
          <w:szCs w:val="24"/>
          <w:lang w:eastAsia="en-GB"/>
          <w14:ligatures w14:val="none"/>
        </w:rPr>
        <w:t>. (Accessed 12 December 2023).</w:t>
      </w:r>
    </w:p>
    <w:p w14:paraId="2E8917B8" w14:textId="77777777" w:rsidR="007113E3" w:rsidRPr="002437D1" w:rsidRDefault="007113E3" w:rsidP="007113E3">
      <w:pPr>
        <w:spacing w:after="240" w:line="360" w:lineRule="auto"/>
        <w:rPr>
          <w:rFonts w:eastAsia="Times New Roman" w:cstheme="minorHAnsi"/>
          <w:kern w:val="0"/>
          <w:sz w:val="24"/>
          <w:szCs w:val="24"/>
          <w:lang w:eastAsia="en-GB"/>
          <w14:ligatures w14:val="none"/>
        </w:rPr>
      </w:pPr>
      <w:r w:rsidRPr="002437D1">
        <w:rPr>
          <w:rFonts w:eastAsia="Times New Roman" w:cstheme="minorHAnsi"/>
          <w:kern w:val="0"/>
          <w:sz w:val="24"/>
          <w:szCs w:val="24"/>
          <w:lang w:eastAsia="en-GB"/>
          <w14:ligatures w14:val="none"/>
        </w:rPr>
        <w:t xml:space="preserve">World Health Organization (2023). </w:t>
      </w:r>
      <w:r w:rsidRPr="002437D1">
        <w:rPr>
          <w:rFonts w:eastAsia="Times New Roman" w:cstheme="minorHAnsi"/>
          <w:i/>
          <w:iCs/>
          <w:kern w:val="0"/>
          <w:sz w:val="24"/>
          <w:szCs w:val="24"/>
          <w:lang w:eastAsia="en-GB"/>
          <w14:ligatures w14:val="none"/>
        </w:rPr>
        <w:t>Health Promotion</w:t>
      </w:r>
      <w:r w:rsidRPr="002437D1">
        <w:rPr>
          <w:rFonts w:eastAsia="Times New Roman" w:cstheme="minorHAnsi"/>
          <w:kern w:val="0"/>
          <w:sz w:val="24"/>
          <w:szCs w:val="24"/>
          <w:lang w:eastAsia="en-GB"/>
          <w14:ligatures w14:val="none"/>
        </w:rPr>
        <w:t>. [online] World Health Organization. Available at: https://www.who.int/health-topics/health-promotion#tab=tab_1 (Accessed 7 Dec. 2023).</w:t>
      </w:r>
    </w:p>
    <w:p w14:paraId="36BD5BF9" w14:textId="77777777" w:rsidR="007113E3" w:rsidRPr="002437D1" w:rsidRDefault="007113E3" w:rsidP="007A2B30">
      <w:pPr>
        <w:rPr>
          <w:rFonts w:cstheme="minorHAnsi"/>
          <w:sz w:val="24"/>
          <w:szCs w:val="24"/>
        </w:rPr>
      </w:pPr>
    </w:p>
    <w:sectPr w:rsidR="007113E3" w:rsidRPr="002437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CA944" w14:textId="77777777" w:rsidR="00DE37A8" w:rsidRDefault="00DE37A8" w:rsidP="00F6735E">
      <w:pPr>
        <w:spacing w:after="0" w:line="240" w:lineRule="auto"/>
      </w:pPr>
      <w:r>
        <w:separator/>
      </w:r>
    </w:p>
  </w:endnote>
  <w:endnote w:type="continuationSeparator" w:id="0">
    <w:p w14:paraId="4F7F408E" w14:textId="77777777" w:rsidR="00DE37A8" w:rsidRDefault="00DE37A8" w:rsidP="00F67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A560E" w14:textId="77777777" w:rsidR="00DE37A8" w:rsidRDefault="00DE37A8" w:rsidP="00F6735E">
      <w:pPr>
        <w:spacing w:after="0" w:line="240" w:lineRule="auto"/>
      </w:pPr>
      <w:r>
        <w:separator/>
      </w:r>
    </w:p>
  </w:footnote>
  <w:footnote w:type="continuationSeparator" w:id="0">
    <w:p w14:paraId="18773AE9" w14:textId="77777777" w:rsidR="00DE37A8" w:rsidRDefault="00DE37A8" w:rsidP="00F673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D6E"/>
    <w:rsid w:val="00025534"/>
    <w:rsid w:val="00215E23"/>
    <w:rsid w:val="002437D1"/>
    <w:rsid w:val="002A1F42"/>
    <w:rsid w:val="002B6C38"/>
    <w:rsid w:val="00350AA0"/>
    <w:rsid w:val="00372284"/>
    <w:rsid w:val="003D2B0F"/>
    <w:rsid w:val="005B2339"/>
    <w:rsid w:val="00621263"/>
    <w:rsid w:val="007113E3"/>
    <w:rsid w:val="007A2B30"/>
    <w:rsid w:val="007B6716"/>
    <w:rsid w:val="007E62AA"/>
    <w:rsid w:val="00825D88"/>
    <w:rsid w:val="0083184B"/>
    <w:rsid w:val="008436F3"/>
    <w:rsid w:val="0091713C"/>
    <w:rsid w:val="00A2750F"/>
    <w:rsid w:val="00B45057"/>
    <w:rsid w:val="00B65CB8"/>
    <w:rsid w:val="00B72A8E"/>
    <w:rsid w:val="00BC1118"/>
    <w:rsid w:val="00BE0564"/>
    <w:rsid w:val="00BF169A"/>
    <w:rsid w:val="00C505E9"/>
    <w:rsid w:val="00C7681C"/>
    <w:rsid w:val="00D15085"/>
    <w:rsid w:val="00D62CAC"/>
    <w:rsid w:val="00DE37A8"/>
    <w:rsid w:val="00DF76AA"/>
    <w:rsid w:val="00E3238D"/>
    <w:rsid w:val="00EC0D6E"/>
    <w:rsid w:val="00F0483E"/>
    <w:rsid w:val="00F6735E"/>
    <w:rsid w:val="00F755E7"/>
    <w:rsid w:val="00FF2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0864C"/>
  <w15:chartTrackingRefBased/>
  <w15:docId w15:val="{67457B8A-A835-4755-8318-D491646B4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7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35E"/>
  </w:style>
  <w:style w:type="paragraph" w:styleId="Footer">
    <w:name w:val="footer"/>
    <w:basedOn w:val="Normal"/>
    <w:link w:val="FooterChar"/>
    <w:uiPriority w:val="99"/>
    <w:unhideWhenUsed/>
    <w:rsid w:val="00F67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8256608">
      <w:bodyDiv w:val="1"/>
      <w:marLeft w:val="0"/>
      <w:marRight w:val="0"/>
      <w:marTop w:val="0"/>
      <w:marBottom w:val="0"/>
      <w:divBdr>
        <w:top w:val="none" w:sz="0" w:space="0" w:color="auto"/>
        <w:left w:val="none" w:sz="0" w:space="0" w:color="auto"/>
        <w:bottom w:val="none" w:sz="0" w:space="0" w:color="auto"/>
        <w:right w:val="none" w:sz="0" w:space="0" w:color="auto"/>
      </w:divBdr>
    </w:div>
    <w:div w:id="198226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lichealth.uga.edu/departments/health-promotion-behavior/what-is-health-promotio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1508</Words>
  <Characters>8598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lacramioara burlacu</dc:creator>
  <cp:keywords/>
  <dc:description/>
  <cp:lastModifiedBy>lacramioara burlacu</cp:lastModifiedBy>
  <cp:revision>3</cp:revision>
  <dcterms:created xsi:type="dcterms:W3CDTF">2023-12-13T23:20:00Z</dcterms:created>
  <dcterms:modified xsi:type="dcterms:W3CDTF">2023-12-13T23:22:00Z</dcterms:modified>
</cp:coreProperties>
</file>