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footnotes.xml" ContentType="application/vnd.openxmlformats-officedocument.wordprocessingml.footnotes+xml"/>
  <Override PartName="/word/document.xml" ContentType="application/vnd.openxmlformats-officedocument.wordprocessingml.document.main+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endnotes.xml" ContentType="application/vnd.openxmlformats-officedocument.wordprocessingml.endnotes+xml"/>
  <Override PartName="/word/theme/theme1.xml" ContentType="application/vnd.openxmlformats-officedocument.theme+xml"/>
  <Override PartName="/docProps/app.xml" ContentType="application/vnd.openxmlformats-officedocument.extended-properties+xml"/>
  <Override PartName="/word/fontTable.xml" ContentType="application/vnd.openxmlformats-officedocument.wordprocessingml.fontTab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xmlns:dgm="http://schemas.openxmlformats.org/drawingml/2006/diagram">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6629"/>
        <w:gridCol w:w="1237"/>
        <w:gridCol w:w="468"/>
        <w:gridCol w:w="1443"/>
        <w:gridCol w:w="662"/>
      </w:tblGrid>
      <w:tr>
        <w:trPr>
          <w:trHeight w:val="418"/>
          <w:jc w:val="center"/>
        </w:trPr>
        <w:tc>
          <w:tcPr>
            <w:cnfStyle w:val="101000000000"/>
            <w:tcW w:w="6629" w:type="dxa"/>
            <w:vMerge w:val="restart"/>
            <w:tcBorders>
              <w:top w:val="single" w:color="auto" w:sz="4" w:space="0"/>
              <w:left w:val="single" w:color="auto" w:sz="4" w:space="0"/>
              <w:right w:val="single" w:color="auto" w:sz="4" w:space="0"/>
            </w:tcBorders>
            <w:shd w:val="clear" w:color="auto" w:fill="auto"/>
          </w:tcPr>
          <w:p w14:paraId="00000005">
            <w:pPr>
              <w:keepNext w:val="on"/>
              <w:spacing w:after="0" w:line="240" w:lineRule="auto"/>
              <w:jc w:val="center"/>
              <w:rPr>
                <w:rFonts w:ascii="Arial" w:cs="Times New Roman" w:eastAsia="Times New Roman" w:hAnsi="Arial"/>
                <w:b/>
                <w:color w:val="auto"/>
                <w:sz w:val="24"/>
                <w:szCs w:val="24"/>
                <w:lang w:val="en-AU"/>
              </w:rPr>
            </w:pPr>
          </w:p>
          <w:p w14:paraId="00000006">
            <w:pPr>
              <w:keepNext w:val="on"/>
              <w:spacing w:after="0" w:line="240" w:lineRule="auto"/>
              <w:jc w:val="both"/>
              <w:rPr>
                <w:rFonts w:ascii="Arial" w:cs="Times New Roman" w:eastAsia="Times New Roman" w:hAnsi="Arial"/>
                <w:b/>
                <w:color w:val="auto"/>
                <w:sz w:val="28"/>
                <w:szCs w:val="28"/>
                <w:lang w:val="en-AU"/>
              </w:rPr>
            </w:pPr>
            <w:r>
              <w:rPr>
                <w:rFonts w:asciiTheme="minorHAnsi" w:hAnsiTheme="minorHAnsi"/>
                <w:lang w:val="en-US"/>
              </w:rPr>
              <w:drawing xmlns:mc="http://schemas.openxmlformats.org/markup-compatibility/2006">
                <wp:inline distT="0" distB="0" distL="0" distR="0">
                  <wp:extent cx="2965836" cy="1291786"/>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4"/>
                          <a:srcRect/>
                          <a:stretch>
                            <a:fillRect/>
                          </a:stretch>
                        </pic:blipFill>
                        <pic:spPr>
                          <a:xfrm>
                            <a:off x="0" y="0"/>
                            <a:ext cx="2965836" cy="1291786"/>
                          </a:xfrm>
                          <a:prstGeom prst="rect">
                            <a:avLst/>
                          </a:prstGeom>
                          <a:noFill/>
                          <a:ln>
                            <a:noFill/>
                          </a:ln>
                        </pic:spPr>
                      </pic:pic>
                    </a:graphicData>
                  </a:graphic>
                </wp:inline>
              </w:drawing>
            </w:r>
            <w:r>
              <w:rPr>
                <w:rFonts w:ascii="Arial" w:cs="Times New Roman" w:eastAsia="Times New Roman" w:hAnsi="Arial"/>
                <w:b/>
                <w:color w:val="auto"/>
                <w:sz w:val="32"/>
                <w:szCs w:val="32"/>
                <w:lang w:val="en-AU"/>
              </w:rPr>
              <w:br w:type="textWrapping"/>
            </w:r>
          </w:p>
          <w:p w14:paraId="00000007">
            <w:pPr>
              <w:rPr>
                <w:b/>
                <w:bCs/>
                <w:sz w:val="28"/>
                <w:szCs w:val="24"/>
              </w:rPr>
            </w:pPr>
            <w:r>
              <w:rPr>
                <w:b/>
                <w:bCs/>
                <w:sz w:val="28"/>
                <w:szCs w:val="24"/>
              </w:rPr>
              <w:t>Component One: Student Journal (</w:t>
            </w:r>
            <w:r>
              <w:rPr>
                <w:b/>
                <w:bCs/>
                <w:sz w:val="28"/>
                <w:szCs w:val="24"/>
              </w:rPr>
              <w:t>learning log) 750 words +/- 10%</w:t>
            </w:r>
          </w:p>
          <w:p w14:paraId="00000008">
            <w:pPr>
              <w:rPr>
                <w:rFonts w:ascii="Arial" w:cs="Times New Roman" w:eastAsia="Times New Roman" w:hAnsi="Arial"/>
                <w:b/>
                <w:color w:val="auto"/>
                <w:sz w:val="32"/>
                <w:szCs w:val="32"/>
                <w:lang w:val="en-AU"/>
              </w:rPr>
            </w:pPr>
            <w:r>
              <w:rPr>
                <w:rFonts w:cs="Times New Roman" w:eastAsia="Carlito"/>
                <w:b/>
                <w:color w:val="auto"/>
                <w:sz w:val="28"/>
                <w:szCs w:val="28"/>
                <w:lang w:val="en-US"/>
              </w:rPr>
              <w:t>Contribution to Overall Module Assessment</w:t>
            </w:r>
            <w:r>
              <w:rPr>
                <w:rFonts w:cs="Times New Roman" w:eastAsia="Carlito"/>
                <w:b/>
                <w:color w:val="auto"/>
                <w:sz w:val="28"/>
                <w:szCs w:val="28"/>
                <w:lang w:val="en-US"/>
              </w:rPr>
              <w:t>: 25%</w:t>
            </w:r>
          </w:p>
        </w:tc>
        <w:tc>
          <w:tcPr>
            <w:cnfStyle w:val="100010000000"/>
            <w:tcW w:w="1237" w:type="dxa"/>
            <w:tcBorders>
              <w:top w:val="single" w:color="auto" w:sz="4" w:space="0"/>
              <w:left w:val="single" w:color="auto" w:sz="4" w:space="0"/>
              <w:bottom w:val="nil" w:sz="4" w:space="0"/>
              <w:right w:val="nil" w:sz="4" w:space="0"/>
            </w:tcBorders>
            <w:shd w:val="clear" w:color="auto" w:fill="auto"/>
            <w:vAlign w:val="center"/>
          </w:tcPr>
          <w:p w14:paraId="00000009">
            <w:pPr>
              <w:keepNext w:val="on"/>
              <w:spacing w:before="120" w:after="0" w:line="240" w:lineRule="auto"/>
              <w:rPr>
                <w:rFonts w:ascii="Arial" w:cs="Times New Roman" w:eastAsia="Times New Roman" w:hAnsi="Arial"/>
                <w:b/>
                <w:bCs/>
                <w:color w:val="auto"/>
                <w:sz w:val="20"/>
                <w:szCs w:val="20"/>
                <w:lang w:val="en-AU"/>
              </w:rPr>
            </w:pPr>
            <w:r>
              <w:rPr>
                <w:rFonts w:ascii="Arial" w:cs="Times New Roman" w:eastAsia="Times New Roman" w:hAnsi="Arial"/>
                <w:b/>
                <w:bCs/>
                <w:color w:val="auto"/>
                <w:sz w:val="20"/>
                <w:szCs w:val="20"/>
              </w:rPr>
              <w:t>S</w:t>
            </w:r>
            <w:r>
              <w:rPr>
                <w:rFonts w:ascii="Arial" w:cs="Times New Roman" w:eastAsia="Times New Roman" w:hAnsi="Arial"/>
                <w:b/>
                <w:bCs/>
                <w:color w:val="auto"/>
                <w:sz w:val="20"/>
                <w:szCs w:val="20"/>
              </w:rPr>
              <w:t>tudent No:</w:t>
            </w:r>
          </w:p>
        </w:tc>
        <w:tc>
          <w:tcPr>
            <w:cnfStyle w:val="100001000000"/>
            <w:tcW w:w="1911" w:type="dxa"/>
            <w:gridSpan w:val="2"/>
            <w:tcBorders>
              <w:top w:val="single" w:color="auto" w:sz="4" w:space="0"/>
              <w:left w:val="nil" w:sz="4" w:space="0"/>
              <w:bottom w:val="dashed" w:color="auto" w:sz="4" w:space="0"/>
              <w:right w:val="nil" w:sz="4" w:space="0"/>
            </w:tcBorders>
            <w:shd w:val="clear" w:color="auto" w:fill="auto"/>
            <w:vAlign w:val="center"/>
          </w:tcPr>
          <w:p w14:paraId="0000000A">
            <w:pPr>
              <w:keepNext w:val="on"/>
              <w:spacing w:after="0" w:line="240" w:lineRule="auto"/>
              <w:jc w:val="center"/>
              <w:rPr>
                <w:rFonts w:ascii="Arial" w:cs="Times New Roman" w:eastAsia="Times New Roman" w:hAnsi="Arial"/>
                <w:b/>
                <w:color w:val="auto"/>
                <w:sz w:val="24"/>
                <w:szCs w:val="24"/>
                <w:lang w:val="en-AU"/>
              </w:rPr>
            </w:pPr>
            <w:r>
              <w:rPr>
                <w:rFonts w:ascii="Arial" w:cs="Times New Roman" w:eastAsia="Times New Roman" w:hAnsi="Arial"/>
                <w:b/>
                <w:color w:val="auto"/>
                <w:sz w:val="24"/>
                <w:szCs w:val="24"/>
                <w:lang w:val="en-AU"/>
              </w:rPr>
              <w:t>2213442</w:t>
            </w:r>
          </w:p>
        </w:tc>
        <w:tc>
          <w:tcPr>
            <w:cnfStyle w:val="100100000000"/>
            <w:tcW w:w="662" w:type="dxa"/>
            <w:tcBorders>
              <w:top w:val="single" w:color="auto" w:sz="4" w:space="0"/>
              <w:left w:val="nil" w:sz="4" w:space="0"/>
              <w:bottom w:val="nil" w:sz="4" w:space="0"/>
              <w:right w:val="single" w:color="auto" w:sz="4" w:space="0"/>
            </w:tcBorders>
            <w:shd w:val="clear" w:color="auto" w:fill="auto"/>
            <w:vAlign w:val="center"/>
          </w:tcPr>
          <w:p w14:paraId="0000000B">
            <w:pPr>
              <w:keepNext w:val="on"/>
              <w:spacing w:after="0" w:line="240" w:lineRule="auto"/>
              <w:jc w:val="center"/>
              <w:rPr>
                <w:rFonts w:ascii="Arial" w:cs="Times New Roman" w:eastAsia="Times New Roman" w:hAnsi="Arial"/>
                <w:b/>
                <w:color w:val="auto"/>
                <w:sz w:val="20"/>
                <w:szCs w:val="20"/>
                <w:lang w:val="en-AU"/>
              </w:rPr>
            </w:pPr>
          </w:p>
        </w:tc>
      </w:tr>
      <w:tr>
        <w:trPr>
          <w:trHeight w:val="468"/>
          <w:jc w:val="center"/>
        </w:trPr>
        <w:tc>
          <w:tcPr>
            <w:cnfStyle w:val="001000100000"/>
            <w:tcW w:w="6629" w:type="dxa"/>
            <w:vMerge w:val="continue"/>
            <w:tcBorders>
              <w:left w:val="single" w:color="auto" w:sz="4" w:space="0"/>
              <w:right w:val="single" w:color="auto" w:sz="4" w:space="0"/>
            </w:tcBorders>
            <w:shd w:val="clear" w:color="auto" w:fill="auto"/>
          </w:tcPr>
          <w:p w14:paraId="0000000C">
            <w:pPr>
              <w:keepNext w:val="on"/>
              <w:spacing w:after="0" w:line="240" w:lineRule="auto"/>
              <w:jc w:val="center"/>
              <w:rPr>
                <w:rFonts w:ascii="Arial" w:cs="Times New Roman" w:eastAsia="Times New Roman" w:hAnsi="Arial"/>
                <w:b/>
                <w:color w:val="auto"/>
                <w:sz w:val="40"/>
                <w:szCs w:val="20"/>
                <w:lang w:val="en-AU"/>
              </w:rPr>
            </w:pPr>
          </w:p>
        </w:tc>
        <w:tc>
          <w:tcPr>
            <w:cnfStyle w:val="000010100000"/>
            <w:tcW w:w="1237" w:type="dxa"/>
            <w:tcBorders>
              <w:top w:val="nil" w:sz="4" w:space="0"/>
              <w:left w:val="single" w:color="auto" w:sz="4" w:space="0"/>
              <w:bottom w:val="nil" w:sz="4" w:space="0"/>
              <w:right w:val="nil" w:sz="4" w:space="0"/>
            </w:tcBorders>
            <w:shd w:val="clear" w:color="auto" w:fill="auto"/>
            <w:vAlign w:val="center"/>
          </w:tcPr>
          <w:p w14:paraId="0000000D">
            <w:pPr>
              <w:keepNext w:val="on"/>
              <w:spacing w:after="0" w:line="240" w:lineRule="auto"/>
              <w:rPr>
                <w:rFonts w:ascii="Arial" w:cs="Times New Roman" w:eastAsia="Times New Roman" w:hAnsi="Arial"/>
                <w:color w:val="auto"/>
                <w:sz w:val="20"/>
                <w:szCs w:val="20"/>
                <w:lang w:val="en-AU"/>
              </w:rPr>
            </w:pPr>
          </w:p>
          <w:p w14:paraId="0000000E">
            <w:pPr>
              <w:keepNext w:val="on"/>
              <w:spacing w:after="0" w:line="240" w:lineRule="auto"/>
              <w:rPr>
                <w:rFonts w:ascii="Arial" w:cs="Times New Roman" w:eastAsia="Times New Roman" w:hAnsi="Arial"/>
                <w:color w:val="auto"/>
                <w:sz w:val="20"/>
                <w:szCs w:val="20"/>
                <w:lang w:val="en-AU"/>
              </w:rPr>
            </w:pPr>
            <w:r>
              <w:rPr>
                <w:rFonts w:ascii="Arial" w:cs="Times New Roman" w:eastAsia="Times New Roman" w:hAnsi="Arial"/>
                <w:color w:val="auto"/>
                <w:sz w:val="20"/>
                <w:szCs w:val="20"/>
                <w:lang w:val="en-AU"/>
              </w:rPr>
              <w:t>Module Title:</w:t>
            </w:r>
          </w:p>
        </w:tc>
        <w:tc>
          <w:tcPr>
            <w:cnfStyle w:val="000001100000"/>
            <w:tcW w:w="1911" w:type="dxa"/>
            <w:gridSpan w:val="2"/>
            <w:tcBorders>
              <w:top w:val="dashed" w:color="auto" w:sz="4" w:space="0"/>
              <w:left w:val="nil" w:sz="4" w:space="0"/>
              <w:bottom w:val="dashed" w:color="auto" w:sz="4" w:space="0"/>
              <w:right w:val="nil" w:sz="4" w:space="0"/>
            </w:tcBorders>
            <w:shd w:val="clear" w:color="auto" w:fill="auto"/>
            <w:vAlign w:val="center"/>
          </w:tcPr>
          <w:p w14:paraId="0000000F">
            <w:pPr>
              <w:keepNext w:val="on"/>
              <w:spacing w:after="0" w:line="240" w:lineRule="auto"/>
              <w:jc w:val="center"/>
              <w:rPr>
                <w:rFonts w:ascii="Arial" w:cs="Times New Roman" w:eastAsia="Times New Roman" w:hAnsi="Arial"/>
                <w:b/>
                <w:color w:val="auto"/>
                <w:sz w:val="24"/>
                <w:szCs w:val="24"/>
                <w:lang w:val="en-AU"/>
              </w:rPr>
            </w:pPr>
            <w:r>
              <w:rPr>
                <w:rFonts w:ascii="Arial" w:cs="Times New Roman" w:eastAsia="Times New Roman" w:hAnsi="Arial"/>
                <w:b/>
                <w:color w:val="auto"/>
                <w:sz w:val="24"/>
                <w:szCs w:val="24"/>
                <w:lang w:val="en-AU"/>
              </w:rPr>
              <w:t>Operating Hotel Facilities</w:t>
            </w:r>
          </w:p>
        </w:tc>
        <w:tc>
          <w:tcPr>
            <w:cnfStyle w:val="000100100000"/>
            <w:tcW w:w="662" w:type="dxa"/>
            <w:tcBorders>
              <w:top w:val="nil" w:sz="4" w:space="0"/>
              <w:left w:val="nil" w:sz="4" w:space="0"/>
              <w:bottom w:val="nil" w:sz="4" w:space="0"/>
              <w:right w:val="single" w:color="auto" w:sz="4" w:space="0"/>
            </w:tcBorders>
            <w:shd w:val="clear" w:color="auto" w:fill="auto"/>
            <w:vAlign w:val="center"/>
          </w:tcPr>
          <w:p w14:paraId="00000010">
            <w:pPr>
              <w:keepNext w:val="on"/>
              <w:spacing w:after="0" w:line="240" w:lineRule="auto"/>
              <w:jc w:val="center"/>
              <w:rPr>
                <w:rFonts w:ascii="Arial" w:cs="Times New Roman" w:eastAsia="Times New Roman" w:hAnsi="Arial"/>
                <w:b/>
                <w:color w:val="auto"/>
                <w:sz w:val="20"/>
                <w:szCs w:val="20"/>
                <w:lang w:val="en-AU"/>
              </w:rPr>
            </w:pPr>
          </w:p>
        </w:tc>
      </w:tr>
      <w:tr>
        <w:trPr>
          <w:trHeight w:val="468"/>
          <w:jc w:val="center"/>
        </w:trPr>
        <w:tc>
          <w:tcPr>
            <w:cnfStyle w:val="001000010000"/>
            <w:tcW w:w="6629" w:type="dxa"/>
            <w:vMerge w:val="continue"/>
            <w:tcBorders>
              <w:left w:val="single" w:color="auto" w:sz="4" w:space="0"/>
              <w:right w:val="single" w:color="auto" w:sz="4" w:space="0"/>
            </w:tcBorders>
            <w:shd w:val="clear" w:color="auto" w:fill="auto"/>
          </w:tcPr>
          <w:p w14:paraId="00000011">
            <w:pPr>
              <w:keepNext w:val="on"/>
              <w:spacing w:after="0" w:line="240" w:lineRule="auto"/>
              <w:jc w:val="center"/>
              <w:rPr>
                <w:rFonts w:ascii="Arial" w:cs="Times New Roman" w:eastAsia="Times New Roman" w:hAnsi="Arial"/>
                <w:b/>
                <w:color w:val="auto"/>
                <w:sz w:val="40"/>
                <w:szCs w:val="20"/>
                <w:lang w:val="en-AU"/>
              </w:rPr>
            </w:pPr>
          </w:p>
        </w:tc>
        <w:tc>
          <w:tcPr>
            <w:cnfStyle w:val="000010010000"/>
            <w:tcW w:w="1237" w:type="dxa"/>
            <w:tcBorders>
              <w:top w:val="nil" w:sz="4" w:space="0"/>
              <w:left w:val="single" w:color="auto" w:sz="4" w:space="0"/>
              <w:bottom w:val="nil" w:sz="4" w:space="0"/>
              <w:right w:val="nil" w:sz="4" w:space="0"/>
            </w:tcBorders>
            <w:shd w:val="clear" w:color="auto" w:fill="auto"/>
            <w:vAlign w:val="center"/>
          </w:tcPr>
          <w:p w14:paraId="00000012">
            <w:pPr>
              <w:keepNext w:val="on"/>
              <w:spacing w:after="0" w:line="240" w:lineRule="auto"/>
              <w:rPr>
                <w:rFonts w:ascii="Arial" w:cs="Times New Roman" w:eastAsia="Times New Roman" w:hAnsi="Arial"/>
                <w:color w:val="auto"/>
                <w:sz w:val="20"/>
                <w:szCs w:val="20"/>
                <w:lang w:val="en-AU"/>
              </w:rPr>
            </w:pPr>
            <w:r>
              <w:rPr>
                <w:rFonts w:ascii="Arial" w:cs="Times New Roman" w:eastAsia="Times New Roman" w:hAnsi="Arial"/>
                <w:color w:val="auto"/>
                <w:sz w:val="20"/>
                <w:szCs w:val="20"/>
                <w:lang w:val="en-AU"/>
              </w:rPr>
              <w:t>Module</w:t>
            </w:r>
            <w:r>
              <w:rPr>
                <w:rFonts w:ascii="Arial" w:cs="Times New Roman" w:eastAsia="Times New Roman" w:hAnsi="Arial"/>
                <w:color w:val="auto"/>
                <w:sz w:val="20"/>
                <w:szCs w:val="20"/>
                <w:lang w:val="en-AU"/>
              </w:rPr>
              <w:t xml:space="preserve"> Code:</w:t>
            </w:r>
          </w:p>
        </w:tc>
        <w:tc>
          <w:tcPr>
            <w:cnfStyle w:val="000001010000"/>
            <w:tcW w:w="1911" w:type="dxa"/>
            <w:gridSpan w:val="2"/>
            <w:tcBorders>
              <w:top w:val="dashed" w:color="auto" w:sz="4" w:space="0"/>
              <w:left w:val="nil" w:sz="4" w:space="0"/>
              <w:bottom w:val="dashed" w:color="auto" w:sz="4" w:space="0"/>
              <w:right w:val="nil" w:sz="4" w:space="0"/>
            </w:tcBorders>
            <w:shd w:val="clear" w:color="auto" w:fill="auto"/>
            <w:vAlign w:val="center"/>
          </w:tcPr>
          <w:p w14:paraId="00000013">
            <w:pPr>
              <w:keepNext w:val="on"/>
              <w:spacing w:after="0" w:line="240" w:lineRule="auto"/>
              <w:jc w:val="center"/>
              <w:rPr>
                <w:rFonts w:ascii="Arial" w:cs="Times New Roman" w:eastAsia="Times New Roman" w:hAnsi="Arial"/>
                <w:b/>
                <w:color w:val="auto"/>
                <w:sz w:val="24"/>
                <w:szCs w:val="24"/>
                <w:lang w:val="en-AU"/>
              </w:rPr>
            </w:pPr>
            <w:r>
              <w:rPr>
                <w:rFonts w:ascii="Arial" w:cs="Times New Roman" w:eastAsia="Times New Roman" w:hAnsi="Arial"/>
                <w:b/>
                <w:color w:val="auto"/>
                <w:sz w:val="24"/>
                <w:szCs w:val="24"/>
                <w:lang w:val="en-AU"/>
              </w:rPr>
              <w:t>BMIH4006</w:t>
            </w:r>
          </w:p>
        </w:tc>
        <w:tc>
          <w:tcPr>
            <w:cnfStyle w:val="000100010000"/>
            <w:tcW w:w="662" w:type="dxa"/>
            <w:tcBorders>
              <w:top w:val="nil" w:sz="4" w:space="0"/>
              <w:left w:val="nil" w:sz="4" w:space="0"/>
              <w:bottom w:val="nil" w:sz="4" w:space="0"/>
              <w:right w:val="single" w:color="auto" w:sz="4" w:space="0"/>
            </w:tcBorders>
            <w:shd w:val="clear" w:color="auto" w:fill="auto"/>
            <w:vAlign w:val="center"/>
          </w:tcPr>
          <w:p w14:paraId="00000014">
            <w:pPr>
              <w:keepNext w:val="on"/>
              <w:spacing w:after="0" w:line="240" w:lineRule="auto"/>
              <w:jc w:val="center"/>
              <w:rPr>
                <w:rFonts w:ascii="Arial" w:cs="Times New Roman" w:eastAsia="Times New Roman" w:hAnsi="Arial"/>
                <w:b/>
                <w:color w:val="auto"/>
                <w:sz w:val="20"/>
                <w:szCs w:val="20"/>
                <w:lang w:val="en-AU"/>
              </w:rPr>
            </w:pPr>
          </w:p>
        </w:tc>
      </w:tr>
      <w:tr>
        <w:trPr>
          <w:trHeight w:val="468"/>
          <w:jc w:val="center"/>
        </w:trPr>
        <w:tc>
          <w:tcPr>
            <w:cnfStyle w:val="001000100000"/>
            <w:tcW w:w="6629" w:type="dxa"/>
            <w:vMerge w:val="continue"/>
            <w:tcBorders>
              <w:left w:val="single" w:color="auto" w:sz="4" w:space="0"/>
              <w:right w:val="single" w:color="auto" w:sz="4" w:space="0"/>
            </w:tcBorders>
            <w:shd w:val="clear" w:color="auto" w:fill="auto"/>
          </w:tcPr>
          <w:p w14:paraId="00000015">
            <w:pPr>
              <w:keepNext w:val="on"/>
              <w:spacing w:after="0" w:line="240" w:lineRule="auto"/>
              <w:jc w:val="center"/>
              <w:rPr>
                <w:rFonts w:ascii="Arial" w:cs="Times New Roman" w:eastAsia="Times New Roman" w:hAnsi="Arial"/>
                <w:b/>
                <w:color w:val="auto"/>
                <w:sz w:val="40"/>
                <w:szCs w:val="20"/>
                <w:lang w:val="en-AU"/>
              </w:rPr>
            </w:pPr>
          </w:p>
        </w:tc>
        <w:tc>
          <w:tcPr>
            <w:cnfStyle w:val="000010100000"/>
            <w:tcW w:w="1237" w:type="dxa"/>
            <w:tcBorders>
              <w:top w:val="nil" w:sz="4" w:space="0"/>
              <w:left w:val="single" w:color="auto" w:sz="4" w:space="0"/>
              <w:bottom w:val="nil" w:sz="4" w:space="0"/>
              <w:right w:val="nil" w:sz="4" w:space="0"/>
            </w:tcBorders>
            <w:shd w:val="clear" w:color="auto" w:fill="auto"/>
            <w:vAlign w:val="center"/>
          </w:tcPr>
          <w:p w14:paraId="00000016">
            <w:pPr>
              <w:keepNext w:val="on"/>
              <w:spacing w:after="0" w:line="240" w:lineRule="auto"/>
              <w:rPr>
                <w:rFonts w:ascii="Arial" w:cs="Times New Roman" w:eastAsia="Times New Roman" w:hAnsi="Arial"/>
                <w:color w:val="auto"/>
                <w:sz w:val="20"/>
                <w:szCs w:val="20"/>
                <w:lang w:val="en-AU"/>
              </w:rPr>
            </w:pPr>
            <w:r>
              <w:rPr>
                <w:rFonts w:ascii="Arial" w:cs="Times New Roman" w:eastAsia="Times New Roman" w:hAnsi="Arial"/>
                <w:color w:val="auto"/>
                <w:sz w:val="20"/>
                <w:szCs w:val="20"/>
                <w:lang w:val="en-AU"/>
              </w:rPr>
              <w:t>Lecturer:</w:t>
            </w:r>
          </w:p>
        </w:tc>
        <w:tc>
          <w:tcPr>
            <w:cnfStyle w:val="000001100000"/>
            <w:tcW w:w="1911" w:type="dxa"/>
            <w:gridSpan w:val="2"/>
            <w:tcBorders>
              <w:top w:val="dashed" w:color="auto" w:sz="4" w:space="0"/>
              <w:left w:val="nil" w:sz="4" w:space="0"/>
              <w:bottom w:val="dashed" w:color="auto" w:sz="4" w:space="0"/>
              <w:right w:val="nil" w:sz="4" w:space="0"/>
            </w:tcBorders>
            <w:shd w:val="clear" w:color="auto" w:fill="auto"/>
            <w:vAlign w:val="center"/>
          </w:tcPr>
          <w:p w14:paraId="00000017">
            <w:pPr>
              <w:keepNext w:val="on"/>
              <w:spacing w:after="0" w:line="240" w:lineRule="auto"/>
              <w:jc w:val="center"/>
              <w:rPr>
                <w:rFonts w:ascii="Arial" w:cs="Times New Roman" w:eastAsia="Times New Roman" w:hAnsi="Arial"/>
                <w:b/>
                <w:color w:val="auto"/>
                <w:sz w:val="24"/>
                <w:szCs w:val="24"/>
                <w:lang w:val="en-AU"/>
              </w:rPr>
            </w:pPr>
            <w:r>
              <w:rPr>
                <w:rFonts w:ascii="Arial" w:cs="Times New Roman" w:eastAsia="Times New Roman" w:hAnsi="Arial"/>
                <w:b/>
                <w:color w:val="auto"/>
                <w:sz w:val="24"/>
                <w:szCs w:val="24"/>
                <w:lang w:val="en-AU"/>
              </w:rPr>
              <w:t>Scott James</w:t>
            </w:r>
          </w:p>
        </w:tc>
        <w:tc>
          <w:tcPr>
            <w:cnfStyle w:val="000100100000"/>
            <w:tcW w:w="662" w:type="dxa"/>
            <w:tcBorders>
              <w:top w:val="nil" w:sz="4" w:space="0"/>
              <w:left w:val="nil" w:sz="4" w:space="0"/>
              <w:bottom w:val="nil" w:sz="4" w:space="0"/>
              <w:right w:val="single" w:color="auto" w:sz="4" w:space="0"/>
            </w:tcBorders>
            <w:shd w:val="clear" w:color="auto" w:fill="auto"/>
            <w:vAlign w:val="center"/>
          </w:tcPr>
          <w:p w14:paraId="00000018">
            <w:pPr>
              <w:keepNext w:val="on"/>
              <w:spacing w:after="0" w:line="240" w:lineRule="auto"/>
              <w:jc w:val="center"/>
              <w:rPr>
                <w:rFonts w:ascii="Arial" w:cs="Times New Roman" w:eastAsia="Times New Roman" w:hAnsi="Arial"/>
                <w:b/>
                <w:color w:val="auto"/>
                <w:sz w:val="20"/>
                <w:szCs w:val="20"/>
                <w:lang w:val="en-AU"/>
              </w:rPr>
            </w:pPr>
          </w:p>
        </w:tc>
      </w:tr>
      <w:tr>
        <w:trPr>
          <w:trHeight w:val="20"/>
          <w:jc w:val="center"/>
        </w:trPr>
        <w:tc>
          <w:tcPr>
            <w:cnfStyle w:val="001000010000"/>
            <w:tcW w:w="6629" w:type="dxa"/>
            <w:vMerge w:val="continue"/>
            <w:tcBorders>
              <w:left w:val="single" w:color="auto" w:sz="4" w:space="0"/>
              <w:bottom w:val="single" w:color="auto" w:sz="4" w:space="0"/>
              <w:right w:val="single" w:color="auto" w:sz="4" w:space="0"/>
            </w:tcBorders>
            <w:shd w:val="clear" w:color="auto" w:fill="auto"/>
          </w:tcPr>
          <w:p w14:paraId="00000019">
            <w:pPr>
              <w:keepNext w:val="on"/>
              <w:spacing w:after="0" w:line="240" w:lineRule="auto"/>
              <w:jc w:val="center"/>
              <w:rPr>
                <w:rFonts w:ascii="Arial" w:cs="Times New Roman" w:eastAsia="Times New Roman" w:hAnsi="Arial"/>
                <w:b/>
                <w:color w:val="auto"/>
                <w:sz w:val="40"/>
                <w:szCs w:val="20"/>
                <w:lang w:val="en-AU"/>
              </w:rPr>
            </w:pPr>
          </w:p>
        </w:tc>
        <w:tc>
          <w:tcPr>
            <w:cnfStyle w:val="000010010000"/>
            <w:tcW w:w="1705" w:type="dxa"/>
            <w:gridSpan w:val="2"/>
            <w:tcBorders>
              <w:top w:val="nil" w:sz="4" w:space="0"/>
              <w:left w:val="single" w:color="auto" w:sz="4" w:space="0"/>
              <w:bottom w:val="single" w:color="auto" w:sz="4" w:space="0"/>
              <w:right w:val="nil" w:sz="4" w:space="0"/>
            </w:tcBorders>
            <w:shd w:val="clear" w:color="auto" w:fill="auto"/>
            <w:vAlign w:val="center"/>
          </w:tcPr>
          <w:p w14:paraId="0000001A">
            <w:pPr>
              <w:keepNext w:val="on"/>
              <w:spacing w:after="0" w:line="240" w:lineRule="auto"/>
              <w:rPr>
                <w:rFonts w:ascii="Arial" w:cs="Times New Roman" w:eastAsia="Times New Roman" w:hAnsi="Arial"/>
                <w:bCs/>
                <w:color w:val="auto"/>
                <w:sz w:val="20"/>
                <w:szCs w:val="20"/>
                <w:lang w:val="en-AU"/>
              </w:rPr>
            </w:pPr>
          </w:p>
        </w:tc>
        <w:tc>
          <w:tcPr>
            <w:cnfStyle w:val="000001010000"/>
            <w:tcW w:w="0" w:type="auto"/>
            <w:tcBorders>
              <w:top w:val="dashed" w:color="auto" w:sz="4" w:space="0"/>
              <w:left w:val="nil" w:sz="4" w:space="0"/>
              <w:bottom w:val="single" w:color="auto" w:sz="4" w:space="0"/>
              <w:right w:val="nil" w:sz="4" w:space="0"/>
            </w:tcBorders>
            <w:shd w:val="clear" w:color="auto" w:fill="auto"/>
            <w:vAlign w:val="center"/>
          </w:tcPr>
          <w:p w14:paraId="0000001B">
            <w:pPr>
              <w:keepNext w:val="on"/>
              <w:spacing w:after="0" w:line="240" w:lineRule="auto"/>
              <w:rPr>
                <w:rFonts w:ascii="Arial" w:cs="Times New Roman" w:eastAsia="Times New Roman" w:hAnsi="Arial"/>
                <w:b/>
                <w:color w:val="auto"/>
                <w:sz w:val="16"/>
                <w:szCs w:val="16"/>
                <w:lang w:val="en-AU"/>
              </w:rPr>
            </w:pPr>
          </w:p>
        </w:tc>
        <w:tc>
          <w:tcPr>
            <w:cnfStyle w:val="000100010000"/>
            <w:tcW w:w="662" w:type="dxa"/>
            <w:tcBorders>
              <w:top w:val="nil" w:sz="4" w:space="0"/>
              <w:left w:val="nil" w:sz="4" w:space="0"/>
              <w:bottom w:val="single" w:color="auto" w:sz="4" w:space="0"/>
              <w:right w:val="single" w:color="auto" w:sz="4" w:space="0"/>
            </w:tcBorders>
            <w:shd w:val="clear" w:color="auto" w:fill="auto"/>
            <w:vAlign w:val="center"/>
          </w:tcPr>
          <w:p w14:paraId="0000001C">
            <w:pPr>
              <w:keepNext w:val="on"/>
              <w:spacing w:after="0" w:line="240" w:lineRule="auto"/>
              <w:jc w:val="center"/>
              <w:rPr>
                <w:rFonts w:ascii="Arial" w:cs="Times New Roman" w:eastAsia="Times New Roman" w:hAnsi="Arial"/>
                <w:b/>
                <w:color w:val="auto"/>
                <w:sz w:val="40"/>
                <w:szCs w:val="20"/>
                <w:lang w:val="en-AU"/>
              </w:rPr>
            </w:pPr>
          </w:p>
        </w:tc>
      </w:tr>
      <w:tr>
        <w:trPr>
          <w:trHeight w:val="470"/>
          <w:jc w:val="center"/>
        </w:trPr>
        <w:tc>
          <w:tcPr>
            <w:cnfStyle w:val="011000000000"/>
            <w:tcW w:w="10439" w:type="dxa"/>
            <w:gridSpan w:val="5"/>
            <w:tcBorders>
              <w:top w:val="single" w:color="auto" w:sz="4" w:space="0"/>
              <w:left w:val="single" w:color="auto" w:sz="4" w:space="0"/>
              <w:bottom w:val="single" w:color="auto" w:sz="4" w:space="0"/>
              <w:right w:val="single" w:color="auto" w:sz="4" w:space="0"/>
            </w:tcBorders>
            <w:shd w:val="clear" w:color="auto" w:fill="auto"/>
            <w:vAlign w:val="center"/>
          </w:tcPr>
          <w:p w14:paraId="0000001D">
            <w:pPr>
              <w:pStyle w:val="Normal"/>
              <w:rPr>
                <w:rFonts w:ascii="Arial" w:cs="Arial" w:eastAsia="Arial" w:hAnsi="Arial"/>
                <w:b/>
                <w:i/>
                <w:lang w:val="en-GB"/>
              </w:rPr>
            </w:pPr>
            <w:r>
              <w:rPr>
                <w:rFonts w:ascii="Arial" w:cs="Arial" w:eastAsia="Arial" w:hAnsi="Arial"/>
                <w:b/>
                <w:i/>
                <w:lang w:val="en-GB"/>
              </w:rPr>
              <w:t>Concrete experience</w:t>
            </w:r>
          </w:p>
          <w:p w14:paraId="0000001E">
            <w:pPr>
              <w:pStyle w:val="Normal"/>
              <w:rPr>
                <w:rFonts w:ascii="Arial" w:cs="Arial" w:eastAsia="Arial" w:hAnsi="Arial"/>
              </w:rPr>
            </w:pPr>
            <w:r>
              <w:rPr>
                <w:rFonts w:ascii="Arial" w:cs="Arial" w:eastAsia="Arial" w:hAnsi="Arial"/>
                <w:lang w:val="en-GB"/>
              </w:rPr>
              <w:t xml:space="preserve">The development of the different skills to work within teams is helpful as it helps in the effective management of teams in order to increase the productivity of the organisation. I believe the key skill that is required within housekeeping teams is effective time management. According to the ideas of Suzabar </w:t>
            </w:r>
            <w:r>
              <w:rPr>
                <w:rFonts w:ascii="Arial" w:cs="Arial" w:eastAsia="Arial" w:hAnsi="Arial"/>
                <w:i/>
                <w:lang w:val="en-GB"/>
              </w:rPr>
              <w:t xml:space="preserve">et al. </w:t>
            </w:r>
            <w:r>
              <w:rPr>
                <w:rFonts w:ascii="Arial" w:cs="Arial" w:eastAsia="Arial" w:hAnsi="Arial"/>
                <w:lang w:val="en-GB"/>
              </w:rPr>
              <w:t>(2020, p.41), effective time management skills in business are significant as they help in completing the work on time</w:t>
            </w:r>
            <w:r>
              <w:rPr>
                <w:rFonts w:ascii="Arial" w:cs="Arial" w:eastAsia="Arial" w:hAnsi="Arial"/>
                <w:lang w:val="en-GB"/>
              </w:rPr>
              <w:t xml:space="preserve"> in </w:t>
            </w:r>
            <w:r>
              <w:rPr>
                <w:rFonts w:ascii="Arial" w:cs="Arial" w:eastAsia="Arial" w:hAnsi="Arial"/>
              </w:rPr>
              <w:t>Premier Inn Northwich South</w:t>
            </w:r>
            <w:r>
              <w:rPr>
                <w:rFonts w:ascii="Arial" w:cs="Arial" w:eastAsia="Arial" w:hAnsi="Arial"/>
                <w:lang w:val="en-GB"/>
              </w:rPr>
              <w:t xml:space="preserve">. I think I need to develop time management skills as it is helpful in providing appropriate services to customers. Providing effective services to customers is helpful in the hospitality industry as it helps in the retention of customers. The other skills that need to be improved while working within housekeeping teams are decision-making skills. </w:t>
            </w:r>
          </w:p>
          <w:p w14:paraId="0000001F">
            <w:pPr>
              <w:pStyle w:val="Normal"/>
              <w:rPr>
                <w:rFonts w:ascii="Arial" w:cs="Arial" w:eastAsia="Arial" w:hAnsi="Arial"/>
                <w:lang w:val="en-GB"/>
              </w:rPr>
            </w:pPr>
            <w:r>
              <w:rPr>
                <w:rFonts w:ascii="Arial" w:cs="Arial" w:eastAsia="Arial" w:hAnsi="Arial"/>
                <w:lang w:val="en-GB"/>
              </w:rPr>
              <w:t xml:space="preserve">The improvement in the decision-making skills is helpful in providing reporting issues. According to the ideas of Słoniec and Kaczorowska (2019, p.44), the inclusion of appropriate decision-making in the organisation is effective as it helps in presenting different solutions for the challenges. I believe that the improvement in decision-making skills is effective in the hospitality industry as it helps in providing effective services to customers. I believe that the improvement in interpersonal skills is helpful in the effective management of the housekeeping team. I believe that the imp movement in improvement in interpersonal skills is effective as it helps in improving collaboration within the teams. </w:t>
            </w:r>
          </w:p>
          <w:p w14:paraId="00000020">
            <w:pPr>
              <w:pStyle w:val="Normal"/>
              <w:rPr>
                <w:rFonts w:ascii="Arial" w:cs="Arial" w:eastAsia="Arial" w:hAnsi="Arial"/>
                <w:b/>
                <w:i/>
                <w:lang w:val="en-GB"/>
              </w:rPr>
            </w:pPr>
            <w:r>
              <w:rPr>
                <w:rFonts w:ascii="Arial" w:cs="Arial" w:eastAsia="Arial" w:hAnsi="Arial"/>
                <w:b/>
                <w:i/>
                <w:lang w:val="en-GB"/>
              </w:rPr>
              <w:t>Reflective observation</w:t>
            </w:r>
          </w:p>
          <w:p w14:paraId="00000021">
            <w:pPr>
              <w:pStyle w:val="Normal"/>
              <w:rPr>
                <w:rFonts w:ascii="Arial" w:cs="Arial" w:eastAsia="Arial" w:hAnsi="Arial"/>
                <w:lang w:val="en-GB"/>
              </w:rPr>
            </w:pPr>
            <w:r>
              <w:rPr>
                <w:rFonts w:ascii="Arial" w:cs="Arial" w:eastAsia="Arial" w:hAnsi="Arial"/>
                <w:lang w:val="en-GB"/>
              </w:rPr>
              <w:t xml:space="preserve">In providing effective services to the customers I feel that the housekeeping teams failed to understand the routine for cleaning different rooms. According to the ideas of Sekhar and Patwardhan (2023, p.4), understanding the different job roles is effective for the employees of different organisations as it helps in improving the efficiency of the employees. I believe that the improvement in the efficiency of the employees of the different hospitality organisations is effective in order to provide effective services to the customers such as cleaning rooms, removing used amenities and others. I believe the improvement in communication skills is effective as it helps in explaining the job role along with the routine to the housekeeping teams. This reflects that my communication skills have worked and are effective in explaining the routines effectively. </w:t>
            </w:r>
          </w:p>
          <w:p w14:paraId="00000022">
            <w:pPr>
              <w:pStyle w:val="Normal"/>
              <w:rPr>
                <w:rFonts w:ascii="Arial" w:cs="Arial" w:eastAsia="Arial" w:hAnsi="Arial"/>
                <w:lang w:val="en-GB"/>
              </w:rPr>
            </w:pPr>
            <w:r>
              <w:rPr>
                <w:rFonts w:ascii="Arial" w:cs="Arial" w:eastAsia="Arial" w:hAnsi="Arial"/>
                <w:lang w:val="en-GB"/>
              </w:rPr>
              <w:t xml:space="preserve">I believe the lack of communication factor with the members of the teams in housekeeping lays a negative impact in providing appropriate services to the customers. I believe that the implementation of behavioural theory while working within the housekeeping teams is effective as it helps to focus on the goals. I believe the focus on the goals is effective as it assists in performing their job roles effectively. For instance, Mitchells and Butlers operating in the hospitality industry focus on maintaining collaboration within housekeeping teams that is effective for providing appropriate services to the customers. Moreover, the improvement in collaboration skills is beneficial to work with the housekeeping teams in the hospitality industry.        </w:t>
            </w:r>
          </w:p>
          <w:p w14:paraId="00000023">
            <w:pPr>
              <w:pStyle w:val="Normal"/>
              <w:rPr>
                <w:rFonts w:ascii="Arial" w:cs="Arial" w:eastAsia="Arial" w:hAnsi="Arial"/>
                <w:b/>
                <w:i/>
                <w:lang w:val="en-GB"/>
              </w:rPr>
            </w:pPr>
            <w:r>
              <w:rPr>
                <w:rFonts w:ascii="Arial" w:cs="Arial" w:eastAsia="Arial" w:hAnsi="Arial"/>
                <w:b/>
                <w:i/>
                <w:lang w:val="en-GB"/>
              </w:rPr>
              <w:t>Abstract conceptualisation</w:t>
            </w:r>
          </w:p>
          <w:p w14:paraId="00000024">
            <w:pPr>
              <w:pStyle w:val="Normal"/>
              <w:rPr>
                <w:rFonts w:ascii="Arial" w:cs="Arial" w:eastAsia="Arial" w:hAnsi="Arial"/>
                <w:lang w:val="en-GB"/>
              </w:rPr>
            </w:pPr>
            <w:r>
              <w:rPr>
                <w:rFonts w:ascii="Arial" w:cs="Arial" w:eastAsia="Arial" w:hAnsi="Arial"/>
                <w:lang w:val="en-GB"/>
              </w:rPr>
              <w:t xml:space="preserve">The identification of the different skills is beneficial as it helps to work appropriately within diversified teams. I believe that the improvement in my communication skills would have been beneficial to apprehend the job roles within the housekeeping teams </w:t>
            </w:r>
            <w:r>
              <w:rPr>
                <w:rFonts w:ascii="Arial" w:cs="Arial" w:eastAsia="Arial" w:hAnsi="Arial"/>
                <w:lang w:val="en-GB"/>
              </w:rPr>
              <w:t xml:space="preserve">in </w:t>
            </w:r>
            <w:r>
              <w:rPr>
                <w:rFonts w:ascii="Arial" w:cs="Arial" w:eastAsia="Arial" w:hAnsi="Arial"/>
              </w:rPr>
              <w:t>Premier Inn Northwich South</w:t>
            </w:r>
            <w:r>
              <w:rPr>
                <w:rFonts w:ascii="Arial" w:cs="Arial" w:eastAsia="Arial" w:hAnsi="Arial"/>
                <w:lang w:val="en-GB"/>
              </w:rPr>
              <w:t xml:space="preserve"> effectively. I could have worked on my communication skills as it helps in improving the collaboration aspect. According to the ideas of De Visser </w:t>
            </w:r>
            <w:r>
              <w:rPr>
                <w:rFonts w:ascii="Arial" w:cs="Arial" w:eastAsia="Arial" w:hAnsi="Arial"/>
                <w:i/>
                <w:lang w:val="en-GB"/>
              </w:rPr>
              <w:t xml:space="preserve">et al. </w:t>
            </w:r>
            <w:r>
              <w:rPr>
                <w:rFonts w:ascii="Arial" w:cs="Arial" w:eastAsia="Arial" w:hAnsi="Arial"/>
                <w:lang w:val="en-GB"/>
              </w:rPr>
              <w:t xml:space="preserve">(2020, p.2), the improvement in collaboration skills within the organisation among the different employees is helpful as it helps in completing the tasks in time. In this context, I feel I need to improve my collaboration skills as it can help in completing my work effectively. I can improve my communication skills by engaging with people from diverse backgrounds and this can also help me to improve my collaboration skills that are effective to work within housekeeping teams. </w:t>
            </w:r>
          </w:p>
          <w:p w14:paraId="00000025">
            <w:pPr>
              <w:pStyle w:val="Normal"/>
              <w:rPr>
                <w:rFonts w:ascii="Arial" w:cs="Arial" w:eastAsia="Arial" w:hAnsi="Arial"/>
                <w:b/>
                <w:i/>
                <w:lang w:val="en-GB"/>
              </w:rPr>
            </w:pPr>
            <w:r>
              <w:rPr>
                <w:rFonts w:ascii="Arial" w:cs="Arial" w:eastAsia="Arial" w:hAnsi="Arial"/>
                <w:b/>
                <w:i/>
                <w:lang w:val="en-GB"/>
              </w:rPr>
              <w:t>Active experimentation</w:t>
            </w:r>
          </w:p>
          <w:p w14:paraId="00000026">
            <w:pPr>
              <w:spacing w:after="0" w:line="360" w:lineRule="auto"/>
              <w:jc w:val="both"/>
              <w:rPr>
                <w:rFonts w:ascii="Arial" w:cs="Times New Roman" w:eastAsia="Times New Roman" w:hAnsi="Arial"/>
                <w:bCs/>
                <w:color w:val="auto"/>
                <w:sz w:val="20"/>
                <w:szCs w:val="20"/>
              </w:rPr>
            </w:pPr>
            <w:r>
              <w:rPr>
                <w:rFonts w:ascii="Arial" w:cs="Arial" w:eastAsia="Arial" w:hAnsi="Arial"/>
              </w:rPr>
              <w:t xml:space="preserve">I believe improvement in decision-making skills is helpful as it helps in classifying the different tasks in the teams. Classification of different tasks in the teams is effective as it helps in allocating the housekeeping team members. The appropriate division of work is helpful as it helps reduce stress on employees and helps in completing the work under housekeeping on time. According to the ideas of Adriana </w:t>
            </w:r>
            <w:r>
              <w:rPr>
                <w:rFonts w:ascii="Arial" w:cs="Arial" w:eastAsia="Arial" w:hAnsi="Arial"/>
                <w:i/>
              </w:rPr>
              <w:t xml:space="preserve">et al. </w:t>
            </w:r>
            <w:r>
              <w:rPr>
                <w:rFonts w:ascii="Arial" w:cs="Arial" w:eastAsia="Arial" w:hAnsi="Arial"/>
              </w:rPr>
              <w:t>(2019, p.85), the improvement in time management skills is significant as it helps in improving the efficiency of an individual. This justified that the improvement in time management skills is effective in completing the work on time. I believe the inclusion of behavioural theory assists in improving learning that is effective for working within housekeeping teams.</w:t>
            </w:r>
          </w:p>
          <w:p w14:paraId="00000027">
            <w:pPr>
              <w:spacing w:after="0" w:line="240" w:lineRule="auto"/>
              <w:rPr>
                <w:rFonts w:ascii="Arial" w:cs="Times New Roman" w:eastAsia="Times New Roman" w:hAnsi="Arial"/>
                <w:bCs/>
                <w:color w:val="auto"/>
                <w:sz w:val="20"/>
                <w:szCs w:val="20"/>
              </w:rPr>
            </w:pPr>
          </w:p>
          <w:p w14:paraId="00000028">
            <w:pPr>
              <w:spacing w:after="0" w:line="240" w:lineRule="auto"/>
              <w:jc w:val="center"/>
              <w:rPr>
                <w:rFonts w:ascii="Arial" w:cs="Times New Roman" w:eastAsia="Times New Roman" w:hAnsi="Arial"/>
                <w:bCs/>
                <w:color w:val="auto"/>
                <w:sz w:val="20"/>
                <w:szCs w:val="20"/>
              </w:rPr>
            </w:pPr>
          </w:p>
          <w:p w14:paraId="00000029">
            <w:pPr>
              <w:spacing w:after="0" w:line="240" w:lineRule="auto"/>
              <w:jc w:val="center"/>
              <w:rPr>
                <w:rFonts w:ascii="Arial" w:cs="Times New Roman" w:eastAsia="Times New Roman" w:hAnsi="Arial"/>
                <w:bCs/>
                <w:color w:val="auto"/>
                <w:sz w:val="20"/>
                <w:szCs w:val="20"/>
              </w:rPr>
            </w:pPr>
          </w:p>
          <w:p w14:paraId="0000002A">
            <w:pPr>
              <w:spacing w:after="0" w:line="240" w:lineRule="auto"/>
              <w:jc w:val="center"/>
              <w:rPr>
                <w:rFonts w:ascii="Arial" w:cs="Times New Roman" w:eastAsia="Times New Roman" w:hAnsi="Arial"/>
                <w:bCs/>
                <w:color w:val="auto"/>
                <w:sz w:val="20"/>
                <w:szCs w:val="20"/>
              </w:rPr>
            </w:pPr>
          </w:p>
          <w:p w14:paraId="0000002B">
            <w:pPr>
              <w:spacing w:after="0" w:line="240" w:lineRule="auto"/>
              <w:rPr>
                <w:rFonts w:ascii="Arial" w:cs="Times New Roman" w:eastAsia="Times New Roman" w:hAnsi="Arial"/>
                <w:bCs/>
                <w:color w:val="auto"/>
                <w:sz w:val="20"/>
                <w:szCs w:val="20"/>
              </w:rPr>
            </w:pPr>
          </w:p>
          <w:p w14:paraId="0000002C">
            <w:pPr>
              <w:spacing w:after="0" w:line="240" w:lineRule="auto"/>
              <w:rPr>
                <w:rFonts w:ascii="Arial" w:cs="Times New Roman" w:eastAsia="Times New Roman" w:hAnsi="Arial"/>
                <w:bCs/>
                <w:color w:val="auto"/>
                <w:sz w:val="20"/>
                <w:szCs w:val="20"/>
              </w:rPr>
            </w:pPr>
          </w:p>
          <w:p w14:paraId="0000002D">
            <w:pPr>
              <w:spacing w:after="0" w:line="240" w:lineRule="auto"/>
              <w:rPr>
                <w:rFonts w:ascii="Arial" w:cs="Times New Roman" w:eastAsia="Times New Roman" w:hAnsi="Arial"/>
                <w:bCs/>
                <w:color w:val="auto"/>
                <w:sz w:val="20"/>
                <w:szCs w:val="20"/>
              </w:rPr>
            </w:pPr>
          </w:p>
          <w:p w14:paraId="0000002E">
            <w:pPr>
              <w:spacing w:after="0" w:line="240" w:lineRule="auto"/>
              <w:rPr>
                <w:rFonts w:ascii="Arial" w:cs="Times New Roman" w:eastAsia="Times New Roman" w:hAnsi="Arial"/>
                <w:bCs/>
                <w:color w:val="auto"/>
                <w:sz w:val="20"/>
                <w:szCs w:val="20"/>
              </w:rPr>
            </w:pPr>
          </w:p>
          <w:p w14:paraId="0000002F">
            <w:pPr>
              <w:spacing w:after="0" w:line="240" w:lineRule="auto"/>
              <w:ind w:left="-829"/>
              <w:rPr>
                <w:rFonts w:ascii="Arial" w:cs="Times New Roman" w:eastAsia="Times New Roman" w:hAnsi="Arial"/>
                <w:bCs/>
                <w:color w:val="auto"/>
                <w:sz w:val="20"/>
                <w:szCs w:val="20"/>
              </w:rPr>
            </w:pPr>
          </w:p>
          <w:p w14:paraId="00000030">
            <w:pPr>
              <w:spacing w:after="0" w:line="240" w:lineRule="auto"/>
              <w:rPr>
                <w:rFonts w:ascii="Arial" w:cs="Times New Roman" w:eastAsia="Times New Roman" w:hAnsi="Arial"/>
                <w:bCs/>
                <w:color w:val="auto"/>
                <w:sz w:val="20"/>
                <w:szCs w:val="20"/>
              </w:rPr>
            </w:pPr>
          </w:p>
          <w:p w14:paraId="00000031">
            <w:pPr>
              <w:spacing w:after="0" w:line="240" w:lineRule="auto"/>
              <w:rPr>
                <w:rFonts w:ascii="Arial" w:cs="Times New Roman" w:eastAsia="Times New Roman" w:hAnsi="Arial"/>
                <w:bCs/>
                <w:color w:val="auto"/>
                <w:sz w:val="20"/>
                <w:szCs w:val="20"/>
              </w:rPr>
            </w:pPr>
          </w:p>
          <w:p w14:paraId="00000032">
            <w:pPr>
              <w:spacing w:after="0" w:line="240" w:lineRule="auto"/>
              <w:rPr>
                <w:rFonts w:ascii="Arial" w:cs="Times New Roman" w:eastAsia="Times New Roman" w:hAnsi="Arial"/>
                <w:bCs/>
                <w:color w:val="auto"/>
                <w:sz w:val="20"/>
                <w:szCs w:val="20"/>
              </w:rPr>
            </w:pPr>
          </w:p>
          <w:p w14:paraId="00000033">
            <w:pPr>
              <w:spacing w:after="0" w:line="240" w:lineRule="auto"/>
              <w:rPr>
                <w:rFonts w:ascii="Arial" w:cs="Times New Roman" w:eastAsia="Times New Roman" w:hAnsi="Arial"/>
                <w:bCs/>
                <w:color w:val="auto"/>
                <w:sz w:val="20"/>
                <w:szCs w:val="20"/>
              </w:rPr>
            </w:pPr>
          </w:p>
          <w:p w14:paraId="00000034">
            <w:pPr>
              <w:spacing w:after="0" w:line="240" w:lineRule="auto"/>
              <w:rPr>
                <w:rFonts w:ascii="Arial" w:cs="Times New Roman" w:eastAsia="Times New Roman" w:hAnsi="Arial"/>
                <w:bCs/>
                <w:color w:val="auto"/>
                <w:sz w:val="20"/>
                <w:szCs w:val="20"/>
              </w:rPr>
            </w:pPr>
          </w:p>
          <w:p w14:paraId="00000035">
            <w:pPr>
              <w:spacing w:after="0" w:line="240" w:lineRule="auto"/>
              <w:rPr>
                <w:rFonts w:ascii="Arial" w:cs="Times New Roman" w:eastAsia="Times New Roman" w:hAnsi="Arial"/>
                <w:bCs/>
                <w:color w:val="auto"/>
                <w:sz w:val="20"/>
                <w:szCs w:val="20"/>
              </w:rPr>
            </w:pPr>
          </w:p>
          <w:p w14:paraId="00000036">
            <w:pPr>
              <w:spacing w:after="0" w:line="240" w:lineRule="auto"/>
              <w:rPr>
                <w:rFonts w:ascii="Arial" w:cs="Times New Roman" w:eastAsia="Times New Roman" w:hAnsi="Arial"/>
                <w:bCs/>
                <w:color w:val="auto"/>
                <w:sz w:val="20"/>
                <w:szCs w:val="20"/>
              </w:rPr>
            </w:pPr>
          </w:p>
          <w:p w14:paraId="00000037">
            <w:pPr>
              <w:spacing w:after="0" w:line="240" w:lineRule="auto"/>
              <w:rPr>
                <w:rFonts w:ascii="Arial" w:cs="Times New Roman" w:eastAsia="Times New Roman" w:hAnsi="Arial"/>
                <w:bCs/>
                <w:color w:val="auto"/>
                <w:sz w:val="20"/>
                <w:szCs w:val="20"/>
              </w:rPr>
            </w:pPr>
          </w:p>
          <w:p w14:paraId="00000038">
            <w:pPr>
              <w:spacing w:after="0" w:line="240" w:lineRule="auto"/>
              <w:rPr>
                <w:rFonts w:ascii="Arial" w:cs="Times New Roman" w:eastAsia="Times New Roman" w:hAnsi="Arial"/>
                <w:bCs/>
                <w:color w:val="auto"/>
                <w:sz w:val="20"/>
                <w:szCs w:val="20"/>
              </w:rPr>
            </w:pPr>
          </w:p>
          <w:p w14:paraId="00000039">
            <w:pPr>
              <w:spacing w:after="0" w:line="240" w:lineRule="auto"/>
              <w:rPr>
                <w:rFonts w:ascii="Arial" w:cs="Times New Roman" w:eastAsia="Times New Roman" w:hAnsi="Arial"/>
                <w:bCs/>
                <w:color w:val="auto"/>
                <w:sz w:val="20"/>
                <w:szCs w:val="20"/>
              </w:rPr>
            </w:pPr>
          </w:p>
          <w:p w14:paraId="0000003A">
            <w:pPr>
              <w:spacing w:after="0" w:line="240" w:lineRule="auto"/>
              <w:rPr>
                <w:rFonts w:ascii="Arial" w:cs="Times New Roman" w:eastAsia="Times New Roman" w:hAnsi="Arial"/>
                <w:bCs/>
                <w:color w:val="auto"/>
                <w:sz w:val="20"/>
                <w:szCs w:val="20"/>
              </w:rPr>
            </w:pPr>
          </w:p>
          <w:p w14:paraId="0000003B">
            <w:pPr>
              <w:spacing w:after="0" w:line="240" w:lineRule="auto"/>
              <w:rPr>
                <w:rFonts w:ascii="Arial" w:cs="Times New Roman" w:eastAsia="Times New Roman" w:hAnsi="Arial"/>
                <w:bCs/>
                <w:color w:val="auto"/>
                <w:sz w:val="20"/>
                <w:szCs w:val="20"/>
              </w:rPr>
            </w:pPr>
          </w:p>
          <w:p w14:paraId="0000003C">
            <w:pPr>
              <w:spacing w:after="0" w:line="240" w:lineRule="auto"/>
              <w:rPr>
                <w:rFonts w:ascii="Arial" w:cs="Times New Roman" w:eastAsia="Times New Roman" w:hAnsi="Arial"/>
                <w:bCs/>
                <w:color w:val="auto"/>
                <w:sz w:val="20"/>
                <w:szCs w:val="20"/>
              </w:rPr>
            </w:pPr>
          </w:p>
          <w:p w14:paraId="0000003D">
            <w:pPr>
              <w:spacing w:after="0" w:line="240" w:lineRule="auto"/>
              <w:rPr>
                <w:rFonts w:ascii="Arial" w:cs="Times New Roman" w:eastAsia="Times New Roman" w:hAnsi="Arial"/>
                <w:bCs/>
                <w:color w:val="auto"/>
                <w:sz w:val="20"/>
                <w:szCs w:val="20"/>
              </w:rPr>
            </w:pPr>
          </w:p>
          <w:p w14:paraId="0000003E">
            <w:pPr>
              <w:spacing w:after="0" w:line="240" w:lineRule="auto"/>
              <w:rPr>
                <w:rFonts w:ascii="Arial" w:cs="Times New Roman" w:eastAsia="Times New Roman" w:hAnsi="Arial"/>
                <w:bCs/>
                <w:color w:val="auto"/>
                <w:sz w:val="20"/>
                <w:szCs w:val="20"/>
              </w:rPr>
            </w:pPr>
          </w:p>
          <w:p w14:paraId="0000003F">
            <w:pPr>
              <w:spacing w:after="0" w:line="240" w:lineRule="auto"/>
              <w:rPr>
                <w:rFonts w:ascii="Arial" w:cs="Times New Roman" w:eastAsia="Times New Roman" w:hAnsi="Arial"/>
                <w:bCs/>
                <w:color w:val="auto"/>
                <w:sz w:val="20"/>
                <w:szCs w:val="20"/>
              </w:rPr>
            </w:pPr>
          </w:p>
          <w:p w14:paraId="00000040">
            <w:pPr>
              <w:spacing w:after="0" w:line="240" w:lineRule="auto"/>
              <w:rPr>
                <w:rFonts w:ascii="Arial" w:cs="Times New Roman" w:eastAsia="Times New Roman" w:hAnsi="Arial"/>
                <w:bCs/>
                <w:color w:val="auto"/>
                <w:sz w:val="20"/>
                <w:szCs w:val="20"/>
              </w:rPr>
            </w:pPr>
          </w:p>
          <w:p w14:paraId="00000041">
            <w:pPr>
              <w:spacing w:after="0" w:line="240" w:lineRule="auto"/>
              <w:rPr>
                <w:rFonts w:ascii="Arial" w:cs="Times New Roman" w:eastAsia="Times New Roman" w:hAnsi="Arial"/>
                <w:bCs/>
                <w:color w:val="auto"/>
                <w:sz w:val="20"/>
                <w:szCs w:val="20"/>
              </w:rPr>
            </w:pPr>
          </w:p>
          <w:p w14:paraId="00000042">
            <w:pPr>
              <w:spacing w:after="0" w:line="240" w:lineRule="auto"/>
              <w:rPr>
                <w:rFonts w:ascii="Arial" w:cs="Times New Roman" w:eastAsia="Times New Roman" w:hAnsi="Arial"/>
                <w:bCs/>
                <w:color w:val="auto"/>
                <w:sz w:val="20"/>
                <w:szCs w:val="20"/>
              </w:rPr>
            </w:pPr>
          </w:p>
          <w:p w14:paraId="00000043">
            <w:pPr>
              <w:spacing w:after="0" w:line="240" w:lineRule="auto"/>
              <w:rPr>
                <w:rFonts w:ascii="Arial" w:cs="Times New Roman" w:eastAsia="Times New Roman" w:hAnsi="Arial"/>
                <w:bCs/>
                <w:color w:val="auto"/>
                <w:sz w:val="20"/>
                <w:szCs w:val="20"/>
              </w:rPr>
            </w:pPr>
          </w:p>
          <w:p w14:paraId="00000044">
            <w:pPr>
              <w:spacing w:after="0" w:line="240" w:lineRule="auto"/>
              <w:rPr>
                <w:rFonts w:ascii="Arial" w:cs="Times New Roman" w:eastAsia="Times New Roman" w:hAnsi="Arial"/>
                <w:bCs/>
                <w:color w:val="auto"/>
                <w:sz w:val="20"/>
                <w:szCs w:val="20"/>
              </w:rPr>
            </w:pPr>
          </w:p>
          <w:p w14:paraId="00000045">
            <w:pPr>
              <w:spacing w:after="0" w:line="240" w:lineRule="auto"/>
              <w:rPr>
                <w:rFonts w:ascii="Arial" w:cs="Times New Roman" w:eastAsia="Times New Roman" w:hAnsi="Arial"/>
                <w:bCs/>
                <w:color w:val="auto"/>
                <w:sz w:val="20"/>
                <w:szCs w:val="20"/>
              </w:rPr>
            </w:pPr>
          </w:p>
          <w:p w14:paraId="00000046">
            <w:pPr>
              <w:spacing w:after="0" w:line="240" w:lineRule="auto"/>
              <w:rPr>
                <w:rFonts w:ascii="Arial" w:cs="Times New Roman" w:eastAsia="Times New Roman" w:hAnsi="Arial"/>
                <w:bCs/>
                <w:color w:val="auto"/>
                <w:sz w:val="20"/>
                <w:szCs w:val="20"/>
              </w:rPr>
            </w:pPr>
          </w:p>
          <w:p w14:paraId="00000047">
            <w:pPr>
              <w:spacing w:after="0" w:line="240" w:lineRule="auto"/>
              <w:rPr>
                <w:rFonts w:ascii="Arial" w:cs="Times New Roman" w:eastAsia="Times New Roman" w:hAnsi="Arial"/>
                <w:bCs/>
                <w:color w:val="auto"/>
                <w:sz w:val="20"/>
                <w:szCs w:val="20"/>
              </w:rPr>
            </w:pPr>
          </w:p>
          <w:p w14:paraId="00000048">
            <w:pPr>
              <w:spacing w:after="0" w:line="240" w:lineRule="auto"/>
              <w:rPr>
                <w:rFonts w:ascii="Arial" w:cs="Times New Roman" w:eastAsia="Times New Roman" w:hAnsi="Arial"/>
                <w:bCs/>
                <w:color w:val="auto"/>
                <w:sz w:val="20"/>
                <w:szCs w:val="20"/>
              </w:rPr>
            </w:pPr>
          </w:p>
          <w:p w14:paraId="00000049">
            <w:pPr>
              <w:spacing w:after="0" w:line="240" w:lineRule="auto"/>
              <w:rPr>
                <w:rFonts w:ascii="Arial" w:cs="Times New Roman" w:eastAsia="Times New Roman" w:hAnsi="Arial"/>
                <w:bCs/>
                <w:color w:val="auto"/>
                <w:sz w:val="20"/>
                <w:szCs w:val="20"/>
              </w:rPr>
            </w:pPr>
          </w:p>
          <w:p w14:paraId="0000004A">
            <w:pPr>
              <w:spacing w:after="0" w:line="240" w:lineRule="auto"/>
              <w:rPr>
                <w:rFonts w:ascii="Arial" w:cs="Times New Roman" w:eastAsia="Times New Roman" w:hAnsi="Arial"/>
                <w:bCs/>
                <w:color w:val="auto"/>
                <w:sz w:val="20"/>
                <w:szCs w:val="20"/>
              </w:rPr>
            </w:pPr>
          </w:p>
          <w:p w14:paraId="0000004B">
            <w:pPr>
              <w:spacing w:after="0" w:line="240" w:lineRule="auto"/>
              <w:rPr>
                <w:rFonts w:ascii="Arial" w:cs="Times New Roman" w:eastAsia="Times New Roman" w:hAnsi="Arial"/>
                <w:bCs/>
                <w:color w:val="auto"/>
                <w:sz w:val="20"/>
                <w:szCs w:val="20"/>
              </w:rPr>
            </w:pPr>
          </w:p>
          <w:p w14:paraId="0000004C">
            <w:pPr>
              <w:spacing w:after="0" w:line="240" w:lineRule="auto"/>
              <w:rPr>
                <w:rFonts w:ascii="Arial" w:cs="Times New Roman" w:eastAsia="Times New Roman" w:hAnsi="Arial"/>
                <w:bCs/>
                <w:color w:val="auto"/>
                <w:sz w:val="20"/>
                <w:szCs w:val="20"/>
              </w:rPr>
            </w:pPr>
          </w:p>
          <w:p w14:paraId="0000004D">
            <w:pPr>
              <w:spacing w:after="0" w:line="240" w:lineRule="auto"/>
              <w:rPr>
                <w:rFonts w:ascii="Arial" w:cs="Times New Roman" w:eastAsia="Times New Roman" w:hAnsi="Arial"/>
                <w:bCs/>
                <w:color w:val="auto"/>
                <w:sz w:val="20"/>
                <w:szCs w:val="20"/>
              </w:rPr>
            </w:pPr>
          </w:p>
          <w:p w14:paraId="0000004E">
            <w:pPr>
              <w:spacing w:after="0" w:line="240" w:lineRule="auto"/>
              <w:rPr>
                <w:rFonts w:ascii="Arial" w:cs="Times New Roman" w:eastAsia="Times New Roman" w:hAnsi="Arial"/>
                <w:bCs/>
                <w:color w:val="auto"/>
                <w:sz w:val="20"/>
                <w:szCs w:val="20"/>
              </w:rPr>
            </w:pPr>
          </w:p>
          <w:p w14:paraId="0000004F">
            <w:pPr>
              <w:spacing w:after="0" w:line="240" w:lineRule="auto"/>
              <w:rPr>
                <w:rFonts w:ascii="Arial" w:cs="Times New Roman" w:eastAsia="Times New Roman" w:hAnsi="Arial"/>
                <w:bCs/>
                <w:color w:val="auto"/>
                <w:sz w:val="20"/>
                <w:szCs w:val="20"/>
              </w:rPr>
            </w:pPr>
          </w:p>
          <w:p w14:paraId="00000050">
            <w:pPr>
              <w:spacing w:after="0" w:line="240" w:lineRule="auto"/>
              <w:rPr>
                <w:rFonts w:ascii="Arial" w:cs="Times New Roman" w:eastAsia="Times New Roman" w:hAnsi="Arial"/>
                <w:bCs/>
                <w:color w:val="auto"/>
                <w:sz w:val="20"/>
                <w:szCs w:val="20"/>
              </w:rPr>
            </w:pPr>
          </w:p>
          <w:p w14:paraId="00000051">
            <w:pPr>
              <w:spacing w:after="0" w:line="240" w:lineRule="auto"/>
              <w:rPr>
                <w:rFonts w:ascii="Arial" w:cs="Times New Roman" w:eastAsia="Times New Roman" w:hAnsi="Arial"/>
                <w:bCs/>
                <w:color w:val="auto"/>
                <w:sz w:val="20"/>
                <w:szCs w:val="20"/>
              </w:rPr>
            </w:pPr>
          </w:p>
          <w:p w14:paraId="00000052">
            <w:pPr>
              <w:spacing w:after="0" w:line="240" w:lineRule="auto"/>
              <w:rPr>
                <w:rFonts w:ascii="Arial" w:cs="Times New Roman" w:eastAsia="Times New Roman" w:hAnsi="Arial"/>
                <w:bCs/>
                <w:color w:val="auto"/>
                <w:sz w:val="20"/>
                <w:szCs w:val="20"/>
              </w:rPr>
            </w:pPr>
          </w:p>
          <w:p w14:paraId="00000053">
            <w:pPr>
              <w:spacing w:after="0" w:line="240" w:lineRule="auto"/>
              <w:rPr>
                <w:rFonts w:ascii="Arial" w:cs="Times New Roman" w:eastAsia="Times New Roman" w:hAnsi="Arial"/>
                <w:bCs/>
                <w:color w:val="auto"/>
                <w:sz w:val="20"/>
                <w:szCs w:val="20"/>
              </w:rPr>
            </w:pPr>
          </w:p>
        </w:tc>
      </w:tr>
    </w:tbl>
    <w:p w14:paraId="00000054">
      <w:pPr>
        <w:rPr/>
        <w:sectPr>
          <w:pgSz w:w="11906" w:h="16838"/>
          <w:pgMar w:top="720" w:right="720" w:bottom="720" w:left="720" w:header="709" w:footer="709" w:gutter="0"/>
          <w:cols w:space="708"/>
        </w:sectPr>
      </w:pPr>
    </w:p>
    <w:p w14:paraId="00000055">
      <w:pPr>
        <w:widowControl w:val="off"/>
        <w:spacing w:after="0" w:line="240" w:lineRule="auto"/>
        <w:rPr>
          <w:rFonts w:asciiTheme="minorBidi" w:eastAsia="Times New Roman" w:hAnsiTheme="minorBidi"/>
          <w:color w:val="000000"/>
          <w:sz w:val="28"/>
          <w:szCs w:val="28"/>
          <w:shd w:val="clear" w:color="auto" w:fill="ffffff"/>
          <w:lang w:val="en-US"/>
        </w:rPr>
      </w:pPr>
      <w:r>
        <w:rPr>
          <w:rFonts w:asciiTheme="minorBidi" w:hAnsiTheme="minorBidi"/>
          <w:b/>
          <w:bCs/>
          <w:sz w:val="28"/>
          <w:szCs w:val="24"/>
        </w:rPr>
        <w:t>Component Two:</w:t>
      </w:r>
      <w:r>
        <w:rPr>
          <w:rFonts w:asciiTheme="minorBidi" w:eastAsia="Carlito" w:hAnsiTheme="minorBidi"/>
          <w:b/>
          <w:bCs/>
          <w:color w:val="000000"/>
          <w:sz w:val="28"/>
          <w:szCs w:val="28"/>
          <w:lang w:val="en-US"/>
        </w:rPr>
        <w:t>Housekeeping cleaning checklist</w:t>
      </w:r>
    </w:p>
    <w:p w14:paraId="00000056">
      <w:pPr>
        <w:rPr>
          <w:rFonts w:asciiTheme="minorBidi" w:hAnsiTheme="minorBidi"/>
          <w:b/>
          <w:bCs/>
          <w:sz w:val="22"/>
        </w:rPr>
      </w:pPr>
      <w:r>
        <w:rPr>
          <w:rFonts w:asciiTheme="minorBidi" w:eastAsia="Carlito" w:hAnsiTheme="minorBidi"/>
          <w:b/>
          <w:color w:val="auto"/>
          <w:sz w:val="22"/>
          <w:lang w:val="en-US"/>
        </w:rPr>
        <w:t>Contribution to Overall Module Assessment: 25%</w:t>
      </w:r>
    </w:p>
    <w:p w14:paraId="00000057">
      <w:pPr>
        <w:widowControl w:val="off"/>
        <w:spacing w:after="0" w:line="240" w:lineRule="auto"/>
        <w:jc w:val="center"/>
        <w:rPr>
          <w:rFonts w:asciiTheme="minorBidi" w:eastAsia="Times New Roman" w:hAnsiTheme="minorBidi"/>
          <w:color w:val="000000"/>
          <w:sz w:val="28"/>
          <w:szCs w:val="28"/>
          <w:shd w:val="clear" w:color="auto" w:fill="ffffff"/>
          <w:lang w:val="en-US"/>
        </w:rPr>
      </w:pPr>
    </w:p>
    <w:tbl>
      <w:tblPr>
        <w:tblW w:w="9815" w:type="dxa"/>
        <w:tblInd w:w="14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tblPr>
      <w:tblGrid>
        <w:gridCol w:w="1993"/>
        <w:gridCol w:w="261"/>
        <w:gridCol w:w="369"/>
        <w:gridCol w:w="540"/>
        <w:gridCol w:w="965"/>
        <w:gridCol w:w="565"/>
        <w:gridCol w:w="540"/>
        <w:gridCol w:w="90"/>
        <w:gridCol w:w="531"/>
        <w:gridCol w:w="639"/>
        <w:gridCol w:w="1800"/>
        <w:gridCol w:w="630"/>
        <w:gridCol w:w="331"/>
        <w:gridCol w:w="561"/>
      </w:tblGrid>
      <w:tr>
        <w:trPr>
          <w:trHeight w:val="295"/>
        </w:trPr>
        <w:tc>
          <w:tcPr>
            <w:cnfStyle w:val="101000000000"/>
            <w:tcW w:w="4128" w:type="dxa"/>
            <w:gridSpan w:val="5"/>
            <w:tcBorders>
              <w:left w:val="single" w:color="000000" w:sz="4" w:space="0"/>
              <w:bottom w:val="single" w:color="7f7f7f" w:sz="2" w:space="0"/>
              <w:right w:val="single" w:color="7f7f7f" w:sz="8" w:space="0"/>
            </w:tcBorders>
            <w:shd w:val="clear" w:color="auto" w:fill="dfdfdf"/>
          </w:tcPr>
          <w:p w14:paraId="00000058">
            <w:pPr>
              <w:pStyle w:val="TableParagraph"/>
              <w:spacing w:before="56"/>
              <w:ind w:left="55"/>
              <w:rPr>
                <w:b/>
                <w:sz w:val="16"/>
              </w:rPr>
            </w:pPr>
            <w:r>
              <w:rPr>
                <w:b/>
                <w:spacing w:val="-4"/>
                <w:sz w:val="16"/>
              </w:rPr>
              <w:t>Item</w:t>
            </w:r>
          </w:p>
        </w:tc>
        <w:tc>
          <w:tcPr>
            <w:cnfStyle w:val="100010000000"/>
            <w:tcW w:w="565" w:type="dxa"/>
            <w:tcBorders>
              <w:left w:val="single" w:color="7f7f7f" w:sz="8" w:space="0"/>
              <w:bottom w:val="single" w:color="7f7f7f" w:sz="2" w:space="0"/>
              <w:right w:val="single" w:color="7f7f7f" w:sz="8" w:space="0"/>
            </w:tcBorders>
            <w:shd w:val="clear" w:color="auto" w:fill="dfdfdf"/>
          </w:tcPr>
          <w:p w14:paraId="00000059">
            <w:pPr>
              <w:pStyle w:val="TableParagraph"/>
              <w:spacing w:before="56"/>
              <w:ind w:left="-4"/>
              <w:rPr>
                <w:b/>
                <w:sz w:val="16"/>
              </w:rPr>
            </w:pPr>
            <w:r>
              <w:rPr>
                <w:b/>
                <w:spacing w:val="-5"/>
                <w:sz w:val="16"/>
              </w:rPr>
              <w:t>Yes</w:t>
            </w:r>
          </w:p>
        </w:tc>
        <w:tc>
          <w:tcPr>
            <w:cnfStyle w:val="100001000000"/>
            <w:tcW w:w="630" w:type="dxa"/>
            <w:gridSpan w:val="2"/>
            <w:tcBorders>
              <w:left w:val="single" w:color="7f7f7f" w:sz="8" w:space="0"/>
              <w:bottom w:val="single" w:color="7f7f7f" w:sz="2" w:space="0"/>
              <w:right w:val="single" w:color="7f7f7f" w:sz="8" w:space="0"/>
            </w:tcBorders>
            <w:shd w:val="clear" w:color="auto" w:fill="dfdfdf"/>
          </w:tcPr>
          <w:p w14:paraId="0000005A">
            <w:pPr>
              <w:pStyle w:val="TableParagraph"/>
              <w:spacing w:before="56"/>
              <w:ind w:left="-4"/>
              <w:rPr>
                <w:b/>
                <w:sz w:val="16"/>
              </w:rPr>
            </w:pPr>
            <w:r>
              <w:rPr>
                <w:b/>
                <w:spacing w:val="-5"/>
                <w:sz w:val="16"/>
              </w:rPr>
              <w:t>No</w:t>
            </w:r>
          </w:p>
        </w:tc>
        <w:tc>
          <w:tcPr>
            <w:cnfStyle w:val="100010000000"/>
            <w:tcW w:w="2970" w:type="dxa"/>
            <w:gridSpan w:val="3"/>
            <w:tcBorders>
              <w:left w:val="single" w:color="7f7f7f" w:sz="8" w:space="0"/>
              <w:bottom w:val="single" w:color="7f7f7f" w:sz="2" w:space="0"/>
              <w:right w:val="single" w:color="7f7f7f" w:sz="8" w:space="0"/>
            </w:tcBorders>
            <w:shd w:val="clear" w:color="auto" w:fill="dfdfdf"/>
          </w:tcPr>
          <w:p w14:paraId="0000005B">
            <w:pPr>
              <w:pStyle w:val="TableParagraph"/>
              <w:spacing w:before="56"/>
              <w:ind w:left="-4"/>
              <w:rPr>
                <w:b/>
                <w:sz w:val="16"/>
              </w:rPr>
            </w:pPr>
            <w:r>
              <w:rPr>
                <w:b/>
                <w:spacing w:val="-4"/>
                <w:sz w:val="16"/>
              </w:rPr>
              <w:t>Item</w:t>
            </w:r>
          </w:p>
        </w:tc>
        <w:tc>
          <w:tcPr>
            <w:cnfStyle w:val="100001000000"/>
            <w:tcW w:w="961" w:type="dxa"/>
            <w:gridSpan w:val="2"/>
            <w:tcBorders>
              <w:left w:val="single" w:color="7f7f7f" w:sz="8" w:space="0"/>
              <w:bottom w:val="single" w:color="7f7f7f" w:sz="2" w:space="0"/>
              <w:right w:val="single" w:color="7f7f7f" w:sz="8" w:space="0"/>
            </w:tcBorders>
            <w:shd w:val="clear" w:color="auto" w:fill="dfdfdf"/>
          </w:tcPr>
          <w:p w14:paraId="0000005C">
            <w:pPr>
              <w:pStyle w:val="TableParagraph"/>
              <w:spacing w:before="56"/>
              <w:ind w:left="-4"/>
              <w:rPr>
                <w:b/>
                <w:sz w:val="16"/>
              </w:rPr>
            </w:pPr>
            <w:r>
              <w:rPr>
                <w:b/>
                <w:spacing w:val="-5"/>
                <w:sz w:val="16"/>
              </w:rPr>
              <w:t>Yes</w:t>
            </w:r>
          </w:p>
        </w:tc>
        <w:tc>
          <w:tcPr>
            <w:cnfStyle w:val="100100000000"/>
            <w:tcW w:w="561" w:type="dxa"/>
            <w:tcBorders>
              <w:left w:val="single" w:color="7f7f7f" w:sz="8" w:space="0"/>
              <w:bottom w:val="single" w:color="7f7f7f" w:sz="2" w:space="0"/>
              <w:right w:val="single" w:color="000000" w:sz="4" w:space="0"/>
            </w:tcBorders>
            <w:shd w:val="clear" w:color="auto" w:fill="dfdfdf"/>
          </w:tcPr>
          <w:p w14:paraId="0000005D">
            <w:pPr>
              <w:pStyle w:val="TableParagraph"/>
              <w:spacing w:before="56"/>
              <w:ind w:left="-4"/>
              <w:rPr>
                <w:b/>
                <w:sz w:val="16"/>
              </w:rPr>
            </w:pPr>
            <w:r>
              <w:rPr>
                <w:b/>
                <w:spacing w:val="-5"/>
                <w:sz w:val="16"/>
              </w:rPr>
              <w:t>No</w:t>
            </w:r>
          </w:p>
        </w:tc>
      </w:tr>
      <w:tr>
        <w:trPr>
          <w:trHeight w:val="311"/>
        </w:trPr>
        <w:tc>
          <w:tcPr>
            <w:cnfStyle w:val="001000100000"/>
            <w:tcW w:w="4128" w:type="dxa"/>
            <w:gridSpan w:val="5"/>
            <w:tcBorders>
              <w:top w:val="single" w:color="7f7f7f" w:sz="2" w:space="0"/>
              <w:left w:val="single" w:color="000000" w:sz="4" w:space="0"/>
              <w:bottom w:val="single" w:color="7f7f7f" w:sz="8" w:space="0"/>
              <w:right w:val="single" w:color="7f7f7f" w:sz="8" w:space="0"/>
            </w:tcBorders>
          </w:tcPr>
          <w:p w14:paraId="0000005E">
            <w:pPr>
              <w:pStyle w:val="TableParagraph"/>
              <w:spacing w:before="56"/>
              <w:ind w:left="55"/>
              <w:rPr>
                <w:sz w:val="16"/>
              </w:rPr>
            </w:pPr>
            <w:r>
              <w:rPr>
                <w:sz w:val="16"/>
              </w:rPr>
              <w:t xml:space="preserve">Door lock works </w:t>
            </w:r>
            <w:r>
              <w:rPr>
                <w:spacing w:val="-2"/>
                <w:sz w:val="16"/>
              </w:rPr>
              <w:t>properly</w:t>
            </w:r>
          </w:p>
        </w:tc>
        <w:tc>
          <w:tcPr>
            <w:cnfStyle w:val="000010100000"/>
            <w:tcW w:w="565" w:type="dxa"/>
            <w:tcBorders>
              <w:top w:val="single" w:color="7f7f7f" w:sz="2" w:space="0"/>
              <w:left w:val="single" w:color="7f7f7f" w:sz="8" w:space="0"/>
              <w:bottom w:val="single" w:color="7f7f7f" w:sz="8" w:space="0"/>
              <w:right w:val="single" w:color="7f7f7f" w:sz="8" w:space="0"/>
            </w:tcBorders>
          </w:tcPr>
          <w:p w14:paraId="0000005F">
            <w:pPr>
              <w:pStyle w:val="TableParagraph"/>
              <w:numPr>
                <w:ilvl w:val="0"/>
                <w:numId w:val="4"/>
              </w:numPr>
              <w:rPr>
                <w:sz w:val="16"/>
              </w:rPr>
            </w:pPr>
          </w:p>
        </w:tc>
        <w:tc>
          <w:tcPr>
            <w:cnfStyle w:val="000001100000"/>
            <w:tcW w:w="630" w:type="dxa"/>
            <w:gridSpan w:val="2"/>
            <w:tcBorders>
              <w:top w:val="single" w:color="7f7f7f" w:sz="2" w:space="0"/>
              <w:left w:val="single" w:color="7f7f7f" w:sz="8" w:space="0"/>
              <w:bottom w:val="single" w:color="7f7f7f" w:sz="8" w:space="0"/>
              <w:right w:val="single" w:color="7f7f7f" w:sz="8" w:space="0"/>
            </w:tcBorders>
          </w:tcPr>
          <w:p w14:paraId="00000060">
            <w:pPr>
              <w:pStyle w:val="TableParagraph"/>
              <w:rPr>
                <w:sz w:val="16"/>
              </w:rPr>
            </w:pPr>
          </w:p>
        </w:tc>
        <w:tc>
          <w:tcPr>
            <w:cnfStyle w:val="000010100000"/>
            <w:tcW w:w="2970" w:type="dxa"/>
            <w:gridSpan w:val="3"/>
            <w:tcBorders>
              <w:top w:val="single" w:color="7f7f7f" w:sz="2" w:space="0"/>
              <w:left w:val="single" w:color="7f7f7f" w:sz="8" w:space="0"/>
              <w:bottom w:val="single" w:color="7f7f7f" w:sz="8" w:space="0"/>
              <w:right w:val="single" w:color="7f7f7f" w:sz="8" w:space="0"/>
            </w:tcBorders>
          </w:tcPr>
          <w:p w14:paraId="00000061">
            <w:pPr>
              <w:pStyle w:val="TableParagraph"/>
              <w:numPr>
                <w:ilvl w:val="0"/>
                <w:numId w:val="5"/>
              </w:numPr>
              <w:tabs>
                <w:tab w:val="left" w:pos="179"/>
              </w:tabs>
              <w:spacing w:before="47"/>
              <w:ind w:left="179" w:hanging="183"/>
              <w:rPr>
                <w:sz w:val="16"/>
              </w:rPr>
            </w:pPr>
            <w:r>
              <w:rPr>
                <w:sz w:val="16"/>
              </w:rPr>
              <w:t xml:space="preserve">Mattress firm </w:t>
            </w:r>
            <w:r>
              <w:rPr>
                <w:rFonts w:ascii="Segoe UI Symbol" w:hAnsi="Segoe UI Symbol"/>
                <w:sz w:val="16"/>
              </w:rPr>
              <w:t xml:space="preserve">☐ </w:t>
            </w:r>
            <w:r>
              <w:rPr>
                <w:sz w:val="16"/>
              </w:rPr>
              <w:t xml:space="preserve">turned </w:t>
            </w:r>
            <w:r>
              <w:rPr>
                <w:spacing w:val="-2"/>
                <w:sz w:val="16"/>
              </w:rPr>
              <w:t>regularly</w:t>
            </w:r>
          </w:p>
        </w:tc>
        <w:tc>
          <w:tcPr>
            <w:cnfStyle w:val="000001100000"/>
            <w:tcW w:w="630" w:type="dxa"/>
            <w:tcBorders>
              <w:top w:val="single" w:color="7f7f7f" w:sz="2" w:space="0"/>
              <w:left w:val="single" w:color="7f7f7f" w:sz="8" w:space="0"/>
              <w:bottom w:val="single" w:color="7f7f7f" w:sz="8" w:space="0"/>
              <w:right w:val="single" w:color="7f7f7f" w:sz="8" w:space="0"/>
            </w:tcBorders>
          </w:tcPr>
          <w:p w14:paraId="00000062">
            <w:pPr>
              <w:pStyle w:val="TableParagraph"/>
              <w:numPr>
                <w:ilvl w:val="0"/>
                <w:numId w:val="6"/>
              </w:numPr>
              <w:rPr>
                <w:sz w:val="16"/>
              </w:rPr>
            </w:pPr>
          </w:p>
        </w:tc>
        <w:tc>
          <w:tcPr>
            <w:cnfStyle w:val="000100100000"/>
            <w:tcW w:w="892" w:type="dxa"/>
            <w:gridSpan w:val="2"/>
            <w:tcBorders>
              <w:top w:val="single" w:color="7f7f7f" w:sz="2" w:space="0"/>
              <w:left w:val="single" w:color="7f7f7f" w:sz="8" w:space="0"/>
              <w:bottom w:val="single" w:color="7f7f7f" w:sz="8" w:space="0"/>
              <w:right w:val="single" w:color="000000" w:sz="4" w:space="0"/>
            </w:tcBorders>
          </w:tcPr>
          <w:p w14:paraId="00000063">
            <w:pPr>
              <w:pStyle w:val="TableParagraph"/>
              <w:rPr>
                <w:sz w:val="16"/>
              </w:rPr>
            </w:pPr>
          </w:p>
        </w:tc>
      </w:tr>
      <w:tr>
        <w:trPr>
          <w:trHeight w:val="298"/>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64">
            <w:pPr>
              <w:pStyle w:val="TableParagraph"/>
              <w:spacing w:before="56"/>
              <w:ind w:left="55"/>
              <w:rPr>
                <w:sz w:val="16"/>
              </w:rPr>
            </w:pPr>
            <w:r>
              <w:rPr>
                <w:sz w:val="16"/>
              </w:rPr>
              <w:t>Door opens easily &amp;</w:t>
            </w:r>
            <w:r>
              <w:rPr>
                <w:spacing w:val="-2"/>
                <w:sz w:val="16"/>
              </w:rPr>
              <w:t>quietly</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65">
            <w:pPr>
              <w:pStyle w:val="TableParagraph"/>
              <w:numPr>
                <w:ilvl w:val="0"/>
                <w:numId w:val="4"/>
              </w:numPr>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66">
            <w:pPr>
              <w:pStyle w:val="TableParagraph"/>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67">
            <w:pPr>
              <w:pStyle w:val="TableParagraph"/>
              <w:spacing w:before="56"/>
              <w:ind w:left="-4"/>
              <w:rPr>
                <w:sz w:val="16"/>
              </w:rPr>
            </w:pPr>
            <w:r>
              <w:rPr>
                <w:sz w:val="16"/>
              </w:rPr>
              <w:t xml:space="preserve">Bed spreads free of rips &amp; </w:t>
            </w:r>
            <w:r>
              <w:rPr>
                <w:spacing w:val="-2"/>
                <w:sz w:val="16"/>
              </w:rPr>
              <w:t>stains</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68">
            <w:pPr>
              <w:pStyle w:val="TableParagraph"/>
              <w:numPr>
                <w:ilvl w:val="0"/>
                <w:numId w:val="6"/>
              </w:numPr>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69">
            <w:pPr>
              <w:pStyle w:val="TableParagraph"/>
              <w:rPr>
                <w:sz w:val="16"/>
              </w:rPr>
            </w:pPr>
          </w:p>
        </w:tc>
      </w:tr>
      <w:tr>
        <w:trPr>
          <w:trHeight w:val="297"/>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6A">
            <w:pPr>
              <w:pStyle w:val="TableParagraph"/>
              <w:spacing w:before="56"/>
              <w:ind w:left="55"/>
              <w:rPr>
                <w:sz w:val="16"/>
              </w:rPr>
            </w:pPr>
            <w:r>
              <w:rPr>
                <w:sz w:val="16"/>
              </w:rPr>
              <w:t>Light</w:t>
            </w:r>
            <w:r>
              <w:rPr>
                <w:sz w:val="16"/>
              </w:rPr>
              <w:t xml:space="preserve"> </w:t>
            </w:r>
            <w:r>
              <w:rPr>
                <w:sz w:val="16"/>
              </w:rPr>
              <w:t>switches</w:t>
            </w:r>
            <w:r>
              <w:rPr>
                <w:sz w:val="16"/>
              </w:rPr>
              <w:t xml:space="preserve"> </w:t>
            </w:r>
            <w:r>
              <w:rPr>
                <w:sz w:val="16"/>
              </w:rPr>
              <w:t>work</w:t>
            </w:r>
            <w:r>
              <w:rPr>
                <w:sz w:val="16"/>
              </w:rPr>
              <w:t xml:space="preserve"> </w:t>
            </w:r>
            <w:r>
              <w:rPr>
                <w:spacing w:val="-2"/>
                <w:sz w:val="16"/>
              </w:rPr>
              <w:t>properly</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6B">
            <w:pPr>
              <w:pStyle w:val="TableParagraph"/>
              <w:numPr>
                <w:ilvl w:val="0"/>
                <w:numId w:val="4"/>
              </w:numPr>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6C">
            <w:pPr>
              <w:pStyle w:val="TableParagraph"/>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6D">
            <w:pPr>
              <w:pStyle w:val="TableParagraph"/>
              <w:spacing w:before="56"/>
              <w:ind w:left="-4"/>
              <w:rPr>
                <w:sz w:val="16"/>
              </w:rPr>
            </w:pPr>
            <w:r>
              <w:rPr>
                <w:sz w:val="16"/>
              </w:rPr>
              <w:t>Up</w:t>
            </w:r>
            <w:r>
              <w:rPr>
                <w:sz w:val="16"/>
              </w:rPr>
              <w:t xml:space="preserve"> holster </w:t>
            </w:r>
            <w:r>
              <w:rPr>
                <w:sz w:val="16"/>
              </w:rPr>
              <w:t>clean</w:t>
            </w:r>
            <w:r>
              <w:rPr>
                <w:sz w:val="16"/>
              </w:rPr>
              <w:t xml:space="preserve"> </w:t>
            </w:r>
            <w:r>
              <w:rPr>
                <w:sz w:val="16"/>
              </w:rPr>
              <w:t>&amp;</w:t>
            </w:r>
            <w:r>
              <w:rPr>
                <w:sz w:val="16"/>
              </w:rPr>
              <w:t xml:space="preserve"> </w:t>
            </w:r>
            <w:r>
              <w:rPr>
                <w:sz w:val="16"/>
              </w:rPr>
              <w:t>in good</w:t>
            </w:r>
            <w:r>
              <w:rPr>
                <w:spacing w:val="-2"/>
                <w:sz w:val="16"/>
              </w:rPr>
              <w:t xml:space="preserve"> condition</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6E">
            <w:pPr>
              <w:pStyle w:val="TableParagraph"/>
              <w:numPr>
                <w:ilvl w:val="0"/>
                <w:numId w:val="6"/>
              </w:numPr>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6F">
            <w:pPr>
              <w:pStyle w:val="TableParagraph"/>
              <w:rPr>
                <w:sz w:val="16"/>
              </w:rPr>
            </w:pPr>
          </w:p>
        </w:tc>
      </w:tr>
      <w:tr>
        <w:trPr>
          <w:trHeight w:val="297"/>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70">
            <w:pPr>
              <w:pStyle w:val="TableParagraph"/>
              <w:spacing w:before="56"/>
              <w:ind w:left="55"/>
              <w:rPr>
                <w:sz w:val="16"/>
              </w:rPr>
            </w:pPr>
            <w:r>
              <w:rPr>
                <w:sz w:val="16"/>
              </w:rPr>
              <w:t>Windows</w:t>
            </w:r>
            <w:r>
              <w:rPr>
                <w:sz w:val="16"/>
              </w:rPr>
              <w:t xml:space="preserve"> </w:t>
            </w:r>
            <w:r>
              <w:rPr>
                <w:sz w:val="16"/>
              </w:rPr>
              <w:t>open</w:t>
            </w:r>
            <w:r>
              <w:rPr>
                <w:sz w:val="16"/>
              </w:rPr>
              <w:t xml:space="preserve"> </w:t>
            </w:r>
            <w:r>
              <w:rPr>
                <w:sz w:val="16"/>
              </w:rPr>
              <w:t>&amp;</w:t>
            </w:r>
            <w:r>
              <w:rPr>
                <w:sz w:val="16"/>
              </w:rPr>
              <w:t xml:space="preserve"> </w:t>
            </w:r>
            <w:r>
              <w:rPr>
                <w:sz w:val="16"/>
              </w:rPr>
              <w:t>close</w:t>
            </w:r>
            <w:r>
              <w:rPr>
                <w:sz w:val="16"/>
              </w:rPr>
              <w:t xml:space="preserve"> </w:t>
            </w:r>
            <w:r>
              <w:rPr>
                <w:spacing w:val="-2"/>
                <w:sz w:val="16"/>
              </w:rPr>
              <w:t>properly</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71">
            <w:pPr>
              <w:pStyle w:val="TableParagraph"/>
              <w:numPr>
                <w:ilvl w:val="0"/>
                <w:numId w:val="4"/>
              </w:numPr>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72">
            <w:pPr>
              <w:pStyle w:val="TableParagraph"/>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73">
            <w:pPr>
              <w:pStyle w:val="TableParagraph"/>
              <w:spacing w:before="56"/>
              <w:ind w:left="-4"/>
              <w:rPr>
                <w:sz w:val="16"/>
              </w:rPr>
            </w:pPr>
            <w:r>
              <w:rPr>
                <w:sz w:val="16"/>
              </w:rPr>
              <w:t>Furniture</w:t>
            </w:r>
            <w:r>
              <w:rPr>
                <w:sz w:val="16"/>
              </w:rPr>
              <w:t xml:space="preserve"> </w:t>
            </w:r>
            <w:r>
              <w:rPr>
                <w:sz w:val="16"/>
              </w:rPr>
              <w:t>scratched</w:t>
            </w:r>
            <w:r>
              <w:rPr>
                <w:sz w:val="16"/>
              </w:rPr>
              <w:t xml:space="preserve"> </w:t>
            </w:r>
            <w:r>
              <w:rPr>
                <w:sz w:val="16"/>
              </w:rPr>
              <w:t>or</w:t>
            </w:r>
            <w:r>
              <w:rPr>
                <w:sz w:val="16"/>
              </w:rPr>
              <w:t xml:space="preserve"> </w:t>
            </w:r>
            <w:r>
              <w:rPr>
                <w:spacing w:val="-2"/>
                <w:sz w:val="16"/>
              </w:rPr>
              <w:t>stained</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74">
            <w:pPr>
              <w:pStyle w:val="TableParagraph"/>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75">
            <w:pPr>
              <w:pStyle w:val="TableParagraph"/>
              <w:numPr>
                <w:ilvl w:val="0"/>
                <w:numId w:val="4"/>
              </w:numPr>
              <w:rPr>
                <w:sz w:val="16"/>
              </w:rPr>
            </w:pPr>
          </w:p>
        </w:tc>
      </w:tr>
      <w:tr>
        <w:trPr>
          <w:trHeight w:val="297"/>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76">
            <w:pPr>
              <w:pStyle w:val="TableParagraph"/>
              <w:spacing w:before="56"/>
              <w:ind w:left="55"/>
              <w:rPr>
                <w:sz w:val="16"/>
              </w:rPr>
            </w:pPr>
            <w:r>
              <w:rPr>
                <w:sz w:val="16"/>
              </w:rPr>
              <w:t>Window</w:t>
            </w:r>
            <w:r>
              <w:rPr>
                <w:sz w:val="16"/>
              </w:rPr>
              <w:t xml:space="preserve"> </w:t>
            </w:r>
            <w:r>
              <w:rPr>
                <w:sz w:val="16"/>
              </w:rPr>
              <w:t>glass</w:t>
            </w:r>
            <w:r>
              <w:rPr>
                <w:sz w:val="16"/>
              </w:rPr>
              <w:t xml:space="preserve"> </w:t>
            </w:r>
            <w:r>
              <w:rPr>
                <w:spacing w:val="-2"/>
                <w:sz w:val="16"/>
              </w:rPr>
              <w:t>clean</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77">
            <w:pPr>
              <w:pStyle w:val="TableParagraph"/>
              <w:ind w:left="720"/>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78">
            <w:pPr>
              <w:pStyle w:val="TableParagraph"/>
              <w:numPr>
                <w:ilvl w:val="0"/>
                <w:numId w:val="4"/>
              </w:numPr>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79">
            <w:pPr>
              <w:pStyle w:val="TableParagraph"/>
              <w:spacing w:before="56"/>
              <w:ind w:left="-4"/>
              <w:rPr>
                <w:sz w:val="16"/>
              </w:rPr>
            </w:pPr>
            <w:r>
              <w:rPr>
                <w:sz w:val="16"/>
              </w:rPr>
              <w:t>Walls</w:t>
            </w:r>
            <w:r>
              <w:rPr>
                <w:sz w:val="16"/>
              </w:rPr>
              <w:t xml:space="preserve"> </w:t>
            </w:r>
            <w:r>
              <w:rPr>
                <w:sz w:val="16"/>
              </w:rPr>
              <w:t>clean</w:t>
            </w:r>
            <w:r>
              <w:rPr>
                <w:sz w:val="16"/>
              </w:rPr>
              <w:t xml:space="preserve"> </w:t>
            </w:r>
            <w:r>
              <w:rPr>
                <w:sz w:val="16"/>
              </w:rPr>
              <w:t>&amp;</w:t>
            </w:r>
            <w:r>
              <w:rPr>
                <w:sz w:val="16"/>
              </w:rPr>
              <w:t xml:space="preserve"> </w:t>
            </w:r>
            <w:r>
              <w:rPr>
                <w:sz w:val="16"/>
              </w:rPr>
              <w:t>free</w:t>
            </w:r>
            <w:r>
              <w:rPr>
                <w:sz w:val="16"/>
              </w:rPr>
              <w:t xml:space="preserve"> </w:t>
            </w:r>
            <w:r>
              <w:rPr>
                <w:sz w:val="16"/>
              </w:rPr>
              <w:t>of</w:t>
            </w:r>
            <w:r>
              <w:rPr>
                <w:sz w:val="16"/>
              </w:rPr>
              <w:t xml:space="preserve"> </w:t>
            </w:r>
            <w:r>
              <w:rPr>
                <w:spacing w:val="-2"/>
                <w:sz w:val="16"/>
              </w:rPr>
              <w:t>cobwebs</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7A">
            <w:pPr>
              <w:pStyle w:val="TableParagraph"/>
              <w:numPr>
                <w:ilvl w:val="0"/>
                <w:numId w:val="4"/>
              </w:numPr>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7B">
            <w:pPr>
              <w:pStyle w:val="TableParagraph"/>
              <w:rPr>
                <w:sz w:val="16"/>
              </w:rPr>
            </w:pPr>
          </w:p>
        </w:tc>
      </w:tr>
      <w:tr>
        <w:trPr>
          <w:trHeight w:val="298"/>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7C">
            <w:pPr>
              <w:pStyle w:val="TableParagraph"/>
              <w:spacing w:before="56"/>
              <w:ind w:left="55"/>
              <w:rPr>
                <w:sz w:val="16"/>
              </w:rPr>
            </w:pPr>
            <w:r>
              <w:rPr>
                <w:sz w:val="16"/>
              </w:rPr>
              <w:t>Window</w:t>
            </w:r>
            <w:r>
              <w:rPr>
                <w:sz w:val="16"/>
              </w:rPr>
              <w:t xml:space="preserve"> </w:t>
            </w:r>
            <w:r>
              <w:rPr>
                <w:sz w:val="16"/>
              </w:rPr>
              <w:t>glass</w:t>
            </w:r>
            <w:r>
              <w:rPr>
                <w:sz w:val="16"/>
              </w:rPr>
              <w:t xml:space="preserve"> </w:t>
            </w:r>
            <w:r>
              <w:rPr>
                <w:sz w:val="16"/>
              </w:rPr>
              <w:t>free</w:t>
            </w:r>
            <w:r>
              <w:rPr>
                <w:sz w:val="16"/>
              </w:rPr>
              <w:t xml:space="preserve"> </w:t>
            </w:r>
            <w:r>
              <w:rPr>
                <w:sz w:val="16"/>
              </w:rPr>
              <w:t>of</w:t>
            </w:r>
            <w:r>
              <w:rPr>
                <w:sz w:val="16"/>
              </w:rPr>
              <w:t xml:space="preserve"> </w:t>
            </w:r>
            <w:r>
              <w:rPr>
                <w:spacing w:val="-2"/>
                <w:sz w:val="16"/>
              </w:rPr>
              <w:t>cracks</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7D">
            <w:pPr>
              <w:pStyle w:val="TableParagraph"/>
              <w:numPr>
                <w:ilvl w:val="0"/>
                <w:numId w:val="4"/>
              </w:numPr>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7E">
            <w:pPr>
              <w:pStyle w:val="TableParagraph"/>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7F">
            <w:pPr>
              <w:pStyle w:val="TableParagraph"/>
              <w:spacing w:before="56"/>
              <w:ind w:left="-4"/>
              <w:rPr>
                <w:sz w:val="16"/>
              </w:rPr>
            </w:pPr>
            <w:r>
              <w:rPr>
                <w:sz w:val="16"/>
              </w:rPr>
              <w:t>Walls</w:t>
            </w:r>
            <w:r>
              <w:rPr>
                <w:sz w:val="16"/>
              </w:rPr>
              <w:t xml:space="preserve"> </w:t>
            </w:r>
            <w:r>
              <w:rPr>
                <w:sz w:val="16"/>
              </w:rPr>
              <w:t>scratched</w:t>
            </w:r>
            <w:r>
              <w:rPr>
                <w:sz w:val="16"/>
              </w:rPr>
              <w:t xml:space="preserve"> </w:t>
            </w:r>
            <w:r>
              <w:rPr>
                <w:sz w:val="16"/>
              </w:rPr>
              <w:t>or</w:t>
            </w:r>
            <w:r>
              <w:rPr>
                <w:sz w:val="16"/>
              </w:rPr>
              <w:t xml:space="preserve"> </w:t>
            </w:r>
            <w:r>
              <w:rPr>
                <w:spacing w:val="-2"/>
                <w:sz w:val="16"/>
              </w:rPr>
              <w:t>nicked</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80">
            <w:pPr>
              <w:pStyle w:val="TableParagraph"/>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81">
            <w:pPr>
              <w:pStyle w:val="TableParagraph"/>
              <w:numPr>
                <w:ilvl w:val="0"/>
                <w:numId w:val="4"/>
              </w:numPr>
              <w:rPr>
                <w:sz w:val="16"/>
              </w:rPr>
            </w:pPr>
          </w:p>
        </w:tc>
      </w:tr>
      <w:tr>
        <w:trPr>
          <w:trHeight w:val="297"/>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82">
            <w:pPr>
              <w:pStyle w:val="TableParagraph"/>
              <w:spacing w:before="56"/>
              <w:ind w:left="55"/>
              <w:rPr>
                <w:sz w:val="16"/>
              </w:rPr>
            </w:pPr>
            <w:r>
              <w:rPr>
                <w:sz w:val="16"/>
              </w:rPr>
              <w:t>Drapes</w:t>
            </w:r>
            <w:r>
              <w:rPr>
                <w:sz w:val="16"/>
              </w:rPr>
              <w:t xml:space="preserve"> </w:t>
            </w:r>
            <w:r>
              <w:rPr>
                <w:sz w:val="16"/>
              </w:rPr>
              <w:t>straight</w:t>
            </w:r>
            <w:r>
              <w:rPr>
                <w:sz w:val="16"/>
              </w:rPr>
              <w:t xml:space="preserve"> </w:t>
            </w:r>
            <w:r>
              <w:rPr>
                <w:sz w:val="16"/>
              </w:rPr>
              <w:t>&amp;</w:t>
            </w:r>
            <w:r>
              <w:rPr>
                <w:sz w:val="16"/>
              </w:rPr>
              <w:t xml:space="preserve"> </w:t>
            </w:r>
            <w:r>
              <w:rPr>
                <w:sz w:val="16"/>
              </w:rPr>
              <w:t>working</w:t>
            </w:r>
            <w:r>
              <w:rPr>
                <w:sz w:val="16"/>
              </w:rPr>
              <w:t xml:space="preserve"> </w:t>
            </w:r>
            <w:r>
              <w:rPr>
                <w:spacing w:val="-2"/>
                <w:sz w:val="16"/>
              </w:rPr>
              <w:t>properly</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83">
            <w:pPr>
              <w:pStyle w:val="TableParagraph"/>
              <w:numPr>
                <w:ilvl w:val="0"/>
                <w:numId w:val="4"/>
              </w:numPr>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84">
            <w:pPr>
              <w:pStyle w:val="TableParagraph"/>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85">
            <w:pPr>
              <w:pStyle w:val="TableParagraph"/>
              <w:spacing w:before="56"/>
              <w:ind w:left="-4"/>
              <w:rPr>
                <w:sz w:val="16"/>
              </w:rPr>
            </w:pPr>
            <w:r>
              <w:rPr>
                <w:sz w:val="16"/>
              </w:rPr>
              <w:t>Luggage</w:t>
            </w:r>
            <w:r>
              <w:rPr>
                <w:sz w:val="16"/>
              </w:rPr>
              <w:t xml:space="preserve"> </w:t>
            </w:r>
            <w:r>
              <w:rPr>
                <w:sz w:val="16"/>
              </w:rPr>
              <w:t>racks</w:t>
            </w:r>
            <w:r>
              <w:rPr>
                <w:sz w:val="16"/>
              </w:rPr>
              <w:t xml:space="preserve"> </w:t>
            </w:r>
            <w:r>
              <w:rPr>
                <w:sz w:val="16"/>
              </w:rPr>
              <w:t>in</w:t>
            </w:r>
            <w:r>
              <w:rPr>
                <w:sz w:val="16"/>
              </w:rPr>
              <w:t xml:space="preserve"> </w:t>
            </w:r>
            <w:r>
              <w:rPr>
                <w:sz w:val="16"/>
              </w:rPr>
              <w:t>good</w:t>
            </w:r>
            <w:r>
              <w:rPr>
                <w:sz w:val="16"/>
              </w:rPr>
              <w:t xml:space="preserve"> </w:t>
            </w:r>
            <w:r>
              <w:rPr>
                <w:spacing w:val="-2"/>
                <w:sz w:val="16"/>
              </w:rPr>
              <w:t>condition</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86">
            <w:pPr>
              <w:pStyle w:val="TableParagraph"/>
              <w:numPr>
                <w:ilvl w:val="0"/>
                <w:numId w:val="4"/>
              </w:numPr>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87">
            <w:pPr>
              <w:pStyle w:val="TableParagraph"/>
              <w:rPr>
                <w:sz w:val="16"/>
              </w:rPr>
            </w:pPr>
          </w:p>
        </w:tc>
      </w:tr>
      <w:tr>
        <w:trPr>
          <w:trHeight w:val="298"/>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88">
            <w:pPr>
              <w:pStyle w:val="TableParagraph"/>
              <w:spacing w:before="56"/>
              <w:ind w:left="55"/>
              <w:rPr>
                <w:sz w:val="16"/>
              </w:rPr>
            </w:pPr>
            <w:r>
              <w:rPr>
                <w:sz w:val="16"/>
              </w:rPr>
              <w:t>Controls</w:t>
            </w:r>
            <w:r>
              <w:rPr>
                <w:sz w:val="16"/>
              </w:rPr>
              <w:t xml:space="preserve"> </w:t>
            </w:r>
            <w:r>
              <w:rPr>
                <w:sz w:val="16"/>
              </w:rPr>
              <w:t>for</w:t>
            </w:r>
            <w:r>
              <w:rPr>
                <w:sz w:val="16"/>
              </w:rPr>
              <w:t xml:space="preserve"> </w:t>
            </w:r>
            <w:r>
              <w:rPr>
                <w:sz w:val="16"/>
              </w:rPr>
              <w:t>air</w:t>
            </w:r>
            <w:r>
              <w:rPr>
                <w:sz w:val="16"/>
              </w:rPr>
              <w:t xml:space="preserve"> </w:t>
            </w:r>
            <w:r>
              <w:rPr>
                <w:sz w:val="16"/>
              </w:rPr>
              <w:t>conditioning/heat</w:t>
            </w:r>
            <w:r>
              <w:rPr>
                <w:sz w:val="16"/>
              </w:rPr>
              <w:t xml:space="preserve"> </w:t>
            </w:r>
            <w:r>
              <w:rPr>
                <w:sz w:val="16"/>
              </w:rPr>
              <w:t>work</w:t>
            </w:r>
            <w:r>
              <w:rPr>
                <w:sz w:val="16"/>
              </w:rPr>
              <w:t xml:space="preserve"> </w:t>
            </w:r>
            <w:r>
              <w:rPr>
                <w:spacing w:val="-2"/>
                <w:sz w:val="16"/>
              </w:rPr>
              <w:t>properly</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89">
            <w:pPr>
              <w:pStyle w:val="TableParagraph"/>
              <w:ind w:left="360"/>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8A">
            <w:pPr>
              <w:pStyle w:val="TableParagraph"/>
              <w:numPr>
                <w:ilvl w:val="0"/>
                <w:numId w:val="4"/>
              </w:numPr>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8B">
            <w:pPr>
              <w:pStyle w:val="TableParagraph"/>
              <w:spacing w:before="56"/>
              <w:ind w:left="-4"/>
              <w:rPr>
                <w:sz w:val="16"/>
              </w:rPr>
            </w:pPr>
            <w:r>
              <w:rPr>
                <w:sz w:val="16"/>
              </w:rPr>
              <w:t>Pictures</w:t>
            </w:r>
            <w:r>
              <w:rPr>
                <w:sz w:val="16"/>
              </w:rPr>
              <w:t xml:space="preserve"> </w:t>
            </w:r>
            <w:r>
              <w:rPr>
                <w:sz w:val="16"/>
              </w:rPr>
              <w:t>and</w:t>
            </w:r>
            <w:r>
              <w:rPr>
                <w:sz w:val="16"/>
              </w:rPr>
              <w:t xml:space="preserve"> </w:t>
            </w:r>
            <w:r>
              <w:rPr>
                <w:sz w:val="16"/>
              </w:rPr>
              <w:t>mirrors</w:t>
            </w:r>
            <w:r>
              <w:rPr>
                <w:sz w:val="16"/>
              </w:rPr>
              <w:t xml:space="preserve"> </w:t>
            </w:r>
            <w:r>
              <w:rPr>
                <w:spacing w:val="-2"/>
                <w:sz w:val="16"/>
              </w:rPr>
              <w:t>straight</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8C">
            <w:pPr>
              <w:pStyle w:val="TableParagraph"/>
              <w:numPr>
                <w:ilvl w:val="0"/>
                <w:numId w:val="4"/>
              </w:numPr>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8D">
            <w:pPr>
              <w:pStyle w:val="TableParagraph"/>
              <w:rPr>
                <w:sz w:val="16"/>
              </w:rPr>
            </w:pPr>
          </w:p>
        </w:tc>
      </w:tr>
      <w:tr>
        <w:trPr>
          <w:trHeight w:val="297"/>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8E">
            <w:pPr>
              <w:pStyle w:val="TableParagraph"/>
              <w:spacing w:before="56"/>
              <w:ind w:left="55"/>
              <w:rPr>
                <w:sz w:val="16"/>
              </w:rPr>
            </w:pPr>
            <w:r>
              <w:rPr>
                <w:sz w:val="16"/>
              </w:rPr>
              <w:t>Air</w:t>
            </w:r>
            <w:r>
              <w:rPr>
                <w:sz w:val="16"/>
              </w:rPr>
              <w:t xml:space="preserve"> </w:t>
            </w:r>
            <w:r>
              <w:rPr>
                <w:sz w:val="16"/>
              </w:rPr>
              <w:t>conditioning</w:t>
            </w:r>
            <w:r>
              <w:rPr>
                <w:sz w:val="16"/>
              </w:rPr>
              <w:t xml:space="preserve"> </w:t>
            </w:r>
            <w:r>
              <w:rPr>
                <w:sz w:val="16"/>
              </w:rPr>
              <w:t>filters</w:t>
            </w:r>
            <w:r>
              <w:rPr>
                <w:sz w:val="16"/>
              </w:rPr>
              <w:t xml:space="preserve"> </w:t>
            </w:r>
            <w:r>
              <w:rPr>
                <w:spacing w:val="-2"/>
                <w:sz w:val="16"/>
              </w:rPr>
              <w:t>clean</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8F">
            <w:pPr>
              <w:pStyle w:val="TableParagraph"/>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90">
            <w:pPr>
              <w:pStyle w:val="TableParagraph"/>
              <w:numPr>
                <w:ilvl w:val="0"/>
                <w:numId w:val="4"/>
              </w:numPr>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91">
            <w:pPr>
              <w:pStyle w:val="TableParagraph"/>
              <w:spacing w:before="56"/>
              <w:ind w:left="-4"/>
              <w:rPr>
                <w:sz w:val="16"/>
              </w:rPr>
            </w:pPr>
            <w:r>
              <w:rPr>
                <w:sz w:val="16"/>
              </w:rPr>
              <w:t>Furniture</w:t>
            </w:r>
            <w:r>
              <w:rPr>
                <w:sz w:val="16"/>
              </w:rPr>
              <w:t xml:space="preserve"> </w:t>
            </w:r>
            <w:r>
              <w:rPr>
                <w:sz w:val="16"/>
              </w:rPr>
              <w:t>drawers</w:t>
            </w:r>
            <w:r>
              <w:rPr>
                <w:sz w:val="16"/>
              </w:rPr>
              <w:t xml:space="preserve"> </w:t>
            </w:r>
            <w:r>
              <w:rPr>
                <w:sz w:val="16"/>
              </w:rPr>
              <w:t>slide</w:t>
            </w:r>
            <w:r>
              <w:rPr>
                <w:sz w:val="16"/>
              </w:rPr>
              <w:t xml:space="preserve"> </w:t>
            </w:r>
            <w:r>
              <w:rPr>
                <w:spacing w:val="-2"/>
                <w:sz w:val="16"/>
              </w:rPr>
              <w:t>easily</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92">
            <w:pPr>
              <w:pStyle w:val="TableParagraph"/>
              <w:numPr>
                <w:ilvl w:val="0"/>
                <w:numId w:val="4"/>
              </w:numPr>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93">
            <w:pPr>
              <w:pStyle w:val="TableParagraph"/>
              <w:rPr>
                <w:sz w:val="16"/>
              </w:rPr>
            </w:pPr>
          </w:p>
        </w:tc>
      </w:tr>
      <w:tr>
        <w:trPr>
          <w:trHeight w:val="297"/>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94">
            <w:pPr>
              <w:pStyle w:val="TableParagraph"/>
              <w:spacing w:before="56"/>
              <w:ind w:left="55"/>
              <w:rPr>
                <w:sz w:val="16"/>
              </w:rPr>
            </w:pPr>
            <w:r>
              <w:rPr>
                <w:sz w:val="16"/>
              </w:rPr>
              <w:t>Lamps</w:t>
            </w:r>
            <w:r>
              <w:rPr>
                <w:sz w:val="16"/>
              </w:rPr>
              <w:t xml:space="preserve"> </w:t>
            </w:r>
            <w:r>
              <w:rPr>
                <w:spacing w:val="-4"/>
                <w:sz w:val="16"/>
              </w:rPr>
              <w:t>work</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95">
            <w:pPr>
              <w:pStyle w:val="TableParagraph"/>
              <w:numPr>
                <w:ilvl w:val="0"/>
                <w:numId w:val="4"/>
              </w:numPr>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96">
            <w:pPr>
              <w:pStyle w:val="TableParagraph"/>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97">
            <w:pPr>
              <w:pStyle w:val="TableParagraph"/>
              <w:spacing w:before="56"/>
              <w:ind w:left="-4"/>
              <w:rPr>
                <w:sz w:val="16"/>
              </w:rPr>
            </w:pPr>
            <w:r>
              <w:rPr>
                <w:spacing w:val="-2"/>
                <w:sz w:val="16"/>
              </w:rPr>
              <w:t>Telephone</w:t>
            </w:r>
            <w:r>
              <w:rPr>
                <w:spacing w:val="-2"/>
                <w:sz w:val="16"/>
              </w:rPr>
              <w:t xml:space="preserve"> </w:t>
            </w:r>
            <w:r>
              <w:rPr>
                <w:spacing w:val="-2"/>
                <w:sz w:val="16"/>
              </w:rPr>
              <w:t>working</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98">
            <w:pPr>
              <w:pStyle w:val="TableParagraph"/>
              <w:numPr>
                <w:ilvl w:val="0"/>
                <w:numId w:val="4"/>
              </w:numPr>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99">
            <w:pPr>
              <w:pStyle w:val="TableParagraph"/>
              <w:rPr>
                <w:sz w:val="16"/>
              </w:rPr>
            </w:pPr>
          </w:p>
        </w:tc>
      </w:tr>
      <w:tr>
        <w:trPr>
          <w:trHeight w:val="298"/>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9A">
            <w:pPr>
              <w:pStyle w:val="TableParagraph"/>
              <w:spacing w:before="56"/>
              <w:ind w:left="55"/>
              <w:rPr>
                <w:sz w:val="16"/>
              </w:rPr>
            </w:pPr>
            <w:r>
              <w:rPr>
                <w:sz w:val="16"/>
              </w:rPr>
              <w:t>Wall</w:t>
            </w:r>
            <w:r>
              <w:rPr>
                <w:sz w:val="16"/>
              </w:rPr>
              <w:t xml:space="preserve"> </w:t>
            </w:r>
            <w:r>
              <w:rPr>
                <w:sz w:val="16"/>
              </w:rPr>
              <w:t>lights</w:t>
            </w:r>
            <w:r>
              <w:rPr>
                <w:sz w:val="16"/>
              </w:rPr>
              <w:t xml:space="preserve"> </w:t>
            </w:r>
            <w:r>
              <w:rPr>
                <w:spacing w:val="-4"/>
                <w:sz w:val="16"/>
              </w:rPr>
              <w:t>work</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9B">
            <w:pPr>
              <w:pStyle w:val="TableParagraph"/>
              <w:numPr>
                <w:ilvl w:val="0"/>
                <w:numId w:val="4"/>
              </w:numPr>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9C">
            <w:pPr>
              <w:pStyle w:val="TableParagraph"/>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9D">
            <w:pPr>
              <w:pStyle w:val="TableParagraph"/>
              <w:spacing w:before="56"/>
              <w:ind w:left="-4"/>
              <w:rPr>
                <w:sz w:val="16"/>
              </w:rPr>
            </w:pPr>
            <w:r>
              <w:rPr>
                <w:sz w:val="16"/>
              </w:rPr>
              <w:t>Clean</w:t>
            </w:r>
            <w:r>
              <w:rPr>
                <w:sz w:val="16"/>
              </w:rPr>
              <w:t xml:space="preserve"> </w:t>
            </w:r>
            <w:r>
              <w:rPr>
                <w:sz w:val="16"/>
              </w:rPr>
              <w:t>ashtrays</w:t>
            </w:r>
            <w:r>
              <w:rPr>
                <w:sz w:val="16"/>
              </w:rPr>
              <w:t xml:space="preserve"> </w:t>
            </w:r>
            <w:r>
              <w:rPr>
                <w:sz w:val="16"/>
              </w:rPr>
              <w:t>&amp;</w:t>
            </w:r>
            <w:r>
              <w:rPr>
                <w:sz w:val="16"/>
              </w:rPr>
              <w:t xml:space="preserve"> </w:t>
            </w:r>
            <w:r>
              <w:rPr>
                <w:spacing w:val="-2"/>
                <w:sz w:val="16"/>
              </w:rPr>
              <w:t>matches</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9E">
            <w:pPr>
              <w:pStyle w:val="TableParagraph"/>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9F">
            <w:pPr>
              <w:pStyle w:val="TableParagraph"/>
              <w:numPr>
                <w:ilvl w:val="0"/>
                <w:numId w:val="4"/>
              </w:numPr>
              <w:rPr>
                <w:sz w:val="16"/>
              </w:rPr>
            </w:pPr>
          </w:p>
        </w:tc>
      </w:tr>
      <w:tr>
        <w:trPr>
          <w:trHeight w:val="297"/>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A0">
            <w:pPr>
              <w:pStyle w:val="TableParagraph"/>
              <w:spacing w:before="56"/>
              <w:ind w:left="55"/>
              <w:rPr>
                <w:sz w:val="16"/>
              </w:rPr>
            </w:pPr>
            <w:r>
              <w:rPr>
                <w:sz w:val="16"/>
              </w:rPr>
              <w:t>Lamp</w:t>
            </w:r>
            <w:r>
              <w:rPr>
                <w:sz w:val="16"/>
              </w:rPr>
              <w:t xml:space="preserve"> </w:t>
            </w:r>
            <w:r>
              <w:rPr>
                <w:sz w:val="16"/>
              </w:rPr>
              <w:t>shades</w:t>
            </w:r>
            <w:r>
              <w:rPr>
                <w:sz w:val="16"/>
              </w:rPr>
              <w:t xml:space="preserve"> </w:t>
            </w:r>
            <w:r>
              <w:rPr>
                <w:sz w:val="16"/>
              </w:rPr>
              <w:t>clean</w:t>
            </w:r>
            <w:r>
              <w:rPr>
                <w:sz w:val="16"/>
              </w:rPr>
              <w:t xml:space="preserve"> </w:t>
            </w:r>
            <w:r>
              <w:rPr>
                <w:sz w:val="16"/>
              </w:rPr>
              <w:t>&amp;</w:t>
            </w:r>
            <w:r>
              <w:rPr>
                <w:sz w:val="16"/>
              </w:rPr>
              <w:t xml:space="preserve"> </w:t>
            </w:r>
            <w:r>
              <w:rPr>
                <w:spacing w:val="-2"/>
                <w:sz w:val="16"/>
              </w:rPr>
              <w:t>straight</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A1">
            <w:pPr>
              <w:pStyle w:val="TableParagraph"/>
              <w:numPr>
                <w:ilvl w:val="0"/>
                <w:numId w:val="4"/>
              </w:numPr>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A2">
            <w:pPr>
              <w:pStyle w:val="TableParagraph"/>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A3">
            <w:pPr>
              <w:pStyle w:val="TableParagraph"/>
              <w:spacing w:before="56"/>
              <w:ind w:left="-4"/>
              <w:rPr>
                <w:sz w:val="16"/>
              </w:rPr>
            </w:pPr>
            <w:r>
              <w:rPr>
                <w:sz w:val="16"/>
              </w:rPr>
              <w:t>Mattress</w:t>
            </w:r>
            <w:r>
              <w:rPr>
                <w:sz w:val="16"/>
              </w:rPr>
              <w:t xml:space="preserve"> </w:t>
            </w:r>
            <w:r>
              <w:rPr>
                <w:sz w:val="16"/>
              </w:rPr>
              <w:t>pads</w:t>
            </w:r>
            <w:r>
              <w:rPr>
                <w:sz w:val="16"/>
              </w:rPr>
              <w:t xml:space="preserve"> </w:t>
            </w:r>
            <w:r>
              <w:rPr>
                <w:sz w:val="16"/>
              </w:rPr>
              <w:t>clean</w:t>
            </w:r>
            <w:r>
              <w:rPr>
                <w:sz w:val="16"/>
              </w:rPr>
              <w:t xml:space="preserve"> </w:t>
            </w:r>
            <w:r>
              <w:rPr>
                <w:sz w:val="16"/>
              </w:rPr>
              <w:t>&amp;</w:t>
            </w:r>
            <w:r>
              <w:rPr>
                <w:sz w:val="16"/>
              </w:rPr>
              <w:t xml:space="preserve"> </w:t>
            </w:r>
            <w:r>
              <w:rPr>
                <w:sz w:val="16"/>
              </w:rPr>
              <w:t>free</w:t>
            </w:r>
            <w:r>
              <w:rPr>
                <w:sz w:val="16"/>
              </w:rPr>
              <w:t xml:space="preserve"> </w:t>
            </w:r>
            <w:r>
              <w:rPr>
                <w:sz w:val="16"/>
              </w:rPr>
              <w:t>of</w:t>
            </w:r>
            <w:r>
              <w:rPr>
                <w:spacing w:val="-2"/>
                <w:sz w:val="16"/>
              </w:rPr>
              <w:t xml:space="preserve"> stains</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A4">
            <w:pPr>
              <w:pStyle w:val="TableParagraph"/>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A5">
            <w:pPr>
              <w:pStyle w:val="TableParagraph"/>
              <w:numPr>
                <w:ilvl w:val="0"/>
                <w:numId w:val="4"/>
              </w:numPr>
              <w:rPr>
                <w:sz w:val="16"/>
              </w:rPr>
            </w:pPr>
          </w:p>
        </w:tc>
      </w:tr>
      <w:tr>
        <w:trPr>
          <w:trHeight w:val="298"/>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A6">
            <w:pPr>
              <w:pStyle w:val="TableParagraph"/>
              <w:spacing w:before="56"/>
              <w:ind w:left="55"/>
              <w:rPr>
                <w:sz w:val="16"/>
              </w:rPr>
            </w:pPr>
            <w:r>
              <w:rPr>
                <w:sz w:val="16"/>
              </w:rPr>
              <w:t>Beds</w:t>
            </w:r>
            <w:r>
              <w:rPr>
                <w:sz w:val="16"/>
              </w:rPr>
              <w:t xml:space="preserve"> </w:t>
            </w:r>
            <w:r>
              <w:rPr>
                <w:sz w:val="16"/>
              </w:rPr>
              <w:t>correctly</w:t>
            </w:r>
            <w:r>
              <w:rPr>
                <w:sz w:val="16"/>
              </w:rPr>
              <w:t xml:space="preserve"> </w:t>
            </w:r>
            <w:r>
              <w:rPr>
                <w:spacing w:val="-4"/>
                <w:sz w:val="16"/>
              </w:rPr>
              <w:t>made</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A7">
            <w:pPr>
              <w:pStyle w:val="TableParagraph"/>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A8">
            <w:pPr>
              <w:pStyle w:val="TableParagraph"/>
              <w:numPr>
                <w:ilvl w:val="0"/>
                <w:numId w:val="4"/>
              </w:numPr>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A9">
            <w:pPr>
              <w:pStyle w:val="TableParagraph"/>
              <w:spacing w:before="56"/>
              <w:ind w:left="-4"/>
              <w:rPr>
                <w:sz w:val="16"/>
              </w:rPr>
            </w:pPr>
            <w:r>
              <w:rPr>
                <w:sz w:val="16"/>
              </w:rPr>
              <w:t>Light</w:t>
            </w:r>
            <w:r>
              <w:rPr>
                <w:sz w:val="16"/>
              </w:rPr>
              <w:t xml:space="preserve"> </w:t>
            </w:r>
            <w:r>
              <w:rPr>
                <w:sz w:val="16"/>
              </w:rPr>
              <w:t>bulbs</w:t>
            </w:r>
            <w:r>
              <w:rPr>
                <w:sz w:val="16"/>
              </w:rPr>
              <w:t xml:space="preserve"> </w:t>
            </w:r>
            <w:r>
              <w:rPr>
                <w:sz w:val="16"/>
              </w:rPr>
              <w:t>with</w:t>
            </w:r>
            <w:r>
              <w:rPr>
                <w:sz w:val="16"/>
              </w:rPr>
              <w:t xml:space="preserve"> </w:t>
            </w:r>
            <w:r>
              <w:rPr>
                <w:sz w:val="16"/>
              </w:rPr>
              <w:t>proper</w:t>
            </w:r>
            <w:r>
              <w:rPr>
                <w:sz w:val="16"/>
              </w:rPr>
              <w:t xml:space="preserve"> </w:t>
            </w:r>
            <w:r>
              <w:rPr>
                <w:spacing w:val="-2"/>
                <w:sz w:val="16"/>
              </w:rPr>
              <w:t>wattage</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AA">
            <w:pPr>
              <w:pStyle w:val="TableParagraph"/>
              <w:numPr>
                <w:ilvl w:val="0"/>
                <w:numId w:val="4"/>
              </w:numPr>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AB">
            <w:pPr>
              <w:pStyle w:val="TableParagraph"/>
              <w:rPr>
                <w:sz w:val="16"/>
              </w:rPr>
            </w:pPr>
          </w:p>
        </w:tc>
      </w:tr>
      <w:tr>
        <w:trPr>
          <w:trHeight w:val="297"/>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AC">
            <w:pPr>
              <w:pStyle w:val="TableParagraph"/>
              <w:spacing w:before="56"/>
              <w:ind w:left="55"/>
              <w:rPr>
                <w:sz w:val="16"/>
              </w:rPr>
            </w:pPr>
            <w:r>
              <w:rPr>
                <w:sz w:val="16"/>
              </w:rPr>
              <w:t>Bed</w:t>
            </w:r>
            <w:r>
              <w:rPr>
                <w:sz w:val="16"/>
              </w:rPr>
              <w:t xml:space="preserve"> </w:t>
            </w:r>
            <w:r>
              <w:rPr>
                <w:sz w:val="16"/>
              </w:rPr>
              <w:t>spreads</w:t>
            </w:r>
            <w:r>
              <w:rPr>
                <w:sz w:val="16"/>
              </w:rPr>
              <w:t xml:space="preserve"> </w:t>
            </w:r>
            <w:r>
              <w:rPr>
                <w:spacing w:val="-2"/>
                <w:sz w:val="16"/>
              </w:rPr>
              <w:t>straight</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AD">
            <w:pPr>
              <w:pStyle w:val="TableParagraph"/>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AE">
            <w:pPr>
              <w:pStyle w:val="TableParagraph"/>
              <w:numPr>
                <w:ilvl w:val="0"/>
                <w:numId w:val="4"/>
              </w:numPr>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AF">
            <w:pPr>
              <w:pStyle w:val="TableParagraph"/>
              <w:spacing w:before="56"/>
              <w:ind w:left="-4"/>
              <w:rPr>
                <w:sz w:val="16"/>
              </w:rPr>
            </w:pPr>
            <w:r>
              <w:rPr>
                <w:sz w:val="16"/>
              </w:rPr>
              <w:t>Minimum</w:t>
            </w:r>
            <w:r>
              <w:rPr>
                <w:sz w:val="16"/>
              </w:rPr>
              <w:t xml:space="preserve"> </w:t>
            </w:r>
            <w:r>
              <w:rPr>
                <w:sz w:val="16"/>
              </w:rPr>
              <w:t>of</w:t>
            </w:r>
            <w:r>
              <w:rPr>
                <w:sz w:val="16"/>
              </w:rPr>
              <w:t xml:space="preserve"> </w:t>
            </w:r>
            <w:r>
              <w:rPr>
                <w:sz w:val="16"/>
              </w:rPr>
              <w:t>6</w:t>
            </w:r>
            <w:r>
              <w:rPr>
                <w:sz w:val="16"/>
              </w:rPr>
              <w:t xml:space="preserve"> </w:t>
            </w:r>
            <w:r>
              <w:rPr>
                <w:sz w:val="16"/>
              </w:rPr>
              <w:t>hangers(3suit, 3</w:t>
            </w:r>
            <w:r>
              <w:rPr>
                <w:spacing w:val="-2"/>
                <w:sz w:val="16"/>
              </w:rPr>
              <w:t xml:space="preserve"> dress)</w:t>
            </w: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B0">
            <w:pPr>
              <w:pStyle w:val="TableParagraph"/>
              <w:numPr>
                <w:ilvl w:val="0"/>
                <w:numId w:val="4"/>
              </w:numPr>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B1">
            <w:pPr>
              <w:pStyle w:val="TableParagraph"/>
              <w:rPr>
                <w:sz w:val="16"/>
              </w:rPr>
            </w:pPr>
          </w:p>
        </w:tc>
      </w:tr>
      <w:tr>
        <w:trPr>
          <w:trHeight w:val="297"/>
        </w:trPr>
        <w:tc>
          <w:tcPr>
            <w:cnfStyle w:val="001000100000"/>
            <w:tcW w:w="4128" w:type="dxa"/>
            <w:gridSpan w:val="5"/>
            <w:tcBorders>
              <w:top w:val="single" w:color="7f7f7f" w:sz="8" w:space="0"/>
              <w:left w:val="single" w:color="000000" w:sz="4" w:space="0"/>
              <w:bottom w:val="single" w:color="7f7f7f" w:sz="8" w:space="0"/>
              <w:right w:val="single" w:color="7f7f7f" w:sz="8" w:space="0"/>
            </w:tcBorders>
          </w:tcPr>
          <w:p w14:paraId="000000B2">
            <w:pPr>
              <w:pStyle w:val="TableParagraph"/>
              <w:spacing w:before="56"/>
              <w:ind w:left="55"/>
              <w:rPr>
                <w:sz w:val="16"/>
              </w:rPr>
            </w:pPr>
            <w:r>
              <w:rPr>
                <w:sz w:val="16"/>
              </w:rPr>
              <w:t>Fluffed/Even</w:t>
            </w:r>
            <w:r>
              <w:rPr>
                <w:sz w:val="16"/>
              </w:rPr>
              <w:t xml:space="preserve"> </w:t>
            </w:r>
            <w:r>
              <w:rPr>
                <w:spacing w:val="-2"/>
                <w:sz w:val="16"/>
              </w:rPr>
              <w:t>pillows</w:t>
            </w:r>
          </w:p>
        </w:tc>
        <w:tc>
          <w:tcPr>
            <w:cnfStyle w:val="000010100000"/>
            <w:tcW w:w="565" w:type="dxa"/>
            <w:tcBorders>
              <w:top w:val="single" w:color="7f7f7f" w:sz="8" w:space="0"/>
              <w:left w:val="single" w:color="7f7f7f" w:sz="8" w:space="0"/>
              <w:bottom w:val="single" w:color="7f7f7f" w:sz="8" w:space="0"/>
              <w:right w:val="single" w:color="7f7f7f" w:sz="8" w:space="0"/>
            </w:tcBorders>
          </w:tcPr>
          <w:p w14:paraId="000000B3">
            <w:pPr>
              <w:pStyle w:val="TableParagraph"/>
              <w:rPr>
                <w:sz w:val="16"/>
              </w:rPr>
            </w:pPr>
          </w:p>
        </w:tc>
        <w:tc>
          <w:tcPr>
            <w:cnfStyle w:val="000001100000"/>
            <w:tcW w:w="630" w:type="dxa"/>
            <w:gridSpan w:val="2"/>
            <w:tcBorders>
              <w:top w:val="single" w:color="7f7f7f" w:sz="8" w:space="0"/>
              <w:left w:val="single" w:color="7f7f7f" w:sz="8" w:space="0"/>
              <w:bottom w:val="single" w:color="7f7f7f" w:sz="8" w:space="0"/>
              <w:right w:val="single" w:color="7f7f7f" w:sz="8" w:space="0"/>
            </w:tcBorders>
          </w:tcPr>
          <w:p w14:paraId="000000B4">
            <w:pPr>
              <w:pStyle w:val="TableParagraph"/>
              <w:numPr>
                <w:ilvl w:val="0"/>
                <w:numId w:val="4"/>
              </w:numPr>
              <w:rPr>
                <w:sz w:val="16"/>
              </w:rPr>
            </w:pPr>
          </w:p>
        </w:tc>
        <w:tc>
          <w:tcPr>
            <w:cnfStyle w:val="000010100000"/>
            <w:tcW w:w="2970" w:type="dxa"/>
            <w:gridSpan w:val="3"/>
            <w:tcBorders>
              <w:top w:val="single" w:color="7f7f7f" w:sz="8" w:space="0"/>
              <w:left w:val="single" w:color="7f7f7f" w:sz="8" w:space="0"/>
              <w:bottom w:val="single" w:color="7f7f7f" w:sz="8" w:space="0"/>
              <w:right w:val="single" w:color="7f7f7f" w:sz="8" w:space="0"/>
            </w:tcBorders>
          </w:tcPr>
          <w:p w14:paraId="000000B5">
            <w:pPr>
              <w:pStyle w:val="TableParagraph"/>
              <w:spacing w:before="56"/>
              <w:ind w:left="-4"/>
              <w:rPr>
                <w:sz w:val="16"/>
              </w:rPr>
            </w:pPr>
            <w:r>
              <w:rPr>
                <w:sz w:val="16"/>
              </w:rPr>
              <w:t>Drapes</w:t>
            </w:r>
            <w:r>
              <w:rPr>
                <w:sz w:val="16"/>
              </w:rPr>
              <w:t xml:space="preserve"> </w:t>
            </w:r>
            <w:r>
              <w:rPr>
                <w:sz w:val="16"/>
              </w:rPr>
              <w:t>partially</w:t>
            </w:r>
            <w:r>
              <w:rPr>
                <w:sz w:val="16"/>
              </w:rPr>
              <w:t xml:space="preserve"> </w:t>
            </w:r>
            <w:r>
              <w:rPr>
                <w:spacing w:val="-2"/>
                <w:sz w:val="16"/>
              </w:rPr>
              <w:t>closed</w:t>
            </w:r>
          </w:p>
        </w:tc>
        <w:tc>
          <w:tcPr>
            <w:cnfStyle w:val="000001100000"/>
            <w:tcW w:w="630" w:type="dxa"/>
            <w:tcBorders>
              <w:top w:val="single" w:color="7f7f7f" w:sz="8" w:space="0"/>
              <w:left w:val="single" w:color="7f7f7f" w:sz="8" w:space="0"/>
              <w:bottom w:val="single" w:color="7f7f7f" w:sz="8" w:space="0"/>
              <w:right w:val="single" w:color="7f7f7f" w:sz="8" w:space="0"/>
            </w:tcBorders>
          </w:tcPr>
          <w:p w14:paraId="000000B6">
            <w:pPr>
              <w:pStyle w:val="TableParagraph"/>
              <w:rPr>
                <w:sz w:val="16"/>
              </w:rPr>
            </w:pPr>
          </w:p>
        </w:tc>
        <w:tc>
          <w:tcPr>
            <w:cnfStyle w:val="000100100000"/>
            <w:tcW w:w="892" w:type="dxa"/>
            <w:gridSpan w:val="2"/>
            <w:tcBorders>
              <w:top w:val="single" w:color="7f7f7f" w:sz="8" w:space="0"/>
              <w:left w:val="single" w:color="7f7f7f" w:sz="8" w:space="0"/>
              <w:bottom w:val="single" w:color="7f7f7f" w:sz="8" w:space="0"/>
              <w:right w:val="single" w:color="000000" w:sz="4" w:space="0"/>
            </w:tcBorders>
          </w:tcPr>
          <w:p w14:paraId="000000B7">
            <w:pPr>
              <w:pStyle w:val="TableParagraph"/>
              <w:numPr>
                <w:ilvl w:val="0"/>
                <w:numId w:val="4"/>
              </w:numPr>
              <w:rPr>
                <w:sz w:val="16"/>
              </w:rPr>
            </w:pPr>
          </w:p>
        </w:tc>
      </w:tr>
      <w:tr>
        <w:trPr>
          <w:trHeight w:val="298"/>
        </w:trPr>
        <w:tc>
          <w:tcPr>
            <w:cnfStyle w:val="001000010000"/>
            <w:tcW w:w="4128" w:type="dxa"/>
            <w:gridSpan w:val="5"/>
            <w:tcBorders>
              <w:top w:val="single" w:color="7f7f7f" w:sz="8" w:space="0"/>
              <w:left w:val="single" w:color="000000" w:sz="4" w:space="0"/>
              <w:bottom w:val="single" w:color="7f7f7f" w:sz="8" w:space="0"/>
              <w:right w:val="single" w:color="7f7f7f" w:sz="8" w:space="0"/>
            </w:tcBorders>
          </w:tcPr>
          <w:p w14:paraId="000000B8">
            <w:pPr>
              <w:pStyle w:val="TableParagraph"/>
              <w:spacing w:before="56"/>
              <w:ind w:left="55"/>
              <w:rPr>
                <w:sz w:val="16"/>
              </w:rPr>
            </w:pPr>
            <w:r>
              <w:rPr>
                <w:sz w:val="16"/>
              </w:rPr>
              <w:t>Rate</w:t>
            </w:r>
            <w:r>
              <w:rPr>
                <w:sz w:val="16"/>
              </w:rPr>
              <w:t xml:space="preserve"> </w:t>
            </w:r>
            <w:r>
              <w:rPr>
                <w:sz w:val="16"/>
              </w:rPr>
              <w:t>cards</w:t>
            </w:r>
            <w:r>
              <w:rPr>
                <w:sz w:val="16"/>
              </w:rPr>
              <w:t xml:space="preserve"> </w:t>
            </w:r>
            <w:r>
              <w:rPr>
                <w:spacing w:val="-2"/>
                <w:sz w:val="16"/>
              </w:rPr>
              <w:t>posted</w:t>
            </w:r>
          </w:p>
        </w:tc>
        <w:tc>
          <w:tcPr>
            <w:cnfStyle w:val="000010010000"/>
            <w:tcW w:w="565" w:type="dxa"/>
            <w:tcBorders>
              <w:top w:val="single" w:color="7f7f7f" w:sz="8" w:space="0"/>
              <w:left w:val="single" w:color="7f7f7f" w:sz="8" w:space="0"/>
              <w:bottom w:val="single" w:color="7f7f7f" w:sz="8" w:space="0"/>
              <w:right w:val="single" w:color="7f7f7f" w:sz="8" w:space="0"/>
            </w:tcBorders>
          </w:tcPr>
          <w:p w14:paraId="000000B9">
            <w:pPr>
              <w:pStyle w:val="TableParagraph"/>
              <w:rPr>
                <w:sz w:val="16"/>
              </w:rPr>
            </w:pPr>
          </w:p>
        </w:tc>
        <w:tc>
          <w:tcPr>
            <w:cnfStyle w:val="000001010000"/>
            <w:tcW w:w="630" w:type="dxa"/>
            <w:gridSpan w:val="2"/>
            <w:tcBorders>
              <w:top w:val="single" w:color="7f7f7f" w:sz="8" w:space="0"/>
              <w:left w:val="single" w:color="7f7f7f" w:sz="8" w:space="0"/>
              <w:bottom w:val="single" w:color="7f7f7f" w:sz="8" w:space="0"/>
              <w:right w:val="single" w:color="7f7f7f" w:sz="8" w:space="0"/>
            </w:tcBorders>
          </w:tcPr>
          <w:p w14:paraId="000000BA">
            <w:pPr>
              <w:pStyle w:val="TableParagraph"/>
              <w:numPr>
                <w:ilvl w:val="0"/>
                <w:numId w:val="4"/>
              </w:numPr>
              <w:rPr>
                <w:sz w:val="16"/>
              </w:rPr>
            </w:pPr>
          </w:p>
        </w:tc>
        <w:tc>
          <w:tcPr>
            <w:cnfStyle w:val="000010010000"/>
            <w:tcW w:w="2970" w:type="dxa"/>
            <w:gridSpan w:val="3"/>
            <w:tcBorders>
              <w:top w:val="single" w:color="7f7f7f" w:sz="8" w:space="0"/>
              <w:left w:val="single" w:color="7f7f7f" w:sz="8" w:space="0"/>
              <w:bottom w:val="single" w:color="7f7f7f" w:sz="8" w:space="0"/>
              <w:right w:val="single" w:color="7f7f7f" w:sz="8" w:space="0"/>
            </w:tcBorders>
          </w:tcPr>
          <w:p w14:paraId="000000BB">
            <w:pPr>
              <w:pStyle w:val="TableParagraph"/>
              <w:rPr>
                <w:sz w:val="16"/>
              </w:rPr>
            </w:pPr>
          </w:p>
        </w:tc>
        <w:tc>
          <w:tcPr>
            <w:cnfStyle w:val="000001010000"/>
            <w:tcW w:w="630" w:type="dxa"/>
            <w:tcBorders>
              <w:top w:val="single" w:color="7f7f7f" w:sz="8" w:space="0"/>
              <w:left w:val="single" w:color="7f7f7f" w:sz="8" w:space="0"/>
              <w:bottom w:val="single" w:color="7f7f7f" w:sz="8" w:space="0"/>
              <w:right w:val="single" w:color="7f7f7f" w:sz="8" w:space="0"/>
            </w:tcBorders>
          </w:tcPr>
          <w:p w14:paraId="000000BC">
            <w:pPr>
              <w:pStyle w:val="TableParagraph"/>
              <w:rPr>
                <w:sz w:val="16"/>
              </w:rPr>
            </w:pPr>
          </w:p>
        </w:tc>
        <w:tc>
          <w:tcPr>
            <w:cnfStyle w:val="000100010000"/>
            <w:tcW w:w="892" w:type="dxa"/>
            <w:gridSpan w:val="2"/>
            <w:tcBorders>
              <w:top w:val="single" w:color="7f7f7f" w:sz="8" w:space="0"/>
              <w:left w:val="single" w:color="7f7f7f" w:sz="8" w:space="0"/>
              <w:bottom w:val="single" w:color="7f7f7f" w:sz="8" w:space="0"/>
              <w:right w:val="single" w:color="000000" w:sz="4" w:space="0"/>
            </w:tcBorders>
          </w:tcPr>
          <w:p w14:paraId="000000BD">
            <w:pPr>
              <w:pStyle w:val="TableParagraph"/>
              <w:rPr>
                <w:sz w:val="16"/>
              </w:rPr>
            </w:pPr>
          </w:p>
        </w:tc>
      </w:tr>
      <w:tr>
        <w:trPr>
          <w:trHeight w:val="297"/>
        </w:trPr>
        <w:tc>
          <w:tcPr>
            <w:cnfStyle w:val="001000100000"/>
            <w:tcW w:w="2254" w:type="dxa"/>
            <w:gridSpan w:val="2"/>
            <w:tcBorders>
              <w:top w:val="single" w:color="7f7f7f" w:sz="8" w:space="0"/>
              <w:left w:val="single" w:color="000000" w:sz="4" w:space="0"/>
              <w:bottom w:val="single" w:color="7f7f7f" w:sz="8" w:space="0"/>
            </w:tcBorders>
            <w:shd w:val="clear" w:color="auto" w:fill="dfdfdf"/>
          </w:tcPr>
          <w:p w14:paraId="000000BE">
            <w:pPr>
              <w:pStyle w:val="TableParagraph"/>
              <w:spacing w:before="56"/>
              <w:ind w:left="55"/>
              <w:rPr>
                <w:b/>
                <w:sz w:val="16"/>
              </w:rPr>
            </w:pPr>
            <w:r>
              <w:rPr>
                <w:b/>
                <w:spacing w:val="-4"/>
                <w:sz w:val="16"/>
              </w:rPr>
              <w:t>Item</w:t>
            </w:r>
          </w:p>
        </w:tc>
        <w:tc>
          <w:tcPr>
            <w:cnfStyle w:val="000010100000"/>
            <w:tcW w:w="369" w:type="dxa"/>
            <w:tcBorders>
              <w:top w:val="single" w:color="7f7f7f" w:sz="8" w:space="0"/>
              <w:bottom w:val="single" w:color="7f7f7f" w:sz="8" w:space="0"/>
            </w:tcBorders>
            <w:shd w:val="clear" w:color="auto" w:fill="dfdfdf"/>
          </w:tcPr>
          <w:p w14:paraId="000000BF">
            <w:pPr>
              <w:pStyle w:val="TableParagraph"/>
              <w:spacing w:before="56"/>
              <w:ind w:left="80"/>
              <w:rPr>
                <w:b/>
                <w:sz w:val="16"/>
              </w:rPr>
            </w:pPr>
            <w:r>
              <w:rPr>
                <w:b/>
                <w:spacing w:val="-5"/>
                <w:sz w:val="16"/>
              </w:rPr>
              <w:t>Yes</w:t>
            </w:r>
          </w:p>
        </w:tc>
        <w:tc>
          <w:tcPr>
            <w:cnfStyle w:val="000001100000"/>
            <w:tcW w:w="540" w:type="dxa"/>
            <w:tcBorders>
              <w:top w:val="single" w:color="7f7f7f" w:sz="8" w:space="0"/>
              <w:bottom w:val="single" w:color="7f7f7f" w:sz="8" w:space="0"/>
            </w:tcBorders>
            <w:shd w:val="clear" w:color="auto" w:fill="dfdfdf"/>
          </w:tcPr>
          <w:p w14:paraId="000000C0">
            <w:pPr>
              <w:pStyle w:val="TableParagraph"/>
              <w:spacing w:before="56"/>
              <w:ind w:left="97"/>
              <w:rPr>
                <w:b/>
                <w:sz w:val="16"/>
              </w:rPr>
            </w:pPr>
            <w:r>
              <w:rPr>
                <w:b/>
                <w:spacing w:val="-5"/>
                <w:sz w:val="16"/>
              </w:rPr>
              <w:t>No</w:t>
            </w:r>
          </w:p>
        </w:tc>
        <w:tc>
          <w:tcPr>
            <w:cnfStyle w:val="000010100000"/>
            <w:tcW w:w="2070" w:type="dxa"/>
            <w:gridSpan w:val="3"/>
            <w:tcBorders>
              <w:top w:val="single" w:color="7f7f7f" w:sz="8" w:space="0"/>
              <w:bottom w:val="single" w:color="7f7f7f" w:sz="8" w:space="0"/>
            </w:tcBorders>
            <w:shd w:val="clear" w:color="auto" w:fill="dfdfdf"/>
          </w:tcPr>
          <w:p w14:paraId="000000C1">
            <w:pPr>
              <w:pStyle w:val="TableParagraph"/>
              <w:spacing w:before="56"/>
              <w:ind w:left="36"/>
              <w:rPr>
                <w:b/>
                <w:sz w:val="16"/>
              </w:rPr>
            </w:pPr>
            <w:r>
              <w:rPr>
                <w:b/>
                <w:spacing w:val="-4"/>
                <w:sz w:val="16"/>
              </w:rPr>
              <w:t>Item</w:t>
            </w:r>
          </w:p>
        </w:tc>
        <w:tc>
          <w:tcPr>
            <w:cnfStyle w:val="000001100000"/>
            <w:tcW w:w="621" w:type="dxa"/>
            <w:gridSpan w:val="2"/>
            <w:tcBorders>
              <w:top w:val="single" w:color="7f7f7f" w:sz="8" w:space="0"/>
              <w:bottom w:val="single" w:color="7f7f7f" w:sz="8" w:space="0"/>
            </w:tcBorders>
            <w:shd w:val="clear" w:color="auto" w:fill="dfdfdf"/>
          </w:tcPr>
          <w:p w14:paraId="000000C2">
            <w:pPr>
              <w:pStyle w:val="TableParagraph"/>
              <w:spacing w:before="56"/>
              <w:ind w:left="130"/>
              <w:rPr>
                <w:b/>
                <w:sz w:val="16"/>
              </w:rPr>
            </w:pPr>
            <w:r>
              <w:rPr>
                <w:b/>
                <w:spacing w:val="-5"/>
                <w:sz w:val="16"/>
              </w:rPr>
              <w:t>Yes</w:t>
            </w:r>
          </w:p>
        </w:tc>
        <w:tc>
          <w:tcPr>
            <w:cnfStyle w:val="000010100000"/>
            <w:tcW w:w="639" w:type="dxa"/>
            <w:tcBorders>
              <w:top w:val="single" w:color="7f7f7f" w:sz="8" w:space="0"/>
              <w:bottom w:val="single" w:color="7f7f7f" w:sz="8" w:space="0"/>
            </w:tcBorders>
            <w:shd w:val="clear" w:color="auto" w:fill="dfdfdf"/>
          </w:tcPr>
          <w:p w14:paraId="000000C3">
            <w:pPr>
              <w:pStyle w:val="TableParagraph"/>
              <w:spacing w:before="56"/>
              <w:ind w:left="147"/>
              <w:rPr>
                <w:b/>
                <w:sz w:val="16"/>
              </w:rPr>
            </w:pPr>
            <w:r>
              <w:rPr>
                <w:b/>
                <w:spacing w:val="-5"/>
                <w:sz w:val="16"/>
              </w:rPr>
              <w:t>No</w:t>
            </w:r>
          </w:p>
        </w:tc>
        <w:tc>
          <w:tcPr>
            <w:cnfStyle w:val="000001100000"/>
            <w:tcW w:w="1800" w:type="dxa"/>
            <w:tcBorders>
              <w:top w:val="single" w:color="7f7f7f" w:sz="8" w:space="0"/>
              <w:bottom w:val="single" w:color="7f7f7f" w:sz="8" w:space="0"/>
            </w:tcBorders>
            <w:shd w:val="clear" w:color="auto" w:fill="dfdfdf"/>
          </w:tcPr>
          <w:p w14:paraId="000000C4">
            <w:pPr>
              <w:pStyle w:val="TableParagraph"/>
              <w:spacing w:before="56"/>
              <w:ind w:left="36"/>
              <w:rPr>
                <w:b/>
                <w:sz w:val="16"/>
              </w:rPr>
            </w:pPr>
            <w:r>
              <w:rPr>
                <w:b/>
                <w:spacing w:val="-4"/>
                <w:sz w:val="16"/>
              </w:rPr>
              <w:t>Item</w:t>
            </w:r>
          </w:p>
        </w:tc>
        <w:tc>
          <w:tcPr>
            <w:cnfStyle w:val="000010100000"/>
            <w:tcW w:w="630" w:type="dxa"/>
            <w:tcBorders>
              <w:top w:val="single" w:color="7f7f7f" w:sz="8" w:space="0"/>
              <w:bottom w:val="single" w:color="7f7f7f" w:sz="8" w:space="0"/>
            </w:tcBorders>
            <w:shd w:val="clear" w:color="auto" w:fill="dfdfdf"/>
          </w:tcPr>
          <w:p w14:paraId="000000C5">
            <w:pPr>
              <w:pStyle w:val="TableParagraph"/>
              <w:spacing w:before="56"/>
              <w:ind w:left="80"/>
              <w:rPr>
                <w:b/>
                <w:sz w:val="16"/>
              </w:rPr>
            </w:pPr>
            <w:r>
              <w:rPr>
                <w:b/>
                <w:spacing w:val="-5"/>
                <w:sz w:val="16"/>
              </w:rPr>
              <w:t>Yes</w:t>
            </w:r>
          </w:p>
        </w:tc>
        <w:tc>
          <w:tcPr>
            <w:cnfStyle w:val="000100100000"/>
            <w:tcW w:w="892" w:type="dxa"/>
            <w:gridSpan w:val="2"/>
            <w:tcBorders>
              <w:top w:val="single" w:color="7f7f7f" w:sz="8" w:space="0"/>
              <w:bottom w:val="single" w:color="7f7f7f" w:sz="8" w:space="0"/>
              <w:right w:val="single" w:color="000000" w:sz="4" w:space="0"/>
            </w:tcBorders>
            <w:shd w:val="clear" w:color="auto" w:fill="dfdfdf"/>
          </w:tcPr>
          <w:p w14:paraId="000000C6">
            <w:pPr>
              <w:pStyle w:val="TableParagraph"/>
              <w:spacing w:before="56"/>
              <w:ind w:left="108"/>
              <w:rPr>
                <w:b/>
                <w:sz w:val="16"/>
              </w:rPr>
            </w:pPr>
            <w:r>
              <w:rPr>
                <w:b/>
                <w:spacing w:val="-5"/>
                <w:sz w:val="16"/>
              </w:rPr>
              <w:t>No</w:t>
            </w:r>
          </w:p>
        </w:tc>
      </w:tr>
      <w:tr>
        <w:trPr>
          <w:trHeight w:val="298"/>
        </w:trPr>
        <w:tc>
          <w:tcPr>
            <w:cnfStyle w:val="001000010000"/>
            <w:tcW w:w="1993" w:type="dxa"/>
            <w:tcBorders>
              <w:top w:val="single" w:color="7f7f7f" w:sz="8" w:space="0"/>
              <w:left w:val="single" w:color="000000" w:sz="4" w:space="0"/>
              <w:bottom w:val="single" w:color="7f7f7f" w:sz="8" w:space="0"/>
            </w:tcBorders>
          </w:tcPr>
          <w:p w14:paraId="000000C7">
            <w:pPr>
              <w:pStyle w:val="TableParagraph"/>
              <w:spacing w:before="56"/>
              <w:ind w:left="55"/>
              <w:rPr>
                <w:sz w:val="16"/>
              </w:rPr>
            </w:pPr>
            <w:r>
              <w:rPr>
                <w:sz w:val="16"/>
              </w:rPr>
              <w:t>Desk</w:t>
            </w:r>
            <w:r>
              <w:rPr>
                <w:spacing w:val="-4"/>
                <w:sz w:val="16"/>
              </w:rPr>
              <w:t>tops</w:t>
            </w:r>
          </w:p>
        </w:tc>
        <w:tc>
          <w:tcPr>
            <w:cnfStyle w:val="000010010000"/>
            <w:tcW w:w="630" w:type="dxa"/>
            <w:gridSpan w:val="2"/>
            <w:tcBorders>
              <w:top w:val="single" w:color="7f7f7f" w:sz="8" w:space="0"/>
              <w:bottom w:val="single" w:color="7f7f7f" w:sz="8" w:space="0"/>
            </w:tcBorders>
          </w:tcPr>
          <w:p w14:paraId="000000C8">
            <w:pPr>
              <w:pStyle w:val="TableParagraph"/>
              <w:numPr>
                <w:ilvl w:val="0"/>
                <w:numId w:val="7"/>
              </w:numPr>
              <w:rPr>
                <w:sz w:val="16"/>
              </w:rPr>
            </w:pPr>
          </w:p>
        </w:tc>
        <w:tc>
          <w:tcPr>
            <w:cnfStyle w:val="000001010000"/>
            <w:tcW w:w="540" w:type="dxa"/>
            <w:tcBorders>
              <w:top w:val="single" w:color="7f7f7f" w:sz="8" w:space="0"/>
              <w:bottom w:val="single" w:color="7f7f7f" w:sz="8" w:space="0"/>
            </w:tcBorders>
          </w:tcPr>
          <w:p w14:paraId="000000C9">
            <w:pPr>
              <w:pStyle w:val="TableParagraph"/>
              <w:rPr>
                <w:sz w:val="16"/>
              </w:rPr>
            </w:pPr>
          </w:p>
        </w:tc>
        <w:tc>
          <w:tcPr>
            <w:cnfStyle w:val="000010010000"/>
            <w:tcW w:w="2070" w:type="dxa"/>
            <w:gridSpan w:val="3"/>
            <w:tcBorders>
              <w:top w:val="single" w:color="7f7f7f" w:sz="8" w:space="0"/>
              <w:bottom w:val="single" w:color="7f7f7f" w:sz="8" w:space="0"/>
            </w:tcBorders>
          </w:tcPr>
          <w:p w14:paraId="000000CA">
            <w:pPr>
              <w:pStyle w:val="TableParagraph"/>
              <w:spacing w:before="56"/>
              <w:ind w:left="35"/>
              <w:rPr>
                <w:sz w:val="16"/>
              </w:rPr>
            </w:pPr>
            <w:r>
              <w:rPr>
                <w:spacing w:val="-2"/>
                <w:sz w:val="16"/>
              </w:rPr>
              <w:t>Mirrors</w:t>
            </w:r>
          </w:p>
        </w:tc>
        <w:tc>
          <w:tcPr>
            <w:cnfStyle w:val="000001010000"/>
            <w:tcW w:w="621" w:type="dxa"/>
            <w:gridSpan w:val="2"/>
            <w:tcBorders>
              <w:top w:val="single" w:color="7f7f7f" w:sz="8" w:space="0"/>
              <w:bottom w:val="single" w:color="7f7f7f" w:sz="8" w:space="0"/>
            </w:tcBorders>
          </w:tcPr>
          <w:p w14:paraId="000000CB">
            <w:pPr>
              <w:pStyle w:val="TableParagraph"/>
              <w:numPr>
                <w:ilvl w:val="0"/>
                <w:numId w:val="7"/>
              </w:numPr>
              <w:rPr>
                <w:sz w:val="16"/>
              </w:rPr>
            </w:pPr>
          </w:p>
        </w:tc>
        <w:tc>
          <w:tcPr>
            <w:cnfStyle w:val="000010010000"/>
            <w:tcW w:w="639" w:type="dxa"/>
            <w:tcBorders>
              <w:top w:val="single" w:color="7f7f7f" w:sz="8" w:space="0"/>
              <w:bottom w:val="single" w:color="7f7f7f" w:sz="8" w:space="0"/>
            </w:tcBorders>
          </w:tcPr>
          <w:p w14:paraId="000000CC">
            <w:pPr>
              <w:pStyle w:val="TableParagraph"/>
              <w:rPr>
                <w:sz w:val="16"/>
              </w:rPr>
            </w:pPr>
          </w:p>
        </w:tc>
        <w:tc>
          <w:tcPr>
            <w:cnfStyle w:val="000001010000"/>
            <w:tcW w:w="1800" w:type="dxa"/>
            <w:tcBorders>
              <w:top w:val="single" w:color="7f7f7f" w:sz="8" w:space="0"/>
              <w:bottom w:val="single" w:color="7f7f7f" w:sz="8" w:space="0"/>
            </w:tcBorders>
          </w:tcPr>
          <w:p w14:paraId="000000CD">
            <w:pPr>
              <w:pStyle w:val="TableParagraph"/>
              <w:spacing w:before="56"/>
              <w:ind w:left="36"/>
              <w:rPr>
                <w:sz w:val="16"/>
              </w:rPr>
            </w:pPr>
            <w:r>
              <w:rPr>
                <w:sz w:val="16"/>
              </w:rPr>
              <w:t>Lamps&amp;</w:t>
            </w:r>
            <w:r>
              <w:rPr>
                <w:spacing w:val="-2"/>
                <w:sz w:val="16"/>
              </w:rPr>
              <w:t xml:space="preserve"> shades</w:t>
            </w:r>
          </w:p>
        </w:tc>
        <w:tc>
          <w:tcPr>
            <w:cnfStyle w:val="000010010000"/>
            <w:tcW w:w="630" w:type="dxa"/>
            <w:tcBorders>
              <w:top w:val="single" w:color="7f7f7f" w:sz="8" w:space="0"/>
              <w:bottom w:val="single" w:color="7f7f7f" w:sz="8" w:space="0"/>
            </w:tcBorders>
          </w:tcPr>
          <w:p w14:paraId="000000CE">
            <w:pPr>
              <w:pStyle w:val="TableParagraph"/>
              <w:numPr>
                <w:ilvl w:val="0"/>
                <w:numId w:val="4"/>
              </w:numPr>
              <w:rPr>
                <w:sz w:val="16"/>
              </w:rPr>
            </w:pPr>
          </w:p>
        </w:tc>
        <w:tc>
          <w:tcPr>
            <w:cnfStyle w:val="000100010000"/>
            <w:tcW w:w="892" w:type="dxa"/>
            <w:gridSpan w:val="2"/>
            <w:tcBorders>
              <w:top w:val="single" w:color="7f7f7f" w:sz="8" w:space="0"/>
              <w:bottom w:val="single" w:color="7f7f7f" w:sz="8" w:space="0"/>
              <w:right w:val="single" w:color="000000" w:sz="4" w:space="0"/>
            </w:tcBorders>
          </w:tcPr>
          <w:p w14:paraId="000000CF">
            <w:pPr>
              <w:pStyle w:val="TableParagraph"/>
              <w:rPr>
                <w:sz w:val="16"/>
              </w:rPr>
            </w:pPr>
          </w:p>
        </w:tc>
      </w:tr>
      <w:tr>
        <w:trPr>
          <w:trHeight w:val="297"/>
        </w:trPr>
        <w:tc>
          <w:tcPr>
            <w:cnfStyle w:val="001000100000"/>
            <w:tcW w:w="1993" w:type="dxa"/>
            <w:tcBorders>
              <w:top w:val="single" w:color="7f7f7f" w:sz="8" w:space="0"/>
              <w:left w:val="single" w:color="000000" w:sz="4" w:space="0"/>
              <w:bottom w:val="single" w:color="7f7f7f" w:sz="8" w:space="0"/>
            </w:tcBorders>
          </w:tcPr>
          <w:p w14:paraId="000000D0">
            <w:pPr>
              <w:pStyle w:val="TableParagraph"/>
              <w:spacing w:before="56"/>
              <w:ind w:left="55"/>
              <w:rPr>
                <w:sz w:val="16"/>
              </w:rPr>
            </w:pPr>
            <w:r>
              <w:rPr>
                <w:sz w:val="16"/>
              </w:rPr>
              <w:t>Dresser</w:t>
            </w:r>
            <w:r>
              <w:rPr>
                <w:sz w:val="16"/>
              </w:rPr>
              <w:t xml:space="preserve"> </w:t>
            </w:r>
            <w:r>
              <w:rPr>
                <w:spacing w:val="-4"/>
                <w:sz w:val="16"/>
              </w:rPr>
              <w:t>Tops</w:t>
            </w:r>
          </w:p>
        </w:tc>
        <w:tc>
          <w:tcPr>
            <w:cnfStyle w:val="000010100000"/>
            <w:tcW w:w="630" w:type="dxa"/>
            <w:gridSpan w:val="2"/>
            <w:tcBorders>
              <w:top w:val="single" w:color="7f7f7f" w:sz="8" w:space="0"/>
              <w:bottom w:val="single" w:color="7f7f7f" w:sz="8" w:space="0"/>
            </w:tcBorders>
          </w:tcPr>
          <w:p w14:paraId="000000D1">
            <w:pPr>
              <w:pStyle w:val="TableParagraph"/>
              <w:numPr>
                <w:ilvl w:val="0"/>
                <w:numId w:val="7"/>
              </w:numPr>
              <w:rPr>
                <w:sz w:val="16"/>
              </w:rPr>
            </w:pPr>
          </w:p>
        </w:tc>
        <w:tc>
          <w:tcPr>
            <w:cnfStyle w:val="000001100000"/>
            <w:tcW w:w="540" w:type="dxa"/>
            <w:tcBorders>
              <w:top w:val="single" w:color="7f7f7f" w:sz="8" w:space="0"/>
              <w:bottom w:val="single" w:color="7f7f7f" w:sz="8" w:space="0"/>
            </w:tcBorders>
          </w:tcPr>
          <w:p w14:paraId="000000D2">
            <w:pPr>
              <w:pStyle w:val="TableParagraph"/>
              <w:rPr>
                <w:sz w:val="16"/>
              </w:rPr>
            </w:pPr>
          </w:p>
        </w:tc>
        <w:tc>
          <w:tcPr>
            <w:cnfStyle w:val="000010100000"/>
            <w:tcW w:w="2070" w:type="dxa"/>
            <w:gridSpan w:val="3"/>
            <w:tcBorders>
              <w:top w:val="single" w:color="7f7f7f" w:sz="8" w:space="0"/>
              <w:bottom w:val="single" w:color="7f7f7f" w:sz="8" w:space="0"/>
            </w:tcBorders>
          </w:tcPr>
          <w:p w14:paraId="000000D3">
            <w:pPr>
              <w:pStyle w:val="TableParagraph"/>
              <w:spacing w:before="56"/>
              <w:ind w:left="35"/>
              <w:rPr>
                <w:sz w:val="16"/>
              </w:rPr>
            </w:pPr>
            <w:r>
              <w:rPr>
                <w:sz w:val="16"/>
              </w:rPr>
              <w:t>Rim</w:t>
            </w:r>
            <w:r>
              <w:rPr>
                <w:sz w:val="16"/>
              </w:rPr>
              <w:t xml:space="preserve"> </w:t>
            </w:r>
            <w:r>
              <w:rPr>
                <w:sz w:val="16"/>
              </w:rPr>
              <w:t>of</w:t>
            </w:r>
            <w:r>
              <w:rPr>
                <w:sz w:val="16"/>
              </w:rPr>
              <w:t xml:space="preserve"> </w:t>
            </w:r>
            <w:r>
              <w:rPr>
                <w:spacing w:val="-2"/>
                <w:sz w:val="16"/>
              </w:rPr>
              <w:t>baseboard</w:t>
            </w:r>
          </w:p>
        </w:tc>
        <w:tc>
          <w:tcPr>
            <w:cnfStyle w:val="000001100000"/>
            <w:tcW w:w="621" w:type="dxa"/>
            <w:gridSpan w:val="2"/>
            <w:tcBorders>
              <w:top w:val="single" w:color="7f7f7f" w:sz="8" w:space="0"/>
              <w:bottom w:val="single" w:color="7f7f7f" w:sz="8" w:space="0"/>
            </w:tcBorders>
          </w:tcPr>
          <w:p w14:paraId="000000D4">
            <w:pPr>
              <w:pStyle w:val="TableParagraph"/>
              <w:rPr>
                <w:sz w:val="16"/>
              </w:rPr>
            </w:pPr>
          </w:p>
        </w:tc>
        <w:tc>
          <w:tcPr>
            <w:cnfStyle w:val="000010100000"/>
            <w:tcW w:w="639" w:type="dxa"/>
            <w:tcBorders>
              <w:top w:val="single" w:color="7f7f7f" w:sz="8" w:space="0"/>
              <w:bottom w:val="single" w:color="7f7f7f" w:sz="8" w:space="0"/>
            </w:tcBorders>
          </w:tcPr>
          <w:p w14:paraId="000000D5">
            <w:pPr>
              <w:pStyle w:val="TableParagraph"/>
              <w:numPr>
                <w:ilvl w:val="0"/>
                <w:numId w:val="7"/>
              </w:numPr>
              <w:rPr>
                <w:sz w:val="16"/>
              </w:rPr>
            </w:pPr>
          </w:p>
        </w:tc>
        <w:tc>
          <w:tcPr>
            <w:cnfStyle w:val="000001100000"/>
            <w:tcW w:w="1800" w:type="dxa"/>
            <w:tcBorders>
              <w:top w:val="single" w:color="7f7f7f" w:sz="8" w:space="0"/>
              <w:bottom w:val="single" w:color="7f7f7f" w:sz="8" w:space="0"/>
            </w:tcBorders>
          </w:tcPr>
          <w:p w14:paraId="000000D6">
            <w:pPr>
              <w:pStyle w:val="TableParagraph"/>
              <w:spacing w:before="56"/>
              <w:ind w:left="36"/>
              <w:rPr>
                <w:sz w:val="16"/>
              </w:rPr>
            </w:pPr>
            <w:r>
              <w:rPr>
                <w:sz w:val="16"/>
              </w:rPr>
              <w:t>Light</w:t>
            </w:r>
            <w:r>
              <w:rPr>
                <w:sz w:val="16"/>
              </w:rPr>
              <w:t xml:space="preserve"> </w:t>
            </w:r>
            <w:r>
              <w:rPr>
                <w:spacing w:val="-2"/>
                <w:sz w:val="16"/>
              </w:rPr>
              <w:t>bulbs</w:t>
            </w:r>
          </w:p>
        </w:tc>
        <w:tc>
          <w:tcPr>
            <w:cnfStyle w:val="000010100000"/>
            <w:tcW w:w="630" w:type="dxa"/>
            <w:tcBorders>
              <w:top w:val="single" w:color="7f7f7f" w:sz="8" w:space="0"/>
              <w:bottom w:val="single" w:color="7f7f7f" w:sz="8" w:space="0"/>
            </w:tcBorders>
          </w:tcPr>
          <w:p w14:paraId="000000D7">
            <w:pPr>
              <w:pStyle w:val="TableParagraph"/>
              <w:numPr>
                <w:ilvl w:val="0"/>
                <w:numId w:val="4"/>
              </w:numPr>
              <w:rPr>
                <w:sz w:val="16"/>
              </w:rPr>
            </w:pPr>
          </w:p>
        </w:tc>
        <w:tc>
          <w:tcPr>
            <w:cnfStyle w:val="000100100000"/>
            <w:tcW w:w="892" w:type="dxa"/>
            <w:gridSpan w:val="2"/>
            <w:tcBorders>
              <w:top w:val="single" w:color="7f7f7f" w:sz="8" w:space="0"/>
              <w:bottom w:val="single" w:color="7f7f7f" w:sz="8" w:space="0"/>
              <w:right w:val="single" w:color="000000" w:sz="4" w:space="0"/>
            </w:tcBorders>
          </w:tcPr>
          <w:p w14:paraId="000000D8">
            <w:pPr>
              <w:pStyle w:val="TableParagraph"/>
              <w:rPr>
                <w:sz w:val="16"/>
              </w:rPr>
            </w:pPr>
          </w:p>
        </w:tc>
      </w:tr>
      <w:tr>
        <w:trPr>
          <w:trHeight w:val="297"/>
        </w:trPr>
        <w:tc>
          <w:tcPr>
            <w:cnfStyle w:val="001000010000"/>
            <w:tcW w:w="1993" w:type="dxa"/>
            <w:tcBorders>
              <w:top w:val="single" w:color="7f7f7f" w:sz="8" w:space="0"/>
              <w:left w:val="single" w:color="000000" w:sz="4" w:space="0"/>
              <w:bottom w:val="single" w:color="7f7f7f" w:sz="8" w:space="0"/>
            </w:tcBorders>
          </w:tcPr>
          <w:p w14:paraId="000000D9">
            <w:pPr>
              <w:pStyle w:val="TableParagraph"/>
              <w:spacing w:before="56"/>
              <w:ind w:left="55"/>
              <w:rPr>
                <w:sz w:val="16"/>
              </w:rPr>
            </w:pPr>
            <w:r>
              <w:rPr>
                <w:spacing w:val="-2"/>
                <w:sz w:val="16"/>
              </w:rPr>
              <w:t>Table</w:t>
            </w:r>
            <w:r>
              <w:rPr>
                <w:spacing w:val="-2"/>
                <w:sz w:val="16"/>
              </w:rPr>
              <w:t xml:space="preserve"> </w:t>
            </w:r>
            <w:r>
              <w:rPr>
                <w:spacing w:val="-4"/>
                <w:sz w:val="16"/>
              </w:rPr>
              <w:t>Tops</w:t>
            </w:r>
          </w:p>
        </w:tc>
        <w:tc>
          <w:tcPr>
            <w:cnfStyle w:val="000010010000"/>
            <w:tcW w:w="630" w:type="dxa"/>
            <w:gridSpan w:val="2"/>
            <w:tcBorders>
              <w:top w:val="single" w:color="7f7f7f" w:sz="8" w:space="0"/>
              <w:bottom w:val="single" w:color="7f7f7f" w:sz="8" w:space="0"/>
            </w:tcBorders>
          </w:tcPr>
          <w:p w14:paraId="000000DA">
            <w:pPr>
              <w:pStyle w:val="TableParagraph"/>
              <w:numPr>
                <w:ilvl w:val="0"/>
                <w:numId w:val="7"/>
              </w:numPr>
              <w:rPr>
                <w:sz w:val="16"/>
              </w:rPr>
            </w:pPr>
          </w:p>
        </w:tc>
        <w:tc>
          <w:tcPr>
            <w:cnfStyle w:val="000001010000"/>
            <w:tcW w:w="540" w:type="dxa"/>
            <w:tcBorders>
              <w:top w:val="single" w:color="7f7f7f" w:sz="8" w:space="0"/>
              <w:bottom w:val="single" w:color="7f7f7f" w:sz="8" w:space="0"/>
            </w:tcBorders>
          </w:tcPr>
          <w:p w14:paraId="000000DB">
            <w:pPr>
              <w:pStyle w:val="TableParagraph"/>
              <w:rPr>
                <w:sz w:val="16"/>
              </w:rPr>
            </w:pPr>
          </w:p>
        </w:tc>
        <w:tc>
          <w:tcPr>
            <w:cnfStyle w:val="000010010000"/>
            <w:tcW w:w="2070" w:type="dxa"/>
            <w:gridSpan w:val="3"/>
            <w:tcBorders>
              <w:top w:val="single" w:color="7f7f7f" w:sz="8" w:space="0"/>
              <w:bottom w:val="single" w:color="7f7f7f" w:sz="8" w:space="0"/>
            </w:tcBorders>
          </w:tcPr>
          <w:p w14:paraId="000000DC">
            <w:pPr>
              <w:pStyle w:val="TableParagraph"/>
              <w:spacing w:before="56"/>
              <w:ind w:left="35"/>
              <w:rPr>
                <w:sz w:val="16"/>
              </w:rPr>
            </w:pPr>
            <w:r>
              <w:rPr>
                <w:sz w:val="16"/>
              </w:rPr>
              <w:t>All</w:t>
            </w:r>
            <w:r>
              <w:rPr>
                <w:spacing w:val="-2"/>
                <w:sz w:val="16"/>
              </w:rPr>
              <w:t xml:space="preserve"> drawers</w:t>
            </w:r>
          </w:p>
        </w:tc>
        <w:tc>
          <w:tcPr>
            <w:cnfStyle w:val="000001010000"/>
            <w:tcW w:w="621" w:type="dxa"/>
            <w:gridSpan w:val="2"/>
            <w:tcBorders>
              <w:top w:val="single" w:color="7f7f7f" w:sz="8" w:space="0"/>
              <w:bottom w:val="single" w:color="7f7f7f" w:sz="8" w:space="0"/>
            </w:tcBorders>
          </w:tcPr>
          <w:p w14:paraId="000000DD">
            <w:pPr>
              <w:pStyle w:val="TableParagraph"/>
              <w:numPr>
                <w:ilvl w:val="0"/>
                <w:numId w:val="7"/>
              </w:numPr>
              <w:rPr>
                <w:sz w:val="16"/>
              </w:rPr>
            </w:pPr>
          </w:p>
        </w:tc>
        <w:tc>
          <w:tcPr>
            <w:cnfStyle w:val="000010010000"/>
            <w:tcW w:w="639" w:type="dxa"/>
            <w:tcBorders>
              <w:top w:val="single" w:color="7f7f7f" w:sz="8" w:space="0"/>
              <w:bottom w:val="single" w:color="7f7f7f" w:sz="8" w:space="0"/>
            </w:tcBorders>
          </w:tcPr>
          <w:p w14:paraId="000000DE">
            <w:pPr>
              <w:pStyle w:val="TableParagraph"/>
              <w:rPr>
                <w:sz w:val="16"/>
              </w:rPr>
            </w:pPr>
          </w:p>
        </w:tc>
        <w:tc>
          <w:tcPr>
            <w:cnfStyle w:val="000001010000"/>
            <w:tcW w:w="1800" w:type="dxa"/>
            <w:tcBorders>
              <w:top w:val="single" w:color="7f7f7f" w:sz="8" w:space="0"/>
              <w:bottom w:val="single" w:color="7f7f7f" w:sz="8" w:space="0"/>
            </w:tcBorders>
          </w:tcPr>
          <w:p w14:paraId="000000DF">
            <w:pPr>
              <w:pStyle w:val="TableParagraph"/>
              <w:spacing w:before="56"/>
              <w:ind w:left="36"/>
              <w:rPr>
                <w:sz w:val="16"/>
              </w:rPr>
            </w:pPr>
            <w:r>
              <w:rPr>
                <w:spacing w:val="-2"/>
                <w:sz w:val="16"/>
              </w:rPr>
              <w:t>Window cornice</w:t>
            </w:r>
          </w:p>
        </w:tc>
        <w:tc>
          <w:tcPr>
            <w:cnfStyle w:val="000010010000"/>
            <w:tcW w:w="630" w:type="dxa"/>
            <w:tcBorders>
              <w:top w:val="single" w:color="7f7f7f" w:sz="8" w:space="0"/>
              <w:bottom w:val="single" w:color="7f7f7f" w:sz="8" w:space="0"/>
            </w:tcBorders>
          </w:tcPr>
          <w:p w14:paraId="000000E0">
            <w:pPr>
              <w:pStyle w:val="TableParagraph"/>
              <w:numPr>
                <w:ilvl w:val="0"/>
                <w:numId w:val="4"/>
              </w:numPr>
              <w:rPr>
                <w:sz w:val="16"/>
              </w:rPr>
            </w:pPr>
          </w:p>
        </w:tc>
        <w:tc>
          <w:tcPr>
            <w:cnfStyle w:val="000100010000"/>
            <w:tcW w:w="892" w:type="dxa"/>
            <w:gridSpan w:val="2"/>
            <w:tcBorders>
              <w:top w:val="single" w:color="7f7f7f" w:sz="8" w:space="0"/>
              <w:bottom w:val="single" w:color="7f7f7f" w:sz="8" w:space="0"/>
              <w:right w:val="single" w:color="000000" w:sz="4" w:space="0"/>
            </w:tcBorders>
          </w:tcPr>
          <w:p w14:paraId="000000E1">
            <w:pPr>
              <w:pStyle w:val="TableParagraph"/>
              <w:rPr>
                <w:sz w:val="16"/>
              </w:rPr>
            </w:pPr>
          </w:p>
        </w:tc>
      </w:tr>
      <w:tr>
        <w:trPr>
          <w:trHeight w:val="298"/>
        </w:trPr>
        <w:tc>
          <w:tcPr>
            <w:cnfStyle w:val="001000100000"/>
            <w:tcW w:w="1993" w:type="dxa"/>
            <w:tcBorders>
              <w:top w:val="single" w:color="7f7f7f" w:sz="8" w:space="0"/>
              <w:left w:val="single" w:color="000000" w:sz="4" w:space="0"/>
              <w:bottom w:val="single" w:color="7f7f7f" w:sz="8" w:space="0"/>
            </w:tcBorders>
          </w:tcPr>
          <w:p w14:paraId="000000E2">
            <w:pPr>
              <w:pStyle w:val="TableParagraph"/>
              <w:spacing w:before="56"/>
              <w:ind w:left="55"/>
              <w:rPr>
                <w:sz w:val="16"/>
              </w:rPr>
            </w:pPr>
            <w:r>
              <w:rPr>
                <w:spacing w:val="-2"/>
                <w:sz w:val="16"/>
              </w:rPr>
              <w:t>Headboards</w:t>
            </w:r>
          </w:p>
        </w:tc>
        <w:tc>
          <w:tcPr>
            <w:cnfStyle w:val="000010100000"/>
            <w:tcW w:w="630" w:type="dxa"/>
            <w:gridSpan w:val="2"/>
            <w:tcBorders>
              <w:top w:val="single" w:color="7f7f7f" w:sz="8" w:space="0"/>
              <w:bottom w:val="single" w:color="7f7f7f" w:sz="8" w:space="0"/>
            </w:tcBorders>
          </w:tcPr>
          <w:p w14:paraId="000000E3">
            <w:pPr>
              <w:pStyle w:val="TableParagraph"/>
              <w:numPr>
                <w:ilvl w:val="0"/>
                <w:numId w:val="7"/>
              </w:numPr>
              <w:rPr>
                <w:sz w:val="16"/>
              </w:rPr>
            </w:pPr>
          </w:p>
        </w:tc>
        <w:tc>
          <w:tcPr>
            <w:cnfStyle w:val="000001100000"/>
            <w:tcW w:w="540" w:type="dxa"/>
            <w:tcBorders>
              <w:top w:val="single" w:color="7f7f7f" w:sz="8" w:space="0"/>
              <w:bottom w:val="single" w:color="7f7f7f" w:sz="8" w:space="0"/>
            </w:tcBorders>
          </w:tcPr>
          <w:p w14:paraId="000000E4">
            <w:pPr>
              <w:pStyle w:val="TableParagraph"/>
              <w:rPr>
                <w:sz w:val="16"/>
              </w:rPr>
            </w:pPr>
          </w:p>
        </w:tc>
        <w:tc>
          <w:tcPr>
            <w:cnfStyle w:val="000010100000"/>
            <w:tcW w:w="2070" w:type="dxa"/>
            <w:gridSpan w:val="3"/>
            <w:tcBorders>
              <w:top w:val="single" w:color="7f7f7f" w:sz="8" w:space="0"/>
              <w:bottom w:val="single" w:color="7f7f7f" w:sz="8" w:space="0"/>
            </w:tcBorders>
          </w:tcPr>
          <w:p w14:paraId="000000E5">
            <w:pPr>
              <w:pStyle w:val="TableParagraph"/>
              <w:spacing w:before="56"/>
              <w:ind w:left="35"/>
              <w:rPr>
                <w:sz w:val="16"/>
              </w:rPr>
            </w:pPr>
            <w:r>
              <w:rPr>
                <w:sz w:val="16"/>
              </w:rPr>
              <w:t>Closet</w:t>
            </w:r>
            <w:r>
              <w:rPr>
                <w:sz w:val="16"/>
              </w:rPr>
              <w:t xml:space="preserve"> </w:t>
            </w:r>
            <w:r>
              <w:rPr>
                <w:spacing w:val="-2"/>
                <w:sz w:val="16"/>
              </w:rPr>
              <w:t>shelves</w:t>
            </w:r>
          </w:p>
        </w:tc>
        <w:tc>
          <w:tcPr>
            <w:cnfStyle w:val="000001100000"/>
            <w:tcW w:w="621" w:type="dxa"/>
            <w:gridSpan w:val="2"/>
            <w:tcBorders>
              <w:top w:val="single" w:color="7f7f7f" w:sz="8" w:space="0"/>
              <w:bottom w:val="single" w:color="7f7f7f" w:sz="8" w:space="0"/>
            </w:tcBorders>
          </w:tcPr>
          <w:p w14:paraId="000000E6">
            <w:pPr>
              <w:pStyle w:val="TableParagraph"/>
              <w:rPr>
                <w:sz w:val="16"/>
              </w:rPr>
            </w:pPr>
          </w:p>
        </w:tc>
        <w:tc>
          <w:tcPr>
            <w:cnfStyle w:val="000010100000"/>
            <w:tcW w:w="639" w:type="dxa"/>
            <w:tcBorders>
              <w:top w:val="single" w:color="7f7f7f" w:sz="8" w:space="0"/>
              <w:bottom w:val="single" w:color="7f7f7f" w:sz="8" w:space="0"/>
            </w:tcBorders>
          </w:tcPr>
          <w:p w14:paraId="000000E7">
            <w:pPr>
              <w:pStyle w:val="TableParagraph"/>
              <w:numPr>
                <w:ilvl w:val="0"/>
                <w:numId w:val="7"/>
              </w:numPr>
              <w:rPr>
                <w:sz w:val="16"/>
              </w:rPr>
            </w:pPr>
          </w:p>
        </w:tc>
        <w:tc>
          <w:tcPr>
            <w:cnfStyle w:val="000001100000"/>
            <w:tcW w:w="1800" w:type="dxa"/>
            <w:tcBorders>
              <w:top w:val="single" w:color="7f7f7f" w:sz="8" w:space="0"/>
              <w:bottom w:val="single" w:color="7f7f7f" w:sz="8" w:space="0"/>
            </w:tcBorders>
          </w:tcPr>
          <w:p w14:paraId="000000E8">
            <w:pPr>
              <w:pStyle w:val="TableParagraph"/>
              <w:spacing w:before="56"/>
              <w:ind w:left="36"/>
              <w:rPr>
                <w:sz w:val="16"/>
              </w:rPr>
            </w:pPr>
            <w:r>
              <w:rPr>
                <w:spacing w:val="-2"/>
                <w:sz w:val="16"/>
              </w:rPr>
              <w:t>Window frame</w:t>
            </w:r>
          </w:p>
        </w:tc>
        <w:tc>
          <w:tcPr>
            <w:cnfStyle w:val="000010100000"/>
            <w:tcW w:w="630" w:type="dxa"/>
            <w:tcBorders>
              <w:top w:val="single" w:color="7f7f7f" w:sz="8" w:space="0"/>
              <w:bottom w:val="single" w:color="7f7f7f" w:sz="8" w:space="0"/>
            </w:tcBorders>
          </w:tcPr>
          <w:p w14:paraId="000000E9">
            <w:pPr>
              <w:pStyle w:val="TableParagraph"/>
              <w:numPr>
                <w:ilvl w:val="0"/>
                <w:numId w:val="4"/>
              </w:numPr>
              <w:rPr>
                <w:sz w:val="16"/>
              </w:rPr>
            </w:pPr>
          </w:p>
        </w:tc>
        <w:tc>
          <w:tcPr>
            <w:cnfStyle w:val="000100100000"/>
            <w:tcW w:w="892" w:type="dxa"/>
            <w:gridSpan w:val="2"/>
            <w:tcBorders>
              <w:top w:val="single" w:color="7f7f7f" w:sz="8" w:space="0"/>
              <w:bottom w:val="single" w:color="7f7f7f" w:sz="8" w:space="0"/>
              <w:right w:val="single" w:color="000000" w:sz="4" w:space="0"/>
            </w:tcBorders>
          </w:tcPr>
          <w:p w14:paraId="000000EA">
            <w:pPr>
              <w:pStyle w:val="TableParagraph"/>
              <w:rPr>
                <w:sz w:val="16"/>
              </w:rPr>
            </w:pPr>
          </w:p>
        </w:tc>
      </w:tr>
      <w:tr>
        <w:trPr>
          <w:trHeight w:val="297"/>
        </w:trPr>
        <w:tc>
          <w:tcPr>
            <w:cnfStyle w:val="001000010000"/>
            <w:tcW w:w="1993" w:type="dxa"/>
            <w:tcBorders>
              <w:top w:val="single" w:color="7f7f7f" w:sz="8" w:space="0"/>
              <w:left w:val="single" w:color="000000" w:sz="4" w:space="0"/>
              <w:bottom w:val="single" w:color="7f7f7f" w:sz="8" w:space="0"/>
            </w:tcBorders>
          </w:tcPr>
          <w:p w14:paraId="000000EB">
            <w:pPr>
              <w:pStyle w:val="TableParagraph"/>
              <w:spacing w:before="56"/>
              <w:ind w:left="55"/>
              <w:rPr>
                <w:sz w:val="16"/>
              </w:rPr>
            </w:pPr>
            <w:r>
              <w:rPr>
                <w:spacing w:val="-2"/>
                <w:sz w:val="16"/>
              </w:rPr>
              <w:t>Chairs</w:t>
            </w:r>
          </w:p>
        </w:tc>
        <w:tc>
          <w:tcPr>
            <w:cnfStyle w:val="000010010000"/>
            <w:tcW w:w="630" w:type="dxa"/>
            <w:gridSpan w:val="2"/>
            <w:tcBorders>
              <w:top w:val="single" w:color="7f7f7f" w:sz="8" w:space="0"/>
              <w:bottom w:val="single" w:color="7f7f7f" w:sz="8" w:space="0"/>
            </w:tcBorders>
          </w:tcPr>
          <w:p w14:paraId="000000EC">
            <w:pPr>
              <w:pStyle w:val="TableParagraph"/>
              <w:numPr>
                <w:ilvl w:val="0"/>
                <w:numId w:val="7"/>
              </w:numPr>
              <w:rPr>
                <w:sz w:val="16"/>
              </w:rPr>
            </w:pPr>
          </w:p>
        </w:tc>
        <w:tc>
          <w:tcPr>
            <w:cnfStyle w:val="000001010000"/>
            <w:tcW w:w="540" w:type="dxa"/>
            <w:tcBorders>
              <w:top w:val="single" w:color="7f7f7f" w:sz="8" w:space="0"/>
              <w:bottom w:val="single" w:color="7f7f7f" w:sz="8" w:space="0"/>
            </w:tcBorders>
          </w:tcPr>
          <w:p w14:paraId="000000ED">
            <w:pPr>
              <w:pStyle w:val="TableParagraph"/>
              <w:rPr>
                <w:sz w:val="16"/>
              </w:rPr>
            </w:pPr>
          </w:p>
        </w:tc>
        <w:tc>
          <w:tcPr>
            <w:cnfStyle w:val="000010010000"/>
            <w:tcW w:w="2070" w:type="dxa"/>
            <w:gridSpan w:val="3"/>
            <w:tcBorders>
              <w:top w:val="single" w:color="7f7f7f" w:sz="8" w:space="0"/>
              <w:bottom w:val="single" w:color="7f7f7f" w:sz="8" w:space="0"/>
            </w:tcBorders>
          </w:tcPr>
          <w:p w14:paraId="000000EE">
            <w:pPr>
              <w:pStyle w:val="TableParagraph"/>
              <w:spacing w:before="56"/>
              <w:ind w:left="35"/>
              <w:rPr>
                <w:sz w:val="16"/>
              </w:rPr>
            </w:pPr>
            <w:r>
              <w:rPr>
                <w:sz w:val="16"/>
              </w:rPr>
              <w:t>Closet</w:t>
            </w:r>
            <w:r>
              <w:rPr>
                <w:sz w:val="16"/>
              </w:rPr>
              <w:t xml:space="preserve"> </w:t>
            </w:r>
            <w:r>
              <w:rPr>
                <w:spacing w:val="-4"/>
                <w:sz w:val="16"/>
              </w:rPr>
              <w:t>rods</w:t>
            </w:r>
          </w:p>
        </w:tc>
        <w:tc>
          <w:tcPr>
            <w:cnfStyle w:val="000001010000"/>
            <w:tcW w:w="621" w:type="dxa"/>
            <w:gridSpan w:val="2"/>
            <w:tcBorders>
              <w:top w:val="single" w:color="7f7f7f" w:sz="8" w:space="0"/>
              <w:bottom w:val="single" w:color="7f7f7f" w:sz="8" w:space="0"/>
            </w:tcBorders>
          </w:tcPr>
          <w:p w14:paraId="000000EF">
            <w:pPr>
              <w:pStyle w:val="TableParagraph"/>
              <w:rPr>
                <w:sz w:val="16"/>
              </w:rPr>
            </w:pPr>
          </w:p>
        </w:tc>
        <w:tc>
          <w:tcPr>
            <w:cnfStyle w:val="000010010000"/>
            <w:tcW w:w="639" w:type="dxa"/>
            <w:tcBorders>
              <w:top w:val="single" w:color="7f7f7f" w:sz="8" w:space="0"/>
              <w:bottom w:val="single" w:color="7f7f7f" w:sz="8" w:space="0"/>
            </w:tcBorders>
          </w:tcPr>
          <w:p w14:paraId="000000F0">
            <w:pPr>
              <w:pStyle w:val="TableParagraph"/>
              <w:numPr>
                <w:ilvl w:val="0"/>
                <w:numId w:val="7"/>
              </w:numPr>
              <w:rPr>
                <w:sz w:val="16"/>
              </w:rPr>
            </w:pPr>
          </w:p>
        </w:tc>
        <w:tc>
          <w:tcPr>
            <w:cnfStyle w:val="000001010000"/>
            <w:tcW w:w="1800" w:type="dxa"/>
            <w:tcBorders>
              <w:top w:val="single" w:color="7f7f7f" w:sz="8" w:space="0"/>
              <w:bottom w:val="single" w:color="7f7f7f" w:sz="8" w:space="0"/>
            </w:tcBorders>
          </w:tcPr>
          <w:p w14:paraId="000000F1">
            <w:pPr>
              <w:pStyle w:val="TableParagraph"/>
              <w:spacing w:before="56"/>
              <w:ind w:left="36"/>
              <w:rPr>
                <w:sz w:val="16"/>
              </w:rPr>
            </w:pPr>
            <w:r>
              <w:rPr>
                <w:spacing w:val="-2"/>
                <w:sz w:val="16"/>
              </w:rPr>
              <w:t>Corners</w:t>
            </w:r>
          </w:p>
        </w:tc>
        <w:tc>
          <w:tcPr>
            <w:cnfStyle w:val="000010010000"/>
            <w:tcW w:w="630" w:type="dxa"/>
            <w:tcBorders>
              <w:top w:val="single" w:color="7f7f7f" w:sz="8" w:space="0"/>
              <w:bottom w:val="single" w:color="7f7f7f" w:sz="8" w:space="0"/>
            </w:tcBorders>
          </w:tcPr>
          <w:p w14:paraId="000000F2">
            <w:pPr>
              <w:pStyle w:val="TableParagraph"/>
              <w:numPr>
                <w:ilvl w:val="0"/>
                <w:numId w:val="4"/>
              </w:numPr>
              <w:rPr>
                <w:sz w:val="16"/>
              </w:rPr>
            </w:pPr>
          </w:p>
        </w:tc>
        <w:tc>
          <w:tcPr>
            <w:cnfStyle w:val="000100010000"/>
            <w:tcW w:w="892" w:type="dxa"/>
            <w:gridSpan w:val="2"/>
            <w:tcBorders>
              <w:top w:val="single" w:color="7f7f7f" w:sz="8" w:space="0"/>
              <w:bottom w:val="single" w:color="7f7f7f" w:sz="8" w:space="0"/>
              <w:right w:val="single" w:color="000000" w:sz="4" w:space="0"/>
            </w:tcBorders>
          </w:tcPr>
          <w:p w14:paraId="000000F3">
            <w:pPr>
              <w:pStyle w:val="TableParagraph"/>
              <w:rPr>
                <w:sz w:val="16"/>
              </w:rPr>
            </w:pPr>
          </w:p>
        </w:tc>
      </w:tr>
      <w:tr>
        <w:trPr>
          <w:trHeight w:val="298"/>
        </w:trPr>
        <w:tc>
          <w:tcPr>
            <w:cnfStyle w:val="011000000000"/>
            <w:tcW w:w="1993" w:type="dxa"/>
            <w:tcBorders>
              <w:top w:val="single" w:color="7f7f7f" w:sz="8" w:space="0"/>
              <w:left w:val="single" w:color="000000" w:sz="4" w:space="0"/>
              <w:bottom w:val="single" w:color="7f7f7f" w:sz="8" w:space="0"/>
            </w:tcBorders>
          </w:tcPr>
          <w:p w14:paraId="000000F4">
            <w:pPr>
              <w:pStyle w:val="TableParagraph"/>
              <w:spacing w:before="56"/>
              <w:ind w:left="55"/>
              <w:rPr>
                <w:sz w:val="16"/>
              </w:rPr>
            </w:pPr>
            <w:r>
              <w:rPr>
                <w:sz w:val="16"/>
              </w:rPr>
              <w:t>Picture</w:t>
            </w:r>
            <w:r>
              <w:rPr>
                <w:sz w:val="16"/>
              </w:rPr>
              <w:t xml:space="preserve"> </w:t>
            </w:r>
            <w:r>
              <w:rPr>
                <w:spacing w:val="-2"/>
                <w:sz w:val="16"/>
              </w:rPr>
              <w:t>Frames</w:t>
            </w:r>
          </w:p>
        </w:tc>
        <w:tc>
          <w:tcPr>
            <w:cnfStyle w:val="010010000000"/>
            <w:tcW w:w="630" w:type="dxa"/>
            <w:gridSpan w:val="2"/>
            <w:tcBorders>
              <w:top w:val="single" w:color="7f7f7f" w:sz="8" w:space="0"/>
              <w:bottom w:val="single" w:color="7f7f7f" w:sz="8" w:space="0"/>
            </w:tcBorders>
          </w:tcPr>
          <w:p w14:paraId="000000F5">
            <w:pPr>
              <w:pStyle w:val="TableParagraph"/>
              <w:numPr>
                <w:ilvl w:val="0"/>
                <w:numId w:val="7"/>
              </w:numPr>
              <w:rPr>
                <w:sz w:val="16"/>
              </w:rPr>
            </w:pPr>
          </w:p>
        </w:tc>
        <w:tc>
          <w:tcPr>
            <w:cnfStyle w:val="010001000000"/>
            <w:tcW w:w="540" w:type="dxa"/>
            <w:tcBorders>
              <w:top w:val="single" w:color="7f7f7f" w:sz="8" w:space="0"/>
              <w:bottom w:val="single" w:color="7f7f7f" w:sz="8" w:space="0"/>
            </w:tcBorders>
          </w:tcPr>
          <w:p w14:paraId="000000F6">
            <w:pPr>
              <w:pStyle w:val="TableParagraph"/>
              <w:rPr>
                <w:sz w:val="16"/>
              </w:rPr>
            </w:pPr>
          </w:p>
        </w:tc>
        <w:tc>
          <w:tcPr>
            <w:cnfStyle w:val="010010000000"/>
            <w:tcW w:w="2070" w:type="dxa"/>
            <w:gridSpan w:val="3"/>
            <w:tcBorders>
              <w:top w:val="single" w:color="7f7f7f" w:sz="8" w:space="0"/>
              <w:bottom w:val="single" w:color="7f7f7f" w:sz="8" w:space="0"/>
            </w:tcBorders>
          </w:tcPr>
          <w:p w14:paraId="000000F7">
            <w:pPr>
              <w:pStyle w:val="TableParagraph"/>
              <w:spacing w:before="56"/>
              <w:ind w:left="35"/>
              <w:rPr>
                <w:sz w:val="16"/>
              </w:rPr>
            </w:pPr>
            <w:r>
              <w:rPr>
                <w:spacing w:val="-2"/>
                <w:sz w:val="16"/>
              </w:rPr>
              <w:t>Telephone</w:t>
            </w:r>
          </w:p>
        </w:tc>
        <w:tc>
          <w:tcPr>
            <w:cnfStyle w:val="010001000000"/>
            <w:tcW w:w="621" w:type="dxa"/>
            <w:gridSpan w:val="2"/>
            <w:tcBorders>
              <w:top w:val="single" w:color="7f7f7f" w:sz="8" w:space="0"/>
              <w:bottom w:val="single" w:color="7f7f7f" w:sz="8" w:space="0"/>
            </w:tcBorders>
          </w:tcPr>
          <w:p w14:paraId="000000F8">
            <w:pPr>
              <w:pStyle w:val="TableParagraph"/>
              <w:numPr>
                <w:ilvl w:val="0"/>
                <w:numId w:val="7"/>
              </w:numPr>
              <w:rPr>
                <w:sz w:val="16"/>
              </w:rPr>
            </w:pPr>
          </w:p>
        </w:tc>
        <w:tc>
          <w:tcPr>
            <w:cnfStyle w:val="010010000000"/>
            <w:tcW w:w="639" w:type="dxa"/>
            <w:tcBorders>
              <w:top w:val="single" w:color="7f7f7f" w:sz="8" w:space="0"/>
              <w:bottom w:val="single" w:color="7f7f7f" w:sz="8" w:space="0"/>
            </w:tcBorders>
          </w:tcPr>
          <w:p w14:paraId="000000F9">
            <w:pPr>
              <w:pStyle w:val="TableParagraph"/>
              <w:rPr>
                <w:sz w:val="16"/>
              </w:rPr>
            </w:pPr>
          </w:p>
        </w:tc>
        <w:tc>
          <w:tcPr>
            <w:cnfStyle w:val="010001000000"/>
            <w:tcW w:w="1800" w:type="dxa"/>
            <w:tcBorders>
              <w:top w:val="single" w:color="7f7f7f" w:sz="8" w:space="0"/>
              <w:bottom w:val="single" w:color="7f7f7f" w:sz="8" w:space="0"/>
            </w:tcBorders>
          </w:tcPr>
          <w:p w14:paraId="000000FA">
            <w:pPr>
              <w:pStyle w:val="TableParagraph"/>
              <w:spacing w:before="56"/>
              <w:ind w:left="36"/>
              <w:rPr>
                <w:sz w:val="16"/>
              </w:rPr>
            </w:pPr>
            <w:r>
              <w:rPr>
                <w:spacing w:val="-2"/>
                <w:sz w:val="16"/>
              </w:rPr>
              <w:t>Window sills</w:t>
            </w:r>
          </w:p>
        </w:tc>
        <w:tc>
          <w:tcPr>
            <w:cnfStyle w:val="010010000000"/>
            <w:tcW w:w="630" w:type="dxa"/>
            <w:tcBorders>
              <w:top w:val="single" w:color="7f7f7f" w:sz="8" w:space="0"/>
              <w:bottom w:val="single" w:color="7f7f7f" w:sz="8" w:space="0"/>
            </w:tcBorders>
          </w:tcPr>
          <w:p w14:paraId="000000FB">
            <w:pPr>
              <w:pStyle w:val="TableParagraph"/>
              <w:numPr>
                <w:ilvl w:val="0"/>
                <w:numId w:val="4"/>
              </w:numPr>
              <w:rPr>
                <w:sz w:val="16"/>
              </w:rPr>
            </w:pPr>
          </w:p>
        </w:tc>
        <w:tc>
          <w:tcPr>
            <w:cnfStyle w:val="010100000000"/>
            <w:tcW w:w="892" w:type="dxa"/>
            <w:gridSpan w:val="2"/>
            <w:tcBorders>
              <w:top w:val="single" w:color="7f7f7f" w:sz="8" w:space="0"/>
              <w:bottom w:val="single" w:color="7f7f7f" w:sz="8" w:space="0"/>
              <w:right w:val="single" w:color="000000" w:sz="4" w:space="0"/>
            </w:tcBorders>
          </w:tcPr>
          <w:p w14:paraId="000000FC">
            <w:pPr>
              <w:pStyle w:val="TableParagraph"/>
              <w:rPr>
                <w:sz w:val="16"/>
              </w:rPr>
            </w:pPr>
          </w:p>
        </w:tc>
      </w:tr>
    </w:tbl>
    <w:p w14:paraId="000000FD">
      <w:pPr>
        <w:rPr>
          <w:b/>
          <w:bCs/>
        </w:rPr>
        <w:sectPr>
          <w:pgSz w:w="16838" w:h="11906" w:orient="landscape"/>
          <w:pgMar w:top="1440" w:right="1077" w:bottom="1440" w:left="1077" w:header="709" w:footer="709" w:gutter="0"/>
          <w:cols w:space="708"/>
        </w:sect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9230"/>
      </w:tblGrid>
      <w:tr>
        <w:trPr>
          <w:trHeight w:val="470"/>
          <w:jc w:val="center"/>
        </w:trPr>
        <w:tc>
          <w:tcPr>
            <w:cnfStyle w:val="101000000000"/>
            <w:tcW w:w="9016" w:type="dxa"/>
            <w:tcBorders>
              <w:top w:val="single" w:color="auto" w:sz="4" w:space="0"/>
              <w:left w:val="single" w:color="auto" w:sz="4" w:space="0"/>
              <w:bottom w:val="single" w:color="auto" w:sz="4" w:space="0"/>
              <w:right w:val="single" w:color="auto" w:sz="4" w:space="0"/>
            </w:tcBorders>
            <w:shd w:val="clear" w:color="auto" w:fill="auto"/>
            <w:vAlign w:val="center"/>
          </w:tcPr>
          <w:p w14:paraId="000000FE">
            <w:pPr>
              <w:spacing w:line="360" w:lineRule="auto"/>
              <w:jc w:val="both"/>
              <w:rPr>
                <w:rFonts w:asciiTheme="minorBidi" w:hAnsiTheme="minorBidi"/>
                <w:b/>
                <w:bCs/>
                <w:szCs w:val="24"/>
              </w:rPr>
            </w:pPr>
            <w:r>
              <w:rPr>
                <w:rFonts w:asciiTheme="minorBidi" w:hAnsiTheme="minorBidi"/>
                <w:b/>
                <w:bCs/>
                <w:szCs w:val="24"/>
              </w:rPr>
              <w:t xml:space="preserve">Based on your completed checklist you will need to write 500 words in essay format discussing the following: </w:t>
            </w:r>
          </w:p>
          <w:p w14:paraId="000000FF">
            <w:pPr>
              <w:pStyle w:val="ListParagraph"/>
              <w:widowControl w:val="on"/>
              <w:numPr>
                <w:ilvl w:val="0"/>
                <w:numId w:val="3"/>
              </w:numPr>
              <w:spacing w:after="160" w:line="360" w:lineRule="auto"/>
              <w:contextualSpacing w:val="on"/>
              <w:jc w:val="both"/>
              <w:rPr>
                <w:rFonts w:asciiTheme="minorBidi" w:hAnsiTheme="minorBidi"/>
                <w:sz w:val="24"/>
                <w:szCs w:val="24"/>
              </w:rPr>
            </w:pPr>
            <w:r>
              <w:rPr>
                <w:rFonts w:asciiTheme="minorBidi" w:hAnsiTheme="minorBidi"/>
                <w:sz w:val="24"/>
                <w:szCs w:val="24"/>
              </w:rPr>
              <w:t xml:space="preserve">How will you ensure that the rooms are cleaned to brand standards? </w:t>
            </w:r>
          </w:p>
          <w:p w14:paraId="00000100">
            <w:pPr>
              <w:pStyle w:val="ListParagraph"/>
              <w:widowControl w:val="on"/>
              <w:numPr>
                <w:ilvl w:val="0"/>
                <w:numId w:val="3"/>
              </w:numPr>
              <w:spacing w:after="160" w:line="360" w:lineRule="auto"/>
              <w:contextualSpacing w:val="on"/>
              <w:jc w:val="both"/>
              <w:rPr>
                <w:rFonts w:asciiTheme="minorBidi" w:hAnsiTheme="minorBidi"/>
                <w:sz w:val="24"/>
                <w:szCs w:val="24"/>
              </w:rPr>
            </w:pPr>
            <w:r>
              <w:rPr>
                <w:rFonts w:asciiTheme="minorBidi" w:hAnsiTheme="minorBidi"/>
                <w:sz w:val="24"/>
                <w:szCs w:val="24"/>
              </w:rPr>
              <w:t xml:space="preserve">What measures would you introduce to improve team effectiveness? </w:t>
            </w:r>
          </w:p>
          <w:p w14:paraId="00000101">
            <w:pPr>
              <w:pStyle w:val="ListParagraph"/>
              <w:widowControl w:val="on"/>
              <w:numPr>
                <w:ilvl w:val="0"/>
                <w:numId w:val="3"/>
              </w:numPr>
              <w:spacing w:after="160" w:line="360" w:lineRule="auto"/>
              <w:contextualSpacing w:val="on"/>
              <w:jc w:val="both"/>
              <w:rPr>
                <w:rFonts w:asciiTheme="minorBidi" w:hAnsiTheme="minorBidi"/>
                <w:sz w:val="24"/>
                <w:szCs w:val="24"/>
              </w:rPr>
            </w:pPr>
            <w:r>
              <w:rPr>
                <w:rFonts w:asciiTheme="minorBidi" w:hAnsiTheme="minorBidi"/>
                <w:sz w:val="24"/>
                <w:szCs w:val="24"/>
              </w:rPr>
              <w:t xml:space="preserve">Why would you consider your check list to be the most effective? </w:t>
            </w:r>
          </w:p>
          <w:p w14:paraId="00000102">
            <w:pPr>
              <w:pStyle w:val="Normal"/>
              <w:rPr>
                <w:rFonts w:ascii="Arial" w:cs="Arial" w:eastAsia="Arial" w:hAnsi="Arial"/>
                <w:lang w:val="en-GB"/>
              </w:rPr>
            </w:pPr>
            <w:r>
              <w:rPr>
                <w:rFonts w:ascii="Arial" w:cs="Arial" w:eastAsia="Arial" w:hAnsi="Arial"/>
                <w:lang w:val="en-GB"/>
              </w:rPr>
              <w:t xml:space="preserve">Maintaining brand standards during cleaning rooms according to the checklist is essential as it can impact the brand image of the hotel. The housekeeping services are known to be accountable for ensuring cleanliness, decor, and maintenance of the entire hotel (Bhatnagar and Nim, 2019, p.47). I would prefer to cross-check each activity mentioned in the checklist whether they have been met or not to ensure that the rooms are cleaned properly. It would allow me to understand the shortcomings present in the housekeeping process for the guest rooms. Regular surveys of rooms according to the checklists and hotel standards would help in this activity. Therefore, a better housekeeping strategy could be employed in this context. Incorporation of an effective team in this process is also necessary which I believe will secure better cleaning standards. </w:t>
            </w:r>
          </w:p>
          <w:p w14:paraId="00000103">
            <w:pPr>
              <w:pStyle w:val="Normal"/>
              <w:rPr>
                <w:rFonts w:ascii="Arial" w:cs="Arial" w:eastAsia="Arial" w:hAnsi="Arial"/>
                <w:lang w:val="en-GB"/>
              </w:rPr>
            </w:pPr>
            <w:r>
              <w:rPr>
                <w:rFonts w:ascii="Arial" w:cs="Arial" w:eastAsia="Arial" w:hAnsi="Arial"/>
                <w:lang w:val="en-GB"/>
              </w:rPr>
              <w:t xml:space="preserve">Team effectiveness in housekeeping services is vital since the performance outcome determines successful housekeeping and maintenance. Andrade </w:t>
            </w:r>
            <w:r>
              <w:rPr>
                <w:rFonts w:ascii="Arial" w:cs="Arial" w:eastAsia="Arial" w:hAnsi="Arial"/>
                <w:i/>
                <w:lang w:val="en-GB"/>
              </w:rPr>
              <w:t xml:space="preserve">et al. </w:t>
            </w:r>
            <w:r>
              <w:rPr>
                <w:rFonts w:ascii="Arial" w:cs="Arial" w:eastAsia="Arial" w:hAnsi="Arial"/>
                <w:lang w:val="en-GB"/>
              </w:rPr>
              <w:t xml:space="preserve">(2021, p.92) pointed out that housekeeper autonomy is important for organisational commitments that result in better productivity and reduced turnover rate. Considering this aspect, I would try to introduce further training opportunities to team members regarding housekeeping. This would help them improve their capabilities. Furthermore, I would engage them in team operations to measure their communication and collaboration skills. This may provide me with an insight into the skills shortage based on which further training sessions can be arranged. According to the opinion of Hossain </w:t>
            </w:r>
            <w:r>
              <w:rPr>
                <w:rFonts w:ascii="Arial" w:cs="Arial" w:eastAsia="Arial" w:hAnsi="Arial"/>
                <w:i/>
                <w:lang w:val="en-GB"/>
              </w:rPr>
              <w:t xml:space="preserve">et al. </w:t>
            </w:r>
            <w:r>
              <w:rPr>
                <w:rFonts w:ascii="Arial" w:cs="Arial" w:eastAsia="Arial" w:hAnsi="Arial"/>
                <w:lang w:val="en-GB"/>
              </w:rPr>
              <w:t xml:space="preserve">(2022, p.5), team culture is crucial for improving strategic flexibility in intrinsic work resulting in a new level of productivity. Offering intrinsic motivation factors such as performance recognition, personal and professional growth opportunities and others would be beneficial in this context. Thus, it may become an effective measurement for team operations.     </w:t>
            </w:r>
          </w:p>
          <w:p w14:paraId="00000104">
            <w:pPr>
              <w:pStyle w:val="Normal"/>
              <w:rPr>
                <w:rFonts w:ascii="Arial" w:cs="Arial" w:eastAsia="Arial" w:hAnsi="Arial"/>
                <w:lang w:val="en-GB"/>
              </w:rPr>
            </w:pPr>
            <w:r>
              <w:rPr>
                <w:rFonts w:ascii="Arial" w:cs="Arial" w:eastAsia="Arial" w:hAnsi="Arial"/>
                <w:lang w:val="en-GB"/>
              </w:rPr>
              <w:t>The checklist is the most effective because of its components that can help housekeeping employees understand work responsibilities as a part of the housekeeping team</w:t>
            </w:r>
            <w:r>
              <w:rPr>
                <w:rFonts w:ascii="Arial" w:cs="Arial" w:eastAsia="Arial" w:hAnsi="Arial"/>
                <w:lang w:val="en-GB"/>
              </w:rPr>
              <w:t xml:space="preserve"> at </w:t>
            </w:r>
            <w:r>
              <w:rPr>
                <w:rFonts w:ascii="Arial" w:cs="Arial" w:eastAsia="Arial" w:hAnsi="Arial"/>
              </w:rPr>
              <w:t>Premier Inn Northwich South</w:t>
            </w:r>
            <w:r>
              <w:rPr>
                <w:rFonts w:ascii="Arial" w:cs="Arial" w:eastAsia="Arial" w:hAnsi="Arial"/>
                <w:lang w:val="en-GB"/>
              </w:rPr>
              <w:t xml:space="preserve">. As per Rohaeni </w:t>
            </w:r>
            <w:r>
              <w:rPr>
                <w:rFonts w:ascii="Arial" w:cs="Arial" w:eastAsia="Arial" w:hAnsi="Arial"/>
                <w:i/>
                <w:lang w:val="en-GB"/>
              </w:rPr>
              <w:t xml:space="preserve">et al. </w:t>
            </w:r>
            <w:r>
              <w:rPr>
                <w:rFonts w:ascii="Arial" w:cs="Arial" w:eastAsia="Arial" w:hAnsi="Arial"/>
                <w:lang w:val="en-GB"/>
              </w:rPr>
              <w:t xml:space="preserve">(2021, p.265), checklists are often prepared for assessing performance to determine the competencies of members. It is also important to determine whether further training is needed or not. Since the development of team effectiveness is vital for ensuring the quality of housekeeping, preparing an effective team with competent team members is essential. The use of training hotel staff is contemplated to be an important aspect that can lead to an improved hotel future. Based on the opinion of Akbar (2021, p.65), housekeeping services are known to play a direct role in serving guests to determine the hotel's image. Therefore, the implication of the checklist in this scenario can be beneficial for me to identify critical activities in hotel maintenance as well as enhance the brand reputation of the respective hotel.  </w:t>
            </w:r>
          </w:p>
          <w:p w14:paraId="00000105">
            <w:pPr>
              <w:pStyle w:val="Normal"/>
              <w:rPr>
                <w:rFonts w:ascii="Arial" w:cs="Arial" w:eastAsia="Arial" w:hAnsi="Arial"/>
                <w:lang w:val="en-GB"/>
              </w:rPr>
            </w:pPr>
            <w:r>
              <w:rPr>
                <w:rFonts w:ascii="Arial" w:cs="Arial" w:eastAsia="Arial" w:hAnsi="Arial"/>
                <w:lang w:val="en-GB"/>
              </w:rPr>
              <w:t xml:space="preserve">Addressing this perception may become advantageous for me to ensure proper housekeeping services. I believe it would assist in identifying potential competencies of team members as well as support the performance requirements of a housekeeping team within the hotel which would determine organisational capability of the hotel as well. </w:t>
            </w:r>
          </w:p>
          <w:p w14:paraId="00000106">
            <w:pPr>
              <w:spacing w:after="0" w:line="240" w:lineRule="auto"/>
              <w:rPr>
                <w:rFonts w:ascii="Arial" w:cs="Times New Roman" w:eastAsia="Times New Roman" w:hAnsi="Arial"/>
                <w:bCs/>
                <w:color w:val="auto"/>
                <w:sz w:val="20"/>
                <w:szCs w:val="20"/>
                <w:lang w:val="en-US"/>
              </w:rPr>
            </w:pPr>
          </w:p>
          <w:p w14:paraId="00000107">
            <w:pPr>
              <w:spacing w:after="0" w:line="240" w:lineRule="auto"/>
              <w:rPr>
                <w:rFonts w:ascii="Arial" w:cs="Times New Roman" w:eastAsia="Times New Roman" w:hAnsi="Arial"/>
                <w:bCs/>
                <w:color w:val="auto"/>
                <w:sz w:val="20"/>
                <w:szCs w:val="20"/>
              </w:rPr>
            </w:pPr>
          </w:p>
          <w:p w14:paraId="00000108">
            <w:pPr>
              <w:spacing w:after="0" w:line="240" w:lineRule="auto"/>
              <w:jc w:val="center"/>
              <w:rPr>
                <w:rFonts w:ascii="Arial" w:cs="Times New Roman" w:eastAsia="Times New Roman" w:hAnsi="Arial"/>
                <w:bCs/>
                <w:color w:val="auto"/>
                <w:sz w:val="20"/>
                <w:szCs w:val="20"/>
              </w:rPr>
            </w:pPr>
          </w:p>
          <w:p w14:paraId="00000109">
            <w:pPr>
              <w:spacing w:after="0" w:line="240" w:lineRule="auto"/>
              <w:jc w:val="center"/>
              <w:rPr>
                <w:rFonts w:ascii="Arial" w:cs="Times New Roman" w:eastAsia="Times New Roman" w:hAnsi="Arial"/>
                <w:bCs/>
                <w:color w:val="auto"/>
                <w:sz w:val="20"/>
                <w:szCs w:val="20"/>
              </w:rPr>
            </w:pPr>
          </w:p>
          <w:p w14:paraId="0000010A">
            <w:pPr>
              <w:spacing w:after="0" w:line="240" w:lineRule="auto"/>
              <w:jc w:val="center"/>
              <w:rPr>
                <w:rFonts w:ascii="Arial" w:cs="Times New Roman" w:eastAsia="Times New Roman" w:hAnsi="Arial"/>
                <w:bCs/>
                <w:color w:val="auto"/>
                <w:sz w:val="20"/>
                <w:szCs w:val="20"/>
              </w:rPr>
            </w:pPr>
          </w:p>
          <w:p w14:paraId="0000010B">
            <w:pPr>
              <w:spacing w:after="0" w:line="240" w:lineRule="auto"/>
              <w:rPr>
                <w:rFonts w:ascii="Arial" w:cs="Times New Roman" w:eastAsia="Times New Roman" w:hAnsi="Arial"/>
                <w:bCs/>
                <w:color w:val="auto"/>
                <w:sz w:val="20"/>
                <w:szCs w:val="20"/>
              </w:rPr>
            </w:pPr>
          </w:p>
          <w:p w14:paraId="0000010C">
            <w:pPr>
              <w:spacing w:after="0" w:line="240" w:lineRule="auto"/>
              <w:rPr>
                <w:rFonts w:ascii="Arial" w:cs="Times New Roman" w:eastAsia="Times New Roman" w:hAnsi="Arial"/>
                <w:b/>
                <w:bCs/>
                <w:color w:val="auto"/>
                <w:sz w:val="20"/>
                <w:szCs w:val="20"/>
              </w:rPr>
            </w:pPr>
          </w:p>
          <w:p w14:paraId="0000010D">
            <w:pPr>
              <w:pStyle w:val="NoSpacing"/>
              <w:rPr>
                <w:lang w:val="en-GB"/>
              </w:rPr>
            </w:pPr>
            <w:r>
              <w:rPr>
                <w:rFonts w:ascii="Arial" w:cs="Arial" w:hAnsi="Arial"/>
                <w:b/>
                <w:bCs/>
                <w:sz w:val="32"/>
                <w:szCs w:val="32"/>
                <w:lang w:val="en-GB"/>
              </w:rPr>
              <w:t>C</w:t>
            </w:r>
            <w:r>
              <w:rPr>
                <w:rFonts w:ascii="Arial" w:cs="Arial" w:hAnsi="Arial"/>
                <w:b/>
                <w:bCs/>
                <w:sz w:val="32"/>
                <w:szCs w:val="32"/>
                <w:lang w:val="en-GB"/>
              </w:rPr>
              <w:t>omponent</w:t>
            </w:r>
            <w:r>
              <w:rPr>
                <w:rFonts w:ascii="Arial" w:cs="Arial" w:hAnsi="Arial"/>
                <w:b/>
                <w:bCs/>
                <w:sz w:val="32"/>
                <w:szCs w:val="32"/>
                <w:lang w:val="en-GB"/>
              </w:rPr>
              <w:t xml:space="preserve"> three: Presentation</w:t>
            </w:r>
          </w:p>
          <w:p w14:paraId="0000010E">
            <w:pPr>
              <w:pStyle w:val="Normal1"/>
              <w:rPr>
                <w:rFonts w:ascii="Arial" w:cs="Arial" w:eastAsia="Arial" w:hAnsi="Arial"/>
                <w:b/>
                <w:lang w:val="en-GB"/>
              </w:rPr>
            </w:pPr>
            <w:r>
              <w:rPr>
                <w:rFonts w:ascii="Arial" w:cs="Arial" w:eastAsia="Arial" w:hAnsi="Arial"/>
                <w:b/>
                <w:lang w:val="en-GB"/>
              </w:rPr>
              <w:t>Introduction</w:t>
            </w:r>
          </w:p>
          <w:p w14:paraId="0000010F">
            <w:pPr>
              <w:pStyle w:val="Normal1"/>
              <w:numPr>
                <w:ilvl w:val="0"/>
                <w:numId w:val="8"/>
              </w:numPr>
              <w:rPr>
                <w:rFonts w:ascii="Arial" w:cs="Arial" w:eastAsia="Arial" w:hAnsi="Arial"/>
                <w:lang w:val="en-GB"/>
              </w:rPr>
            </w:pPr>
            <w:r>
              <w:rPr>
                <w:rFonts w:ascii="Arial" w:cs="Arial" w:eastAsia="Arial" w:hAnsi="Arial"/>
                <w:lang w:val="en-GB"/>
              </w:rPr>
              <w:t xml:space="preserve">The training facility is aimed at improving the operational capability of housekeeping team members. </w:t>
            </w:r>
          </w:p>
          <w:p w14:paraId="00000110">
            <w:pPr>
              <w:pStyle w:val="Normal1"/>
              <w:numPr>
                <w:ilvl w:val="0"/>
                <w:numId w:val="8"/>
              </w:numPr>
              <w:rPr>
                <w:rFonts w:ascii="Arial" w:cs="Arial" w:eastAsia="Arial" w:hAnsi="Arial"/>
                <w:lang w:val="en-GB"/>
              </w:rPr>
            </w:pPr>
            <w:r>
              <w:rPr>
                <w:rFonts w:ascii="Arial" w:cs="Arial" w:eastAsia="Arial" w:hAnsi="Arial"/>
                <w:lang w:val="en-GB"/>
              </w:rPr>
              <w:t xml:space="preserve">It may contribute to improving guest satisfaction and performance improvement within the organisation. </w:t>
            </w:r>
          </w:p>
          <w:p w14:paraId="00000111">
            <w:pPr>
              <w:pStyle w:val="Normal1"/>
              <w:rPr>
                <w:rFonts w:ascii="Arial" w:cs="Arial" w:eastAsia="Arial" w:hAnsi="Arial"/>
                <w:lang w:val="en-GB"/>
              </w:rPr>
            </w:pPr>
            <w:r>
              <w:rPr>
                <w:rFonts w:ascii="Arial" w:cs="Arial" w:eastAsia="Arial" w:hAnsi="Arial"/>
                <w:lang w:val="en-GB"/>
              </w:rPr>
              <w:t xml:space="preserve">Improving the operational efficiency of workers involved in housekeeping tasks is important for maintaining the brand reputation of the hotel (Choi and Choi, 2021, p.23). Incorporating industry-based practices and developing respective activities regarding them can help integrate their professional efficiencies. The discussed training activities are aimed at accomplishing those aspects within the housekeeping team operating for this hotel. Moreover, it is expected that better guest satisfaction can be achieved through the implementation of this training facility.    </w:t>
            </w:r>
          </w:p>
          <w:p w14:paraId="00000112">
            <w:pPr>
              <w:pStyle w:val="Normal1"/>
              <w:rPr>
                <w:rFonts w:ascii="Arial" w:cs="Arial" w:eastAsia="Arial" w:hAnsi="Arial"/>
                <w:b/>
                <w:lang w:val="en-GB"/>
              </w:rPr>
            </w:pPr>
            <w:r>
              <w:rPr>
                <w:rFonts w:ascii="Arial" w:cs="Arial" w:eastAsia="Arial" w:hAnsi="Arial"/>
                <w:b/>
                <w:lang w:val="en-GB"/>
              </w:rPr>
              <w:t>Implication of Maslow’s Hierarchy of Needs principles for employee engagement</w:t>
            </w:r>
          </w:p>
          <w:p w14:paraId="00000113">
            <w:pPr>
              <w:pStyle w:val="Normal1"/>
              <w:numPr>
                <w:ilvl w:val="0"/>
                <w:numId w:val="9"/>
              </w:numPr>
              <w:rPr>
                <w:rFonts w:ascii="Arial" w:cs="Arial" w:eastAsia="Arial" w:hAnsi="Arial"/>
                <w:lang w:val="en-GB"/>
              </w:rPr>
            </w:pPr>
            <w:r>
              <w:rPr>
                <w:rFonts w:ascii="Arial" w:cs="Arial" w:eastAsia="Arial" w:hAnsi="Arial"/>
                <w:lang w:val="en-GB"/>
              </w:rPr>
              <w:t>Meeting the fundamental needs of employees helps increase their engagement with operations (</w:t>
            </w:r>
            <w:r>
              <w:rPr>
                <w:rFonts w:ascii="Arial" w:cs="Arial" w:eastAsia="Arial" w:hAnsi="Arial"/>
                <w:color w:val="222222"/>
                <w:highlight w:val="white"/>
                <w:lang w:val="en-GB"/>
              </w:rPr>
              <w:t>vantagecircle</w:t>
            </w:r>
            <w:r>
              <w:rPr>
                <w:rFonts w:ascii="Arial" w:cs="Arial" w:eastAsia="Arial" w:hAnsi="Arial"/>
                <w:color w:val="222222"/>
                <w:highlight w:val="white"/>
                <w:lang w:val="en-GB"/>
              </w:rPr>
              <w:t>, 2023</w:t>
            </w:r>
            <w:r>
              <w:rPr>
                <w:rFonts w:ascii="Arial" w:cs="Arial" w:eastAsia="Arial" w:hAnsi="Arial"/>
                <w:lang w:val="en-GB"/>
              </w:rPr>
              <w:t>)</w:t>
            </w:r>
          </w:p>
          <w:p w14:paraId="00000114">
            <w:pPr>
              <w:pStyle w:val="Normal1"/>
              <w:numPr>
                <w:ilvl w:val="0"/>
                <w:numId w:val="9"/>
              </w:numPr>
              <w:rPr>
                <w:rFonts w:ascii="Arial" w:cs="Arial" w:eastAsia="Arial" w:hAnsi="Arial"/>
                <w:lang w:val="en-GB"/>
              </w:rPr>
            </w:pPr>
            <w:r>
              <w:rPr>
                <w:rFonts w:ascii="Arial" w:cs="Arial" w:eastAsia="Arial" w:hAnsi="Arial"/>
                <w:lang w:val="en-GB"/>
              </w:rPr>
              <w:t xml:space="preserve">The critical implication of this model allows organisations to track growth and development among employees. </w:t>
            </w:r>
          </w:p>
          <w:p w14:paraId="00000115">
            <w:pPr>
              <w:pStyle w:val="Normal1"/>
              <w:rPr>
                <w:rFonts w:ascii="Arial" w:cs="Arial" w:eastAsia="Arial" w:hAnsi="Arial"/>
                <w:lang w:val="en-GB"/>
              </w:rPr>
            </w:pPr>
            <w:r>
              <w:rPr>
                <w:rFonts w:ascii="Arial" w:cs="Arial" w:eastAsia="Arial" w:hAnsi="Arial"/>
                <w:lang w:val="en-GB"/>
              </w:rPr>
              <w:t xml:space="preserve">Considering housekeeping activities in a hotel can be exhausting, preparing an employee engagement training process by addressing their fundamental needs often becomes helpful. According to this model of employee engagement failing to meet any of the proposed stages can affect the overall well-being of employees and hereafter their performance. Thus, the training process considers activities to meet each needs of housekeeping employees to keep them engaged with operations.   </w:t>
            </w:r>
          </w:p>
          <w:p w14:paraId="00000116">
            <w:pPr>
              <w:pStyle w:val="Normal1"/>
              <w:rPr>
                <w:rFonts w:ascii="Arial" w:cs="Arial" w:eastAsia="Arial" w:hAnsi="Arial"/>
                <w:b/>
                <w:lang w:val="en-GB"/>
              </w:rPr>
            </w:pPr>
            <w:r>
              <w:rPr>
                <w:rFonts w:ascii="Arial" w:cs="Arial" w:eastAsia="Arial" w:hAnsi="Arial"/>
                <w:b/>
                <w:lang w:val="en-GB"/>
              </w:rPr>
              <w:t xml:space="preserve">Determining training needs </w:t>
            </w:r>
          </w:p>
          <w:p w14:paraId="00000117">
            <w:pPr>
              <w:pStyle w:val="Normal1"/>
              <w:numPr>
                <w:ilvl w:val="0"/>
                <w:numId w:val="10"/>
              </w:numPr>
              <w:rPr>
                <w:rFonts w:ascii="Arial" w:cs="Arial" w:eastAsia="Arial" w:hAnsi="Arial"/>
                <w:lang w:val="en-GB"/>
              </w:rPr>
            </w:pPr>
            <w:r>
              <w:rPr>
                <w:rFonts w:ascii="Arial" w:cs="Arial" w:eastAsia="Arial" w:hAnsi="Arial"/>
                <w:lang w:val="en-GB"/>
              </w:rPr>
              <w:t>A better understanding of job roles</w:t>
            </w:r>
          </w:p>
          <w:p w14:paraId="00000118">
            <w:pPr>
              <w:pStyle w:val="Normal1"/>
              <w:numPr>
                <w:ilvl w:val="0"/>
                <w:numId w:val="10"/>
              </w:numPr>
              <w:rPr>
                <w:rFonts w:ascii="Arial" w:cs="Arial" w:eastAsia="Arial" w:hAnsi="Arial"/>
                <w:lang w:val="en-GB"/>
              </w:rPr>
            </w:pPr>
            <w:r>
              <w:rPr>
                <w:rFonts w:ascii="Arial" w:cs="Arial" w:eastAsia="Arial" w:hAnsi="Arial"/>
                <w:lang w:val="en-GB"/>
              </w:rPr>
              <w:t>Increasing intrinsic motivational factors among employees</w:t>
            </w:r>
          </w:p>
          <w:p w14:paraId="00000119">
            <w:pPr>
              <w:pStyle w:val="Normal1"/>
              <w:numPr>
                <w:ilvl w:val="0"/>
                <w:numId w:val="10"/>
              </w:numPr>
              <w:rPr>
                <w:rFonts w:ascii="Arial" w:cs="Arial" w:eastAsia="Arial" w:hAnsi="Arial"/>
                <w:lang w:val="en-GB"/>
              </w:rPr>
            </w:pPr>
            <w:r>
              <w:rPr>
                <w:rFonts w:ascii="Arial" w:cs="Arial" w:eastAsia="Arial" w:hAnsi="Arial"/>
                <w:lang w:val="en-GB"/>
              </w:rPr>
              <w:t xml:space="preserve">Enhancing self-awareness regarding personal and professional competencies </w:t>
            </w:r>
          </w:p>
          <w:p w14:paraId="0000011A">
            <w:pPr>
              <w:pStyle w:val="Normal1"/>
              <w:numPr>
                <w:ilvl w:val="0"/>
                <w:numId w:val="10"/>
              </w:numPr>
              <w:rPr>
                <w:rFonts w:ascii="Arial" w:cs="Arial" w:eastAsia="Arial" w:hAnsi="Arial"/>
                <w:lang w:val="en-GB"/>
              </w:rPr>
            </w:pPr>
            <w:r>
              <w:rPr>
                <w:rFonts w:ascii="Arial" w:cs="Arial" w:eastAsia="Arial" w:hAnsi="Arial"/>
                <w:lang w:val="en-GB"/>
              </w:rPr>
              <w:t>Obligation to organisational commitments</w:t>
            </w:r>
          </w:p>
          <w:p w14:paraId="0000011B">
            <w:pPr>
              <w:pStyle w:val="Normal1"/>
              <w:rPr>
                <w:rFonts w:ascii="Arial" w:cs="Arial" w:eastAsia="Arial" w:hAnsi="Arial"/>
                <w:lang w:val="en-GB"/>
              </w:rPr>
            </w:pPr>
            <w:r>
              <w:rPr>
                <w:rFonts w:ascii="Arial" w:cs="Arial" w:eastAsia="Arial" w:hAnsi="Arial"/>
                <w:lang w:val="en-GB"/>
              </w:rPr>
              <w:t xml:space="preserve">Several reasons are involved with the need for training facilities after evaluating the checklist in the previous task. The inability to meet checklist requirements has been one of the important ones. </w:t>
            </w:r>
            <w:r>
              <w:rPr>
                <w:rFonts w:ascii="Arial" w:cs="Arial" w:eastAsia="Arial" w:hAnsi="Arial"/>
                <w:lang w:val="en-GB"/>
              </w:rPr>
              <w:t>Belias</w:t>
            </w:r>
            <w:r>
              <w:rPr>
                <w:rFonts w:ascii="Arial" w:cs="Arial" w:eastAsia="Arial" w:hAnsi="Arial"/>
                <w:lang w:val="en-GB"/>
              </w:rPr>
              <w:t xml:space="preserve"> and </w:t>
            </w:r>
            <w:r>
              <w:rPr>
                <w:rFonts w:ascii="Arial" w:cs="Arial" w:eastAsia="Arial" w:hAnsi="Arial"/>
                <w:lang w:val="en-GB"/>
              </w:rPr>
              <w:t>Trihas</w:t>
            </w:r>
            <w:r>
              <w:rPr>
                <w:rFonts w:ascii="Arial" w:cs="Arial" w:eastAsia="Arial" w:hAnsi="Arial"/>
                <w:lang w:val="en-GB"/>
              </w:rPr>
              <w:t xml:space="preserve"> (2022, p.102) mentioned that employee training can become a core competency during crisis management. Therefore, offering the training facility to housekeeping employees would help create a capable employee base with a better commitment to organisational standards and operational practices.   </w:t>
            </w:r>
          </w:p>
          <w:p w14:paraId="0000011C">
            <w:pPr>
              <w:pStyle w:val="Normal1"/>
              <w:rPr>
                <w:rFonts w:ascii="Arial" w:cs="Arial" w:eastAsia="Arial" w:hAnsi="Arial"/>
                <w:b/>
                <w:lang w:val="en-GB"/>
              </w:rPr>
            </w:pPr>
            <w:r>
              <w:rPr>
                <w:rFonts w:ascii="Arial" w:cs="Arial" w:eastAsia="Arial" w:hAnsi="Arial"/>
                <w:b/>
                <w:lang w:val="en-GB"/>
              </w:rPr>
              <w:t>Selection of objectives</w:t>
            </w:r>
          </w:p>
          <w:p w14:paraId="0000011D">
            <w:pPr>
              <w:pStyle w:val="Normal1"/>
              <w:numPr>
                <w:ilvl w:val="0"/>
                <w:numId w:val="11"/>
              </w:numPr>
              <w:rPr>
                <w:rFonts w:ascii="Arial" w:cs="Arial" w:eastAsia="Arial" w:hAnsi="Arial"/>
                <w:lang w:val="en-GB"/>
              </w:rPr>
            </w:pPr>
            <w:r>
              <w:rPr>
                <w:rFonts w:ascii="Arial" w:cs="Arial" w:eastAsia="Arial" w:hAnsi="Arial"/>
                <w:lang w:val="en-GB"/>
              </w:rPr>
              <w:t xml:space="preserve">To address the needs of employees to develop intrinsic motivations </w:t>
            </w:r>
          </w:p>
          <w:p w14:paraId="0000011E">
            <w:pPr>
              <w:pStyle w:val="Normal1"/>
              <w:numPr>
                <w:ilvl w:val="0"/>
                <w:numId w:val="11"/>
              </w:numPr>
              <w:rPr>
                <w:rFonts w:ascii="Arial" w:cs="Arial" w:eastAsia="Arial" w:hAnsi="Arial"/>
                <w:lang w:val="en-GB"/>
              </w:rPr>
            </w:pPr>
            <w:r>
              <w:rPr>
                <w:rFonts w:ascii="Arial" w:cs="Arial" w:eastAsia="Arial" w:hAnsi="Arial"/>
                <w:lang w:val="en-GB"/>
              </w:rPr>
              <w:t>To enhance communication and collaboration capabilities in 2 months</w:t>
            </w:r>
          </w:p>
          <w:p w14:paraId="0000011F">
            <w:pPr>
              <w:pStyle w:val="Normal1"/>
              <w:numPr>
                <w:ilvl w:val="0"/>
                <w:numId w:val="11"/>
              </w:numPr>
              <w:rPr>
                <w:rFonts w:ascii="Arial" w:cs="Arial" w:eastAsia="Arial" w:hAnsi="Arial"/>
                <w:lang w:val="en-GB"/>
              </w:rPr>
            </w:pPr>
            <w:r>
              <w:rPr>
                <w:rFonts w:ascii="Arial" w:cs="Arial" w:eastAsia="Arial" w:hAnsi="Arial"/>
                <w:lang w:val="en-GB"/>
              </w:rPr>
              <w:t xml:space="preserve">To evaluate employee commitment to operational practices in 1 month </w:t>
            </w:r>
          </w:p>
          <w:p w14:paraId="00000120">
            <w:pPr>
              <w:pStyle w:val="Normal1"/>
              <w:rPr>
                <w:rFonts w:ascii="Arial" w:cs="Arial" w:eastAsia="Arial" w:hAnsi="Arial"/>
                <w:lang w:val="en-GB"/>
              </w:rPr>
            </w:pPr>
            <w:r>
              <w:rPr>
                <w:rFonts w:ascii="Arial" w:cs="Arial" w:eastAsia="Arial" w:hAnsi="Arial"/>
                <w:lang w:val="en-GB"/>
              </w:rPr>
              <w:t>Facilitation of employee objectives helps comprehend progress among employees in terms of the proposed training sessions (</w:t>
            </w:r>
            <w:r>
              <w:rPr>
                <w:rFonts w:ascii="Arial" w:cs="Arial" w:eastAsia="Arial" w:hAnsi="Arial"/>
                <w:color w:val="222222"/>
                <w:highlight w:val="white"/>
                <w:lang w:val="en-GB"/>
              </w:rPr>
              <w:t>indeed, 2023</w:t>
            </w:r>
            <w:r>
              <w:rPr>
                <w:rFonts w:ascii="Arial" w:cs="Arial" w:eastAsia="Arial" w:hAnsi="Arial"/>
                <w:lang w:val="en-GB"/>
              </w:rPr>
              <w:t xml:space="preserve">). For the housekeeping training, the aforementioned training objectives have been prioritised to ensure proper personal and professional growth among team members of housekeeping services. On the contrary, Bakker and Leiter (2010, p.92) also mentioned that training is necessary for assisting employees to achieve their work goals. It justifies the importance of the proposed objectives.     </w:t>
            </w:r>
          </w:p>
          <w:p w14:paraId="00000121">
            <w:pPr>
              <w:pStyle w:val="Normal1"/>
              <w:rPr>
                <w:rFonts w:ascii="Arial" w:cs="Arial" w:eastAsia="Arial" w:hAnsi="Arial"/>
                <w:lang w:val="en-GB"/>
              </w:rPr>
            </w:pPr>
            <w:r>
              <w:rPr>
                <w:rFonts w:ascii="Arial" w:cs="Arial" w:eastAsia="Arial" w:hAnsi="Arial"/>
                <w:b/>
                <w:lang w:val="en-GB"/>
              </w:rPr>
              <w:t>Developing activities for training</w:t>
            </w:r>
          </w:p>
          <w:tbl>
            <w:tblPr>
              <w:tblStyle w:val="A"/>
              <w:tblW w:w="90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615"/>
              <w:gridCol w:w="3585"/>
              <w:gridCol w:w="1800"/>
            </w:tblGrid>
            <w:tr>
              <w:trPr>
                <w:cantSplit w:val="on"/>
                <w:tblHeader w:val="on"/>
              </w:trPr>
              <w:tc>
                <w:tcPr>
                  <w:cnfStyle w:val="000000000000"/>
                  <w:tcW w:w="3615" w:type="dxa"/>
                  <w:shd w:val="clear" w:color="auto" w:fill="a4c2f4"/>
                  <w:tcMar>
                    <w:top w:w="100" w:type="dxa"/>
                    <w:left w:w="100" w:type="dxa"/>
                    <w:bottom w:w="100" w:type="dxa"/>
                    <w:right w:w="100" w:type="dxa"/>
                  </w:tcMar>
                </w:tcPr>
                <w:p w14:paraId="00000122">
                  <w:pPr>
                    <w:pStyle w:val="Normal1"/>
                    <w:widowControl w:val="off"/>
                    <w:rPr>
                      <w:rFonts w:ascii="Arial" w:cs="Arial" w:eastAsia="Arial" w:hAnsi="Arial"/>
                      <w:b/>
                      <w:u w:val="single"/>
                      <w:lang w:val="en-GB"/>
                    </w:rPr>
                  </w:pPr>
                  <w:r>
                    <w:rPr>
                      <w:rFonts w:ascii="Arial" w:cs="Arial" w:eastAsia="Arial" w:hAnsi="Arial"/>
                      <w:b/>
                      <w:u w:val="single"/>
                      <w:lang w:val="en-GB"/>
                    </w:rPr>
                    <w:t xml:space="preserve">Activities </w:t>
                  </w:r>
                </w:p>
              </w:tc>
              <w:tc>
                <w:tcPr>
                  <w:cnfStyle w:val="000000000000"/>
                  <w:tcW w:w="3585" w:type="dxa"/>
                  <w:shd w:val="clear" w:color="auto" w:fill="a4c2f4"/>
                  <w:tcMar>
                    <w:top w:w="100" w:type="dxa"/>
                    <w:left w:w="100" w:type="dxa"/>
                    <w:bottom w:w="100" w:type="dxa"/>
                    <w:right w:w="100" w:type="dxa"/>
                  </w:tcMar>
                </w:tcPr>
                <w:p w14:paraId="00000123">
                  <w:pPr>
                    <w:pStyle w:val="Normal1"/>
                    <w:widowControl w:val="off"/>
                    <w:rPr>
                      <w:rFonts w:ascii="Arial" w:cs="Arial" w:eastAsia="Arial" w:hAnsi="Arial"/>
                      <w:b/>
                      <w:u w:val="single"/>
                      <w:lang w:val="en-GB"/>
                    </w:rPr>
                  </w:pPr>
                  <w:r>
                    <w:rPr>
                      <w:rFonts w:ascii="Arial" w:cs="Arial" w:eastAsia="Arial" w:hAnsi="Arial"/>
                      <w:b/>
                      <w:u w:val="single"/>
                      <w:lang w:val="en-GB"/>
                    </w:rPr>
                    <w:t xml:space="preserve">Expected outcome </w:t>
                  </w:r>
                </w:p>
              </w:tc>
              <w:tc>
                <w:tcPr>
                  <w:cnfStyle w:val="000000000000"/>
                  <w:tcW w:w="1800" w:type="dxa"/>
                  <w:shd w:val="clear" w:color="auto" w:fill="a4c2f4"/>
                  <w:tcMar>
                    <w:top w:w="100" w:type="dxa"/>
                    <w:left w:w="100" w:type="dxa"/>
                    <w:bottom w:w="100" w:type="dxa"/>
                    <w:right w:w="100" w:type="dxa"/>
                  </w:tcMar>
                </w:tcPr>
                <w:p w14:paraId="00000124">
                  <w:pPr>
                    <w:pStyle w:val="Normal1"/>
                    <w:widowControl w:val="off"/>
                    <w:rPr>
                      <w:rFonts w:ascii="Arial" w:cs="Arial" w:eastAsia="Arial" w:hAnsi="Arial"/>
                      <w:b/>
                      <w:u w:val="single"/>
                      <w:lang w:val="en-GB"/>
                    </w:rPr>
                  </w:pPr>
                  <w:r>
                    <w:rPr>
                      <w:rFonts w:ascii="Arial" w:cs="Arial" w:eastAsia="Arial" w:hAnsi="Arial"/>
                      <w:b/>
                      <w:u w:val="single"/>
                      <w:lang w:val="en-GB"/>
                    </w:rPr>
                    <w:t>Timelimit</w:t>
                  </w:r>
                  <w:r>
                    <w:rPr>
                      <w:rFonts w:ascii="Arial" w:cs="Arial" w:eastAsia="Arial" w:hAnsi="Arial"/>
                      <w:b/>
                      <w:u w:val="single"/>
                      <w:lang w:val="en-GB"/>
                    </w:rPr>
                    <w:t xml:space="preserve"> </w:t>
                  </w:r>
                </w:p>
              </w:tc>
            </w:tr>
            <w:tr>
              <w:trPr>
                <w:cantSplit w:val="on"/>
                <w:tblHeader w:val="on"/>
              </w:trPr>
              <w:tc>
                <w:tcPr>
                  <w:cnfStyle w:val="000000000000"/>
                  <w:tcW w:w="3615" w:type="dxa"/>
                  <w:shd w:val="clear" w:color="auto" w:fill="f4cccc"/>
                  <w:tcMar>
                    <w:top w:w="100" w:type="dxa"/>
                    <w:left w:w="100" w:type="dxa"/>
                    <w:bottom w:w="100" w:type="dxa"/>
                    <w:right w:w="100" w:type="dxa"/>
                  </w:tcMar>
                </w:tcPr>
                <w:p w14:paraId="00000125">
                  <w:pPr>
                    <w:pStyle w:val="Normal1"/>
                    <w:widowControl w:val="off"/>
                    <w:rPr>
                      <w:rFonts w:ascii="Arial" w:cs="Arial" w:eastAsia="Arial" w:hAnsi="Arial"/>
                      <w:lang w:val="en-GB"/>
                    </w:rPr>
                  </w:pPr>
                  <w:r>
                    <w:rPr>
                      <w:rFonts w:ascii="Arial" w:cs="Arial" w:eastAsia="Arial" w:hAnsi="Arial"/>
                      <w:lang w:val="en-GB"/>
                    </w:rPr>
                    <w:t xml:space="preserve">Team operations with a group of 4 members </w:t>
                  </w:r>
                </w:p>
              </w:tc>
              <w:tc>
                <w:tcPr>
                  <w:cnfStyle w:val="000000000000"/>
                  <w:tcW w:w="3585" w:type="dxa"/>
                  <w:shd w:val="clear" w:color="auto" w:fill="f4cccc"/>
                  <w:tcMar>
                    <w:top w:w="100" w:type="dxa"/>
                    <w:left w:w="100" w:type="dxa"/>
                    <w:bottom w:w="100" w:type="dxa"/>
                    <w:right w:w="100" w:type="dxa"/>
                  </w:tcMar>
                </w:tcPr>
                <w:p w14:paraId="00000126">
                  <w:pPr>
                    <w:pStyle w:val="Normal1"/>
                    <w:widowControl w:val="off"/>
                    <w:rPr>
                      <w:rFonts w:ascii="Arial" w:cs="Arial" w:eastAsia="Arial" w:hAnsi="Arial"/>
                      <w:lang w:val="en-GB"/>
                    </w:rPr>
                  </w:pPr>
                  <w:r>
                    <w:rPr>
                      <w:rFonts w:ascii="Arial" w:cs="Arial" w:eastAsia="Arial" w:hAnsi="Arial"/>
                      <w:lang w:val="en-GB"/>
                    </w:rPr>
                    <w:t xml:space="preserve">Better collaboration and communication among members </w:t>
                  </w:r>
                </w:p>
              </w:tc>
              <w:tc>
                <w:tcPr>
                  <w:cnfStyle w:val="000000000000"/>
                  <w:tcW w:w="1800" w:type="dxa"/>
                  <w:shd w:val="clear" w:color="auto" w:fill="f4cccc"/>
                  <w:tcMar>
                    <w:top w:w="100" w:type="dxa"/>
                    <w:left w:w="100" w:type="dxa"/>
                    <w:bottom w:w="100" w:type="dxa"/>
                    <w:right w:w="100" w:type="dxa"/>
                  </w:tcMar>
                </w:tcPr>
                <w:p w14:paraId="00000127">
                  <w:pPr>
                    <w:pStyle w:val="Normal1"/>
                    <w:widowControl w:val="off"/>
                    <w:rPr>
                      <w:rFonts w:ascii="Arial" w:cs="Arial" w:eastAsia="Arial" w:hAnsi="Arial"/>
                      <w:lang w:val="en-GB"/>
                    </w:rPr>
                  </w:pPr>
                  <w:r>
                    <w:rPr>
                      <w:rFonts w:ascii="Arial" w:cs="Arial" w:eastAsia="Arial" w:hAnsi="Arial"/>
                      <w:lang w:val="en-GB"/>
                    </w:rPr>
                    <w:t xml:space="preserve">2 months </w:t>
                  </w:r>
                </w:p>
              </w:tc>
            </w:tr>
            <w:tr>
              <w:trPr>
                <w:cantSplit w:val="on"/>
                <w:tblHeader w:val="on"/>
              </w:trPr>
              <w:tc>
                <w:tcPr>
                  <w:cnfStyle w:val="000000000000"/>
                  <w:tcW w:w="3615" w:type="dxa"/>
                  <w:shd w:val="clear" w:color="auto" w:fill="f4cccc"/>
                  <w:tcMar>
                    <w:top w:w="100" w:type="dxa"/>
                    <w:left w:w="100" w:type="dxa"/>
                    <w:bottom w:w="100" w:type="dxa"/>
                    <w:right w:w="100" w:type="dxa"/>
                  </w:tcMar>
                </w:tcPr>
                <w:p w14:paraId="00000128">
                  <w:pPr>
                    <w:pStyle w:val="Normal1"/>
                    <w:widowControl w:val="off"/>
                    <w:rPr>
                      <w:rFonts w:ascii="Arial" w:cs="Arial" w:eastAsia="Arial" w:hAnsi="Arial"/>
                      <w:lang w:val="en-GB"/>
                    </w:rPr>
                  </w:pPr>
                  <w:r>
                    <w:rPr>
                      <w:rFonts w:ascii="Arial" w:cs="Arial" w:eastAsia="Arial" w:hAnsi="Arial"/>
                      <w:lang w:val="en-GB"/>
                    </w:rPr>
                    <w:t>Distribution of work responsibilities</w:t>
                  </w:r>
                </w:p>
              </w:tc>
              <w:tc>
                <w:tcPr>
                  <w:cnfStyle w:val="000000000000"/>
                  <w:tcW w:w="3585" w:type="dxa"/>
                  <w:shd w:val="clear" w:color="auto" w:fill="f4cccc"/>
                  <w:tcMar>
                    <w:top w:w="100" w:type="dxa"/>
                    <w:left w:w="100" w:type="dxa"/>
                    <w:bottom w:w="100" w:type="dxa"/>
                    <w:right w:w="100" w:type="dxa"/>
                  </w:tcMar>
                </w:tcPr>
                <w:p w14:paraId="00000129">
                  <w:pPr>
                    <w:pStyle w:val="Normal1"/>
                    <w:widowControl w:val="off"/>
                    <w:rPr>
                      <w:rFonts w:ascii="Arial" w:cs="Arial" w:eastAsia="Arial" w:hAnsi="Arial"/>
                      <w:lang w:val="en-GB"/>
                    </w:rPr>
                  </w:pPr>
                  <w:r>
                    <w:rPr>
                      <w:rFonts w:ascii="Arial" w:cs="Arial" w:eastAsia="Arial" w:hAnsi="Arial"/>
                      <w:lang w:val="en-GB"/>
                    </w:rPr>
                    <w:t>Identifying the most capable employees and recognising them for their effort</w:t>
                  </w:r>
                </w:p>
              </w:tc>
              <w:tc>
                <w:tcPr>
                  <w:cnfStyle w:val="000000000000"/>
                  <w:tcW w:w="1800" w:type="dxa"/>
                  <w:shd w:val="clear" w:color="auto" w:fill="f4cccc"/>
                  <w:tcMar>
                    <w:top w:w="100" w:type="dxa"/>
                    <w:left w:w="100" w:type="dxa"/>
                    <w:bottom w:w="100" w:type="dxa"/>
                    <w:right w:w="100" w:type="dxa"/>
                  </w:tcMar>
                </w:tcPr>
                <w:p w14:paraId="0000012A">
                  <w:pPr>
                    <w:pStyle w:val="Normal1"/>
                    <w:widowControl w:val="off"/>
                    <w:rPr>
                      <w:rFonts w:ascii="Arial" w:cs="Arial" w:eastAsia="Arial" w:hAnsi="Arial"/>
                      <w:lang w:val="en-GB"/>
                    </w:rPr>
                  </w:pPr>
                  <w:r>
                    <w:rPr>
                      <w:rFonts w:ascii="Arial" w:cs="Arial" w:eastAsia="Arial" w:hAnsi="Arial"/>
                      <w:lang w:val="en-GB"/>
                    </w:rPr>
                    <w:t xml:space="preserve">2 months </w:t>
                  </w:r>
                </w:p>
              </w:tc>
            </w:tr>
          </w:tbl>
          <w:p w14:paraId="0000012B">
            <w:pPr>
              <w:pStyle w:val="Normal1"/>
              <w:rPr>
                <w:rFonts w:ascii="Arial" w:cs="Arial" w:eastAsia="Arial" w:hAnsi="Arial"/>
                <w:lang w:val="en-GB"/>
              </w:rPr>
            </w:pPr>
            <w:r>
              <w:rPr>
                <w:rFonts w:ascii="Arial" w:cs="Arial" w:eastAsia="Arial" w:hAnsi="Arial"/>
                <w:lang w:val="en-GB"/>
              </w:rPr>
              <w:t xml:space="preserve">According to the opinion of Bridger (2018, p.136), it is necessary for  teamwork that members feel to be a part of the group. The main target of the first activity is to develop a sense of belonging among members followed by addressing esteem needs by recognising their efforts throughout the operations.  </w:t>
            </w:r>
          </w:p>
          <w:p w14:paraId="0000012C">
            <w:pPr>
              <w:pStyle w:val="Normal1"/>
              <w:rPr>
                <w:rFonts w:ascii="Arial" w:cs="Arial" w:eastAsia="Arial" w:hAnsi="Arial"/>
                <w:lang w:val="en-GB"/>
              </w:rPr>
            </w:pPr>
            <w:r>
              <w:rPr>
                <w:rFonts w:ascii="Arial" w:cs="Arial" w:eastAsia="Arial" w:hAnsi="Arial"/>
                <w:b/>
                <w:lang w:val="en-GB"/>
              </w:rPr>
              <w:t xml:space="preserve">Contd.  </w:t>
            </w:r>
          </w:p>
          <w:tbl>
            <w:tblPr>
              <w:tblStyle w:val="A0"/>
              <w:tblW w:w="90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615"/>
              <w:gridCol w:w="3585"/>
              <w:gridCol w:w="1800"/>
            </w:tblGrid>
            <w:tr>
              <w:trPr>
                <w:cantSplit w:val="on"/>
                <w:tblHeader w:val="on"/>
              </w:trPr>
              <w:tc>
                <w:tcPr>
                  <w:cnfStyle w:val="000000000000"/>
                  <w:tcW w:w="3615" w:type="dxa"/>
                  <w:shd w:val="clear" w:color="auto" w:fill="93c47d"/>
                  <w:tcMar>
                    <w:top w:w="100" w:type="dxa"/>
                    <w:left w:w="100" w:type="dxa"/>
                    <w:bottom w:w="100" w:type="dxa"/>
                    <w:right w:w="100" w:type="dxa"/>
                  </w:tcMar>
                </w:tcPr>
                <w:p w14:paraId="0000012D">
                  <w:pPr>
                    <w:pStyle w:val="Normal1"/>
                    <w:widowControl w:val="off"/>
                    <w:rPr>
                      <w:rFonts w:ascii="Arial" w:cs="Arial" w:eastAsia="Arial" w:hAnsi="Arial"/>
                      <w:b/>
                      <w:u w:val="single"/>
                      <w:lang w:val="en-GB"/>
                    </w:rPr>
                  </w:pPr>
                  <w:r>
                    <w:rPr>
                      <w:rFonts w:ascii="Arial" w:cs="Arial" w:eastAsia="Arial" w:hAnsi="Arial"/>
                      <w:b/>
                      <w:u w:val="single"/>
                      <w:lang w:val="en-GB"/>
                    </w:rPr>
                    <w:t xml:space="preserve">Activities </w:t>
                  </w:r>
                </w:p>
              </w:tc>
              <w:tc>
                <w:tcPr>
                  <w:cnfStyle w:val="000000000000"/>
                  <w:tcW w:w="3585" w:type="dxa"/>
                  <w:shd w:val="clear" w:color="auto" w:fill="93c47d"/>
                  <w:tcMar>
                    <w:top w:w="100" w:type="dxa"/>
                    <w:left w:w="100" w:type="dxa"/>
                    <w:bottom w:w="100" w:type="dxa"/>
                    <w:right w:w="100" w:type="dxa"/>
                  </w:tcMar>
                </w:tcPr>
                <w:p w14:paraId="0000012E">
                  <w:pPr>
                    <w:pStyle w:val="Normal1"/>
                    <w:widowControl w:val="off"/>
                    <w:rPr>
                      <w:rFonts w:ascii="Arial" w:cs="Arial" w:eastAsia="Arial" w:hAnsi="Arial"/>
                      <w:b/>
                      <w:u w:val="single"/>
                      <w:lang w:val="en-GB"/>
                    </w:rPr>
                  </w:pPr>
                  <w:r>
                    <w:rPr>
                      <w:rFonts w:ascii="Arial" w:cs="Arial" w:eastAsia="Arial" w:hAnsi="Arial"/>
                      <w:b/>
                      <w:u w:val="single"/>
                      <w:lang w:val="en-GB"/>
                    </w:rPr>
                    <w:t xml:space="preserve">Expected outcome </w:t>
                  </w:r>
                </w:p>
              </w:tc>
              <w:tc>
                <w:tcPr>
                  <w:cnfStyle w:val="000000000000"/>
                  <w:tcW w:w="1800" w:type="dxa"/>
                  <w:shd w:val="clear" w:color="auto" w:fill="93c47d"/>
                  <w:tcMar>
                    <w:top w:w="100" w:type="dxa"/>
                    <w:left w:w="100" w:type="dxa"/>
                    <w:bottom w:w="100" w:type="dxa"/>
                    <w:right w:w="100" w:type="dxa"/>
                  </w:tcMar>
                </w:tcPr>
                <w:p w14:paraId="0000012F">
                  <w:pPr>
                    <w:pStyle w:val="Normal1"/>
                    <w:widowControl w:val="off"/>
                    <w:rPr>
                      <w:rFonts w:ascii="Arial" w:cs="Arial" w:eastAsia="Arial" w:hAnsi="Arial"/>
                      <w:b/>
                      <w:u w:val="single"/>
                      <w:lang w:val="en-GB"/>
                    </w:rPr>
                  </w:pPr>
                  <w:r>
                    <w:rPr>
                      <w:rFonts w:ascii="Arial" w:cs="Arial" w:eastAsia="Arial" w:hAnsi="Arial"/>
                      <w:b/>
                      <w:u w:val="single"/>
                      <w:lang w:val="en-GB"/>
                    </w:rPr>
                    <w:t>Timelimit</w:t>
                  </w:r>
                  <w:r>
                    <w:rPr>
                      <w:rFonts w:ascii="Arial" w:cs="Arial" w:eastAsia="Arial" w:hAnsi="Arial"/>
                      <w:b/>
                      <w:u w:val="single"/>
                      <w:lang w:val="en-GB"/>
                    </w:rPr>
                    <w:t xml:space="preserve"> </w:t>
                  </w:r>
                </w:p>
              </w:tc>
            </w:tr>
            <w:tr>
              <w:trPr>
                <w:cantSplit w:val="on"/>
                <w:tblHeader w:val="on"/>
              </w:trPr>
              <w:tc>
                <w:tcPr>
                  <w:cnfStyle w:val="000000000000"/>
                  <w:tcW w:w="3615" w:type="dxa"/>
                  <w:shd w:val="clear" w:color="auto" w:fill="b6d7a8"/>
                  <w:tcMar>
                    <w:top w:w="100" w:type="dxa"/>
                    <w:left w:w="100" w:type="dxa"/>
                    <w:bottom w:w="100" w:type="dxa"/>
                    <w:right w:w="100" w:type="dxa"/>
                  </w:tcMar>
                </w:tcPr>
                <w:p w14:paraId="00000130">
                  <w:pPr>
                    <w:pStyle w:val="Normal1"/>
                    <w:widowControl w:val="off"/>
                    <w:rPr>
                      <w:rFonts w:ascii="Arial" w:cs="Arial" w:eastAsia="Arial" w:hAnsi="Arial"/>
                      <w:lang w:val="en-GB"/>
                    </w:rPr>
                  </w:pPr>
                  <w:r>
                    <w:rPr>
                      <w:rFonts w:ascii="Arial" w:cs="Arial" w:eastAsia="Arial" w:hAnsi="Arial"/>
                      <w:lang w:val="en-GB"/>
                    </w:rPr>
                    <w:t xml:space="preserve">Service training such as checking and addressing required amendments in hotel rooms for each employee </w:t>
                  </w:r>
                </w:p>
              </w:tc>
              <w:tc>
                <w:tcPr>
                  <w:cnfStyle w:val="000000000000"/>
                  <w:tcW w:w="3585" w:type="dxa"/>
                  <w:shd w:val="clear" w:color="auto" w:fill="b6d7a8"/>
                  <w:tcMar>
                    <w:top w:w="100" w:type="dxa"/>
                    <w:left w:w="100" w:type="dxa"/>
                    <w:bottom w:w="100" w:type="dxa"/>
                    <w:right w:w="100" w:type="dxa"/>
                  </w:tcMar>
                </w:tcPr>
                <w:p w14:paraId="00000131">
                  <w:pPr>
                    <w:pStyle w:val="Normal1"/>
                    <w:widowControl w:val="off"/>
                    <w:rPr>
                      <w:rFonts w:ascii="Arial" w:cs="Arial" w:eastAsia="Arial" w:hAnsi="Arial"/>
                      <w:lang w:val="en-GB"/>
                    </w:rPr>
                  </w:pPr>
                  <w:r>
                    <w:rPr>
                      <w:rFonts w:ascii="Arial" w:cs="Arial" w:eastAsia="Arial" w:hAnsi="Arial"/>
                      <w:lang w:val="en-GB"/>
                    </w:rPr>
                    <w:t>Better performance and job satisfaction with the intention for operational autonomy</w:t>
                  </w:r>
                </w:p>
              </w:tc>
              <w:tc>
                <w:tcPr>
                  <w:cnfStyle w:val="000000000000"/>
                  <w:tcW w:w="1800" w:type="dxa"/>
                  <w:shd w:val="clear" w:color="auto" w:fill="b6d7a8"/>
                  <w:tcMar>
                    <w:top w:w="100" w:type="dxa"/>
                    <w:left w:w="100" w:type="dxa"/>
                    <w:bottom w:w="100" w:type="dxa"/>
                    <w:right w:w="100" w:type="dxa"/>
                  </w:tcMar>
                </w:tcPr>
                <w:p w14:paraId="00000132">
                  <w:pPr>
                    <w:pStyle w:val="Normal1"/>
                    <w:widowControl w:val="off"/>
                    <w:rPr>
                      <w:rFonts w:ascii="Arial" w:cs="Arial" w:eastAsia="Arial" w:hAnsi="Arial"/>
                      <w:lang w:val="en-GB"/>
                    </w:rPr>
                  </w:pPr>
                  <w:r>
                    <w:rPr>
                      <w:rFonts w:ascii="Arial" w:cs="Arial" w:eastAsia="Arial" w:hAnsi="Arial"/>
                      <w:lang w:val="en-GB"/>
                    </w:rPr>
                    <w:t xml:space="preserve">2 to 3 months </w:t>
                  </w:r>
                </w:p>
              </w:tc>
            </w:tr>
            <w:tr>
              <w:trPr>
                <w:cantSplit w:val="on"/>
                <w:tblHeader w:val="on"/>
              </w:trPr>
              <w:tc>
                <w:tcPr>
                  <w:cnfStyle w:val="000000000000"/>
                  <w:tcW w:w="3615" w:type="dxa"/>
                  <w:shd w:val="clear" w:color="auto" w:fill="b6d7a8"/>
                  <w:tcMar>
                    <w:top w:w="100" w:type="dxa"/>
                    <w:left w:w="100" w:type="dxa"/>
                    <w:bottom w:w="100" w:type="dxa"/>
                    <w:right w:w="100" w:type="dxa"/>
                  </w:tcMar>
                </w:tcPr>
                <w:p w14:paraId="00000133">
                  <w:pPr>
                    <w:pStyle w:val="Normal1"/>
                    <w:widowControl w:val="off"/>
                    <w:rPr>
                      <w:rFonts w:ascii="Arial" w:cs="Arial" w:eastAsia="Arial" w:hAnsi="Arial"/>
                      <w:lang w:val="en-GB"/>
                    </w:rPr>
                  </w:pPr>
                  <w:r>
                    <w:rPr>
                      <w:rFonts w:ascii="Arial" w:cs="Arial" w:eastAsia="Arial" w:hAnsi="Arial"/>
                      <w:lang w:val="en-GB"/>
                    </w:rPr>
                    <w:t xml:space="preserve">Appointing one of the members in team leading based on their performance </w:t>
                  </w:r>
                </w:p>
              </w:tc>
              <w:tc>
                <w:tcPr>
                  <w:cnfStyle w:val="000000000000"/>
                  <w:tcW w:w="3585" w:type="dxa"/>
                  <w:shd w:val="clear" w:color="auto" w:fill="b6d7a8"/>
                  <w:tcMar>
                    <w:top w:w="100" w:type="dxa"/>
                    <w:left w:w="100" w:type="dxa"/>
                    <w:bottom w:w="100" w:type="dxa"/>
                    <w:right w:w="100" w:type="dxa"/>
                  </w:tcMar>
                </w:tcPr>
                <w:p w14:paraId="00000134">
                  <w:pPr>
                    <w:pStyle w:val="Normal1"/>
                    <w:widowControl w:val="off"/>
                    <w:rPr>
                      <w:rFonts w:ascii="Arial" w:cs="Arial" w:eastAsia="Arial" w:hAnsi="Arial"/>
                      <w:lang w:val="en-GB"/>
                    </w:rPr>
                  </w:pPr>
                  <w:r>
                    <w:rPr>
                      <w:rFonts w:ascii="Arial" w:cs="Arial" w:eastAsia="Arial" w:hAnsi="Arial"/>
                      <w:lang w:val="en-GB"/>
                    </w:rPr>
                    <w:t xml:space="preserve">Improving leadership qualities and supporting operational environment </w:t>
                  </w:r>
                </w:p>
              </w:tc>
              <w:tc>
                <w:tcPr>
                  <w:cnfStyle w:val="000000000000"/>
                  <w:tcW w:w="1800" w:type="dxa"/>
                  <w:shd w:val="clear" w:color="auto" w:fill="b6d7a8"/>
                  <w:tcMar>
                    <w:top w:w="100" w:type="dxa"/>
                    <w:left w:w="100" w:type="dxa"/>
                    <w:bottom w:w="100" w:type="dxa"/>
                    <w:right w:w="100" w:type="dxa"/>
                  </w:tcMar>
                </w:tcPr>
                <w:p w14:paraId="00000135">
                  <w:pPr>
                    <w:pStyle w:val="Normal1"/>
                    <w:widowControl w:val="off"/>
                    <w:rPr>
                      <w:rFonts w:ascii="Arial" w:cs="Arial" w:eastAsia="Arial" w:hAnsi="Arial"/>
                      <w:lang w:val="en-GB"/>
                    </w:rPr>
                  </w:pPr>
                  <w:r>
                    <w:rPr>
                      <w:rFonts w:ascii="Arial" w:cs="Arial" w:eastAsia="Arial" w:hAnsi="Arial"/>
                      <w:lang w:val="en-GB"/>
                    </w:rPr>
                    <w:t>1 month</w:t>
                  </w:r>
                </w:p>
              </w:tc>
            </w:tr>
          </w:tbl>
          <w:p w14:paraId="00000136">
            <w:pPr>
              <w:pStyle w:val="Normal1"/>
              <w:rPr>
                <w:rFonts w:ascii="Arial" w:cs="Arial" w:eastAsia="Arial" w:hAnsi="Arial"/>
                <w:lang w:val="en-GB"/>
              </w:rPr>
            </w:pPr>
            <w:r>
              <w:rPr>
                <w:rFonts w:ascii="Arial" w:cs="Arial" w:eastAsia="Arial" w:hAnsi="Arial"/>
                <w:lang w:val="en-GB"/>
              </w:rPr>
              <w:t>Kyalo</w:t>
            </w:r>
            <w:r>
              <w:rPr>
                <w:rFonts w:ascii="Arial" w:cs="Arial" w:eastAsia="Arial" w:hAnsi="Arial"/>
                <w:lang w:val="en-GB"/>
              </w:rPr>
              <w:t xml:space="preserve"> (2023, p.15) explained that training is essential for providing a skilled human resource to improve knowledge and skills of a workforce. The proposed activities are expected to be advantageous in enhancing leadership and management skills among employees that would address their psychological and self-actualisation needs. It is essential for enhancing the overall employee engagement in housekeeping services.   </w:t>
            </w:r>
          </w:p>
          <w:p w14:paraId="00000137">
            <w:pPr>
              <w:pStyle w:val="Normal1"/>
              <w:rPr>
                <w:rFonts w:ascii="Arial" w:cs="Arial" w:eastAsia="Arial" w:hAnsi="Arial"/>
                <w:b/>
                <w:lang w:val="en-GB"/>
              </w:rPr>
            </w:pPr>
            <w:r>
              <w:rPr>
                <w:rFonts w:ascii="Arial" w:cs="Arial" w:eastAsia="Arial" w:hAnsi="Arial"/>
                <w:b/>
                <w:lang w:val="en-GB"/>
              </w:rPr>
              <w:t xml:space="preserve">Material resourcing </w:t>
            </w:r>
          </w:p>
          <w:p w14:paraId="00000138">
            <w:pPr>
              <w:pStyle w:val="Normal1"/>
              <w:numPr>
                <w:ilvl w:val="0"/>
                <w:numId w:val="12"/>
              </w:numPr>
              <w:rPr>
                <w:rFonts w:ascii="Arial" w:cs="Arial" w:eastAsia="Arial" w:hAnsi="Arial"/>
                <w:lang w:val="en-GB"/>
              </w:rPr>
            </w:pPr>
            <w:r>
              <w:rPr>
                <w:rFonts w:ascii="Arial" w:cs="Arial" w:eastAsia="Arial" w:hAnsi="Arial"/>
                <w:lang w:val="en-GB"/>
              </w:rPr>
              <w:t xml:space="preserve">Funding from hotels and other investors </w:t>
            </w:r>
          </w:p>
          <w:p w14:paraId="00000139">
            <w:pPr>
              <w:pStyle w:val="Normal1"/>
              <w:numPr>
                <w:ilvl w:val="0"/>
                <w:numId w:val="12"/>
              </w:numPr>
              <w:rPr>
                <w:rFonts w:ascii="Arial" w:cs="Arial" w:eastAsia="Arial" w:hAnsi="Arial"/>
                <w:lang w:val="en-GB"/>
              </w:rPr>
            </w:pPr>
            <w:r>
              <w:rPr>
                <w:rFonts w:ascii="Arial" w:cs="Arial" w:eastAsia="Arial" w:hAnsi="Arial"/>
                <w:lang w:val="en-GB"/>
              </w:rPr>
              <w:t xml:space="preserve">Assigning and expert guidance for new employees who have joined the housekeeping department </w:t>
            </w:r>
          </w:p>
          <w:p w14:paraId="0000013A">
            <w:pPr>
              <w:pStyle w:val="Normal1"/>
              <w:rPr>
                <w:rFonts w:ascii="Arial" w:cs="Arial" w:eastAsia="Arial" w:hAnsi="Arial"/>
                <w:lang w:val="en-GB"/>
              </w:rPr>
            </w:pPr>
            <w:r>
              <w:rPr>
                <w:rFonts w:ascii="Arial" w:cs="Arial" w:eastAsia="Arial" w:hAnsi="Arial"/>
                <w:lang w:val="en-GB"/>
              </w:rPr>
              <w:t>Different resources could be required for the completion of this training session for housekeeping employees involved with the hotel organisation. One of the main required resources is investment as it can be offered to employees with the best performance as a gesture of performance recognition. Nonetheless, advancing in workers’ development often results in profit from investment (</w:t>
            </w:r>
            <w:r>
              <w:rPr>
                <w:rFonts w:ascii="Arial" w:cs="Arial" w:eastAsia="Arial" w:hAnsi="Arial"/>
                <w:lang w:val="en-GB"/>
              </w:rPr>
              <w:t>Barreto</w:t>
            </w:r>
            <w:r>
              <w:rPr>
                <w:rFonts w:ascii="Arial" w:cs="Arial" w:eastAsia="Arial" w:hAnsi="Arial"/>
                <w:lang w:val="en-GB"/>
              </w:rPr>
              <w:t xml:space="preserve"> and </w:t>
            </w:r>
            <w:r>
              <w:rPr>
                <w:rFonts w:ascii="Arial" w:cs="Arial" w:eastAsia="Arial" w:hAnsi="Arial"/>
                <w:lang w:val="en-GB"/>
              </w:rPr>
              <w:t>Mayya</w:t>
            </w:r>
            <w:r>
              <w:rPr>
                <w:rFonts w:ascii="Arial" w:cs="Arial" w:eastAsia="Arial" w:hAnsi="Arial"/>
                <w:lang w:val="en-GB"/>
              </w:rPr>
              <w:t xml:space="preserve">, 2023, p.29). Therefore, using it as a resource and offering guidance from an expert could be helpful in the proper execution of the activity.    </w:t>
            </w:r>
          </w:p>
          <w:p w14:paraId="0000013B">
            <w:pPr>
              <w:pStyle w:val="Normal1"/>
              <w:rPr>
                <w:rFonts w:ascii="Arial" w:cs="Arial" w:eastAsia="Arial" w:hAnsi="Arial"/>
                <w:b/>
                <w:lang w:val="en-GB"/>
              </w:rPr>
            </w:pPr>
            <w:r>
              <w:rPr>
                <w:rFonts w:ascii="Arial" w:cs="Arial" w:eastAsia="Arial" w:hAnsi="Arial"/>
                <w:b/>
                <w:lang w:val="en-GB"/>
              </w:rPr>
              <w:t>Program evaluation</w:t>
            </w:r>
          </w:p>
          <w:p w14:paraId="0000013C">
            <w:pPr>
              <w:pStyle w:val="Normal1"/>
              <w:numPr>
                <w:ilvl w:val="0"/>
                <w:numId w:val="13"/>
              </w:numPr>
              <w:rPr>
                <w:rFonts w:ascii="Arial" w:cs="Arial" w:eastAsia="Arial" w:hAnsi="Arial"/>
                <w:lang w:val="en-GB"/>
              </w:rPr>
            </w:pPr>
            <w:r>
              <w:rPr>
                <w:rFonts w:ascii="Arial" w:cs="Arial" w:eastAsia="Arial" w:hAnsi="Arial"/>
                <w:lang w:val="en-GB"/>
              </w:rPr>
              <w:t xml:space="preserve">Betterment of leadership skills among employees </w:t>
            </w:r>
          </w:p>
          <w:p w14:paraId="0000013D">
            <w:pPr>
              <w:pStyle w:val="Normal1"/>
              <w:numPr>
                <w:ilvl w:val="0"/>
                <w:numId w:val="13"/>
              </w:numPr>
              <w:rPr>
                <w:rFonts w:ascii="Arial" w:cs="Arial" w:eastAsia="Arial" w:hAnsi="Arial"/>
                <w:lang w:val="en-GB"/>
              </w:rPr>
            </w:pPr>
            <w:r>
              <w:rPr>
                <w:rFonts w:ascii="Arial" w:cs="Arial" w:eastAsia="Arial" w:hAnsi="Arial"/>
                <w:lang w:val="en-GB"/>
              </w:rPr>
              <w:t xml:space="preserve">Improvement in communication and collaborative outcomes  </w:t>
            </w:r>
          </w:p>
          <w:p w14:paraId="0000013E">
            <w:pPr>
              <w:pStyle w:val="Normal1"/>
              <w:numPr>
                <w:ilvl w:val="0"/>
                <w:numId w:val="13"/>
              </w:numPr>
              <w:rPr>
                <w:rFonts w:ascii="Arial" w:cs="Arial" w:eastAsia="Arial" w:hAnsi="Arial"/>
                <w:lang w:val="en-GB"/>
              </w:rPr>
            </w:pPr>
            <w:r>
              <w:rPr>
                <w:rFonts w:ascii="Arial" w:cs="Arial" w:eastAsia="Arial" w:hAnsi="Arial"/>
                <w:lang w:val="en-GB"/>
              </w:rPr>
              <w:t>Better job satisfaction among employees</w:t>
            </w:r>
          </w:p>
          <w:p w14:paraId="0000013F">
            <w:pPr>
              <w:pStyle w:val="Normal1"/>
              <w:rPr>
                <w:rFonts w:ascii="Arial" w:cs="Arial" w:eastAsia="Arial" w:hAnsi="Arial"/>
                <w:lang w:val="en-GB"/>
              </w:rPr>
            </w:pPr>
            <w:r>
              <w:rPr>
                <w:rFonts w:ascii="Arial" w:cs="Arial" w:eastAsia="Arial" w:hAnsi="Arial"/>
                <w:lang w:val="en-GB"/>
              </w:rPr>
              <w:t xml:space="preserve">The aforementioned aspects are contemplated to be evaluated to determine whether the training program has been effective or not. </w:t>
            </w:r>
            <w:r>
              <w:rPr>
                <w:rFonts w:ascii="Arial" w:cs="Arial" w:eastAsia="Arial" w:hAnsi="Arial"/>
                <w:lang w:val="en-GB"/>
              </w:rPr>
              <w:t>Mejabi</w:t>
            </w:r>
            <w:r>
              <w:rPr>
                <w:rFonts w:ascii="Arial" w:cs="Arial" w:eastAsia="Arial" w:hAnsi="Arial"/>
                <w:lang w:val="en-GB"/>
              </w:rPr>
              <w:t xml:space="preserve"> and Adah (2021, p.1) commented that a lack of training among hotel staff can be counterproductive leading to low productivity. Therefore, evaluating each employee’s progress is essential which would be measured through those improvements.  </w:t>
            </w:r>
          </w:p>
          <w:p w14:paraId="00000140">
            <w:pPr>
              <w:pStyle w:val="Normal1"/>
              <w:rPr>
                <w:rFonts w:ascii="Arial" w:cs="Arial" w:eastAsia="Arial" w:hAnsi="Arial"/>
                <w:b/>
                <w:lang w:val="en-GB"/>
              </w:rPr>
            </w:pPr>
            <w:r>
              <w:rPr>
                <w:rFonts w:ascii="Arial" w:cs="Arial" w:eastAsia="Arial" w:hAnsi="Arial"/>
                <w:b/>
                <w:lang w:val="en-GB"/>
              </w:rPr>
              <w:t xml:space="preserve">Assessment of health and safety measurements </w:t>
            </w:r>
          </w:p>
          <w:p w14:paraId="00000141">
            <w:pPr>
              <w:pStyle w:val="Normal1"/>
              <w:numPr>
                <w:ilvl w:val="0"/>
                <w:numId w:val="14"/>
              </w:numPr>
              <w:rPr>
                <w:rFonts w:ascii="Arial" w:cs="Arial" w:eastAsia="Arial" w:hAnsi="Arial"/>
                <w:lang w:val="en-GB"/>
              </w:rPr>
            </w:pPr>
            <w:r>
              <w:rPr>
                <w:rFonts w:ascii="Arial" w:cs="Arial" w:eastAsia="Arial" w:hAnsi="Arial"/>
                <w:lang w:val="en-GB"/>
              </w:rPr>
              <w:t xml:space="preserve">Adherence to employee safety code of conduct </w:t>
            </w:r>
          </w:p>
          <w:p w14:paraId="00000142">
            <w:pPr>
              <w:pStyle w:val="Normal1"/>
              <w:numPr>
                <w:ilvl w:val="0"/>
                <w:numId w:val="14"/>
              </w:numPr>
              <w:rPr>
                <w:rFonts w:ascii="Arial" w:cs="Arial" w:eastAsia="Arial" w:hAnsi="Arial"/>
                <w:lang w:val="en-GB"/>
              </w:rPr>
            </w:pPr>
            <w:r>
              <w:rPr>
                <w:rFonts w:ascii="Arial" w:cs="Arial" w:eastAsia="Arial" w:hAnsi="Arial"/>
                <w:lang w:val="en-GB"/>
              </w:rPr>
              <w:t xml:space="preserve">Maintaining hotel’s ethics for safety standards </w:t>
            </w:r>
          </w:p>
          <w:p w14:paraId="00000143">
            <w:pPr>
              <w:pStyle w:val="Normal1"/>
              <w:numPr>
                <w:ilvl w:val="0"/>
                <w:numId w:val="14"/>
              </w:numPr>
              <w:rPr>
                <w:rFonts w:ascii="Arial" w:cs="Arial" w:eastAsia="Arial" w:hAnsi="Arial"/>
                <w:lang w:val="en-GB"/>
              </w:rPr>
            </w:pPr>
            <w:r>
              <w:rPr>
                <w:rFonts w:ascii="Arial" w:cs="Arial" w:eastAsia="Arial" w:hAnsi="Arial"/>
                <w:lang w:val="en-GB"/>
              </w:rPr>
              <w:t>Obligation to government regulations in hotels</w:t>
            </w:r>
          </w:p>
          <w:p w14:paraId="00000144">
            <w:pPr>
              <w:pStyle w:val="Normal1"/>
              <w:rPr>
                <w:rFonts w:ascii="Arial" w:cs="Arial" w:eastAsia="Arial" w:hAnsi="Arial"/>
                <w:lang w:val="en-GB"/>
              </w:rPr>
            </w:pPr>
            <w:r>
              <w:rPr>
                <w:rFonts w:ascii="Arial" w:cs="Arial" w:eastAsia="Arial" w:hAnsi="Arial"/>
                <w:lang w:val="en-GB"/>
              </w:rPr>
              <w:t>During the housekeeping process overall safety management of the hotel is also considered. The Wales government employs the “Regulatory Reform (Fire Safety) Order 2005” which will be considered as well along with the “Equality Act 2010” and “local Environmental Health Department” (</w:t>
            </w:r>
            <w:r>
              <w:rPr>
                <w:rFonts w:ascii="Arial" w:cs="Arial" w:eastAsia="Arial" w:hAnsi="Arial"/>
                <w:color w:val="222222"/>
                <w:highlight w:val="white"/>
                <w:lang w:val="en-GB"/>
              </w:rPr>
              <w:t>businesswales</w:t>
            </w:r>
            <w:r>
              <w:rPr>
                <w:rFonts w:ascii="Arial" w:cs="Arial" w:eastAsia="Arial" w:hAnsi="Arial"/>
                <w:color w:val="222222"/>
                <w:highlight w:val="white"/>
                <w:lang w:val="en-GB"/>
              </w:rPr>
              <w:t>, 2023</w:t>
            </w:r>
            <w:r>
              <w:rPr>
                <w:rFonts w:ascii="Arial" w:cs="Arial" w:eastAsia="Arial" w:hAnsi="Arial"/>
                <w:lang w:val="en-GB"/>
              </w:rPr>
              <w:t xml:space="preserve">). Obligation to these measurements can help preserve an overall integrated housekeeping service within the hotel industry.  </w:t>
            </w:r>
          </w:p>
          <w:p w14:paraId="00000145">
            <w:pPr>
              <w:pStyle w:val="Normal1"/>
              <w:rPr>
                <w:rFonts w:ascii="Arial" w:cs="Arial" w:eastAsia="Arial" w:hAnsi="Arial"/>
                <w:b/>
                <w:lang w:val="en-GB"/>
              </w:rPr>
            </w:pPr>
            <w:r>
              <w:rPr>
                <w:rFonts w:ascii="Arial" w:cs="Arial" w:eastAsia="Arial" w:hAnsi="Arial"/>
                <w:b/>
                <w:lang w:val="en-GB"/>
              </w:rPr>
              <w:t xml:space="preserve">Conclusion   </w:t>
            </w:r>
          </w:p>
          <w:p w14:paraId="00000146">
            <w:pPr>
              <w:pStyle w:val="Normal1"/>
              <w:numPr>
                <w:ilvl w:val="0"/>
                <w:numId w:val="15"/>
              </w:numPr>
              <w:rPr>
                <w:rFonts w:ascii="Arial" w:cs="Arial" w:eastAsia="Arial" w:hAnsi="Arial"/>
                <w:lang w:val="en-GB"/>
              </w:rPr>
            </w:pPr>
            <w:r>
              <w:rPr>
                <w:rFonts w:ascii="Arial" w:cs="Arial" w:eastAsia="Arial" w:hAnsi="Arial"/>
                <w:lang w:val="en-GB"/>
              </w:rPr>
              <w:t xml:space="preserve">Strategic training facilities for housekeeping employees are beneficial for enhancing their performance competencies </w:t>
            </w:r>
          </w:p>
          <w:p w14:paraId="00000147">
            <w:pPr>
              <w:pStyle w:val="Normal1"/>
              <w:numPr>
                <w:ilvl w:val="0"/>
                <w:numId w:val="15"/>
              </w:numPr>
              <w:rPr>
                <w:rFonts w:ascii="Arial" w:cs="Arial" w:eastAsia="Arial" w:hAnsi="Arial"/>
                <w:lang w:val="en-GB"/>
              </w:rPr>
            </w:pPr>
            <w:r>
              <w:rPr>
                <w:rFonts w:ascii="Arial" w:cs="Arial" w:eastAsia="Arial" w:hAnsi="Arial"/>
                <w:lang w:val="en-GB"/>
              </w:rPr>
              <w:t xml:space="preserve">It allows hotel organisations to deliver satisfactory guest service regarding accommodation services. </w:t>
            </w:r>
          </w:p>
          <w:p w14:paraId="00000148">
            <w:pPr>
              <w:pStyle w:val="Normal1"/>
              <w:rPr>
                <w:rFonts w:ascii="Arial" w:cs="Arial" w:eastAsia="Arial" w:hAnsi="Arial"/>
                <w:lang w:val="en-GB"/>
              </w:rPr>
            </w:pPr>
            <w:r>
              <w:rPr>
                <w:rFonts w:ascii="Arial" w:cs="Arial" w:eastAsia="Arial" w:hAnsi="Arial"/>
                <w:lang w:val="en-GB"/>
              </w:rPr>
              <w:t xml:space="preserve">The training facilities are suitable for preparing a competent employee base for executing housekeeping services. The activities mentioned for the training facilities are capable of improving employee capabilities while offering an opportunity for them to be more engaged with organisational commitment and ensure job security. It makes the possibility of reducing the potential for high employee turnover relevantly low. Hence, it can be concluded that the preparation of employee training for better engagement needs to be concentrated on addressing the needs of employees while aligning them with organisational goals and objectives. </w:t>
            </w:r>
            <w:r>
              <w:rPr>
                <w:lang w:val="en-GB"/>
              </w:rPr>
              <w:br w:type="page"/>
            </w:r>
          </w:p>
          <w:p w14:paraId="00000149">
            <w:pPr>
              <w:spacing w:after="0" w:line="240" w:lineRule="auto"/>
              <w:rPr>
                <w:rFonts w:ascii="Arial" w:cs="Times New Roman" w:eastAsia="Times New Roman" w:hAnsi="Arial"/>
                <w:bCs/>
                <w:color w:val="auto"/>
                <w:sz w:val="24"/>
                <w:szCs w:val="24"/>
              </w:rPr>
            </w:pPr>
          </w:p>
          <w:p w14:paraId="0000014A">
            <w:pPr>
              <w:spacing w:after="0" w:line="240" w:lineRule="auto"/>
              <w:rPr>
                <w:rFonts w:ascii="Arial" w:cs="Times New Roman" w:eastAsia="Times New Roman" w:hAnsi="Arial"/>
                <w:bCs/>
                <w:color w:val="auto"/>
                <w:sz w:val="20"/>
                <w:szCs w:val="20"/>
              </w:rPr>
            </w:pPr>
          </w:p>
          <w:p w14:paraId="0000014B">
            <w:pPr>
              <w:spacing w:after="0" w:line="240" w:lineRule="auto"/>
              <w:ind w:left="-829"/>
              <w:rPr>
                <w:rFonts w:ascii="Arial" w:cs="Times New Roman" w:eastAsia="Times New Roman" w:hAnsi="Arial"/>
                <w:bCs/>
                <w:color w:val="auto"/>
                <w:sz w:val="20"/>
                <w:szCs w:val="20"/>
              </w:rPr>
            </w:pPr>
          </w:p>
          <w:p w14:paraId="0000014C">
            <w:pPr>
              <w:spacing w:after="0" w:line="240" w:lineRule="auto"/>
              <w:rPr>
                <w:rFonts w:ascii="Arial" w:cs="Times New Roman" w:eastAsia="Times New Roman" w:hAnsi="Arial"/>
                <w:bCs/>
                <w:color w:val="auto"/>
                <w:sz w:val="20"/>
                <w:szCs w:val="20"/>
              </w:rPr>
            </w:pPr>
          </w:p>
          <w:p w14:paraId="0000014D">
            <w:pPr>
              <w:spacing w:after="0" w:line="240" w:lineRule="auto"/>
              <w:rPr>
                <w:rFonts w:ascii="Arial" w:cs="Times New Roman" w:eastAsia="Times New Roman" w:hAnsi="Arial"/>
                <w:bCs/>
                <w:color w:val="auto"/>
                <w:sz w:val="20"/>
                <w:szCs w:val="20"/>
              </w:rPr>
            </w:pPr>
          </w:p>
          <w:p w14:paraId="0000014E">
            <w:pPr>
              <w:spacing w:after="0" w:line="240" w:lineRule="auto"/>
              <w:rPr>
                <w:rFonts w:ascii="Arial" w:cs="Times New Roman" w:eastAsia="Times New Roman" w:hAnsi="Arial"/>
                <w:bCs/>
                <w:color w:val="auto"/>
                <w:sz w:val="20"/>
                <w:szCs w:val="20"/>
              </w:rPr>
            </w:pPr>
          </w:p>
          <w:p w14:paraId="0000014F">
            <w:pPr>
              <w:spacing w:after="0" w:line="240" w:lineRule="auto"/>
              <w:rPr>
                <w:rFonts w:ascii="Arial" w:cs="Times New Roman" w:eastAsia="Times New Roman" w:hAnsi="Arial"/>
                <w:bCs/>
                <w:color w:val="auto"/>
                <w:sz w:val="20"/>
                <w:szCs w:val="20"/>
              </w:rPr>
            </w:pPr>
          </w:p>
          <w:p w14:paraId="00000150">
            <w:pPr>
              <w:spacing w:after="0" w:line="240" w:lineRule="auto"/>
              <w:rPr>
                <w:rFonts w:ascii="Arial" w:cs="Times New Roman" w:eastAsia="Times New Roman" w:hAnsi="Arial"/>
                <w:bCs/>
                <w:color w:val="auto"/>
                <w:sz w:val="20"/>
                <w:szCs w:val="20"/>
              </w:rPr>
            </w:pPr>
          </w:p>
          <w:p w14:paraId="00000151">
            <w:pPr>
              <w:spacing w:after="0" w:line="240" w:lineRule="auto"/>
              <w:rPr>
                <w:rFonts w:ascii="Arial" w:cs="Times New Roman" w:eastAsia="Times New Roman" w:hAnsi="Arial"/>
                <w:bCs/>
                <w:color w:val="auto"/>
                <w:sz w:val="20"/>
                <w:szCs w:val="20"/>
              </w:rPr>
            </w:pPr>
          </w:p>
          <w:p w14:paraId="00000152">
            <w:pPr>
              <w:spacing w:after="0" w:line="240" w:lineRule="auto"/>
              <w:rPr>
                <w:rFonts w:ascii="Arial" w:cs="Times New Roman" w:eastAsia="Times New Roman" w:hAnsi="Arial"/>
                <w:bCs/>
                <w:color w:val="auto"/>
                <w:sz w:val="20"/>
                <w:szCs w:val="20"/>
              </w:rPr>
            </w:pPr>
          </w:p>
          <w:p w14:paraId="00000153">
            <w:pPr>
              <w:spacing w:after="0" w:line="240" w:lineRule="auto"/>
              <w:rPr>
                <w:rFonts w:ascii="Arial" w:cs="Times New Roman" w:eastAsia="Times New Roman" w:hAnsi="Arial"/>
                <w:bCs/>
                <w:color w:val="auto"/>
                <w:sz w:val="20"/>
                <w:szCs w:val="20"/>
              </w:rPr>
            </w:pPr>
          </w:p>
          <w:p w14:paraId="00000154">
            <w:pPr>
              <w:spacing w:after="0" w:line="240" w:lineRule="auto"/>
              <w:rPr>
                <w:rFonts w:ascii="Arial" w:cs="Times New Roman" w:eastAsia="Times New Roman" w:hAnsi="Arial"/>
                <w:bCs/>
                <w:color w:val="auto"/>
                <w:sz w:val="20"/>
                <w:szCs w:val="20"/>
              </w:rPr>
            </w:pPr>
          </w:p>
          <w:p w14:paraId="00000155">
            <w:pPr>
              <w:spacing w:after="0" w:line="240" w:lineRule="auto"/>
              <w:rPr>
                <w:rFonts w:ascii="Arial" w:cs="Times New Roman" w:eastAsia="Times New Roman" w:hAnsi="Arial"/>
                <w:bCs/>
                <w:color w:val="auto"/>
                <w:sz w:val="20"/>
                <w:szCs w:val="20"/>
              </w:rPr>
            </w:pPr>
          </w:p>
          <w:p w14:paraId="00000156">
            <w:pPr>
              <w:spacing w:after="0" w:line="240" w:lineRule="auto"/>
              <w:rPr>
                <w:rFonts w:ascii="Arial" w:cs="Times New Roman" w:eastAsia="Times New Roman" w:hAnsi="Arial"/>
                <w:bCs/>
                <w:color w:val="auto"/>
                <w:sz w:val="20"/>
                <w:szCs w:val="20"/>
              </w:rPr>
            </w:pPr>
          </w:p>
          <w:p w14:paraId="00000157">
            <w:pPr>
              <w:spacing w:after="0" w:line="240" w:lineRule="auto"/>
              <w:rPr>
                <w:rFonts w:ascii="Arial" w:cs="Times New Roman" w:eastAsia="Times New Roman" w:hAnsi="Arial"/>
                <w:bCs/>
                <w:color w:val="auto"/>
                <w:sz w:val="20"/>
                <w:szCs w:val="20"/>
              </w:rPr>
            </w:pPr>
          </w:p>
          <w:p w14:paraId="00000158">
            <w:pPr>
              <w:spacing w:after="0" w:line="240" w:lineRule="auto"/>
              <w:rPr>
                <w:rFonts w:ascii="Arial" w:cs="Times New Roman" w:eastAsia="Times New Roman" w:hAnsi="Arial"/>
                <w:bCs/>
                <w:color w:val="auto"/>
                <w:sz w:val="20"/>
                <w:szCs w:val="20"/>
              </w:rPr>
            </w:pPr>
          </w:p>
          <w:p w14:paraId="00000159">
            <w:pPr>
              <w:spacing w:after="0" w:line="240" w:lineRule="auto"/>
              <w:rPr>
                <w:rFonts w:ascii="Arial" w:cs="Times New Roman" w:eastAsia="Times New Roman" w:hAnsi="Arial"/>
                <w:bCs/>
                <w:color w:val="auto"/>
                <w:sz w:val="20"/>
                <w:szCs w:val="20"/>
              </w:rPr>
            </w:pPr>
          </w:p>
          <w:p w14:paraId="0000015A">
            <w:pPr>
              <w:spacing w:after="0" w:line="240" w:lineRule="auto"/>
              <w:rPr>
                <w:rFonts w:ascii="Arial" w:cs="Times New Roman" w:eastAsia="Times New Roman" w:hAnsi="Arial"/>
                <w:bCs/>
                <w:color w:val="auto"/>
                <w:sz w:val="20"/>
                <w:szCs w:val="20"/>
              </w:rPr>
            </w:pPr>
          </w:p>
          <w:p w14:paraId="0000015B">
            <w:pPr>
              <w:spacing w:after="0" w:line="240" w:lineRule="auto"/>
              <w:rPr>
                <w:rFonts w:ascii="Arial" w:cs="Times New Roman" w:eastAsia="Times New Roman" w:hAnsi="Arial"/>
                <w:bCs/>
                <w:color w:val="auto"/>
                <w:sz w:val="20"/>
                <w:szCs w:val="20"/>
              </w:rPr>
            </w:pPr>
          </w:p>
          <w:p w14:paraId="0000015C">
            <w:pPr>
              <w:spacing w:after="0" w:line="240" w:lineRule="auto"/>
              <w:rPr>
                <w:rFonts w:ascii="Arial" w:cs="Times New Roman" w:eastAsia="Times New Roman" w:hAnsi="Arial"/>
                <w:bCs/>
                <w:color w:val="auto"/>
                <w:sz w:val="20"/>
                <w:szCs w:val="20"/>
              </w:rPr>
            </w:pPr>
          </w:p>
          <w:p w14:paraId="0000015D">
            <w:pPr>
              <w:spacing w:after="0" w:line="240" w:lineRule="auto"/>
              <w:rPr>
                <w:rFonts w:ascii="Arial" w:cs="Times New Roman" w:eastAsia="Times New Roman" w:hAnsi="Arial"/>
                <w:bCs/>
                <w:color w:val="auto"/>
                <w:sz w:val="20"/>
                <w:szCs w:val="20"/>
              </w:rPr>
            </w:pPr>
          </w:p>
          <w:p w14:paraId="0000015E">
            <w:pPr>
              <w:spacing w:after="0" w:line="240" w:lineRule="auto"/>
              <w:rPr>
                <w:rFonts w:ascii="Arial" w:cs="Times New Roman" w:eastAsia="Times New Roman" w:hAnsi="Arial"/>
                <w:bCs/>
                <w:color w:val="auto"/>
                <w:sz w:val="20"/>
                <w:szCs w:val="20"/>
              </w:rPr>
            </w:pPr>
          </w:p>
          <w:p w14:paraId="0000015F">
            <w:pPr>
              <w:spacing w:after="0" w:line="240" w:lineRule="auto"/>
              <w:rPr>
                <w:rFonts w:ascii="Arial" w:cs="Times New Roman" w:eastAsia="Times New Roman" w:hAnsi="Arial"/>
                <w:bCs/>
                <w:color w:val="auto"/>
                <w:sz w:val="20"/>
                <w:szCs w:val="20"/>
              </w:rPr>
            </w:pPr>
          </w:p>
          <w:p w14:paraId="00000160">
            <w:pPr>
              <w:spacing w:after="0" w:line="240" w:lineRule="auto"/>
              <w:rPr>
                <w:rFonts w:ascii="Arial" w:cs="Times New Roman" w:eastAsia="Times New Roman" w:hAnsi="Arial"/>
                <w:bCs/>
                <w:color w:val="auto"/>
                <w:sz w:val="20"/>
                <w:szCs w:val="20"/>
              </w:rPr>
            </w:pPr>
          </w:p>
          <w:p w14:paraId="00000161">
            <w:pPr>
              <w:spacing w:after="0" w:line="240" w:lineRule="auto"/>
              <w:rPr>
                <w:rFonts w:ascii="Arial" w:cs="Times New Roman" w:eastAsia="Times New Roman" w:hAnsi="Arial"/>
                <w:bCs/>
                <w:color w:val="auto"/>
                <w:sz w:val="20"/>
                <w:szCs w:val="20"/>
              </w:rPr>
            </w:pPr>
          </w:p>
          <w:p w14:paraId="00000162">
            <w:pPr>
              <w:spacing w:after="0" w:line="240" w:lineRule="auto"/>
              <w:rPr>
                <w:rFonts w:ascii="Arial" w:cs="Times New Roman" w:eastAsia="Times New Roman" w:hAnsi="Arial"/>
                <w:bCs/>
                <w:color w:val="auto"/>
                <w:sz w:val="20"/>
                <w:szCs w:val="20"/>
              </w:rPr>
            </w:pPr>
          </w:p>
          <w:p w14:paraId="00000163">
            <w:pPr>
              <w:spacing w:after="0" w:line="240" w:lineRule="auto"/>
              <w:rPr>
                <w:rFonts w:ascii="Arial" w:cs="Times New Roman" w:eastAsia="Times New Roman" w:hAnsi="Arial"/>
                <w:bCs/>
                <w:color w:val="auto"/>
                <w:sz w:val="20"/>
                <w:szCs w:val="20"/>
              </w:rPr>
            </w:pPr>
          </w:p>
          <w:p w14:paraId="00000164">
            <w:pPr>
              <w:spacing w:after="0" w:line="240" w:lineRule="auto"/>
              <w:rPr>
                <w:rFonts w:ascii="Arial" w:cs="Times New Roman" w:eastAsia="Times New Roman" w:hAnsi="Arial"/>
                <w:bCs/>
                <w:color w:val="auto"/>
                <w:sz w:val="20"/>
                <w:szCs w:val="20"/>
              </w:rPr>
            </w:pPr>
          </w:p>
          <w:p w14:paraId="00000165">
            <w:pPr>
              <w:spacing w:after="0" w:line="240" w:lineRule="auto"/>
              <w:rPr>
                <w:rFonts w:ascii="Arial" w:cs="Times New Roman" w:eastAsia="Times New Roman" w:hAnsi="Arial"/>
                <w:bCs/>
                <w:color w:val="auto"/>
                <w:sz w:val="20"/>
                <w:szCs w:val="20"/>
              </w:rPr>
            </w:pPr>
          </w:p>
          <w:p w14:paraId="00000166">
            <w:pPr>
              <w:spacing w:after="0" w:line="240" w:lineRule="auto"/>
              <w:rPr>
                <w:rFonts w:ascii="Arial" w:cs="Times New Roman" w:eastAsia="Times New Roman" w:hAnsi="Arial"/>
                <w:bCs/>
                <w:color w:val="auto"/>
                <w:sz w:val="20"/>
                <w:szCs w:val="20"/>
              </w:rPr>
            </w:pPr>
          </w:p>
          <w:p w14:paraId="00000167">
            <w:pPr>
              <w:spacing w:after="0" w:line="240" w:lineRule="auto"/>
              <w:rPr>
                <w:rFonts w:ascii="Arial" w:cs="Times New Roman" w:eastAsia="Times New Roman" w:hAnsi="Arial"/>
                <w:bCs/>
                <w:color w:val="auto"/>
                <w:sz w:val="20"/>
                <w:szCs w:val="20"/>
              </w:rPr>
            </w:pPr>
          </w:p>
          <w:p w14:paraId="00000168">
            <w:pPr>
              <w:spacing w:after="0" w:line="240" w:lineRule="auto"/>
              <w:rPr>
                <w:rFonts w:ascii="Arial" w:cs="Times New Roman" w:eastAsia="Times New Roman" w:hAnsi="Arial"/>
                <w:bCs/>
                <w:color w:val="auto"/>
                <w:sz w:val="20"/>
                <w:szCs w:val="20"/>
              </w:rPr>
            </w:pPr>
          </w:p>
          <w:p w14:paraId="00000169">
            <w:pPr>
              <w:spacing w:after="0" w:line="240" w:lineRule="auto"/>
              <w:rPr>
                <w:rFonts w:ascii="Arial" w:cs="Times New Roman" w:eastAsia="Times New Roman" w:hAnsi="Arial"/>
                <w:bCs/>
                <w:color w:val="auto"/>
                <w:sz w:val="20"/>
                <w:szCs w:val="20"/>
              </w:rPr>
            </w:pPr>
          </w:p>
          <w:p w14:paraId="0000016A">
            <w:pPr>
              <w:spacing w:after="0" w:line="240" w:lineRule="auto"/>
              <w:rPr>
                <w:rFonts w:ascii="Arial" w:cs="Times New Roman" w:eastAsia="Times New Roman" w:hAnsi="Arial"/>
                <w:bCs/>
                <w:color w:val="auto"/>
                <w:sz w:val="20"/>
                <w:szCs w:val="20"/>
              </w:rPr>
            </w:pPr>
          </w:p>
          <w:p w14:paraId="0000016B">
            <w:pPr>
              <w:spacing w:after="0" w:line="240" w:lineRule="auto"/>
              <w:rPr>
                <w:rFonts w:ascii="Arial" w:cs="Times New Roman" w:eastAsia="Times New Roman" w:hAnsi="Arial"/>
                <w:bCs/>
                <w:color w:val="auto"/>
                <w:sz w:val="20"/>
                <w:szCs w:val="20"/>
              </w:rPr>
            </w:pPr>
          </w:p>
          <w:p w14:paraId="0000016C">
            <w:pPr>
              <w:spacing w:after="0" w:line="240" w:lineRule="auto"/>
              <w:rPr>
                <w:rFonts w:ascii="Arial" w:cs="Times New Roman" w:eastAsia="Times New Roman" w:hAnsi="Arial"/>
                <w:bCs/>
                <w:color w:val="auto"/>
                <w:sz w:val="20"/>
                <w:szCs w:val="20"/>
              </w:rPr>
            </w:pPr>
          </w:p>
          <w:p w14:paraId="0000016D">
            <w:pPr>
              <w:spacing w:after="0" w:line="240" w:lineRule="auto"/>
              <w:rPr>
                <w:rFonts w:ascii="Arial" w:cs="Times New Roman" w:eastAsia="Times New Roman" w:hAnsi="Arial"/>
                <w:bCs/>
                <w:color w:val="auto"/>
                <w:sz w:val="20"/>
                <w:szCs w:val="20"/>
              </w:rPr>
            </w:pPr>
          </w:p>
          <w:p w14:paraId="0000016E">
            <w:pPr>
              <w:spacing w:after="0" w:line="240" w:lineRule="auto"/>
              <w:rPr>
                <w:rFonts w:ascii="Arial" w:cs="Times New Roman" w:eastAsia="Times New Roman" w:hAnsi="Arial"/>
                <w:bCs/>
                <w:color w:val="auto"/>
                <w:sz w:val="20"/>
                <w:szCs w:val="20"/>
              </w:rPr>
            </w:pPr>
          </w:p>
          <w:p w14:paraId="0000016F">
            <w:pPr>
              <w:spacing w:after="0" w:line="240" w:lineRule="auto"/>
              <w:rPr>
                <w:rFonts w:ascii="Arial" w:cs="Times New Roman" w:eastAsia="Times New Roman" w:hAnsi="Arial"/>
                <w:bCs/>
                <w:color w:val="auto"/>
                <w:sz w:val="20"/>
                <w:szCs w:val="20"/>
              </w:rPr>
            </w:pPr>
          </w:p>
        </w:tc>
      </w:tr>
    </w:tbl>
    <w:p w14:paraId="00000170"/>
    <w:p w14:paraId="00000171"/>
    <w:p w14:paraId="00000172"/>
    <w:p w14:paraId="00000173">
      <w:pPr>
        <w:pStyle w:val="Heading1"/>
        <w:pBdr>
          <w:top w:val="single" w:color="auto" w:sz="4" w:space="1"/>
          <w:left w:val="single" w:color="auto" w:sz="4" w:space="4"/>
          <w:bottom w:val="single" w:color="auto" w:sz="4" w:space="1"/>
          <w:right w:val="single" w:color="auto" w:sz="4" w:space="4"/>
          <w:between w:val="single" w:color="auto" w:sz="4" w:space="1"/>
          <w:bar w:val="single" w:color="auto" w:sz="4" w:space="0"/>
        </w:pBdr>
        <w:rPr>
          <w:b/>
          <w:bCs/>
          <w:color w:val="auto"/>
        </w:rPr>
      </w:pPr>
      <w:r>
        <w:rPr>
          <w:b/>
          <w:bCs/>
          <w:color w:val="auto"/>
        </w:rPr>
        <w:t>References</w:t>
      </w:r>
    </w:p>
    <w:p w14:paraId="00000174">
      <w:pPr>
        <w:pStyle w:val="Normal"/>
        <w:rPr>
          <w:rFonts w:ascii="Arial" w:cs="Arial" w:eastAsia="Arial" w:hAnsi="Arial"/>
          <w:b/>
          <w:i/>
          <w:lang w:val="en-GB"/>
        </w:rPr>
      </w:pPr>
      <w:r>
        <w:rPr>
          <w:rFonts w:ascii="Arial" w:cs="Arial" w:eastAsia="Arial" w:hAnsi="Arial"/>
          <w:b/>
          <w:i/>
          <w:lang w:val="en-GB"/>
        </w:rPr>
        <w:t xml:space="preserve">Component one </w:t>
      </w:r>
    </w:p>
    <w:p w14:paraId="00000175">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Adriana, L.S., Mauricio, C., Loreida, T., Kadri, K., Edgar IV, C. and Yu, H., (2019). Benefits, challenges, and opportunities of conducting a collaborative research course in an international university partnership: A study case between Kansas State University and Tallinn University of Technology. </w:t>
      </w:r>
      <w:r>
        <w:rPr>
          <w:rFonts w:ascii="Arial" w:cs="Arial" w:eastAsia="Arial" w:hAnsi="Arial"/>
          <w:i/>
          <w:color w:val="000000" w:themeColor="text1"/>
          <w:highlight w:val="white"/>
          <w:lang w:val="en-GB"/>
        </w:rPr>
        <w:t>Journal of Food Science Education</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18</w:t>
      </w:r>
      <w:r>
        <w:rPr>
          <w:rFonts w:ascii="Arial" w:cs="Arial" w:eastAsia="Arial" w:hAnsi="Arial"/>
          <w:color w:val="000000" w:themeColor="text1"/>
          <w:highlight w:val="white"/>
          <w:lang w:val="en-GB"/>
        </w:rPr>
        <w:t xml:space="preserve">(4), pp.78-86. Available at: doi: 10.1111/1541-4329.12162 </w:t>
      </w:r>
    </w:p>
    <w:p w14:paraId="00000176">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De Visser, E.J., Peeters, M.M., Jung, M.F., Kohn, S., Shaw, T.H., Pak, R. and Neerincx, M.A., (2020). Towards a theory of longitudinal trust calibration in human–robot teams. </w:t>
      </w:r>
      <w:r>
        <w:rPr>
          <w:rFonts w:ascii="Arial" w:cs="Arial" w:eastAsia="Arial" w:hAnsi="Arial"/>
          <w:i/>
          <w:color w:val="000000" w:themeColor="text1"/>
          <w:highlight w:val="white"/>
          <w:lang w:val="en-GB"/>
        </w:rPr>
        <w:t>International journal of social robotics</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12</w:t>
      </w:r>
      <w:r>
        <w:rPr>
          <w:rFonts w:ascii="Arial" w:cs="Arial" w:eastAsia="Arial" w:hAnsi="Arial"/>
          <w:color w:val="000000" w:themeColor="text1"/>
          <w:highlight w:val="white"/>
          <w:lang w:val="en-GB"/>
        </w:rPr>
        <w:t>(2), pp.459-478. Available at: https://doi.org/10.1007/s12369-019-00596-x</w:t>
      </w:r>
    </w:p>
    <w:p w14:paraId="00000177">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Sekhar, C. and Patwardhan, M., (2023). Flexible working arrangement and job performance: the mediating role of supervisor support. </w:t>
      </w:r>
      <w:r>
        <w:rPr>
          <w:rFonts w:ascii="Arial" w:cs="Arial" w:eastAsia="Arial" w:hAnsi="Arial"/>
          <w:i/>
          <w:color w:val="000000" w:themeColor="text1"/>
          <w:highlight w:val="white"/>
          <w:lang w:val="en-GB"/>
        </w:rPr>
        <w:t>International Journal of Productivity and Performance Management</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72</w:t>
      </w:r>
      <w:r>
        <w:rPr>
          <w:rFonts w:ascii="Arial" w:cs="Arial" w:eastAsia="Arial" w:hAnsi="Arial"/>
          <w:color w:val="000000" w:themeColor="text1"/>
          <w:highlight w:val="white"/>
          <w:lang w:val="en-GB"/>
        </w:rPr>
        <w:t>(5), pp.1221-1238. Available at: https://doi.org/10.1108/IJPPM-07-2020-0396</w:t>
      </w:r>
    </w:p>
    <w:p w14:paraId="00000178">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Słoniec, J. and Kaczorowska, A., (2019) Supporting the decision-making process on the introduction of it outsourcing in the organisation. Supporting the decision-making process on the introduction of it outsourcing in the organization, p.41. Available at: https://www.researchgate.net/profile/Miami-Mohammed/publication/355779168_Fem_analysis_of_two-core_photonic_crystal_fiber_coupling_characteristics/links/617d58a10be8ec17a94d67b9/Fem-analysis-of-two-core-photonic-crystal-fiber-coupling-characteristics.pdf#page=43</w:t>
      </w:r>
    </w:p>
    <w:p w14:paraId="00000179">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Suzabar, D.F., Soelton, M., Umar, M. and Triwulan, J., (2020), February. Recognizing how the time demands of work influences the turnover intention in banking industry. In </w:t>
      </w:r>
      <w:r>
        <w:rPr>
          <w:rFonts w:ascii="Arial" w:cs="Arial" w:eastAsia="Arial" w:hAnsi="Arial"/>
          <w:i/>
          <w:color w:val="000000" w:themeColor="text1"/>
          <w:highlight w:val="white"/>
          <w:lang w:val="en-GB"/>
        </w:rPr>
        <w:t>4th International Conference on Management, Economics and Business (ICMEB 2019)</w:t>
      </w:r>
      <w:r>
        <w:rPr>
          <w:rFonts w:ascii="Arial" w:cs="Arial" w:eastAsia="Arial" w:hAnsi="Arial"/>
          <w:color w:val="000000" w:themeColor="text1"/>
          <w:highlight w:val="white"/>
          <w:lang w:val="en-GB"/>
        </w:rPr>
        <w:t xml:space="preserve"> (pp. 40-45). Atlantis Press. Available at: </w:t>
      </w:r>
      <w:r>
        <w:fldChar w:fldCharType="begin"/>
      </w:r>
      <w:r>
        <w:instrText xml:space="preserve">HYPERLINK "https://www.atlantis-press.com/article/125934073.pdf" </w:instrText>
      </w:r>
      <w:r>
        <w:fldChar w:fldCharType="separate"/>
      </w:r>
      <w:r>
        <w:rPr>
          <w:rFonts w:ascii="Arial" w:cs="Arial" w:eastAsia="Arial" w:hAnsi="Arial"/>
          <w:color w:val="000000" w:themeColor="text1"/>
          <w:highlight w:val="white"/>
          <w:lang w:val="en-GB"/>
        </w:rPr>
        <w:t>https://www.atlantis-press.com/article/125934073.pdf</w:t>
      </w:r>
      <w:r>
        <w:fldChar w:fldCharType="end"/>
      </w:r>
    </w:p>
    <w:p w14:paraId="0000017A">
      <w:pPr>
        <w:pStyle w:val="Normal"/>
        <w:spacing w:before="240" w:after="240"/>
        <w:rPr>
          <w:rFonts w:ascii="Arial" w:cs="Arial" w:eastAsia="Arial" w:hAnsi="Arial"/>
          <w:b/>
          <w:i/>
          <w:color w:val="222222"/>
          <w:highlight w:val="white"/>
          <w:lang w:val="en-GB"/>
        </w:rPr>
      </w:pPr>
      <w:r>
        <w:rPr>
          <w:rFonts w:ascii="Arial" w:cs="Arial" w:eastAsia="Arial" w:hAnsi="Arial"/>
          <w:b/>
          <w:i/>
          <w:color w:val="222222"/>
          <w:highlight w:val="white"/>
          <w:lang w:val="en-GB"/>
        </w:rPr>
        <w:t>Component Two</w:t>
      </w:r>
    </w:p>
    <w:p w14:paraId="0000017B">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Akbar, M.F., (2021). Performance Appraisal Design In The Grand Mutiara Hotel Housekeeping Division Using BARS Assessment Model. </w:t>
      </w:r>
      <w:r>
        <w:rPr>
          <w:rFonts w:ascii="Arial" w:cs="Arial" w:eastAsia="Arial" w:hAnsi="Arial"/>
          <w:i/>
          <w:color w:val="000000" w:themeColor="text1"/>
          <w:highlight w:val="white"/>
          <w:lang w:val="en-GB"/>
        </w:rPr>
        <w:t>International Journal of Innovation in Enterprise System</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5</w:t>
      </w:r>
      <w:r>
        <w:rPr>
          <w:rFonts w:ascii="Arial" w:cs="Arial" w:eastAsia="Arial" w:hAnsi="Arial"/>
          <w:color w:val="000000" w:themeColor="text1"/>
          <w:highlight w:val="white"/>
          <w:lang w:val="en-GB"/>
        </w:rPr>
        <w:t xml:space="preserve">(01), pp.65-77. Available at: https://ijies.sie.telkomuniversity.ac.id/index.php/IJIES/article/download/89/98. </w:t>
      </w:r>
    </w:p>
    <w:p w14:paraId="0000017C">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Andrade, M.S., Miller, D. and Westover, J.H., (2021). Job satisfaction factors for housekeepers in the hotel industry: a global comparative analysis. </w:t>
      </w:r>
      <w:r>
        <w:rPr>
          <w:rFonts w:ascii="Arial" w:cs="Arial" w:eastAsia="Arial" w:hAnsi="Arial"/>
          <w:i/>
          <w:color w:val="000000" w:themeColor="text1"/>
          <w:highlight w:val="white"/>
          <w:lang w:val="en-GB"/>
        </w:rPr>
        <w:t>International Hospitality Review</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35</w:t>
      </w:r>
      <w:r>
        <w:rPr>
          <w:rFonts w:ascii="Arial" w:cs="Arial" w:eastAsia="Arial" w:hAnsi="Arial"/>
          <w:color w:val="000000" w:themeColor="text1"/>
          <w:highlight w:val="white"/>
          <w:lang w:val="en-GB"/>
        </w:rPr>
        <w:t xml:space="preserve">(1), pp.90-108. Available at: https://doi.org/10.1108/IHR-06-2020-0018. </w:t>
      </w:r>
    </w:p>
    <w:p w14:paraId="0000017D">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Bhatnagar, E. and Nim, D., (2019). Impact of housekeeping services and practices on customer satisfaction and repeat business. </w:t>
      </w:r>
      <w:r>
        <w:rPr>
          <w:rFonts w:ascii="Arial" w:cs="Arial" w:eastAsia="Arial" w:hAnsi="Arial"/>
          <w:i/>
          <w:color w:val="000000" w:themeColor="text1"/>
          <w:highlight w:val="white"/>
          <w:lang w:val="en-GB"/>
        </w:rPr>
        <w:t>Prabandhan: Indian Journal of Management</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12</w:t>
      </w:r>
      <w:r>
        <w:rPr>
          <w:rFonts w:ascii="Arial" w:cs="Arial" w:eastAsia="Arial" w:hAnsi="Arial"/>
          <w:color w:val="000000" w:themeColor="text1"/>
          <w:highlight w:val="white"/>
          <w:lang w:val="en-GB"/>
        </w:rPr>
        <w:t xml:space="preserve">(8), pp.46-57. Available at: 10.17010/pijom/2019/v12i8/146417. </w:t>
      </w:r>
    </w:p>
    <w:p w14:paraId="0000017E">
      <w:pPr>
        <w:pStyle w:val="Normal"/>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Hossain, M.S., Hussain, K., Kannan, S. and Kunju Raman Nair, S.K., (2022). Determinants of sustainable competitive advantage from resource-based view: implications for hotel industry. </w:t>
      </w:r>
      <w:r>
        <w:rPr>
          <w:rFonts w:ascii="Arial" w:cs="Arial" w:eastAsia="Arial" w:hAnsi="Arial"/>
          <w:i/>
          <w:color w:val="000000" w:themeColor="text1"/>
          <w:highlight w:val="white"/>
          <w:lang w:val="en-GB"/>
        </w:rPr>
        <w:t>Journal of Hospitality and Tourism Insights</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5</w:t>
      </w:r>
      <w:r>
        <w:rPr>
          <w:rFonts w:ascii="Arial" w:cs="Arial" w:eastAsia="Arial" w:hAnsi="Arial"/>
          <w:color w:val="000000" w:themeColor="text1"/>
          <w:highlight w:val="white"/>
          <w:lang w:val="en-GB"/>
        </w:rPr>
        <w:t xml:space="preserve">(1), pp.79-98. Available at: https://doi.org/10.1108/JHTI-08-2020-0152. </w:t>
      </w:r>
    </w:p>
    <w:p w14:paraId="0000017F">
      <w:r>
        <w:rPr>
          <w:rFonts w:ascii="Arial" w:cs="Arial" w:eastAsia="Arial" w:hAnsi="Arial"/>
          <w:highlight w:val="white"/>
        </w:rPr>
        <w:t xml:space="preserve">Rohaeni, N., Yusuf, S.F., Jubaedah, Y. and Sunarsih, M., (2021), February. The Analysis of Hotel Linen Cleaning Standard in Housekeeping Department. In </w:t>
      </w:r>
      <w:r>
        <w:rPr>
          <w:rFonts w:ascii="Arial" w:cs="Arial" w:eastAsia="Arial" w:hAnsi="Arial"/>
          <w:i/>
          <w:highlight w:val="white"/>
        </w:rPr>
        <w:t>6th UPI International Conference on TVET 2020 (TVET 2020)</w:t>
      </w:r>
      <w:r>
        <w:rPr>
          <w:rFonts w:ascii="Arial" w:cs="Arial" w:eastAsia="Arial" w:hAnsi="Arial"/>
          <w:highlight w:val="white"/>
        </w:rPr>
        <w:t xml:space="preserve"> (pp. 263-266). Atlantis Press. Available at: https://www.atlantis-press.com/article/125952252.pdf.</w:t>
      </w:r>
    </w:p>
    <w:p w14:paraId="00000180"/>
    <w:p w14:paraId="00000181">
      <w:pPr>
        <w:pStyle w:val="Normal1"/>
        <w:spacing w:before="240" w:after="240"/>
        <w:rPr>
          <w:rFonts w:ascii="Arial" w:cs="Arial" w:eastAsia="Arial" w:hAnsi="Arial"/>
          <w:b/>
          <w:i/>
          <w:color w:val="222222"/>
          <w:highlight w:val="white"/>
          <w:lang w:val="en-GB"/>
        </w:rPr>
      </w:pPr>
      <w:r>
        <w:rPr>
          <w:rFonts w:ascii="Arial" w:cs="Arial" w:eastAsia="Arial" w:hAnsi="Arial"/>
          <w:b/>
          <w:i/>
          <w:color w:val="222222"/>
          <w:highlight w:val="white"/>
          <w:lang w:val="en-GB"/>
        </w:rPr>
        <w:t>Component Three</w:t>
      </w:r>
    </w:p>
    <w:p w14:paraId="00000182">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Bakker, A.B. and Leiter, M.P. eds., (2010). </w:t>
      </w:r>
      <w:r>
        <w:rPr>
          <w:rFonts w:ascii="Arial" w:cs="Arial" w:eastAsia="Arial" w:hAnsi="Arial"/>
          <w:i/>
          <w:color w:val="000000" w:themeColor="text1"/>
          <w:highlight w:val="white"/>
          <w:lang w:val="en-GB"/>
        </w:rPr>
        <w:t>Work engagement: A handbook of essential theory and research</w:t>
      </w:r>
      <w:r>
        <w:rPr>
          <w:rFonts w:ascii="Arial" w:cs="Arial" w:eastAsia="Arial" w:hAnsi="Arial"/>
          <w:color w:val="000000" w:themeColor="text1"/>
          <w:highlight w:val="white"/>
          <w:lang w:val="en-GB"/>
        </w:rPr>
        <w:t>. Psychology press.</w:t>
      </w:r>
    </w:p>
    <w:p w14:paraId="00000183">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Barreto</w:t>
      </w:r>
      <w:r>
        <w:rPr>
          <w:rFonts w:ascii="Arial" w:cs="Arial" w:eastAsia="Arial" w:hAnsi="Arial"/>
          <w:color w:val="000000" w:themeColor="text1"/>
          <w:highlight w:val="white"/>
          <w:lang w:val="en-GB"/>
        </w:rPr>
        <w:t xml:space="preserve">, N. and </w:t>
      </w:r>
      <w:r>
        <w:rPr>
          <w:rFonts w:ascii="Arial" w:cs="Arial" w:eastAsia="Arial" w:hAnsi="Arial"/>
          <w:color w:val="000000" w:themeColor="text1"/>
          <w:highlight w:val="white"/>
          <w:lang w:val="en-GB"/>
        </w:rPr>
        <w:t>Mayya</w:t>
      </w:r>
      <w:r>
        <w:rPr>
          <w:rFonts w:ascii="Arial" w:cs="Arial" w:eastAsia="Arial" w:hAnsi="Arial"/>
          <w:color w:val="000000" w:themeColor="text1"/>
          <w:highlight w:val="white"/>
          <w:lang w:val="en-GB"/>
        </w:rPr>
        <w:t xml:space="preserve">, S., (2023). A Systematic Review on Training and Development in the Hotel Industry. </w:t>
      </w:r>
      <w:r>
        <w:rPr>
          <w:rFonts w:ascii="Arial" w:cs="Arial" w:eastAsia="Arial" w:hAnsi="Arial"/>
          <w:i/>
          <w:color w:val="000000" w:themeColor="text1"/>
          <w:highlight w:val="white"/>
          <w:lang w:val="en-GB"/>
        </w:rPr>
        <w:t>International Journal of Management, Technology and Social Sciences (IJMTS)</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8</w:t>
      </w:r>
      <w:r>
        <w:rPr>
          <w:rFonts w:ascii="Arial" w:cs="Arial" w:eastAsia="Arial" w:hAnsi="Arial"/>
          <w:color w:val="000000" w:themeColor="text1"/>
          <w:highlight w:val="white"/>
          <w:lang w:val="en-GB"/>
        </w:rPr>
        <w:t xml:space="preserve">(2), pp.22-52. Available at: https://search.crossref.org/?q=10.47992%2FIJMTS.2581.6012.0268&amp;from_ui=yes. </w:t>
      </w:r>
    </w:p>
    <w:p w14:paraId="00000184">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Belias</w:t>
      </w:r>
      <w:r>
        <w:rPr>
          <w:rFonts w:ascii="Arial" w:cs="Arial" w:eastAsia="Arial" w:hAnsi="Arial"/>
          <w:color w:val="000000" w:themeColor="text1"/>
          <w:highlight w:val="white"/>
          <w:lang w:val="en-GB"/>
        </w:rPr>
        <w:t xml:space="preserve">, D. and </w:t>
      </w:r>
      <w:r>
        <w:rPr>
          <w:rFonts w:ascii="Arial" w:cs="Arial" w:eastAsia="Arial" w:hAnsi="Arial"/>
          <w:color w:val="000000" w:themeColor="text1"/>
          <w:highlight w:val="white"/>
          <w:lang w:val="en-GB"/>
        </w:rPr>
        <w:t>Trihas</w:t>
      </w:r>
      <w:r>
        <w:rPr>
          <w:rFonts w:ascii="Arial" w:cs="Arial" w:eastAsia="Arial" w:hAnsi="Arial"/>
          <w:color w:val="000000" w:themeColor="text1"/>
          <w:highlight w:val="white"/>
          <w:lang w:val="en-GB"/>
        </w:rPr>
        <w:t xml:space="preserve">, N., (2022), April. Human Resource Training of Front Office Employees and Change Management in Hospitality Sector during Crisis. In </w:t>
      </w:r>
      <w:r>
        <w:rPr>
          <w:rFonts w:ascii="Arial" w:cs="Arial" w:eastAsia="Arial" w:hAnsi="Arial"/>
          <w:i/>
          <w:color w:val="000000" w:themeColor="text1"/>
          <w:highlight w:val="white"/>
          <w:lang w:val="en-GB"/>
        </w:rPr>
        <w:t>FEMIB</w:t>
      </w:r>
      <w:r>
        <w:rPr>
          <w:rFonts w:ascii="Arial" w:cs="Arial" w:eastAsia="Arial" w:hAnsi="Arial"/>
          <w:color w:val="000000" w:themeColor="text1"/>
          <w:highlight w:val="white"/>
          <w:lang w:val="en-GB"/>
        </w:rPr>
        <w:t xml:space="preserve"> (pp. 101-106). Available at: 10.5220/0011060000003206. </w:t>
      </w:r>
    </w:p>
    <w:p w14:paraId="00000185">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Bridger, E. (2018) Employee engagement: a practical introduction. 2nd ed. HR Fundamentals. London: CIPD and </w:t>
      </w:r>
      <w:r>
        <w:rPr>
          <w:rFonts w:ascii="Arial" w:cs="Arial" w:eastAsia="Arial" w:hAnsi="Arial"/>
          <w:color w:val="000000" w:themeColor="text1"/>
          <w:highlight w:val="white"/>
          <w:lang w:val="en-GB"/>
        </w:rPr>
        <w:t>Kogan</w:t>
      </w:r>
      <w:r>
        <w:rPr>
          <w:rFonts w:ascii="Arial" w:cs="Arial" w:eastAsia="Arial" w:hAnsi="Arial"/>
          <w:color w:val="000000" w:themeColor="text1"/>
          <w:highlight w:val="white"/>
          <w:lang w:val="en-GB"/>
        </w:rPr>
        <w:t xml:space="preserve"> Page.</w:t>
      </w:r>
    </w:p>
    <w:p w14:paraId="00000186">
      <w:pPr>
        <w:pStyle w:val="Normal1"/>
        <w:spacing w:before="240" w:after="240"/>
        <w:rPr>
          <w:rFonts w:ascii="Arial" w:cs="Arial" w:eastAsia="Arial" w:hAnsi="Arial"/>
          <w:b/>
          <w:color w:val="000000" w:themeColor="text1"/>
          <w:lang w:val="en-GB"/>
        </w:rPr>
      </w:pPr>
      <w:r>
        <w:rPr>
          <w:rFonts w:ascii="Arial" w:cs="Arial" w:eastAsia="Arial" w:hAnsi="Arial"/>
          <w:color w:val="000000" w:themeColor="text1"/>
          <w:highlight w:val="white"/>
          <w:lang w:val="en-GB"/>
        </w:rPr>
        <w:t>Businesswales</w:t>
      </w:r>
      <w:r>
        <w:rPr>
          <w:rFonts w:ascii="Arial" w:cs="Arial" w:eastAsia="Arial" w:hAnsi="Arial"/>
          <w:color w:val="000000" w:themeColor="text1"/>
          <w:highlight w:val="white"/>
          <w:lang w:val="en-GB"/>
        </w:rPr>
        <w:t xml:space="preserve">, (2023). </w:t>
      </w:r>
      <w:r>
        <w:rPr>
          <w:rFonts w:ascii="Arial" w:cs="Arial" w:eastAsia="Arial" w:hAnsi="Arial"/>
          <w:i/>
          <w:color w:val="000000" w:themeColor="text1"/>
          <w:highlight w:val="white"/>
          <w:lang w:val="en-GB"/>
        </w:rPr>
        <w:t xml:space="preserve">“Serviced Hotel Accommodation”. </w:t>
      </w:r>
      <w:r>
        <w:rPr>
          <w:rFonts w:ascii="Arial" w:cs="Arial" w:eastAsia="Arial" w:hAnsi="Arial"/>
          <w:color w:val="000000" w:themeColor="text1"/>
          <w:highlight w:val="white"/>
          <w:lang w:val="en-GB"/>
        </w:rPr>
        <w:t>Available at: https://businesswales.gov.wales/sites/business-wales/files/tourism/Serviced%20Hotel%20Guidance.pdf. (Accessed: 5 November 2023)</w:t>
      </w:r>
    </w:p>
    <w:p w14:paraId="00000187">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Choi, M. and Choi, Y., (2021). Employee perceptions of hotel CSR activities during the COVID-19 pandemic. </w:t>
      </w:r>
      <w:r>
        <w:rPr>
          <w:rFonts w:ascii="Arial" w:cs="Arial" w:eastAsia="Arial" w:hAnsi="Arial"/>
          <w:i/>
          <w:color w:val="000000" w:themeColor="text1"/>
          <w:highlight w:val="white"/>
          <w:lang w:val="en-GB"/>
        </w:rPr>
        <w:t>International Journal of Contemporary Hospitality Management</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33</w:t>
      </w:r>
      <w:r>
        <w:rPr>
          <w:rFonts w:ascii="Arial" w:cs="Arial" w:eastAsia="Arial" w:hAnsi="Arial"/>
          <w:color w:val="000000" w:themeColor="text1"/>
          <w:highlight w:val="white"/>
          <w:lang w:val="en-GB"/>
        </w:rPr>
        <w:t xml:space="preserve">(10), pp.3355-3378. </w:t>
      </w:r>
      <w:r>
        <w:rPr>
          <w:rFonts w:ascii="Arial" w:cs="Arial" w:eastAsia="Arial" w:hAnsi="Arial"/>
          <w:color w:val="000000" w:themeColor="text1"/>
          <w:highlight w:val="white"/>
          <w:lang w:val="en-GB"/>
        </w:rPr>
        <w:t>Avialable</w:t>
      </w:r>
      <w:r>
        <w:rPr>
          <w:rFonts w:ascii="Arial" w:cs="Arial" w:eastAsia="Arial" w:hAnsi="Arial"/>
          <w:color w:val="000000" w:themeColor="text1"/>
          <w:highlight w:val="white"/>
          <w:lang w:val="en-GB"/>
        </w:rPr>
        <w:t xml:space="preserve"> at: https://eprints.leedsbeckett.ac.uk/id/eprint/7885/1/EmployeePerceptionsOfHotelCSRActivitiesDuringTheCOVID19PandemicAM-CHOI.pdf. </w:t>
      </w:r>
    </w:p>
    <w:p w14:paraId="00000188">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 xml:space="preserve">Indeed, (2023). </w:t>
      </w:r>
      <w:r>
        <w:rPr>
          <w:rFonts w:ascii="Arial" w:cs="Arial" w:eastAsia="Arial" w:hAnsi="Arial"/>
          <w:i/>
          <w:color w:val="000000" w:themeColor="text1"/>
          <w:highlight w:val="white"/>
          <w:lang w:val="en-GB"/>
        </w:rPr>
        <w:t xml:space="preserve">“7 Steps for Developing Training Programs for Employees”. </w:t>
      </w:r>
      <w:r>
        <w:rPr>
          <w:rFonts w:ascii="Arial" w:cs="Arial" w:eastAsia="Arial" w:hAnsi="Arial"/>
          <w:color w:val="000000" w:themeColor="text1"/>
          <w:highlight w:val="white"/>
          <w:lang w:val="en-GB"/>
        </w:rPr>
        <w:t>Available at: https://ca.indeed.com/career-advice/career-development/developing-training. (Accessed: 5 November 2023)</w:t>
      </w:r>
    </w:p>
    <w:p w14:paraId="00000189">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Kyalo</w:t>
      </w:r>
      <w:r>
        <w:rPr>
          <w:rFonts w:ascii="Arial" w:cs="Arial" w:eastAsia="Arial" w:hAnsi="Arial"/>
          <w:color w:val="000000" w:themeColor="text1"/>
          <w:highlight w:val="white"/>
          <w:lang w:val="en-GB"/>
        </w:rPr>
        <w:t xml:space="preserve">, J., (2023). Effect of Short Course Training on Service Delivery in the Hospitality Industry in Housekeeping and Laundry Department of Kenya </w:t>
      </w:r>
      <w:r>
        <w:rPr>
          <w:rFonts w:ascii="Arial" w:cs="Arial" w:eastAsia="Arial" w:hAnsi="Arial"/>
          <w:color w:val="000000" w:themeColor="text1"/>
          <w:highlight w:val="white"/>
          <w:lang w:val="en-GB"/>
        </w:rPr>
        <w:t>Utalii</w:t>
      </w:r>
      <w:r>
        <w:rPr>
          <w:rFonts w:ascii="Arial" w:cs="Arial" w:eastAsia="Arial" w:hAnsi="Arial"/>
          <w:color w:val="000000" w:themeColor="text1"/>
          <w:highlight w:val="white"/>
          <w:lang w:val="en-GB"/>
        </w:rPr>
        <w:t xml:space="preserve"> College. </w:t>
      </w:r>
      <w:r>
        <w:rPr>
          <w:rFonts w:ascii="Arial" w:cs="Arial" w:eastAsia="Arial" w:hAnsi="Arial"/>
          <w:i/>
          <w:color w:val="000000" w:themeColor="text1"/>
          <w:highlight w:val="white"/>
          <w:lang w:val="en-GB"/>
        </w:rPr>
        <w:t>Journal of Hospitality and Tourism</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3</w:t>
      </w:r>
      <w:r>
        <w:rPr>
          <w:rFonts w:ascii="Arial" w:cs="Arial" w:eastAsia="Arial" w:hAnsi="Arial"/>
          <w:color w:val="000000" w:themeColor="text1"/>
          <w:highlight w:val="white"/>
          <w:lang w:val="en-GB"/>
        </w:rPr>
        <w:t xml:space="preserve">(1), pp.14-30. Available at: https://www.ajpojournals.org/journals/index.php/JHT/article/download/1386/1489. </w:t>
      </w:r>
    </w:p>
    <w:p w14:paraId="0000018A">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Mejabi</w:t>
      </w:r>
      <w:r>
        <w:rPr>
          <w:rFonts w:ascii="Arial" w:cs="Arial" w:eastAsia="Arial" w:hAnsi="Arial"/>
          <w:color w:val="000000" w:themeColor="text1"/>
          <w:highlight w:val="white"/>
          <w:lang w:val="en-GB"/>
        </w:rPr>
        <w:t xml:space="preserve">, E.I. and Adah, G., (2021). Strategic Capacity Building through Human Resources Development in the Hospitality Industry of </w:t>
      </w:r>
      <w:r>
        <w:rPr>
          <w:rFonts w:ascii="Arial" w:cs="Arial" w:eastAsia="Arial" w:hAnsi="Arial"/>
          <w:color w:val="000000" w:themeColor="text1"/>
          <w:highlight w:val="white"/>
          <w:lang w:val="en-GB"/>
        </w:rPr>
        <w:t>Lokoja</w:t>
      </w:r>
      <w:r>
        <w:rPr>
          <w:rFonts w:ascii="Arial" w:cs="Arial" w:eastAsia="Arial" w:hAnsi="Arial"/>
          <w:color w:val="000000" w:themeColor="text1"/>
          <w:highlight w:val="white"/>
          <w:lang w:val="en-GB"/>
        </w:rPr>
        <w:t xml:space="preserve">, </w:t>
      </w:r>
      <w:r>
        <w:rPr>
          <w:rFonts w:ascii="Arial" w:cs="Arial" w:eastAsia="Arial" w:hAnsi="Arial"/>
          <w:color w:val="000000" w:themeColor="text1"/>
          <w:highlight w:val="white"/>
          <w:lang w:val="en-GB"/>
        </w:rPr>
        <w:t>Kogi</w:t>
      </w:r>
      <w:r>
        <w:rPr>
          <w:rFonts w:ascii="Arial" w:cs="Arial" w:eastAsia="Arial" w:hAnsi="Arial"/>
          <w:color w:val="000000" w:themeColor="text1"/>
          <w:highlight w:val="white"/>
          <w:lang w:val="en-GB"/>
        </w:rPr>
        <w:t xml:space="preserve"> State, Nigeria. </w:t>
      </w:r>
      <w:r>
        <w:rPr>
          <w:rFonts w:ascii="Arial" w:cs="Arial" w:eastAsia="Arial" w:hAnsi="Arial"/>
          <w:i/>
          <w:color w:val="000000" w:themeColor="text1"/>
          <w:highlight w:val="white"/>
          <w:lang w:val="en-GB"/>
        </w:rPr>
        <w:t>Journal of International Relations Security and Economic Studies</w:t>
      </w:r>
      <w:r>
        <w:rPr>
          <w:rFonts w:ascii="Arial" w:cs="Arial" w:eastAsia="Arial" w:hAnsi="Arial"/>
          <w:color w:val="000000" w:themeColor="text1"/>
          <w:highlight w:val="white"/>
          <w:lang w:val="en-GB"/>
        </w:rPr>
        <w:t xml:space="preserve">, </w:t>
      </w:r>
      <w:r>
        <w:rPr>
          <w:rFonts w:ascii="Arial" w:cs="Arial" w:eastAsia="Arial" w:hAnsi="Arial"/>
          <w:i/>
          <w:color w:val="000000" w:themeColor="text1"/>
          <w:highlight w:val="white"/>
          <w:lang w:val="en-GB"/>
        </w:rPr>
        <w:t>1</w:t>
      </w:r>
      <w:r>
        <w:rPr>
          <w:rFonts w:ascii="Arial" w:cs="Arial" w:eastAsia="Arial" w:hAnsi="Arial"/>
          <w:color w:val="000000" w:themeColor="text1"/>
          <w:highlight w:val="white"/>
          <w:lang w:val="en-GB"/>
        </w:rPr>
        <w:t xml:space="preserve">(3), pp.1-8. Available at: https://doi.org/10.36758/jirses/v1n3.2021/1.  </w:t>
      </w:r>
    </w:p>
    <w:p w14:paraId="0000018B">
      <w:pPr>
        <w:pStyle w:val="Normal1"/>
        <w:spacing w:before="240" w:after="240"/>
        <w:rPr>
          <w:rFonts w:ascii="Arial" w:cs="Arial" w:eastAsia="Arial" w:hAnsi="Arial"/>
          <w:color w:val="000000" w:themeColor="text1"/>
          <w:highlight w:val="white"/>
          <w:lang w:val="en-GB"/>
        </w:rPr>
      </w:pPr>
      <w:r>
        <w:rPr>
          <w:rFonts w:ascii="Arial" w:cs="Arial" w:eastAsia="Arial" w:hAnsi="Arial"/>
          <w:color w:val="000000" w:themeColor="text1"/>
          <w:highlight w:val="white"/>
          <w:lang w:val="en-GB"/>
        </w:rPr>
        <w:t>Vantagecircle</w:t>
      </w:r>
      <w:r>
        <w:rPr>
          <w:rFonts w:ascii="Arial" w:cs="Arial" w:eastAsia="Arial" w:hAnsi="Arial"/>
          <w:color w:val="000000" w:themeColor="text1"/>
          <w:highlight w:val="white"/>
          <w:lang w:val="en-GB"/>
        </w:rPr>
        <w:t xml:space="preserve">, (2023). </w:t>
      </w:r>
      <w:r>
        <w:rPr>
          <w:rFonts w:ascii="Arial" w:cs="Arial" w:eastAsia="Arial" w:hAnsi="Arial"/>
          <w:i/>
          <w:color w:val="000000" w:themeColor="text1"/>
          <w:highlight w:val="white"/>
          <w:lang w:val="en-GB"/>
        </w:rPr>
        <w:t xml:space="preserve">“Maslow's Hierarchy of Needs in Employee Engagement (Pre and Post </w:t>
      </w:r>
      <w:r>
        <w:rPr>
          <w:rFonts w:ascii="Arial" w:cs="Arial" w:eastAsia="Arial" w:hAnsi="Arial"/>
          <w:i/>
          <w:color w:val="000000" w:themeColor="text1"/>
          <w:highlight w:val="white"/>
          <w:lang w:val="en-GB"/>
        </w:rPr>
        <w:t>Covid</w:t>
      </w:r>
      <w:r>
        <w:rPr>
          <w:rFonts w:ascii="Arial" w:cs="Arial" w:eastAsia="Arial" w:hAnsi="Arial"/>
          <w:i/>
          <w:color w:val="000000" w:themeColor="text1"/>
          <w:highlight w:val="white"/>
          <w:lang w:val="en-GB"/>
        </w:rPr>
        <w:t xml:space="preserve"> 19)”. </w:t>
      </w:r>
      <w:r>
        <w:rPr>
          <w:rFonts w:ascii="Arial" w:cs="Arial" w:eastAsia="Arial" w:hAnsi="Arial"/>
          <w:color w:val="000000" w:themeColor="text1"/>
          <w:highlight w:val="white"/>
          <w:lang w:val="en-GB"/>
        </w:rPr>
        <w:t>Available at: https://blog.vantagecircle.com/maslows-hierarchy-of-needs-in-employee-engagement/. (Accessed: 5 November 2023)</w:t>
      </w:r>
    </w:p>
    <w:p w14:paraId="0000018C">
      <w:pPr>
        <w:rPr>
          <w:rFonts w:ascii="Arial" w:cs="Arial" w:hAnsi="Arial"/>
        </w:rPr>
      </w:pPr>
    </w:p>
    <w:p w14:paraId="0000018D"/>
    <w:p w14:paraId="0000018E"/>
    <w:p w14:paraId="0000018F"/>
    <w:p w14:paraId="00000190">
      <w:pPr>
        <w:rPr>
          <w:b/>
          <w:bCs/>
        </w:rPr>
      </w:pPr>
    </w:p>
    <w:sectPr>
      <w:pgSz w:w="11906" w:h="16838"/>
      <w:pgMar w:top="1077" w:right="1440" w:bottom="1077" w:left="1440" w:header="709" w:footer="709"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4000acff" w:usb2="00000009" w:usb3="00000000" w:csb0="0000019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等线 Light">
    <w:altName w:val="MS PMincho"/>
    <w:panose1 w:val="00000000000000000000"/>
    <w:charset w:val="80"/>
    <w:family w:val="roman"/>
    <w:notTrueType w:val="on"/>
    <w:pitch w:val="default"/>
    <w:sig w:usb0="00000000" w:usb1="00000000" w:usb2="00000000" w:usb3="00000000" w:csb0="00000000"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00000000" w:usb1="00000000" w:usb2="00000029" w:usb3="00000000" w:csb0="000101ff" w:csb1="00000000"/>
  </w:font>
  <w:font w:name="等线">
    <w:panose1 w:val="00000000000000000000"/>
    <w:charset w:val="80"/>
    <w:family w:val="roman"/>
    <w:notTrueType w:val="on"/>
    <w:pitch w:val="default"/>
    <w:sig w:usb0="00000000" w:usb1="00000000" w:usb2="00000000" w:usb3="00000000" w:csb0="00000000" w:csb1="00000000"/>
  </w:font>
  <w:font w:name="Cambria">
    <w:panose1 w:val="02040503050406030204"/>
    <w:charset w:val="00"/>
    <w:family w:val="roman"/>
    <w:pitch w:val="variable"/>
    <w:sig w:usb0="00000000" w:usb1="4000004b" w:usb2="00000000" w:usb3="00000000" w:csb0="0000009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Segoe UI Symbol">
    <w:panose1 w:val="020b0502040204020203"/>
    <w:charset w:val="00"/>
    <w:family w:val="swiss"/>
    <w:pitch w:val="variable"/>
    <w:sig w:usb0="00000000" w:usb1="1200ffef" w:usb2="0064c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wpi="http://schemas.microsoft.com/office/word/2010/wordprocessingInk" xmlns:aink="http://schemas.microsoft.com/office/drawing/2016/ink"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numFmt w:val="bullet"/>
      <w:lvlText w:val="☐"/>
      <w:lvlJc w:val="left"/>
      <w:pPr>
        <w:ind w:left="180" w:hanging="184"/>
      </w:pPr>
      <w:rPr>
        <w:rFonts w:ascii="Segoe UI Symbol" w:cs="Segoe UI Symbol" w:eastAsia="Segoe UI Symbol" w:hAnsi="Segoe UI Symbol" w:hint="default"/>
        <w:b w:val="off"/>
        <w:bCs w:val="off"/>
        <w:i w:val="off"/>
        <w:iCs w:val="off"/>
        <w:spacing w:val="0"/>
        <w:w w:val="104"/>
        <w:sz w:val="16"/>
        <w:szCs w:val="16"/>
        <w:lang w:val="en-US" w:bidi="ar-SA" w:eastAsia="en-US"/>
      </w:rPr>
    </w:lvl>
    <w:lvl w:ilvl="1" w:tentative="0">
      <w:numFmt w:val="bullet"/>
      <w:lvlText w:val="•"/>
      <w:lvlJc w:val="left"/>
      <w:pPr>
        <w:ind w:left="554" w:hanging="184"/>
      </w:pPr>
      <w:rPr>
        <w:rFonts w:hint="default"/>
        <w:lang w:val="en-US" w:bidi="ar-SA" w:eastAsia="en-US"/>
      </w:rPr>
    </w:lvl>
    <w:lvl w:ilvl="2" w:tentative="0">
      <w:numFmt w:val="bullet"/>
      <w:lvlText w:val="•"/>
      <w:lvlJc w:val="left"/>
      <w:pPr>
        <w:ind w:left="928" w:hanging="184"/>
      </w:pPr>
      <w:rPr>
        <w:rFonts w:hint="default"/>
        <w:lang w:val="en-US" w:bidi="ar-SA" w:eastAsia="en-US"/>
      </w:rPr>
    </w:lvl>
    <w:lvl w:ilvl="3" w:tentative="0">
      <w:numFmt w:val="bullet"/>
      <w:lvlText w:val="•"/>
      <w:lvlJc w:val="left"/>
      <w:pPr>
        <w:ind w:left="1302" w:hanging="184"/>
      </w:pPr>
      <w:rPr>
        <w:rFonts w:hint="default"/>
        <w:lang w:val="en-US" w:bidi="ar-SA" w:eastAsia="en-US"/>
      </w:rPr>
    </w:lvl>
    <w:lvl w:ilvl="4" w:tentative="0">
      <w:numFmt w:val="bullet"/>
      <w:lvlText w:val="•"/>
      <w:lvlJc w:val="left"/>
      <w:pPr>
        <w:ind w:left="1676" w:hanging="184"/>
      </w:pPr>
      <w:rPr>
        <w:rFonts w:hint="default"/>
        <w:lang w:val="en-US" w:bidi="ar-SA" w:eastAsia="en-US"/>
      </w:rPr>
    </w:lvl>
    <w:lvl w:ilvl="5" w:tentative="0">
      <w:numFmt w:val="bullet"/>
      <w:lvlText w:val="•"/>
      <w:lvlJc w:val="left"/>
      <w:pPr>
        <w:ind w:left="2050" w:hanging="184"/>
      </w:pPr>
      <w:rPr>
        <w:rFonts w:hint="default"/>
        <w:lang w:val="en-US" w:bidi="ar-SA" w:eastAsia="en-US"/>
      </w:rPr>
    </w:lvl>
    <w:lvl w:ilvl="6" w:tentative="0">
      <w:numFmt w:val="bullet"/>
      <w:lvlText w:val="•"/>
      <w:lvlJc w:val="left"/>
      <w:pPr>
        <w:ind w:left="2424" w:hanging="184"/>
      </w:pPr>
      <w:rPr>
        <w:rFonts w:hint="default"/>
        <w:lang w:val="en-US" w:bidi="ar-SA" w:eastAsia="en-US"/>
      </w:rPr>
    </w:lvl>
    <w:lvl w:ilvl="7" w:tentative="0">
      <w:numFmt w:val="bullet"/>
      <w:lvlText w:val="•"/>
      <w:lvlJc w:val="left"/>
      <w:pPr>
        <w:ind w:left="2798" w:hanging="184"/>
      </w:pPr>
      <w:rPr>
        <w:rFonts w:hint="default"/>
        <w:lang w:val="en-US" w:bidi="ar-SA" w:eastAsia="en-US"/>
      </w:rPr>
    </w:lvl>
    <w:lvl w:ilvl="8" w:tentative="0">
      <w:numFmt w:val="bullet"/>
      <w:lvlText w:val="•"/>
      <w:lvlJc w:val="left"/>
      <w:pPr>
        <w:ind w:left="3172" w:hanging="184"/>
      </w:pPr>
      <w:rPr>
        <w:rFonts w:hint="default"/>
        <w:lang w:val="en-US" w:bidi="ar-SA" w:eastAsia="en-US"/>
      </w:rPr>
    </w:lvl>
  </w:abstractNum>
  <w:abstractNum w:abstractNumId="5">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3">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4">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89"/>
  <w:defaultTabStop w:val="720"/>
  <w:characterSpacingControl w:val="doNotCompress"/>
  <w:hdrShapeDefaults>
    <o:shapedefaults v:ext="edit" spidmax="11266"/>
  </w:hdrShapeDefaults>
  <w:compat/>
  <w:rsids>
    <w:rsidRoot w:val="00330917"/>
    <w:rsid w:val="00137075"/>
    <w:rsid w:val="001749FD"/>
    <w:rsid w:val="00330917"/>
    <w:rsid w:val="00343A05"/>
    <w:rsid w:val="003508D9"/>
    <w:rsid w:val="0035233A"/>
    <w:rsid w:val="003544AB"/>
    <w:rsid w:val="00357851"/>
    <w:rsid w:val="0045538B"/>
    <w:rsid w:val="004D0F63"/>
    <w:rsid w:val="00592A7E"/>
    <w:rsid w:val="005F689A"/>
    <w:rsid w:val="00641CC3"/>
    <w:rsid w:val="00697D92"/>
    <w:rsid w:val="006B6681"/>
    <w:rsid w:val="006B7119"/>
    <w:rsid w:val="008358ED"/>
    <w:rsid w:val="0086599B"/>
    <w:rsid w:val="008B5011"/>
    <w:rsid w:val="00977466"/>
    <w:rsid w:val="009A4555"/>
    <w:rsid w:val="009B397A"/>
    <w:rsid w:val="009D31CA"/>
    <w:rsid w:val="00A3401B"/>
    <w:rsid w:val="00A83A4D"/>
    <w:rsid w:val="00AA0DA1"/>
    <w:rsid w:val="00AD1F84"/>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heme="minorBidi" w:eastAsiaTheme="minorHAnsi" w:hAnsi="Times New Roman"/>
        <w:color w:val="000000" w:themeColor="text1"/>
        <w:sz w:val="24"/>
        <w:szCs w:val="22"/>
        <w:lang w:val="en-GB" w:bidi="ar-SA" w:eastAsia="en-US"/>
      </w:rPr>
    </w:rPrDefault>
    <w:pPrDefault>
      <w:pPr>
        <w:spacing w:after="160" w:line="259" w:lineRule="auto"/>
      </w:pPr>
    </w:pPrDefault>
  </w:docDefaults>
  <w:style w:type="paragraph" w:styleId="Heading2">
    <w:name w:val="Heading 2"/>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uiPriority w:val="35"/>
    <w:unhideWhenUsed w:val="on"/>
    <w:qFormat w:val="on"/>
    <w:pPr>
      <w:spacing w:after="200" w:line="240" w:lineRule="auto"/>
    </w:pPr>
    <w:rPr>
      <w:i/>
      <w:iCs/>
      <w:color w:val="44546a" w:themeColor="text2"/>
      <w:sz w:val="18"/>
      <w:szCs w:val="18"/>
    </w:rPr>
  </w:style>
  <w:style w:type="paragraph" w:styleId="Heading1">
    <w:name w:val="Heading 1"/>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styleId="TableGrid">
    <w:name w:val="Table Grid"/>
    <w:basedOn w:val="NormalTable"/>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uiPriority w:val="34"/>
    <w:qFormat w:val="on"/>
    <w:pPr>
      <w:widowControl w:val="off"/>
      <w:spacing w:after="0" w:line="240" w:lineRule="auto"/>
      <w:ind w:left="1200" w:hanging="361"/>
    </w:pPr>
    <w:rPr>
      <w:rFonts w:ascii="Carlito" w:cs="Carlito" w:eastAsia="Carlito" w:hAnsi="Carlito"/>
      <w:color w:val="auto"/>
      <w:sz w:val="22"/>
      <w:lang w:val="en-US"/>
    </w:rPr>
  </w:style>
  <w:style w:type="character" w:customStyle="1" w:styleId="Fluidplugincopy">
    <w:name w:val="Fluidplugincopy"/>
    <w:basedOn w:val="DefaultParagraphFont"/>
    <w:uiPriority w:val="99"/>
  </w:style>
  <w:style w:type="paragraph" w:styleId="Header">
    <w:name w:val="Header"/>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BalloonText">
    <w:name w:val="Balloon Text"/>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default="1" w:customStyle="1" w:styleId="Normal">
    <w:name w:val="Normal"/>
    <w:uiPriority w:val="99"/>
    <w:pPr>
      <w:spacing w:after="0" w:line="360" w:lineRule="auto"/>
      <w:jc w:val="both"/>
    </w:pPr>
    <w:rPr>
      <w:rFonts w:cs="Times New Roman" w:eastAsia="Times New Roman"/>
      <w:color w:val="auto"/>
      <w:szCs w:val="24"/>
      <w:lang w:val="en-US"/>
    </w:rPr>
  </w:style>
  <w:style w:type="paragraph" w:customStyle="1" w:styleId="TableParagraph">
    <w:name w:val="Table Paragraph"/>
    <w:basedOn w:val="Normal"/>
    <w:uiPriority w:val="1"/>
    <w:qFormat w:val="on"/>
    <w:pPr>
      <w:widowControl w:val="off"/>
      <w:spacing w:line="240" w:lineRule="auto"/>
      <w:jc w:val="left"/>
    </w:pPr>
    <w:rPr>
      <w:sz w:val="22"/>
      <w:szCs w:val="22"/>
    </w:rPr>
  </w:style>
  <w:style w:type="paragraph" w:customStyle="1" w:styleId="Normal1">
    <w:name w:val="Normal1"/>
    <w:uiPriority w:val="99"/>
  </w:style>
  <w:style w:type="table" w:customStyle="1" w:styleId="A">
    <w:name w:val="A"/>
    <w:basedOn w:val="NormalTable"/>
    <w:uiPriority w:val="99"/>
    <w:tblPr>
      <w:tblStyleRowBandSize w:val="1"/>
      <w:tblStyleColBandSize w:val="1"/>
      <w:tblCellMar>
        <w:top w:w="100" w:type="dxa"/>
        <w:left w:w="100" w:type="dxa"/>
        <w:bottom w:w="100" w:type="dxa"/>
        <w:right w:w="100" w:type="dxa"/>
      </w:tblCellMar>
    </w:tblPr>
  </w:style>
  <w:style w:type="table" w:customStyle="1" w:styleId="A0">
    <w:name w:val="A0"/>
    <w:basedOn w:val="NormalTable"/>
    <w:uiPriority w:val="99"/>
    <w:tblPr>
      <w:tblStyleRowBandSize w:val="1"/>
      <w:tblStyleColBandSize w:val="1"/>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theme" Target="theme/theme1.xml"/><Relationship Id="rId14" Type="http://schemas.openxmlformats.org/officeDocument/2006/relationships/image" Target="media/image1.png"/><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9" Type="http://schemas.openxmlformats.org/officeDocument/2006/relationships/fontTable" Target="fontTable.xml"/><Relationship Id="rId4" Type="http://schemas.openxmlformats.org/officeDocument/2006/relationships/webSettings" Target="webSettings.xml"/><Relationship Id="rId8" Type="http://schemas.openxmlformats.org/officeDocument/2006/relationships/hyperlink" Target="https://www.atlantis-press.com/article/125934073.pdf" TargetMode="Externa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Author</cp:lastModifiedBy>
</cp:coreProperties>
</file>