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286E95"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399CEAA5" w14:textId="77777777" w:rsidR="00897307" w:rsidRPr="00897307" w:rsidRDefault="00CD33A8" w:rsidP="00897307">
      <w:pPr>
        <w:pStyle w:val="p1"/>
        <w:spacing w:line="360" w:lineRule="auto"/>
        <w:rPr>
          <w:sz w:val="36"/>
          <w:szCs w:val="36"/>
        </w:rPr>
      </w:pPr>
      <w:r w:rsidRPr="00897307">
        <w:rPr>
          <w:b/>
          <w:bCs/>
          <w:sz w:val="36"/>
          <w:szCs w:val="36"/>
          <w:lang w:val="nl-NL"/>
        </w:rPr>
        <w:t>Module name</w:t>
      </w:r>
      <w:r w:rsidRPr="00897307">
        <w:rPr>
          <w:sz w:val="36"/>
          <w:szCs w:val="36"/>
          <w:lang w:val="nl-NL"/>
        </w:rPr>
        <w:t xml:space="preserve">: </w:t>
      </w:r>
      <w:r w:rsidR="00897307" w:rsidRPr="00897307">
        <w:rPr>
          <w:b/>
          <w:bCs/>
          <w:sz w:val="36"/>
          <w:szCs w:val="36"/>
        </w:rPr>
        <w:t>Introduction to Independent Research Skills</w:t>
      </w:r>
    </w:p>
    <w:p w14:paraId="2FFBD237" w14:textId="77777777" w:rsidR="00897307" w:rsidRPr="00897307" w:rsidRDefault="00CD33A8" w:rsidP="00897307">
      <w:pPr>
        <w:pStyle w:val="p1"/>
        <w:spacing w:line="360" w:lineRule="auto"/>
        <w:rPr>
          <w:rStyle w:val="apple-converted-space"/>
          <w:b/>
          <w:bCs/>
          <w:sz w:val="36"/>
          <w:szCs w:val="36"/>
        </w:rPr>
      </w:pPr>
      <w:r w:rsidRPr="00897307">
        <w:rPr>
          <w:b/>
          <w:bCs/>
          <w:sz w:val="36"/>
          <w:szCs w:val="36"/>
        </w:rPr>
        <w:t>Module code</w:t>
      </w:r>
      <w:r w:rsidRPr="00897307">
        <w:rPr>
          <w:sz w:val="36"/>
          <w:szCs w:val="36"/>
        </w:rPr>
        <w:t>:</w:t>
      </w:r>
      <w:r w:rsidR="00897307" w:rsidRPr="00897307">
        <w:rPr>
          <w:b/>
          <w:bCs/>
          <w:sz w:val="36"/>
          <w:szCs w:val="36"/>
        </w:rPr>
        <w:t xml:space="preserve"> BMHP5019</w:t>
      </w:r>
      <w:r w:rsidR="00897307" w:rsidRPr="00897307">
        <w:rPr>
          <w:rStyle w:val="apple-converted-space"/>
          <w:b/>
          <w:bCs/>
          <w:sz w:val="36"/>
          <w:szCs w:val="36"/>
        </w:rPr>
        <w:t> </w:t>
      </w:r>
    </w:p>
    <w:p w14:paraId="0A48766D" w14:textId="44349318" w:rsidR="00074402" w:rsidRPr="00897307" w:rsidRDefault="00074402" w:rsidP="00897307">
      <w:pPr>
        <w:pStyle w:val="p1"/>
        <w:spacing w:line="360" w:lineRule="auto"/>
        <w:rPr>
          <w:sz w:val="36"/>
          <w:szCs w:val="36"/>
        </w:rPr>
      </w:pPr>
      <w:r w:rsidRPr="00897307">
        <w:rPr>
          <w:b/>
          <w:bCs/>
          <w:sz w:val="36"/>
          <w:szCs w:val="36"/>
          <w:lang w:val="nl-NL"/>
        </w:rPr>
        <w:t>Student name</w:t>
      </w:r>
      <w:r w:rsidRPr="00897307">
        <w:rPr>
          <w:sz w:val="36"/>
          <w:szCs w:val="36"/>
          <w:lang w:val="nl-NL"/>
        </w:rPr>
        <w:t>:</w:t>
      </w:r>
      <w:r w:rsidR="00897307" w:rsidRPr="00897307">
        <w:rPr>
          <w:sz w:val="36"/>
          <w:szCs w:val="36"/>
        </w:rPr>
        <w:t xml:space="preserve"> Gabriela Arapu</w:t>
      </w:r>
    </w:p>
    <w:p w14:paraId="5E81F6AD" w14:textId="2A6EAA4C" w:rsidR="00074402" w:rsidRPr="00897307" w:rsidRDefault="00074402" w:rsidP="00897307">
      <w:pPr>
        <w:spacing w:line="360" w:lineRule="auto"/>
        <w:rPr>
          <w:rFonts w:ascii="Arial" w:hAnsi="Arial" w:cs="Arial"/>
          <w:sz w:val="36"/>
          <w:szCs w:val="36"/>
        </w:rPr>
      </w:pPr>
      <w:r w:rsidRPr="00897307">
        <w:rPr>
          <w:rFonts w:ascii="Arial" w:hAnsi="Arial" w:cs="Arial"/>
          <w:b/>
          <w:bCs/>
          <w:sz w:val="36"/>
          <w:szCs w:val="36"/>
          <w:lang w:val="nl-NL"/>
        </w:rPr>
        <w:t>Student ID</w:t>
      </w:r>
      <w:r w:rsidRPr="00897307">
        <w:rPr>
          <w:rFonts w:ascii="Arial" w:hAnsi="Arial" w:cs="Arial"/>
          <w:sz w:val="36"/>
          <w:szCs w:val="36"/>
          <w:lang w:val="nl-NL"/>
        </w:rPr>
        <w:t>:</w:t>
      </w:r>
      <w:r w:rsidR="00897307" w:rsidRPr="00897307">
        <w:rPr>
          <w:rFonts w:ascii="Arial" w:hAnsi="Arial" w:cs="Arial"/>
          <w:sz w:val="36"/>
          <w:szCs w:val="36"/>
        </w:rPr>
        <w:t xml:space="preserve"> 2311889</w:t>
      </w:r>
    </w:p>
    <w:p w14:paraId="278EC90D" w14:textId="0F8832CD" w:rsidR="00897307" w:rsidRPr="00897307" w:rsidRDefault="00B8304B" w:rsidP="00897307">
      <w:pPr>
        <w:pStyle w:val="p1"/>
        <w:spacing w:line="360" w:lineRule="auto"/>
        <w:rPr>
          <w:sz w:val="36"/>
          <w:szCs w:val="36"/>
        </w:rPr>
      </w:pPr>
      <w:r w:rsidRPr="00897307">
        <w:rPr>
          <w:b/>
          <w:bCs/>
          <w:sz w:val="36"/>
          <w:szCs w:val="36"/>
        </w:rPr>
        <w:t>Lecturer’s name</w:t>
      </w:r>
      <w:r w:rsidR="00074402" w:rsidRPr="00897307">
        <w:rPr>
          <w:sz w:val="36"/>
          <w:szCs w:val="36"/>
        </w:rPr>
        <w:t>:</w:t>
      </w:r>
      <w:r w:rsidR="00897307" w:rsidRPr="00897307">
        <w:rPr>
          <w:b/>
          <w:bCs/>
          <w:sz w:val="36"/>
          <w:szCs w:val="36"/>
        </w:rPr>
        <w:t xml:space="preserve"> Muhammed Khan</w:t>
      </w:r>
      <w:r w:rsidR="00897307" w:rsidRPr="00897307">
        <w:rPr>
          <w:rStyle w:val="apple-converted-space"/>
          <w:b/>
          <w:bCs/>
          <w:sz w:val="36"/>
          <w:szCs w:val="36"/>
        </w:rPr>
        <w:t> </w:t>
      </w:r>
    </w:p>
    <w:p w14:paraId="1A0B2D2B" w14:textId="2BC3BF22" w:rsidR="00074402" w:rsidRPr="00CD33A8" w:rsidRDefault="00074402"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774CFE8C" w:rsidR="00B87E75" w:rsidRPr="00FE4B1C" w:rsidRDefault="00B87E75" w:rsidP="00FE4B1C">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imes New Roman" w:hAnsi="Times New Roman" w:cs="Times New Roman"/>
          <w:b w:val="0"/>
          <w:bCs w:val="0"/>
          <w:color w:val="auto"/>
          <w:sz w:val="24"/>
          <w:szCs w:val="24"/>
          <w:lang w:val="en-GB" w:eastAsia="en-GB"/>
        </w:rPr>
        <w:id w:val="-1862887034"/>
        <w:docPartObj>
          <w:docPartGallery w:val="Table of Contents"/>
          <w:docPartUnique/>
        </w:docPartObj>
      </w:sdtPr>
      <w:sdtEndPr>
        <w:rPr>
          <w:noProof/>
        </w:rPr>
      </w:sdtEndPr>
      <w:sdtContent>
        <w:p w14:paraId="61382B61" w14:textId="7886694A" w:rsidR="00FE4B1C" w:rsidRDefault="00FE4B1C">
          <w:pPr>
            <w:pStyle w:val="TOCHeading"/>
          </w:pPr>
          <w:r>
            <w:t>Table of Contents</w:t>
          </w:r>
        </w:p>
        <w:p w14:paraId="2F8091F4" w14:textId="784F7C27" w:rsidR="00D24B02" w:rsidRDefault="00FE4B1C">
          <w:pPr>
            <w:pStyle w:val="TOC2"/>
            <w:tabs>
              <w:tab w:val="right" w:leader="dot" w:pos="9016"/>
            </w:tabs>
            <w:rPr>
              <w:rFonts w:eastAsiaTheme="minorEastAsia" w:cstheme="minorBidi"/>
              <w:b w:val="0"/>
              <w:bCs w:val="0"/>
              <w:noProof/>
              <w:kern w:val="2"/>
              <w:sz w:val="24"/>
              <w:szCs w:val="24"/>
              <w14:ligatures w14:val="standardContextual"/>
            </w:rPr>
          </w:pPr>
          <w:r>
            <w:rPr>
              <w:b w:val="0"/>
              <w:bCs w:val="0"/>
              <w:i/>
              <w:iCs/>
            </w:rPr>
            <w:fldChar w:fldCharType="begin"/>
          </w:r>
          <w:r>
            <w:instrText xml:space="preserve"> TOC \o "1-3" \h \z \u </w:instrText>
          </w:r>
          <w:r>
            <w:rPr>
              <w:b w:val="0"/>
              <w:bCs w:val="0"/>
              <w:i/>
              <w:iCs/>
            </w:rPr>
            <w:fldChar w:fldCharType="separate"/>
          </w:r>
          <w:hyperlink w:anchor="_Toc236822311" w:history="1">
            <w:r w:rsidR="00D24B02" w:rsidRPr="0054552B">
              <w:rPr>
                <w:rStyle w:val="Hyperlink"/>
                <w:noProof/>
              </w:rPr>
              <w:t>Abstract</w:t>
            </w:r>
            <w:r w:rsidR="00D24B02">
              <w:rPr>
                <w:noProof/>
                <w:webHidden/>
              </w:rPr>
              <w:tab/>
            </w:r>
            <w:r w:rsidR="00D24B02">
              <w:rPr>
                <w:noProof/>
                <w:webHidden/>
              </w:rPr>
              <w:fldChar w:fldCharType="begin"/>
            </w:r>
            <w:r w:rsidR="00D24B02">
              <w:rPr>
                <w:noProof/>
                <w:webHidden/>
              </w:rPr>
              <w:instrText xml:space="preserve"> PAGEREF _Toc236822311 \h </w:instrText>
            </w:r>
            <w:r w:rsidR="00D24B02">
              <w:rPr>
                <w:noProof/>
                <w:webHidden/>
              </w:rPr>
            </w:r>
            <w:r w:rsidR="00D24B02">
              <w:rPr>
                <w:noProof/>
                <w:webHidden/>
              </w:rPr>
              <w:fldChar w:fldCharType="separate"/>
            </w:r>
            <w:r w:rsidR="00D24B02">
              <w:rPr>
                <w:noProof/>
                <w:webHidden/>
              </w:rPr>
              <w:t>3</w:t>
            </w:r>
            <w:r w:rsidR="00D24B02">
              <w:rPr>
                <w:noProof/>
                <w:webHidden/>
              </w:rPr>
              <w:fldChar w:fldCharType="end"/>
            </w:r>
          </w:hyperlink>
        </w:p>
        <w:p w14:paraId="726C190D" w14:textId="62A7E855"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2" w:history="1">
            <w:r w:rsidRPr="0054552B">
              <w:rPr>
                <w:rStyle w:val="Hyperlink"/>
                <w:noProof/>
              </w:rPr>
              <w:t>Introduction</w:t>
            </w:r>
            <w:r>
              <w:rPr>
                <w:noProof/>
                <w:webHidden/>
              </w:rPr>
              <w:tab/>
            </w:r>
            <w:r>
              <w:rPr>
                <w:noProof/>
                <w:webHidden/>
              </w:rPr>
              <w:fldChar w:fldCharType="begin"/>
            </w:r>
            <w:r>
              <w:rPr>
                <w:noProof/>
                <w:webHidden/>
              </w:rPr>
              <w:instrText xml:space="preserve"> PAGEREF _Toc236822312 \h </w:instrText>
            </w:r>
            <w:r>
              <w:rPr>
                <w:noProof/>
                <w:webHidden/>
              </w:rPr>
            </w:r>
            <w:r>
              <w:rPr>
                <w:noProof/>
                <w:webHidden/>
              </w:rPr>
              <w:fldChar w:fldCharType="separate"/>
            </w:r>
            <w:r>
              <w:rPr>
                <w:noProof/>
                <w:webHidden/>
              </w:rPr>
              <w:t>4</w:t>
            </w:r>
            <w:r>
              <w:rPr>
                <w:noProof/>
                <w:webHidden/>
              </w:rPr>
              <w:fldChar w:fldCharType="end"/>
            </w:r>
          </w:hyperlink>
        </w:p>
        <w:p w14:paraId="3809F8A4" w14:textId="47BA7DA4"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3" w:history="1">
            <w:r w:rsidRPr="0054552B">
              <w:rPr>
                <w:rStyle w:val="Hyperlink"/>
                <w:noProof/>
              </w:rPr>
              <w:t>Background</w:t>
            </w:r>
            <w:r>
              <w:rPr>
                <w:noProof/>
                <w:webHidden/>
              </w:rPr>
              <w:tab/>
            </w:r>
            <w:r>
              <w:rPr>
                <w:noProof/>
                <w:webHidden/>
              </w:rPr>
              <w:fldChar w:fldCharType="begin"/>
            </w:r>
            <w:r>
              <w:rPr>
                <w:noProof/>
                <w:webHidden/>
              </w:rPr>
              <w:instrText xml:space="preserve"> PAGEREF _Toc236822313 \h </w:instrText>
            </w:r>
            <w:r>
              <w:rPr>
                <w:noProof/>
                <w:webHidden/>
              </w:rPr>
            </w:r>
            <w:r>
              <w:rPr>
                <w:noProof/>
                <w:webHidden/>
              </w:rPr>
              <w:fldChar w:fldCharType="separate"/>
            </w:r>
            <w:r>
              <w:rPr>
                <w:noProof/>
                <w:webHidden/>
              </w:rPr>
              <w:t>5</w:t>
            </w:r>
            <w:r>
              <w:rPr>
                <w:noProof/>
                <w:webHidden/>
              </w:rPr>
              <w:fldChar w:fldCharType="end"/>
            </w:r>
          </w:hyperlink>
        </w:p>
        <w:p w14:paraId="71947B39" w14:textId="46F20B8E"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4" w:history="1">
            <w:r w:rsidRPr="0054552B">
              <w:rPr>
                <w:rStyle w:val="Hyperlink"/>
                <w:noProof/>
              </w:rPr>
              <w:t>Methods</w:t>
            </w:r>
            <w:r>
              <w:rPr>
                <w:noProof/>
                <w:webHidden/>
              </w:rPr>
              <w:tab/>
            </w:r>
            <w:r>
              <w:rPr>
                <w:noProof/>
                <w:webHidden/>
              </w:rPr>
              <w:fldChar w:fldCharType="begin"/>
            </w:r>
            <w:r>
              <w:rPr>
                <w:noProof/>
                <w:webHidden/>
              </w:rPr>
              <w:instrText xml:space="preserve"> PAGEREF _Toc236822314 \h </w:instrText>
            </w:r>
            <w:r>
              <w:rPr>
                <w:noProof/>
                <w:webHidden/>
              </w:rPr>
            </w:r>
            <w:r>
              <w:rPr>
                <w:noProof/>
                <w:webHidden/>
              </w:rPr>
              <w:fldChar w:fldCharType="separate"/>
            </w:r>
            <w:r>
              <w:rPr>
                <w:noProof/>
                <w:webHidden/>
              </w:rPr>
              <w:t>7</w:t>
            </w:r>
            <w:r>
              <w:rPr>
                <w:noProof/>
                <w:webHidden/>
              </w:rPr>
              <w:fldChar w:fldCharType="end"/>
            </w:r>
          </w:hyperlink>
        </w:p>
        <w:p w14:paraId="68483D21" w14:textId="214DF5E3"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5" w:history="1">
            <w:r w:rsidRPr="0054552B">
              <w:rPr>
                <w:rStyle w:val="Hyperlink"/>
                <w:noProof/>
              </w:rPr>
              <w:t>Results</w:t>
            </w:r>
            <w:r>
              <w:rPr>
                <w:noProof/>
                <w:webHidden/>
              </w:rPr>
              <w:tab/>
            </w:r>
            <w:r>
              <w:rPr>
                <w:noProof/>
                <w:webHidden/>
              </w:rPr>
              <w:fldChar w:fldCharType="begin"/>
            </w:r>
            <w:r>
              <w:rPr>
                <w:noProof/>
                <w:webHidden/>
              </w:rPr>
              <w:instrText xml:space="preserve"> PAGEREF _Toc236822315 \h </w:instrText>
            </w:r>
            <w:r>
              <w:rPr>
                <w:noProof/>
                <w:webHidden/>
              </w:rPr>
            </w:r>
            <w:r>
              <w:rPr>
                <w:noProof/>
                <w:webHidden/>
              </w:rPr>
              <w:fldChar w:fldCharType="separate"/>
            </w:r>
            <w:r>
              <w:rPr>
                <w:noProof/>
                <w:webHidden/>
              </w:rPr>
              <w:t>10</w:t>
            </w:r>
            <w:r>
              <w:rPr>
                <w:noProof/>
                <w:webHidden/>
              </w:rPr>
              <w:fldChar w:fldCharType="end"/>
            </w:r>
          </w:hyperlink>
        </w:p>
        <w:p w14:paraId="365E0BC2" w14:textId="6A249ED0"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6" w:history="1">
            <w:r w:rsidRPr="0054552B">
              <w:rPr>
                <w:rStyle w:val="Hyperlink"/>
                <w:noProof/>
              </w:rPr>
              <w:t>Discussion</w:t>
            </w:r>
            <w:r>
              <w:rPr>
                <w:noProof/>
                <w:webHidden/>
              </w:rPr>
              <w:tab/>
            </w:r>
            <w:r>
              <w:rPr>
                <w:noProof/>
                <w:webHidden/>
              </w:rPr>
              <w:fldChar w:fldCharType="begin"/>
            </w:r>
            <w:r>
              <w:rPr>
                <w:noProof/>
                <w:webHidden/>
              </w:rPr>
              <w:instrText xml:space="preserve"> PAGEREF _Toc236822316 \h </w:instrText>
            </w:r>
            <w:r>
              <w:rPr>
                <w:noProof/>
                <w:webHidden/>
              </w:rPr>
            </w:r>
            <w:r>
              <w:rPr>
                <w:noProof/>
                <w:webHidden/>
              </w:rPr>
              <w:fldChar w:fldCharType="separate"/>
            </w:r>
            <w:r>
              <w:rPr>
                <w:noProof/>
                <w:webHidden/>
              </w:rPr>
              <w:t>12</w:t>
            </w:r>
            <w:r>
              <w:rPr>
                <w:noProof/>
                <w:webHidden/>
              </w:rPr>
              <w:fldChar w:fldCharType="end"/>
            </w:r>
          </w:hyperlink>
        </w:p>
        <w:p w14:paraId="50F5D31D" w14:textId="4A067D7D"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7" w:history="1">
            <w:r w:rsidRPr="0054552B">
              <w:rPr>
                <w:rStyle w:val="Hyperlink"/>
                <w:noProof/>
              </w:rPr>
              <w:t>Conclusion and Recommendations</w:t>
            </w:r>
            <w:r>
              <w:rPr>
                <w:noProof/>
                <w:webHidden/>
              </w:rPr>
              <w:tab/>
            </w:r>
            <w:r>
              <w:rPr>
                <w:noProof/>
                <w:webHidden/>
              </w:rPr>
              <w:fldChar w:fldCharType="begin"/>
            </w:r>
            <w:r>
              <w:rPr>
                <w:noProof/>
                <w:webHidden/>
              </w:rPr>
              <w:instrText xml:space="preserve"> PAGEREF _Toc236822317 \h </w:instrText>
            </w:r>
            <w:r>
              <w:rPr>
                <w:noProof/>
                <w:webHidden/>
              </w:rPr>
            </w:r>
            <w:r>
              <w:rPr>
                <w:noProof/>
                <w:webHidden/>
              </w:rPr>
              <w:fldChar w:fldCharType="separate"/>
            </w:r>
            <w:r>
              <w:rPr>
                <w:noProof/>
                <w:webHidden/>
              </w:rPr>
              <w:t>16</w:t>
            </w:r>
            <w:r>
              <w:rPr>
                <w:noProof/>
                <w:webHidden/>
              </w:rPr>
              <w:fldChar w:fldCharType="end"/>
            </w:r>
          </w:hyperlink>
        </w:p>
        <w:p w14:paraId="01B0DDE0" w14:textId="50232509" w:rsidR="00D24B02" w:rsidRDefault="00D24B02">
          <w:pPr>
            <w:pStyle w:val="TOC2"/>
            <w:tabs>
              <w:tab w:val="right" w:leader="dot" w:pos="9016"/>
            </w:tabs>
            <w:rPr>
              <w:rFonts w:eastAsiaTheme="minorEastAsia" w:cstheme="minorBidi"/>
              <w:b w:val="0"/>
              <w:bCs w:val="0"/>
              <w:noProof/>
              <w:kern w:val="2"/>
              <w:sz w:val="24"/>
              <w:szCs w:val="24"/>
              <w14:ligatures w14:val="standardContextual"/>
            </w:rPr>
          </w:pPr>
          <w:hyperlink w:anchor="_Toc236822318" w:history="1">
            <w:r w:rsidRPr="0054552B">
              <w:rPr>
                <w:rStyle w:val="Hyperlink"/>
                <w:noProof/>
              </w:rPr>
              <w:t>References</w:t>
            </w:r>
            <w:r>
              <w:rPr>
                <w:noProof/>
                <w:webHidden/>
              </w:rPr>
              <w:tab/>
            </w:r>
            <w:r>
              <w:rPr>
                <w:noProof/>
                <w:webHidden/>
              </w:rPr>
              <w:fldChar w:fldCharType="begin"/>
            </w:r>
            <w:r>
              <w:rPr>
                <w:noProof/>
                <w:webHidden/>
              </w:rPr>
              <w:instrText xml:space="preserve"> PAGEREF _Toc236822318 \h </w:instrText>
            </w:r>
            <w:r>
              <w:rPr>
                <w:noProof/>
                <w:webHidden/>
              </w:rPr>
            </w:r>
            <w:r>
              <w:rPr>
                <w:noProof/>
                <w:webHidden/>
              </w:rPr>
              <w:fldChar w:fldCharType="separate"/>
            </w:r>
            <w:r>
              <w:rPr>
                <w:noProof/>
                <w:webHidden/>
              </w:rPr>
              <w:t>19</w:t>
            </w:r>
            <w:r>
              <w:rPr>
                <w:noProof/>
                <w:webHidden/>
              </w:rPr>
              <w:fldChar w:fldCharType="end"/>
            </w:r>
          </w:hyperlink>
        </w:p>
        <w:p w14:paraId="42E50F6A" w14:textId="793C81C9" w:rsidR="00FE4B1C" w:rsidRDefault="00FE4B1C">
          <w:r>
            <w:rPr>
              <w:b/>
              <w:bCs/>
              <w:noProof/>
            </w:rPr>
            <w:fldChar w:fldCharType="end"/>
          </w:r>
        </w:p>
      </w:sdtContent>
    </w:sdt>
    <w:p w14:paraId="34822582" w14:textId="77777777" w:rsidR="00FE4B1C" w:rsidRPr="00FE4B1C" w:rsidRDefault="00FE4B1C" w:rsidP="00FE4B1C">
      <w:pPr>
        <w:rPr>
          <w:lang w:eastAsia="en-US"/>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7A5B1F74" w14:textId="77777777" w:rsidR="00897307" w:rsidRPr="00913A0A" w:rsidRDefault="00B8304B" w:rsidP="00897307">
      <w:pPr>
        <w:spacing w:line="360" w:lineRule="auto"/>
        <w:jc w:val="center"/>
        <w:rPr>
          <w:rFonts w:ascii="Arial" w:hAnsi="Arial" w:cs="Arial"/>
        </w:rPr>
      </w:pPr>
      <w:r w:rsidRPr="00913A0A">
        <w:rPr>
          <w:rFonts w:ascii="Arial" w:hAnsi="Arial" w:cs="Arial"/>
        </w:rPr>
        <w:lastRenderedPageBreak/>
        <w:t xml:space="preserve">Topic: </w:t>
      </w:r>
      <w:r w:rsidR="00897307" w:rsidRPr="00913A0A">
        <w:rPr>
          <w:rFonts w:ascii="Arial" w:hAnsi="Arial" w:cs="Arial"/>
          <w:b/>
        </w:rPr>
        <w:t>The use of telehealth in improving access to healthcare services for adults with long-term conditions in the UK: a scoping review</w:t>
      </w:r>
    </w:p>
    <w:p w14:paraId="2CF27283" w14:textId="14D2AEDD" w:rsidR="00B8304B" w:rsidRPr="00913A0A" w:rsidRDefault="00B8304B" w:rsidP="008C2FBD">
      <w:pPr>
        <w:pStyle w:val="Heading1"/>
        <w:rPr>
          <w:rFonts w:cs="Arial"/>
          <w:sz w:val="24"/>
          <w:szCs w:val="24"/>
        </w:rPr>
      </w:pPr>
    </w:p>
    <w:p w14:paraId="3914D9AE" w14:textId="6D95F55A" w:rsidR="00CD33A8" w:rsidRDefault="00CD33A8" w:rsidP="00FE4B1C">
      <w:pPr>
        <w:pStyle w:val="Heading2"/>
      </w:pPr>
      <w:bookmarkStart w:id="0" w:name="_Toc236822311"/>
      <w:r w:rsidRPr="00913A0A">
        <w:t>Abstract</w:t>
      </w:r>
      <w:bookmarkEnd w:id="0"/>
    </w:p>
    <w:p w14:paraId="37E40A1C" w14:textId="77777777" w:rsidR="00FE4B1C" w:rsidRPr="00FE4B1C" w:rsidRDefault="00FE4B1C" w:rsidP="00FE4B1C">
      <w:pPr>
        <w:rPr>
          <w:lang w:eastAsia="en-US"/>
        </w:rPr>
      </w:pPr>
    </w:p>
    <w:p w14:paraId="46C3E29E" w14:textId="0C7A351F" w:rsidR="00CD33A8" w:rsidRDefault="00913A0A" w:rsidP="008C2FBD">
      <w:pPr>
        <w:spacing w:line="360" w:lineRule="auto"/>
        <w:rPr>
          <w:rFonts w:ascii="Arial" w:hAnsi="Arial" w:cs="Arial"/>
        </w:rPr>
      </w:pPr>
      <w:r w:rsidRPr="00913A0A">
        <w:rPr>
          <w:rFonts w:ascii="Arial" w:hAnsi="Arial" w:cs="Arial"/>
        </w:rPr>
        <w:t>In the UK, telehealth has grown to be a significant component of healthcare delivery, especially after its explosive growth during the COVID-19 epidemic. The evidence about the use of telehealth to enhance healthcare access for adults with long-term diseases in the UK was explored in this scoping study. Using terms related to telehealth, remote consultation, long-term conditions, adults, access, and the UK, a structured search was created for PubMed/MEDLINE, CINAHL, and Scopus. Primary and secondary English-language research that was peer-reviewed was taken into consideration.</w:t>
      </w:r>
    </w:p>
    <w:p w14:paraId="4AD75B70" w14:textId="77777777" w:rsidR="00913A0A" w:rsidRDefault="00913A0A" w:rsidP="008C2FBD">
      <w:pPr>
        <w:spacing w:line="360" w:lineRule="auto"/>
        <w:rPr>
          <w:rFonts w:ascii="Arial" w:hAnsi="Arial" w:cs="Arial"/>
        </w:rPr>
      </w:pPr>
    </w:p>
    <w:p w14:paraId="0593A557" w14:textId="2C8A6636" w:rsidR="00913A0A" w:rsidRDefault="00913A0A" w:rsidP="008C2FBD">
      <w:pPr>
        <w:spacing w:line="360" w:lineRule="auto"/>
        <w:rPr>
          <w:rFonts w:ascii="Arial" w:hAnsi="Arial" w:cs="Arial"/>
        </w:rPr>
      </w:pPr>
      <w:r w:rsidRPr="00913A0A">
        <w:rPr>
          <w:rFonts w:ascii="Arial" w:hAnsi="Arial" w:cs="Arial"/>
        </w:rPr>
        <w:t>We chose, plotted, and synthesised five papers that were published between 2018 and 2024. Diabetes, dementia, mental health, general practice, and NHS outpatient care were all covered by the evidence. Convenience, continuity, and self-management; variations in acceptability and the significance of patient choice; and digital, communication, and clinical hurdles were the three themes that emerged. While some patients welcomed more independence and convenient follow-up, telehealth decreased travel and helped maintain continuity during service disruptions.</w:t>
      </w:r>
    </w:p>
    <w:p w14:paraId="3161A46F" w14:textId="77777777" w:rsidR="00913A0A" w:rsidRDefault="00913A0A" w:rsidP="008C2FBD">
      <w:pPr>
        <w:spacing w:line="360" w:lineRule="auto"/>
        <w:rPr>
          <w:rFonts w:ascii="Arial" w:hAnsi="Arial" w:cs="Arial"/>
        </w:rPr>
      </w:pPr>
    </w:p>
    <w:p w14:paraId="26E3A54C" w14:textId="636E864C" w:rsidR="00913A0A" w:rsidRDefault="00913A0A" w:rsidP="008C2FBD">
      <w:pPr>
        <w:spacing w:line="360" w:lineRule="auto"/>
        <w:rPr>
          <w:rFonts w:ascii="Arial" w:hAnsi="Arial" w:cs="Arial"/>
        </w:rPr>
      </w:pPr>
      <w:r w:rsidRPr="00913A0A">
        <w:rPr>
          <w:rFonts w:ascii="Arial" w:hAnsi="Arial" w:cs="Arial"/>
        </w:rPr>
        <w:t>The advantages were not uniform, though. Access or quality may be lowered by limited digital skills, cognitive or sensory impairment, lack of privacy, technical issues, and the incapacity to conduct physical examinations. The evidence is in favour of a hybrid strategy that selects telephone, video, internet, and in-person care based on patient preferences and clinical needs. Non-digital routes should be maintained, support requirements should be evaluated, and disparities should be tracked by UK agencies. Additional post-pandemic and condition-specific research is needed.</w:t>
      </w:r>
    </w:p>
    <w:p w14:paraId="1BFB09F6" w14:textId="77777777" w:rsidR="00FE4B1C" w:rsidRDefault="00FE4B1C" w:rsidP="00FE4B1C">
      <w:pPr>
        <w:pStyle w:val="Heading2"/>
      </w:pPr>
    </w:p>
    <w:p w14:paraId="5FEB277F" w14:textId="77777777" w:rsidR="00FE4B1C" w:rsidRDefault="00FE4B1C" w:rsidP="00FE4B1C">
      <w:pPr>
        <w:pStyle w:val="Heading2"/>
      </w:pPr>
    </w:p>
    <w:p w14:paraId="12D76753" w14:textId="08B9EDF9" w:rsidR="00B87E75" w:rsidRDefault="00B87E75" w:rsidP="00FE4B1C">
      <w:pPr>
        <w:pStyle w:val="Heading2"/>
      </w:pPr>
      <w:bookmarkStart w:id="1" w:name="_Toc236822312"/>
      <w:r w:rsidRPr="00913A0A">
        <w:t>Introduction</w:t>
      </w:r>
      <w:bookmarkEnd w:id="1"/>
    </w:p>
    <w:p w14:paraId="1C21103C" w14:textId="77777777" w:rsidR="00FE4B1C" w:rsidRPr="00FE4B1C" w:rsidRDefault="00FE4B1C" w:rsidP="00FE4B1C">
      <w:pPr>
        <w:rPr>
          <w:lang w:eastAsia="en-US"/>
        </w:rPr>
      </w:pPr>
    </w:p>
    <w:p w14:paraId="52010A5E" w14:textId="1D5BC7B6" w:rsidR="0026393A" w:rsidRPr="00913A0A" w:rsidRDefault="00897307" w:rsidP="008C2FBD">
      <w:pPr>
        <w:tabs>
          <w:tab w:val="left" w:pos="6540"/>
        </w:tabs>
        <w:spacing w:line="360" w:lineRule="auto"/>
        <w:rPr>
          <w:rFonts w:ascii="Arial" w:hAnsi="Arial" w:cs="Arial"/>
        </w:rPr>
      </w:pPr>
      <w:r w:rsidRPr="00913A0A">
        <w:rPr>
          <w:rFonts w:ascii="Arial" w:hAnsi="Arial" w:cs="Arial"/>
        </w:rPr>
        <w:t>Health issues that necessitate ongoing care over a prolonged period as opposed to therapy after a single illness episode are known as long-term conditions. Diabetes, heart disease, long-term respiratory disorders, dementia, and persistent mental health issues are among them. While some folks only have one illness, others have multiple conditions and require frequent monitoring, prescription reviews, counselling, and communication with various healthcare providers. Therefore, preserving health, independence, and quality of life requires ongoing, accessible care.</w:t>
      </w:r>
    </w:p>
    <w:p w14:paraId="61446E3D" w14:textId="77777777" w:rsidR="00897307" w:rsidRPr="00913A0A" w:rsidRDefault="00897307" w:rsidP="008C2FBD">
      <w:pPr>
        <w:tabs>
          <w:tab w:val="left" w:pos="6540"/>
        </w:tabs>
        <w:spacing w:line="360" w:lineRule="auto"/>
        <w:rPr>
          <w:rFonts w:ascii="Arial" w:hAnsi="Arial" w:cs="Arial"/>
        </w:rPr>
      </w:pPr>
    </w:p>
    <w:p w14:paraId="6306F5ED" w14:textId="441D3799" w:rsidR="00897307" w:rsidRPr="00913A0A" w:rsidRDefault="00897307" w:rsidP="008C2FBD">
      <w:pPr>
        <w:tabs>
          <w:tab w:val="left" w:pos="6540"/>
        </w:tabs>
        <w:spacing w:line="360" w:lineRule="auto"/>
        <w:rPr>
          <w:rFonts w:ascii="Arial" w:hAnsi="Arial" w:cs="Arial"/>
        </w:rPr>
      </w:pPr>
      <w:r w:rsidRPr="00913A0A">
        <w:rPr>
          <w:rFonts w:ascii="Arial" w:hAnsi="Arial" w:cs="Arial"/>
        </w:rPr>
        <w:t>Healthcare provided remotely via information and communication technologies is referred to as telehealth. Telehealth is defined in this review as the interchange of information between a patient and a healthcare provider via telephone consultations, video consultations, online writing communication, and remote monitoring. Access to healthcare is defined as the practical chance to get the right help when needed. As a result, access encompasses not just availability and convenience but also communication, digital capabilities, clinical suitability, patient choice, and equity.</w:t>
      </w:r>
    </w:p>
    <w:p w14:paraId="300CA35E" w14:textId="77777777" w:rsidR="00897307" w:rsidRPr="00913A0A" w:rsidRDefault="00897307" w:rsidP="008C2FBD">
      <w:pPr>
        <w:tabs>
          <w:tab w:val="left" w:pos="6540"/>
        </w:tabs>
        <w:spacing w:line="360" w:lineRule="auto"/>
        <w:rPr>
          <w:rFonts w:ascii="Arial" w:hAnsi="Arial" w:cs="Arial"/>
        </w:rPr>
      </w:pPr>
    </w:p>
    <w:p w14:paraId="508AE542" w14:textId="0DA1DC36" w:rsidR="00897307" w:rsidRPr="00913A0A" w:rsidRDefault="00897307" w:rsidP="008C2FBD">
      <w:pPr>
        <w:tabs>
          <w:tab w:val="left" w:pos="6540"/>
        </w:tabs>
        <w:spacing w:line="360" w:lineRule="auto"/>
        <w:rPr>
          <w:rFonts w:ascii="Arial" w:hAnsi="Arial" w:cs="Arial"/>
        </w:rPr>
      </w:pPr>
      <w:r w:rsidRPr="00913A0A">
        <w:rPr>
          <w:rFonts w:ascii="Arial" w:hAnsi="Arial" w:cs="Arial"/>
        </w:rPr>
        <w:t>By eliminating the need for travel, allowing patients to get care at home, and facilitating more convenient follow-up, telehealth may increase access. Adults with health issues that limit their movement or necessitate frequent checkups may find these benefits particularly pertinent. However, providing a service remotely does not ensure that it is truly accessible. A person could not have the right gadget, reliable internet, self-assurance, computer abilities, or a quiet location for a consultation. Additionally, when a physical examination, nonverbal communication, safeguarding evaluation, or a complicated conversation are required, remote care might not be appropriate.</w:t>
      </w:r>
    </w:p>
    <w:p w14:paraId="3DD0DA68" w14:textId="77777777" w:rsidR="00897307" w:rsidRPr="00913A0A" w:rsidRDefault="00897307" w:rsidP="008C2FBD">
      <w:pPr>
        <w:tabs>
          <w:tab w:val="left" w:pos="6540"/>
        </w:tabs>
        <w:spacing w:line="360" w:lineRule="auto"/>
        <w:rPr>
          <w:rFonts w:ascii="Arial" w:hAnsi="Arial" w:cs="Arial"/>
        </w:rPr>
      </w:pPr>
    </w:p>
    <w:p w14:paraId="0ED16C10" w14:textId="4E7C8D7A" w:rsidR="00897307" w:rsidRPr="00913A0A" w:rsidRDefault="00897307" w:rsidP="008C2FBD">
      <w:pPr>
        <w:tabs>
          <w:tab w:val="left" w:pos="6540"/>
        </w:tabs>
        <w:spacing w:line="360" w:lineRule="auto"/>
        <w:rPr>
          <w:rFonts w:ascii="Arial" w:hAnsi="Arial" w:cs="Arial"/>
        </w:rPr>
      </w:pPr>
      <w:r w:rsidRPr="00913A0A">
        <w:rPr>
          <w:rFonts w:ascii="Arial" w:hAnsi="Arial" w:cs="Arial"/>
        </w:rPr>
        <w:t xml:space="preserve">During the COVID-19 pandemic, remote healthcare rapidly expanded, leading to significant telehealth practice experience in the UK. However, there is still conflicting data regarding how it affects adults with chronic illnesses. Mapping this data can </w:t>
      </w:r>
      <w:r w:rsidRPr="00913A0A">
        <w:rPr>
          <w:rFonts w:ascii="Arial" w:hAnsi="Arial" w:cs="Arial"/>
        </w:rPr>
        <w:lastRenderedPageBreak/>
        <w:t>assist avoid current disparities from being exacerbated by digital healthcare and promote the development of patient-cantered services.</w:t>
      </w:r>
    </w:p>
    <w:p w14:paraId="4C0C0AF1" w14:textId="77777777" w:rsidR="00897307" w:rsidRPr="00913A0A" w:rsidRDefault="00897307" w:rsidP="008C2FBD">
      <w:pPr>
        <w:tabs>
          <w:tab w:val="left" w:pos="6540"/>
        </w:tabs>
        <w:spacing w:line="360" w:lineRule="auto"/>
        <w:rPr>
          <w:rFonts w:ascii="Arial" w:hAnsi="Arial" w:cs="Arial"/>
        </w:rPr>
      </w:pPr>
    </w:p>
    <w:p w14:paraId="6D65D5D5" w14:textId="77777777" w:rsidR="00897307" w:rsidRPr="00913A0A" w:rsidRDefault="00897307" w:rsidP="008C2FBD">
      <w:pPr>
        <w:tabs>
          <w:tab w:val="left" w:pos="6540"/>
        </w:tabs>
        <w:spacing w:line="360" w:lineRule="auto"/>
        <w:rPr>
          <w:rFonts w:ascii="Arial" w:hAnsi="Arial" w:cs="Arial"/>
        </w:rPr>
      </w:pPr>
      <w:r w:rsidRPr="00913A0A">
        <w:rPr>
          <w:rFonts w:ascii="Arial" w:hAnsi="Arial" w:cs="Arial"/>
        </w:rPr>
        <w:t>Examine the question. What proof is there that telehealth interventions can help adults with chronic illnesses in the UK have better access to medical care?</w:t>
      </w:r>
    </w:p>
    <w:p w14:paraId="389653DE" w14:textId="76C93547" w:rsidR="00897307" w:rsidRPr="00913A0A" w:rsidRDefault="00897307" w:rsidP="008C2FBD">
      <w:pPr>
        <w:tabs>
          <w:tab w:val="left" w:pos="6540"/>
        </w:tabs>
        <w:spacing w:line="360" w:lineRule="auto"/>
        <w:rPr>
          <w:rFonts w:ascii="Arial" w:hAnsi="Arial" w:cs="Arial"/>
        </w:rPr>
      </w:pPr>
      <w:r w:rsidRPr="00913A0A">
        <w:rPr>
          <w:rFonts w:ascii="Arial" w:hAnsi="Arial" w:cs="Arial"/>
        </w:rPr>
        <w:t>Goals. The review's objectives were to identify telehealth interventions utilised in UK healthcare, assess how they affect adults with long-term diseases' access, discuss the advantages and disadvantages of these interventions, and pinpoint any gaps in the available data.</w:t>
      </w:r>
    </w:p>
    <w:p w14:paraId="7DB5637A" w14:textId="77777777" w:rsidR="00897307" w:rsidRPr="00913A0A" w:rsidRDefault="00897307" w:rsidP="008C2FBD">
      <w:pPr>
        <w:tabs>
          <w:tab w:val="left" w:pos="6540"/>
        </w:tabs>
        <w:spacing w:line="360" w:lineRule="auto"/>
        <w:rPr>
          <w:rFonts w:ascii="Arial" w:hAnsi="Arial" w:cs="Arial"/>
        </w:rPr>
      </w:pPr>
    </w:p>
    <w:p w14:paraId="0F7D7609" w14:textId="43B44D47" w:rsidR="0026393A" w:rsidRDefault="0026393A" w:rsidP="00FE4B1C">
      <w:pPr>
        <w:pStyle w:val="Heading2"/>
      </w:pPr>
      <w:bookmarkStart w:id="2" w:name="_Toc236822313"/>
      <w:r w:rsidRPr="00913A0A">
        <w:t>Background</w:t>
      </w:r>
      <w:bookmarkEnd w:id="2"/>
    </w:p>
    <w:p w14:paraId="030DDDBE" w14:textId="77777777" w:rsidR="00FE4B1C" w:rsidRPr="00FE4B1C" w:rsidRDefault="00FE4B1C" w:rsidP="00FE4B1C">
      <w:pPr>
        <w:rPr>
          <w:lang w:eastAsia="en-US"/>
        </w:rPr>
      </w:pPr>
    </w:p>
    <w:p w14:paraId="0537CEF5" w14:textId="2F758060" w:rsidR="003E4ECF" w:rsidRPr="00913A0A" w:rsidRDefault="00F8594A" w:rsidP="008C2FBD">
      <w:pPr>
        <w:tabs>
          <w:tab w:val="left" w:pos="6540"/>
        </w:tabs>
        <w:spacing w:line="360" w:lineRule="auto"/>
        <w:rPr>
          <w:rFonts w:ascii="Arial" w:hAnsi="Arial" w:cs="Arial"/>
        </w:rPr>
      </w:pPr>
      <w:r w:rsidRPr="00913A0A">
        <w:rPr>
          <w:rFonts w:ascii="Arial" w:hAnsi="Arial" w:cs="Arial"/>
        </w:rPr>
        <w:t xml:space="preserve">Since patients often need monitoring, therapy modifications, and support across primary, community, and specialised care, the management of long-term diseases makes up a significant percentage of NHS work. </w:t>
      </w:r>
      <w:r w:rsidR="00E954E8" w:rsidRPr="00E954E8">
        <w:rPr>
          <w:rFonts w:ascii="Arial" w:hAnsi="Arial" w:cs="Arial"/>
        </w:rPr>
        <w:t>Telehealth has been marketed as a means of assisting patients in taking a more active role in their health management in response to rising demand. Additionally, the World Health Organization has acknowledged digital health as a key tactic for bolstering health systems, expanding access to medical treatment, and promoting person-centred care (World Health Organization, 2021</w:t>
      </w:r>
      <w:proofErr w:type="gramStart"/>
      <w:r w:rsidR="00E954E8" w:rsidRPr="00E954E8">
        <w:rPr>
          <w:rFonts w:ascii="Arial" w:hAnsi="Arial" w:cs="Arial"/>
        </w:rPr>
        <w:t>).</w:t>
      </w:r>
      <w:r w:rsidRPr="00913A0A">
        <w:rPr>
          <w:rFonts w:ascii="Arial" w:hAnsi="Arial" w:cs="Arial"/>
        </w:rPr>
        <w:t>Online</w:t>
      </w:r>
      <w:proofErr w:type="gramEnd"/>
      <w:r w:rsidRPr="00913A0A">
        <w:rPr>
          <w:rFonts w:ascii="Arial" w:hAnsi="Arial" w:cs="Arial"/>
        </w:rPr>
        <w:t xml:space="preserve"> access, remote monitoring, and digitally enabled care were identified by the NHS Long Term Plan as critical components of future healthcare delivery (NHS England, 2019).</w:t>
      </w:r>
    </w:p>
    <w:p w14:paraId="13902C6C" w14:textId="1D04F138" w:rsidR="009840D2" w:rsidRPr="00913A0A" w:rsidRDefault="009840D2" w:rsidP="008C2FBD">
      <w:pPr>
        <w:tabs>
          <w:tab w:val="left" w:pos="6540"/>
        </w:tabs>
        <w:spacing w:line="360" w:lineRule="auto"/>
        <w:rPr>
          <w:rFonts w:ascii="Arial" w:hAnsi="Arial" w:cs="Arial"/>
        </w:rPr>
      </w:pPr>
      <w:r w:rsidRPr="00913A0A">
        <w:rPr>
          <w:rFonts w:ascii="Arial" w:hAnsi="Arial" w:cs="Arial"/>
        </w:rPr>
        <w:t>Numerous types of healthcare are included in telehealth. While video consultations offer visual information that may facilitate communication and assessment, telephone consultations offer a well-known and accessible option. Patients can input written information through online systems, and medical teams can receive data like blood pressure or blood glucose from remote monitoring devices. Telehealth is not a single intervention, as evidenced by an analysis of NHS teleconsultations that found significant heterogeneity in technologies, medical specialities, and outcomes (</w:t>
      </w:r>
      <w:proofErr w:type="spellStart"/>
      <w:r w:rsidRPr="00913A0A">
        <w:rPr>
          <w:rFonts w:ascii="Arial" w:hAnsi="Arial" w:cs="Arial"/>
        </w:rPr>
        <w:t>O'Cathail</w:t>
      </w:r>
      <w:proofErr w:type="spellEnd"/>
      <w:r w:rsidRPr="00913A0A">
        <w:rPr>
          <w:rFonts w:ascii="Arial" w:hAnsi="Arial" w:cs="Arial"/>
        </w:rPr>
        <w:t xml:space="preserve"> et al., 2020).</w:t>
      </w:r>
    </w:p>
    <w:p w14:paraId="3D74C31B" w14:textId="77777777" w:rsidR="009840D2" w:rsidRPr="00913A0A" w:rsidRDefault="009840D2" w:rsidP="008C2FBD">
      <w:pPr>
        <w:tabs>
          <w:tab w:val="left" w:pos="6540"/>
        </w:tabs>
        <w:spacing w:line="360" w:lineRule="auto"/>
        <w:rPr>
          <w:rFonts w:ascii="Arial" w:hAnsi="Arial" w:cs="Arial"/>
        </w:rPr>
      </w:pPr>
    </w:p>
    <w:p w14:paraId="27E78366" w14:textId="3234B05E" w:rsidR="009840D2" w:rsidRPr="00913A0A" w:rsidRDefault="009840D2" w:rsidP="008C2FBD">
      <w:pPr>
        <w:tabs>
          <w:tab w:val="left" w:pos="6540"/>
        </w:tabs>
        <w:spacing w:line="360" w:lineRule="auto"/>
        <w:rPr>
          <w:rFonts w:ascii="Arial" w:hAnsi="Arial" w:cs="Arial"/>
        </w:rPr>
      </w:pPr>
      <w:r w:rsidRPr="00913A0A">
        <w:rPr>
          <w:rFonts w:ascii="Arial" w:hAnsi="Arial" w:cs="Arial"/>
        </w:rPr>
        <w:t xml:space="preserve">Travel time, parking and transportation expenses, physical exertion, and time away from work or caregiving duties can all be decreased with remote healthcare. Additionally, it might keep things going when a patient finds it difficult to visit a </w:t>
      </w:r>
      <w:r w:rsidRPr="00913A0A">
        <w:rPr>
          <w:rFonts w:ascii="Arial" w:hAnsi="Arial" w:cs="Arial"/>
        </w:rPr>
        <w:lastRenderedPageBreak/>
        <w:t>medical facility. Although its impact on quality of life, hospital admission, and other outcomes is not always favourable, interactive monitoring can assist medical personnel in responding to changes in a patient's condition (Leo et al., 2022).</w:t>
      </w:r>
    </w:p>
    <w:p w14:paraId="54CDF2C4" w14:textId="77777777" w:rsidR="009840D2" w:rsidRPr="00913A0A" w:rsidRDefault="009840D2" w:rsidP="008C2FBD">
      <w:pPr>
        <w:tabs>
          <w:tab w:val="left" w:pos="6540"/>
        </w:tabs>
        <w:spacing w:line="360" w:lineRule="auto"/>
        <w:rPr>
          <w:rFonts w:ascii="Arial" w:hAnsi="Arial" w:cs="Arial"/>
        </w:rPr>
      </w:pPr>
    </w:p>
    <w:p w14:paraId="6DD9276C" w14:textId="313286D7" w:rsidR="009840D2" w:rsidRPr="00913A0A" w:rsidRDefault="009840D2" w:rsidP="008C2FBD">
      <w:pPr>
        <w:tabs>
          <w:tab w:val="left" w:pos="6540"/>
        </w:tabs>
        <w:spacing w:line="360" w:lineRule="auto"/>
        <w:rPr>
          <w:rFonts w:ascii="Arial" w:hAnsi="Arial" w:cs="Arial"/>
        </w:rPr>
      </w:pPr>
      <w:r w:rsidRPr="00913A0A">
        <w:rPr>
          <w:rFonts w:ascii="Arial" w:hAnsi="Arial" w:cs="Arial"/>
        </w:rPr>
        <w:t>Because healthcare services required to lower infection risks while keeping patient contact, the COVID-19 pandemic hastened the introduction of telehealth. In services where adoption had previously been gradual, telephone, video, and online consultations became commonplace. While maintaining access was aided by remote treatment, issues with clinical risk, staff workload, communication, technology, and patient choice were also identified (Murphy et al., 2021).</w:t>
      </w:r>
    </w:p>
    <w:p w14:paraId="5111086B" w14:textId="77777777" w:rsidR="009840D2" w:rsidRPr="00913A0A" w:rsidRDefault="009840D2" w:rsidP="008C2FBD">
      <w:pPr>
        <w:tabs>
          <w:tab w:val="left" w:pos="6540"/>
        </w:tabs>
        <w:spacing w:line="360" w:lineRule="auto"/>
        <w:rPr>
          <w:rFonts w:ascii="Arial" w:hAnsi="Arial" w:cs="Arial"/>
        </w:rPr>
      </w:pPr>
    </w:p>
    <w:p w14:paraId="6DD303CD" w14:textId="532D2B09" w:rsidR="009840D2" w:rsidRPr="00913A0A" w:rsidRDefault="009840D2" w:rsidP="008C2FBD">
      <w:pPr>
        <w:tabs>
          <w:tab w:val="left" w:pos="6540"/>
        </w:tabs>
        <w:spacing w:line="360" w:lineRule="auto"/>
        <w:rPr>
          <w:rFonts w:ascii="Arial" w:hAnsi="Arial" w:cs="Arial"/>
        </w:rPr>
      </w:pPr>
      <w:r w:rsidRPr="00913A0A">
        <w:rPr>
          <w:rFonts w:ascii="Arial" w:hAnsi="Arial" w:cs="Arial"/>
        </w:rPr>
        <w:t>Telehealth services must comply with all applicable laws and regulations in the UK. Remote paths should have accessible formats and suitable alternatives since the Equality Act 2010 mandates that service providers make reasonable adaptations to prevent disabled individuals from being at a significant disadvantage (Great Britain, 2010). Publicly funded NHS and adult social care services must identify, record, flag, share, meet, and review patients' information and communication needs in accordance with the NHS Accessible Information Standard (NHS England, 2025). According to the UK GDPR and Data Protection Act 2018</w:t>
      </w:r>
      <w:r w:rsidR="00E71C21" w:rsidRPr="00913A0A">
        <w:rPr>
          <w:rFonts w:ascii="Arial" w:hAnsi="Arial" w:cs="Arial"/>
        </w:rPr>
        <w:t xml:space="preserve"> </w:t>
      </w:r>
      <w:r w:rsidR="00E71C21" w:rsidRPr="00913A0A">
        <w:rPr>
          <w:rFonts w:ascii="Arial" w:hAnsi="Arial" w:cs="Arial"/>
          <w:color w:val="040102"/>
          <w:shd w:val="clear" w:color="auto" w:fill="FFFFFF"/>
        </w:rPr>
        <w:t>(GOV.UK, 2018)</w:t>
      </w:r>
      <w:r w:rsidRPr="00913A0A">
        <w:rPr>
          <w:rFonts w:ascii="Arial" w:hAnsi="Arial" w:cs="Arial"/>
        </w:rPr>
        <w:t>, health information obtained or communicated through telehealth is special-category personal data that must be processed legally and securely.</w:t>
      </w:r>
    </w:p>
    <w:p w14:paraId="47E7437F" w14:textId="617C465E" w:rsidR="00E71C21" w:rsidRPr="00913A0A" w:rsidRDefault="00E71C21" w:rsidP="008C2FBD">
      <w:pPr>
        <w:tabs>
          <w:tab w:val="left" w:pos="6540"/>
        </w:tabs>
        <w:spacing w:line="360" w:lineRule="auto"/>
        <w:rPr>
          <w:rFonts w:ascii="Arial" w:hAnsi="Arial" w:cs="Arial"/>
        </w:rPr>
      </w:pPr>
    </w:p>
    <w:p w14:paraId="795FF170" w14:textId="714096E7" w:rsidR="00E71C21" w:rsidRPr="00913A0A" w:rsidRDefault="00E71C21" w:rsidP="008C2FBD">
      <w:pPr>
        <w:tabs>
          <w:tab w:val="left" w:pos="6540"/>
        </w:tabs>
        <w:spacing w:line="360" w:lineRule="auto"/>
        <w:rPr>
          <w:rFonts w:ascii="Arial" w:hAnsi="Arial" w:cs="Arial"/>
        </w:rPr>
      </w:pPr>
      <w:r w:rsidRPr="00913A0A">
        <w:rPr>
          <w:rFonts w:ascii="Arial" w:hAnsi="Arial" w:cs="Arial"/>
        </w:rPr>
        <w:t>For adults with chronic illnesses, digital isolation is especially crucial. Appropriate equipment, dependable connectivity, self-assurance, literacy, linguistic help, and accessible technology are all need for access. Younger, wealthier, and better educated individuals use online consultations more frequently, but there is still no data regarding the results for underprivileged groups (Parker et al., 2021). Additionally, older age, lower income, unemployment, minority ethnic background, rural area, and not knowing English as a first language have all been linked to poorer participation in remote outpatient services (Jones et al., 2022).</w:t>
      </w:r>
    </w:p>
    <w:p w14:paraId="10684CE5" w14:textId="0D50E099" w:rsidR="00E71C21" w:rsidRPr="00913A0A" w:rsidRDefault="00E71C21" w:rsidP="008C2FBD">
      <w:pPr>
        <w:tabs>
          <w:tab w:val="left" w:pos="6540"/>
        </w:tabs>
        <w:spacing w:line="360" w:lineRule="auto"/>
        <w:rPr>
          <w:rFonts w:ascii="Arial" w:hAnsi="Arial" w:cs="Arial"/>
        </w:rPr>
      </w:pPr>
    </w:p>
    <w:p w14:paraId="12451D60" w14:textId="1904143C" w:rsidR="009840D2" w:rsidRPr="00913A0A" w:rsidRDefault="00E71C21" w:rsidP="008C2FBD">
      <w:pPr>
        <w:tabs>
          <w:tab w:val="left" w:pos="6540"/>
        </w:tabs>
        <w:spacing w:line="360" w:lineRule="auto"/>
        <w:rPr>
          <w:rFonts w:ascii="Arial" w:hAnsi="Arial" w:cs="Arial"/>
        </w:rPr>
      </w:pPr>
      <w:r w:rsidRPr="00913A0A">
        <w:rPr>
          <w:rFonts w:ascii="Arial" w:hAnsi="Arial" w:cs="Arial"/>
        </w:rPr>
        <w:t xml:space="preserve">A person's health status may interact with these obstacles. While hearing or vision problems might make it challenging to communicate over the phone or via video, cognitive disability can impact memory and the ability to use internet tools. </w:t>
      </w:r>
      <w:r w:rsidRPr="00913A0A">
        <w:rPr>
          <w:rFonts w:ascii="Arial" w:hAnsi="Arial" w:cs="Arial"/>
        </w:rPr>
        <w:lastRenderedPageBreak/>
        <w:t>Additionally, patients might not have enough internet access, share gadgets, or have a quiet space to discuss intimate matters. Research on digital healthcare among underprivileged communities in the UK is still in its infancy, and services have occasionally been moulded more by organisational needs than by the needs of those most at danger of exclusion (Farre et al., 2023).</w:t>
      </w:r>
    </w:p>
    <w:p w14:paraId="32093149" w14:textId="77777777" w:rsidR="008C2FBD" w:rsidRPr="00913A0A" w:rsidRDefault="008C2FBD" w:rsidP="008C2FBD">
      <w:pPr>
        <w:tabs>
          <w:tab w:val="left" w:pos="6540"/>
        </w:tabs>
        <w:spacing w:line="360" w:lineRule="auto"/>
        <w:rPr>
          <w:rFonts w:ascii="Arial" w:hAnsi="Arial" w:cs="Arial"/>
        </w:rPr>
      </w:pPr>
    </w:p>
    <w:p w14:paraId="39C38362" w14:textId="07D4E4B0" w:rsidR="008C2FBD" w:rsidRPr="00913A0A" w:rsidRDefault="008C2FBD" w:rsidP="008C2FBD">
      <w:pPr>
        <w:tabs>
          <w:tab w:val="left" w:pos="6540"/>
        </w:tabs>
        <w:spacing w:line="360" w:lineRule="auto"/>
        <w:rPr>
          <w:rFonts w:ascii="Arial" w:hAnsi="Arial" w:cs="Arial"/>
        </w:rPr>
      </w:pPr>
      <w:r w:rsidRPr="00913A0A">
        <w:rPr>
          <w:rFonts w:ascii="Arial" w:hAnsi="Arial" w:cs="Arial"/>
        </w:rPr>
        <w:t>Because telehealth encompasses a variety of technology, medical disorders, and healthcare settings, the evidence base is consequently complicated. Convenience, service uptake, continuity, clinical results, satisfaction, or patient experience can all be used to assess access. Without presuming that every telehealth strategy has the same outcomes, a scoping review is suitable for mapping this varied evidence, finding common patterns, and flagging gaps.</w:t>
      </w:r>
    </w:p>
    <w:p w14:paraId="7AAE53B1" w14:textId="77777777" w:rsidR="009840D2" w:rsidRPr="00913A0A" w:rsidRDefault="009840D2" w:rsidP="00CD33A8">
      <w:pPr>
        <w:tabs>
          <w:tab w:val="left" w:pos="6540"/>
        </w:tabs>
        <w:spacing w:line="360" w:lineRule="auto"/>
        <w:rPr>
          <w:rFonts w:ascii="Arial" w:hAnsi="Arial" w:cs="Arial"/>
        </w:rPr>
      </w:pPr>
    </w:p>
    <w:p w14:paraId="60B2CDC3" w14:textId="7AC48417" w:rsidR="00B87E75" w:rsidRDefault="00B87E75" w:rsidP="00FE4B1C">
      <w:pPr>
        <w:pStyle w:val="Heading2"/>
      </w:pPr>
      <w:bookmarkStart w:id="3" w:name="_Toc236822314"/>
      <w:r w:rsidRPr="00913A0A">
        <w:t>Method</w:t>
      </w:r>
      <w:r w:rsidR="003E4ECF" w:rsidRPr="00913A0A">
        <w:t>s</w:t>
      </w:r>
      <w:bookmarkEnd w:id="3"/>
    </w:p>
    <w:p w14:paraId="7E688613" w14:textId="77777777" w:rsidR="00FE4B1C" w:rsidRPr="00FE4B1C" w:rsidRDefault="00FE4B1C" w:rsidP="00FE4B1C">
      <w:pPr>
        <w:rPr>
          <w:lang w:eastAsia="en-US"/>
        </w:rPr>
      </w:pPr>
    </w:p>
    <w:p w14:paraId="4FC14C6B" w14:textId="3E6CDA5A" w:rsidR="00B87E75" w:rsidRPr="00FE4B1C" w:rsidRDefault="008C2FBD" w:rsidP="00FE4B1C">
      <w:pPr>
        <w:spacing w:line="360" w:lineRule="auto"/>
        <w:rPr>
          <w:rFonts w:ascii="Arial" w:hAnsi="Arial" w:cs="Arial"/>
        </w:rPr>
      </w:pPr>
      <w:r w:rsidRPr="00FE4B1C">
        <w:rPr>
          <w:rFonts w:ascii="Arial" w:hAnsi="Arial" w:cs="Arial"/>
        </w:rPr>
        <w:t>3.1 Review design</w:t>
      </w:r>
    </w:p>
    <w:p w14:paraId="2B446B08" w14:textId="77777777" w:rsidR="007C0D17" w:rsidRPr="00FE4B1C" w:rsidRDefault="007C0D17" w:rsidP="00FE4B1C">
      <w:pPr>
        <w:spacing w:line="360" w:lineRule="auto"/>
        <w:rPr>
          <w:rFonts w:ascii="Arial" w:hAnsi="Arial" w:cs="Arial"/>
        </w:rPr>
      </w:pPr>
    </w:p>
    <w:p w14:paraId="5F7E885E" w14:textId="5E509680" w:rsidR="008C2FBD" w:rsidRPr="00FE4B1C" w:rsidRDefault="008C2FBD" w:rsidP="00FE4B1C">
      <w:pPr>
        <w:spacing w:line="360" w:lineRule="auto"/>
        <w:rPr>
          <w:rFonts w:ascii="Arial" w:hAnsi="Arial" w:cs="Arial"/>
        </w:rPr>
      </w:pPr>
      <w:r w:rsidRPr="00FE4B1C">
        <w:rPr>
          <w:rFonts w:ascii="Arial" w:hAnsi="Arial" w:cs="Arial"/>
        </w:rPr>
        <w:t>The evidence on telehealth and healthcare access among individuals with long-term diseases in the UK was examined using a scoping review design. Because the topic encompasses many long-term conditions, telehealth technologies, healthcare settings, study approaches, and access measures, this design was acceptable. The procedures of framing the review topic, obtaining pertinent evidence, choosing studies, extracting data, and presenting the findings were all done in accordance with Joanna Briggs Institute guidelines (Peters et al., 2020).</w:t>
      </w:r>
    </w:p>
    <w:p w14:paraId="2FB0C998" w14:textId="77777777" w:rsidR="008C2FBD" w:rsidRPr="00FE4B1C" w:rsidRDefault="008C2FBD" w:rsidP="00FE4B1C">
      <w:pPr>
        <w:spacing w:line="360" w:lineRule="auto"/>
        <w:rPr>
          <w:rFonts w:ascii="Arial" w:hAnsi="Arial" w:cs="Arial"/>
        </w:rPr>
      </w:pPr>
    </w:p>
    <w:p w14:paraId="2C3394FB" w14:textId="5BE289B4" w:rsidR="008C2FBD" w:rsidRPr="00FE4B1C" w:rsidRDefault="008C2FBD" w:rsidP="00FE4B1C">
      <w:pPr>
        <w:spacing w:line="360" w:lineRule="auto"/>
        <w:rPr>
          <w:rFonts w:ascii="Arial" w:hAnsi="Arial" w:cs="Arial"/>
        </w:rPr>
      </w:pPr>
      <w:r w:rsidRPr="00FE4B1C">
        <w:rPr>
          <w:rFonts w:ascii="Arial" w:hAnsi="Arial" w:cs="Arial"/>
        </w:rPr>
        <w:t>The eligibility requirements and the review question were aligned using the Population-Concept-Context framework. Adults with one or more chronic illnesses made up the population. The environment was health and care practices in the United Kingdom, and the idea was using telehealth to increase access to healthcare.</w:t>
      </w:r>
    </w:p>
    <w:p w14:paraId="7C7D45A1" w14:textId="77777777" w:rsidR="008C2FBD" w:rsidRPr="00FE4B1C" w:rsidRDefault="008C2FBD" w:rsidP="00FE4B1C">
      <w:pPr>
        <w:spacing w:line="360" w:lineRule="auto"/>
        <w:rPr>
          <w:rFonts w:ascii="Arial" w:hAnsi="Arial" w:cs="Arial"/>
        </w:rPr>
      </w:pPr>
    </w:p>
    <w:p w14:paraId="522019E1" w14:textId="77777777" w:rsidR="007C0D17" w:rsidRPr="00FE4B1C" w:rsidRDefault="007C0D17" w:rsidP="00FE4B1C">
      <w:pPr>
        <w:spacing w:line="360" w:lineRule="auto"/>
        <w:rPr>
          <w:rFonts w:ascii="Arial" w:hAnsi="Arial" w:cs="Arial"/>
        </w:rPr>
      </w:pPr>
      <w:r w:rsidRPr="00FE4B1C">
        <w:rPr>
          <w:rFonts w:ascii="Arial" w:hAnsi="Arial" w:cs="Arial"/>
        </w:rPr>
        <w:t>3.2 Data collection and search strategy</w:t>
      </w:r>
    </w:p>
    <w:p w14:paraId="05299660" w14:textId="6255F713" w:rsidR="007C0D17" w:rsidRPr="00FE4B1C" w:rsidRDefault="00DA5917" w:rsidP="00FE4B1C">
      <w:pPr>
        <w:spacing w:line="360" w:lineRule="auto"/>
        <w:rPr>
          <w:rFonts w:ascii="Arial" w:hAnsi="Arial" w:cs="Arial"/>
        </w:rPr>
      </w:pPr>
      <w:r w:rsidRPr="00FE4B1C">
        <w:rPr>
          <w:rFonts w:ascii="Arial" w:hAnsi="Arial" w:cs="Arial"/>
        </w:rPr>
        <w:t xml:space="preserve">Using PubMed/MEDLINE, CINAHL, and Scopus, a systematic literature search was carried out. These databases were chosen because they offer peer-reviewed research on health services, digital health, allied healthcare, nursing, and medicine. </w:t>
      </w:r>
      <w:r w:rsidRPr="00FE4B1C">
        <w:rPr>
          <w:rFonts w:ascii="Arial" w:hAnsi="Arial" w:cs="Arial"/>
        </w:rPr>
        <w:lastRenderedPageBreak/>
        <w:t>Telehealth, long-term problems, healthcare access, adults, and the UK were the five key concepts that guided the search.</w:t>
      </w:r>
    </w:p>
    <w:p w14:paraId="3F3EC8DA" w14:textId="77777777" w:rsidR="00DA5917" w:rsidRPr="00FE4B1C" w:rsidRDefault="00DA5917" w:rsidP="00FE4B1C">
      <w:pPr>
        <w:spacing w:line="360" w:lineRule="auto"/>
        <w:rPr>
          <w:rFonts w:ascii="Arial" w:hAnsi="Arial" w:cs="Arial"/>
        </w:rPr>
      </w:pPr>
    </w:p>
    <w:p w14:paraId="76EC5C91" w14:textId="2EFA2DB2" w:rsidR="00DA5917" w:rsidRPr="00FE4B1C" w:rsidRDefault="00DA5917" w:rsidP="00FE4B1C">
      <w:pPr>
        <w:spacing w:line="360" w:lineRule="auto"/>
        <w:rPr>
          <w:rFonts w:ascii="Arial" w:hAnsi="Arial" w:cs="Arial"/>
        </w:rPr>
      </w:pPr>
      <w:r w:rsidRPr="00FE4B1C">
        <w:rPr>
          <w:rFonts w:ascii="Arial" w:hAnsi="Arial" w:cs="Arial"/>
        </w:rPr>
        <w:t xml:space="preserve">The search terms were telehealth, telemedicine, remote consultation, video consultation, telephone consultation, digital health, and remote monitoring. Long-term condition, chronic illness, healthcare access, patient experience, adults, obstacles, and United Kingdom were other terms. To expand the search, similar phrases were connected using the Boolean operator OR. </w:t>
      </w:r>
      <w:proofErr w:type="gramStart"/>
      <w:r w:rsidRPr="00FE4B1C">
        <w:rPr>
          <w:rFonts w:ascii="Arial" w:hAnsi="Arial" w:cs="Arial"/>
        </w:rPr>
        <w:t>In order to</w:t>
      </w:r>
      <w:proofErr w:type="gramEnd"/>
      <w:r w:rsidRPr="00FE4B1C">
        <w:rPr>
          <w:rFonts w:ascii="Arial" w:hAnsi="Arial" w:cs="Arial"/>
        </w:rPr>
        <w:t xml:space="preserve"> find publications that discussed telehealth, long-term conditions, and healthcare access in a UK setting, the key topics were then related using AND. PRISMA guidelines for scoping reviews were used to guide the search and reporting process </w:t>
      </w:r>
      <w:proofErr w:type="gramStart"/>
      <w:r w:rsidRPr="00FE4B1C">
        <w:rPr>
          <w:rFonts w:ascii="Arial" w:hAnsi="Arial" w:cs="Arial"/>
        </w:rPr>
        <w:t>in order to</w:t>
      </w:r>
      <w:proofErr w:type="gramEnd"/>
      <w:r w:rsidRPr="00FE4B1C">
        <w:rPr>
          <w:rFonts w:ascii="Arial" w:hAnsi="Arial" w:cs="Arial"/>
        </w:rPr>
        <w:t xml:space="preserve"> facilitate transparent identification, selection, and inclusion of evidence (</w:t>
      </w:r>
      <w:proofErr w:type="spellStart"/>
      <w:r w:rsidRPr="00FE4B1C">
        <w:rPr>
          <w:rFonts w:ascii="Arial" w:hAnsi="Arial" w:cs="Arial"/>
        </w:rPr>
        <w:t>Tricco</w:t>
      </w:r>
      <w:proofErr w:type="spellEnd"/>
      <w:r w:rsidRPr="00FE4B1C">
        <w:rPr>
          <w:rFonts w:ascii="Arial" w:hAnsi="Arial" w:cs="Arial"/>
        </w:rPr>
        <w:t xml:space="preserve"> et al., 2018).</w:t>
      </w:r>
    </w:p>
    <w:p w14:paraId="1DA75CF1" w14:textId="77777777" w:rsidR="007C0D17" w:rsidRPr="00FE4B1C" w:rsidRDefault="007C0D17" w:rsidP="00FE4B1C">
      <w:pPr>
        <w:spacing w:line="360" w:lineRule="auto"/>
        <w:rPr>
          <w:rFonts w:ascii="Arial" w:hAnsi="Arial" w:cs="Arial"/>
        </w:rPr>
      </w:pPr>
      <w:r w:rsidRPr="00FE4B1C">
        <w:rPr>
          <w:rFonts w:ascii="Arial" w:hAnsi="Arial" w:cs="Arial"/>
        </w:rPr>
        <w:t>3.3 Eligibility and study selection</w:t>
      </w:r>
    </w:p>
    <w:p w14:paraId="334C9DAE" w14:textId="77777777" w:rsidR="007C0D17" w:rsidRPr="00FE4B1C" w:rsidRDefault="007C0D17" w:rsidP="00FE4B1C">
      <w:pPr>
        <w:spacing w:line="360" w:lineRule="auto"/>
        <w:rPr>
          <w:rFonts w:ascii="Arial" w:hAnsi="Arial" w:cs="Arial"/>
        </w:rPr>
      </w:pPr>
    </w:p>
    <w:p w14:paraId="244995FE" w14:textId="202A7D9B" w:rsidR="007C0D17" w:rsidRPr="00FE4B1C" w:rsidRDefault="007C0D17" w:rsidP="00FE4B1C">
      <w:pPr>
        <w:spacing w:line="360" w:lineRule="auto"/>
        <w:rPr>
          <w:rFonts w:ascii="Arial" w:hAnsi="Arial" w:cs="Arial"/>
        </w:rPr>
      </w:pPr>
      <w:r w:rsidRPr="00FE4B1C">
        <w:rPr>
          <w:rFonts w:ascii="Arial" w:hAnsi="Arial" w:cs="Arial"/>
        </w:rPr>
        <w:t>Studies that studied telehealth or remote healthcare, featured individuals with one or more long-term diseases, were peer-reviewed main or secondary research, and presented findings pertinent to healthcare access or patient experience in the UK were included. Telehealth included internet communication, video consultations, telephone consultations, and remote monitoring. Because the review sought to capture practical, clinical, and experience outcomes, qualitative, quantitative, and mixed-methods research were taken into consideration.</w:t>
      </w:r>
    </w:p>
    <w:p w14:paraId="00540857" w14:textId="77777777" w:rsidR="007C0D17" w:rsidRPr="00FE4B1C" w:rsidRDefault="007C0D17" w:rsidP="00FE4B1C">
      <w:pPr>
        <w:spacing w:line="360" w:lineRule="auto"/>
        <w:rPr>
          <w:rFonts w:ascii="Arial" w:hAnsi="Arial" w:cs="Arial"/>
        </w:rPr>
      </w:pPr>
    </w:p>
    <w:p w14:paraId="692C349E" w14:textId="377F1FA1" w:rsidR="007C0D17" w:rsidRPr="00FE4B1C" w:rsidRDefault="007C0D17" w:rsidP="00FE4B1C">
      <w:pPr>
        <w:spacing w:line="360" w:lineRule="auto"/>
        <w:rPr>
          <w:rFonts w:ascii="Arial" w:hAnsi="Arial" w:cs="Arial"/>
        </w:rPr>
      </w:pPr>
      <w:r w:rsidRPr="00FE4B1C">
        <w:rPr>
          <w:rFonts w:ascii="Arial" w:hAnsi="Arial" w:cs="Arial"/>
        </w:rPr>
        <w:t>Studies that were unconnected to health or care practices in the UK, only examined children, did not look at interactions with healthcare providers, or did not include information on patient experience or access were also omitted. The papers examined in the Results did not include policy documents, guidelines, editorials, comments, or conference abstracts. Nonetheless, the Background provided an explanation of the UK environment using pertinent policy and advisory sources.</w:t>
      </w:r>
    </w:p>
    <w:p w14:paraId="0A98F9F3" w14:textId="77777777" w:rsidR="007C0D17" w:rsidRPr="00FE4B1C" w:rsidRDefault="007C0D17" w:rsidP="00FE4B1C">
      <w:pPr>
        <w:spacing w:line="360" w:lineRule="auto"/>
        <w:rPr>
          <w:rFonts w:ascii="Arial" w:hAnsi="Arial" w:cs="Arial"/>
        </w:rPr>
      </w:pPr>
    </w:p>
    <w:p w14:paraId="7B984A34" w14:textId="1C639C16" w:rsidR="007C0D17" w:rsidRPr="00FE4B1C" w:rsidRDefault="007C0D17" w:rsidP="00FE4B1C">
      <w:pPr>
        <w:spacing w:line="360" w:lineRule="auto"/>
        <w:rPr>
          <w:rFonts w:ascii="Arial" w:hAnsi="Arial" w:cs="Arial"/>
        </w:rPr>
      </w:pPr>
      <w:r w:rsidRPr="00FE4B1C">
        <w:rPr>
          <w:rFonts w:ascii="Arial" w:hAnsi="Arial" w:cs="Arial"/>
        </w:rPr>
        <w:t xml:space="preserve">Abstracts and titles that might be pertinent were compared to the eligibility requirements. Before the final choice was selected, pertinent full-text articles were reviewed. Because they addressed significant facets of the review topic and represented various long-term conditions, research methodologies, healthcare settings, and telehealth experiences, five papers were selected. Because the </w:t>
      </w:r>
      <w:r w:rsidRPr="00FE4B1C">
        <w:rPr>
          <w:rFonts w:ascii="Arial" w:hAnsi="Arial" w:cs="Arial"/>
        </w:rPr>
        <w:lastRenderedPageBreak/>
        <w:t>number of records found, filtered, and eliminated was not kept during the initial search, precise numerical search-flow information was not provided. This is recognised as a review limitation.</w:t>
      </w:r>
    </w:p>
    <w:p w14:paraId="0AFE19AF" w14:textId="77777777" w:rsidR="007C0D17" w:rsidRPr="00FE4B1C" w:rsidRDefault="007C0D17" w:rsidP="00FE4B1C">
      <w:pPr>
        <w:spacing w:line="360" w:lineRule="auto"/>
        <w:rPr>
          <w:rFonts w:ascii="Arial" w:hAnsi="Arial" w:cs="Arial"/>
        </w:rPr>
      </w:pPr>
      <w:r w:rsidRPr="00FE4B1C">
        <w:rPr>
          <w:rFonts w:ascii="Arial" w:hAnsi="Arial" w:cs="Arial"/>
        </w:rPr>
        <w:t>3.4 Data extraction and analysis</w:t>
      </w:r>
    </w:p>
    <w:p w14:paraId="5132E575" w14:textId="77777777" w:rsidR="007C0D17" w:rsidRPr="00FE4B1C" w:rsidRDefault="007C0D17" w:rsidP="00FE4B1C">
      <w:pPr>
        <w:spacing w:line="360" w:lineRule="auto"/>
        <w:rPr>
          <w:rFonts w:ascii="Arial" w:hAnsi="Arial" w:cs="Arial"/>
        </w:rPr>
      </w:pPr>
      <w:r w:rsidRPr="00FE4B1C">
        <w:rPr>
          <w:rFonts w:ascii="Arial" w:hAnsi="Arial" w:cs="Arial"/>
        </w:rPr>
        <w:t>Each included study's data was entered into a structured data-extraction table. The article citation, study goal, research design, healthcare environment, participant characteristics, sample size, and key findings were among the details that were extracted. Despite variations in research designs, populations, and telehealth interventions, systematic comparison was enabled by applying the same fields to each study.</w:t>
      </w:r>
    </w:p>
    <w:p w14:paraId="289998BD" w14:textId="77777777" w:rsidR="007C0D17" w:rsidRPr="00FE4B1C" w:rsidRDefault="007C0D17" w:rsidP="00FE4B1C">
      <w:pPr>
        <w:spacing w:line="360" w:lineRule="auto"/>
        <w:rPr>
          <w:rFonts w:ascii="Arial" w:hAnsi="Arial" w:cs="Arial"/>
        </w:rPr>
      </w:pPr>
    </w:p>
    <w:p w14:paraId="0B5A478A" w14:textId="27855F55" w:rsidR="007C0D17" w:rsidRPr="00FE4B1C" w:rsidRDefault="007C0D17" w:rsidP="00FE4B1C">
      <w:pPr>
        <w:spacing w:line="360" w:lineRule="auto"/>
        <w:rPr>
          <w:rFonts w:ascii="Arial" w:hAnsi="Arial" w:cs="Arial"/>
        </w:rPr>
      </w:pPr>
      <w:r w:rsidRPr="00FE4B1C">
        <w:rPr>
          <w:rFonts w:ascii="Arial" w:hAnsi="Arial" w:cs="Arial"/>
        </w:rPr>
        <w:t>Thematic analysis was used to examine the results. Findings about access, convenience, continuity, self-management, patient choice, communication, technology, clinical safety, and digital exclusion were found after each study was thoroughly reviewed. Prior to the development of the final themes, similar findings were categorised into more general groups.</w:t>
      </w:r>
    </w:p>
    <w:p w14:paraId="1B486AEC" w14:textId="77777777" w:rsidR="007C0D17" w:rsidRPr="00FE4B1C" w:rsidRDefault="007C0D17" w:rsidP="00FE4B1C">
      <w:pPr>
        <w:spacing w:line="360" w:lineRule="auto"/>
        <w:rPr>
          <w:rFonts w:ascii="Arial" w:hAnsi="Arial" w:cs="Arial"/>
        </w:rPr>
      </w:pPr>
    </w:p>
    <w:p w14:paraId="1650CEBD" w14:textId="6F8FC269" w:rsidR="007C0D17" w:rsidRPr="00FE4B1C" w:rsidRDefault="007C0D17" w:rsidP="00FE4B1C">
      <w:pPr>
        <w:spacing w:line="360" w:lineRule="auto"/>
        <w:rPr>
          <w:rFonts w:ascii="Arial" w:hAnsi="Arial" w:cs="Arial"/>
        </w:rPr>
      </w:pPr>
      <w:r w:rsidRPr="00FE4B1C">
        <w:rPr>
          <w:rFonts w:ascii="Arial" w:hAnsi="Arial" w:cs="Arial"/>
        </w:rPr>
        <w:t>Three main themes emerged: convenience, continuity and self-management; acceptability and the importance of patient choice; and digital, communication and clinical barriers. Statistical pooling was not undertaken because the included studies differed considerably in their populations, interventions, methods and reported outcomes.</w:t>
      </w:r>
    </w:p>
    <w:p w14:paraId="1DEA5FD4" w14:textId="77777777" w:rsidR="007C0D17" w:rsidRPr="00FE4B1C" w:rsidRDefault="007C0D17" w:rsidP="00FE4B1C">
      <w:pPr>
        <w:spacing w:line="360" w:lineRule="auto"/>
        <w:rPr>
          <w:rFonts w:ascii="Arial" w:hAnsi="Arial" w:cs="Arial"/>
        </w:rPr>
      </w:pPr>
      <w:r w:rsidRPr="00FE4B1C">
        <w:rPr>
          <w:rFonts w:ascii="Arial" w:hAnsi="Arial" w:cs="Arial"/>
        </w:rPr>
        <w:t>3.5 Ethical considerations</w:t>
      </w:r>
    </w:p>
    <w:p w14:paraId="653A3FEE" w14:textId="77777777" w:rsidR="007C0D17" w:rsidRPr="00FE4B1C" w:rsidRDefault="007C0D17" w:rsidP="00FE4B1C">
      <w:pPr>
        <w:spacing w:line="360" w:lineRule="auto"/>
        <w:rPr>
          <w:rFonts w:ascii="Arial" w:hAnsi="Arial" w:cs="Arial"/>
        </w:rPr>
      </w:pPr>
      <w:r w:rsidRPr="00FE4B1C">
        <w:rPr>
          <w:rFonts w:ascii="Arial" w:hAnsi="Arial" w:cs="Arial"/>
        </w:rPr>
        <w:t>Since this scoping review used published studies and did not recruit people, gather personal data, or access private health records, formal ethical approval was not necessary. By accurately presenting findings, recognising the limitations of the evidence, abstaining from plagiarism, and properly citing the work of other researchers, ethical academic practice was upheld.</w:t>
      </w:r>
    </w:p>
    <w:p w14:paraId="06B37624" w14:textId="77777777" w:rsidR="007C0D17" w:rsidRPr="00FE4B1C" w:rsidRDefault="007C0D17" w:rsidP="00FE4B1C">
      <w:pPr>
        <w:spacing w:line="360" w:lineRule="auto"/>
        <w:rPr>
          <w:rFonts w:ascii="Arial" w:hAnsi="Arial" w:cs="Arial"/>
        </w:rPr>
      </w:pPr>
    </w:p>
    <w:p w14:paraId="3399D29A" w14:textId="6DDF7040" w:rsidR="007C0D17" w:rsidRPr="00FE4B1C" w:rsidRDefault="007C0D17" w:rsidP="00FE4B1C">
      <w:pPr>
        <w:spacing w:line="360" w:lineRule="auto"/>
        <w:rPr>
          <w:rFonts w:ascii="Arial" w:hAnsi="Arial" w:cs="Arial"/>
        </w:rPr>
      </w:pPr>
      <w:r w:rsidRPr="00FE4B1C">
        <w:rPr>
          <w:rFonts w:ascii="Arial" w:hAnsi="Arial" w:cs="Arial"/>
        </w:rPr>
        <w:t>The included research was adequately represented, and the results showed that telehealth has both advantages and disadvantages. One reviewer conducted the study selection, data extraction, and theme analysis. Thus, study selection and topic development may have been impacted by personal interpretation, which is acknowledged as a possible source of reviewer bias.</w:t>
      </w:r>
    </w:p>
    <w:p w14:paraId="13BCE2D8" w14:textId="77777777" w:rsidR="007C0D17" w:rsidRPr="00FE4B1C" w:rsidRDefault="007C0D17" w:rsidP="00FE4B1C">
      <w:pPr>
        <w:spacing w:line="360" w:lineRule="auto"/>
        <w:rPr>
          <w:rFonts w:ascii="Arial" w:hAnsi="Arial" w:cs="Arial"/>
        </w:rPr>
      </w:pPr>
    </w:p>
    <w:p w14:paraId="26BEE213" w14:textId="77777777" w:rsidR="00FE4B1C" w:rsidRPr="00FE4B1C" w:rsidRDefault="00FE4B1C" w:rsidP="00FE4B1C">
      <w:pPr>
        <w:spacing w:line="360" w:lineRule="auto"/>
        <w:rPr>
          <w:rFonts w:ascii="Arial" w:hAnsi="Arial" w:cs="Arial"/>
        </w:rPr>
      </w:pPr>
    </w:p>
    <w:p w14:paraId="41005809" w14:textId="77777777" w:rsidR="00FE4B1C" w:rsidRPr="00913A0A" w:rsidRDefault="00FE4B1C" w:rsidP="007C0D17">
      <w:pPr>
        <w:tabs>
          <w:tab w:val="left" w:pos="6540"/>
        </w:tabs>
        <w:spacing w:line="360" w:lineRule="auto"/>
        <w:rPr>
          <w:rFonts w:ascii="Arial" w:hAnsi="Arial" w:cs="Arial"/>
        </w:rPr>
      </w:pPr>
    </w:p>
    <w:p w14:paraId="581C99BF" w14:textId="7E814FDC" w:rsidR="00B87E75" w:rsidRDefault="00B87E75" w:rsidP="00FE4B1C">
      <w:pPr>
        <w:pStyle w:val="Heading2"/>
      </w:pPr>
      <w:bookmarkStart w:id="4" w:name="_Toc236822315"/>
      <w:r w:rsidRPr="00913A0A">
        <w:t>Results</w:t>
      </w:r>
      <w:bookmarkEnd w:id="4"/>
    </w:p>
    <w:p w14:paraId="6ACEDC1B" w14:textId="77777777" w:rsidR="00D141ED" w:rsidRPr="00D141ED" w:rsidRDefault="00D141ED" w:rsidP="00D141ED">
      <w:pPr>
        <w:rPr>
          <w:lang w:eastAsia="en-US"/>
        </w:rPr>
      </w:pPr>
    </w:p>
    <w:p w14:paraId="0B299BAA" w14:textId="598486B3" w:rsidR="00B87E75" w:rsidRPr="00FE4B1C" w:rsidRDefault="00187289" w:rsidP="00FE4B1C">
      <w:pPr>
        <w:spacing w:line="360" w:lineRule="auto"/>
        <w:rPr>
          <w:rFonts w:ascii="Arial" w:hAnsi="Arial" w:cs="Arial"/>
        </w:rPr>
      </w:pPr>
      <w:r w:rsidRPr="00FE4B1C">
        <w:rPr>
          <w:rFonts w:ascii="Arial" w:hAnsi="Arial" w:cs="Arial"/>
        </w:rPr>
        <w:t>4.1 Characteristics of the selected studies</w:t>
      </w:r>
    </w:p>
    <w:p w14:paraId="10F34562" w14:textId="71CF1263" w:rsidR="00D141ED" w:rsidRPr="00FE4B1C" w:rsidRDefault="00D141ED" w:rsidP="00FE4B1C">
      <w:pPr>
        <w:spacing w:line="360" w:lineRule="auto"/>
        <w:rPr>
          <w:rFonts w:ascii="Arial" w:hAnsi="Arial" w:cs="Arial"/>
        </w:rPr>
      </w:pPr>
      <w:r w:rsidRPr="00FE4B1C">
        <w:rPr>
          <w:rFonts w:ascii="Arial" w:hAnsi="Arial" w:cs="Arial"/>
        </w:rPr>
        <w:t>Included were five peer-reviewed papers that were released between 2018 and 2024. A mixed-methods longitudinal study, a systematic review, an NHS service evaluation, and qualitative research made up the chosen evidence. Type 2 diabetes, dementia, mental health issues, general practice, and outpatient care were all covered. Telephone calls, video consultations, internet platforms, email, text-based communication, and remote monitoring were among the telehealth techniques. From ten patient interviews to a systematic review of six UK research, sample sizes and methodologies differed significantly.</w:t>
      </w:r>
    </w:p>
    <w:p w14:paraId="3F26AB21" w14:textId="77777777" w:rsidR="00D141ED" w:rsidRPr="00FE4B1C" w:rsidRDefault="00D141ED" w:rsidP="00FE4B1C">
      <w:pPr>
        <w:spacing w:line="360" w:lineRule="auto"/>
        <w:rPr>
          <w:rFonts w:ascii="Arial" w:hAnsi="Arial" w:cs="Arial"/>
        </w:rPr>
      </w:pPr>
    </w:p>
    <w:p w14:paraId="67FAC4ED" w14:textId="77777777" w:rsidR="00D141ED" w:rsidRPr="00FE4B1C" w:rsidRDefault="00D141ED" w:rsidP="00FE4B1C">
      <w:pPr>
        <w:spacing w:line="360" w:lineRule="auto"/>
        <w:rPr>
          <w:rFonts w:ascii="Arial" w:hAnsi="Arial" w:cs="Arial"/>
        </w:rPr>
      </w:pPr>
      <w:r w:rsidRPr="00FE4B1C">
        <w:rPr>
          <w:rFonts w:ascii="Arial" w:hAnsi="Arial" w:cs="Arial"/>
        </w:rPr>
        <w:t>4.2 Summary of the five selected studies</w:t>
      </w:r>
    </w:p>
    <w:p w14:paraId="56A6E03D" w14:textId="1479A024" w:rsidR="00D141ED" w:rsidRPr="00FE4B1C" w:rsidRDefault="001D0C6E" w:rsidP="00FE4B1C">
      <w:pPr>
        <w:spacing w:line="360" w:lineRule="auto"/>
        <w:rPr>
          <w:rFonts w:ascii="Arial" w:hAnsi="Arial" w:cs="Arial"/>
        </w:rPr>
      </w:pPr>
      <w:r>
        <w:rPr>
          <w:rFonts w:ascii="Arial" w:hAnsi="Arial" w:cs="Arial"/>
          <w:noProof/>
        </w:rPr>
        <w:drawing>
          <wp:inline distT="0" distB="0" distL="0" distR="0" wp14:anchorId="19014C56" wp14:editId="13DF200E">
            <wp:extent cx="5731510" cy="3767455"/>
            <wp:effectExtent l="0" t="0" r="0" b="4445"/>
            <wp:docPr id="556573842" name="Picture 1" descr="A black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573842" name="Picture 1" descr="A black and white chart with white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67455"/>
                    </a:xfrm>
                    <a:prstGeom prst="rect">
                      <a:avLst/>
                    </a:prstGeom>
                  </pic:spPr>
                </pic:pic>
              </a:graphicData>
            </a:graphic>
          </wp:inline>
        </w:drawing>
      </w:r>
    </w:p>
    <w:p w14:paraId="75FFC12F" w14:textId="22EE60A5" w:rsidR="00187289" w:rsidRPr="001D0C6E" w:rsidRDefault="001D0C6E" w:rsidP="00FE4B1C">
      <w:pPr>
        <w:spacing w:line="360" w:lineRule="auto"/>
        <w:rPr>
          <w:rFonts w:ascii="Arial" w:hAnsi="Arial" w:cs="Arial"/>
          <w:b/>
          <w:bCs/>
          <w:sz w:val="20"/>
          <w:szCs w:val="20"/>
        </w:rPr>
      </w:pPr>
      <w:r w:rsidRPr="001D0C6E">
        <w:rPr>
          <w:rFonts w:ascii="Arial" w:hAnsi="Arial" w:cs="Arial"/>
          <w:b/>
          <w:bCs/>
          <w:sz w:val="20"/>
          <w:szCs w:val="20"/>
        </w:rPr>
        <w:t>Figure 1 IIRS Selected studies extracted data sheet. (screenshot created by the author Gabriela Arapu own work, 2026)</w:t>
      </w:r>
    </w:p>
    <w:p w14:paraId="715F0A29" w14:textId="77777777" w:rsidR="00913A0A" w:rsidRDefault="00913A0A" w:rsidP="00FE4B1C">
      <w:pPr>
        <w:spacing w:line="360" w:lineRule="auto"/>
        <w:rPr>
          <w:rFonts w:ascii="Arial" w:hAnsi="Arial" w:cs="Arial"/>
        </w:rPr>
      </w:pPr>
    </w:p>
    <w:p w14:paraId="417FAC5F" w14:textId="77777777" w:rsidR="001D0C6E" w:rsidRDefault="001D0C6E" w:rsidP="00FE4B1C">
      <w:pPr>
        <w:spacing w:line="360" w:lineRule="auto"/>
        <w:rPr>
          <w:rFonts w:ascii="Arial" w:hAnsi="Arial" w:cs="Arial"/>
        </w:rPr>
      </w:pPr>
    </w:p>
    <w:p w14:paraId="7B9AA1EF" w14:textId="77777777" w:rsidR="001D0C6E" w:rsidRDefault="001D0C6E" w:rsidP="00FE4B1C">
      <w:pPr>
        <w:spacing w:line="360" w:lineRule="auto"/>
        <w:rPr>
          <w:rFonts w:ascii="Arial" w:hAnsi="Arial" w:cs="Arial"/>
        </w:rPr>
      </w:pPr>
    </w:p>
    <w:p w14:paraId="0EB9386E" w14:textId="77777777" w:rsidR="001D0C6E" w:rsidRDefault="001D0C6E" w:rsidP="00FE4B1C">
      <w:pPr>
        <w:spacing w:line="360" w:lineRule="auto"/>
        <w:rPr>
          <w:rFonts w:ascii="Arial" w:hAnsi="Arial" w:cs="Arial"/>
        </w:rPr>
      </w:pPr>
    </w:p>
    <w:p w14:paraId="62F77D02" w14:textId="77777777" w:rsidR="001D0C6E" w:rsidRPr="00FE4B1C" w:rsidRDefault="001D0C6E" w:rsidP="00FE4B1C">
      <w:pPr>
        <w:spacing w:line="360" w:lineRule="auto"/>
        <w:rPr>
          <w:rFonts w:ascii="Arial" w:hAnsi="Arial" w:cs="Arial"/>
        </w:rPr>
      </w:pPr>
    </w:p>
    <w:p w14:paraId="7C79639B" w14:textId="75F68587" w:rsidR="00913A0A" w:rsidRPr="00FE4B1C" w:rsidRDefault="00913A0A" w:rsidP="00FE4B1C">
      <w:pPr>
        <w:spacing w:line="360" w:lineRule="auto"/>
        <w:rPr>
          <w:rFonts w:ascii="Arial" w:hAnsi="Arial" w:cs="Arial"/>
        </w:rPr>
      </w:pPr>
      <w:r w:rsidRPr="00FE4B1C">
        <w:rPr>
          <w:rFonts w:ascii="Arial" w:hAnsi="Arial" w:cs="Arial"/>
        </w:rPr>
        <w:t>4.3 Thematic findings</w:t>
      </w:r>
    </w:p>
    <w:p w14:paraId="4850B970" w14:textId="77777777" w:rsidR="001D0C6E" w:rsidRPr="00FE4B1C" w:rsidRDefault="001D0C6E" w:rsidP="00FE4B1C">
      <w:pPr>
        <w:spacing w:line="360" w:lineRule="auto"/>
        <w:rPr>
          <w:rFonts w:ascii="Arial" w:hAnsi="Arial" w:cs="Arial"/>
        </w:rPr>
      </w:pPr>
    </w:p>
    <w:p w14:paraId="438250C7" w14:textId="076935CC" w:rsidR="00913A0A" w:rsidRPr="00FE4B1C" w:rsidRDefault="00913A0A" w:rsidP="00FE4B1C">
      <w:pPr>
        <w:spacing w:line="360" w:lineRule="auto"/>
        <w:rPr>
          <w:rFonts w:ascii="Arial" w:hAnsi="Arial" w:cs="Arial"/>
        </w:rPr>
      </w:pPr>
      <w:r w:rsidRPr="00FE4B1C">
        <w:rPr>
          <w:rFonts w:ascii="Arial" w:hAnsi="Arial" w:cs="Arial"/>
        </w:rPr>
        <w:t>Convenience, continuity and self-management</w:t>
      </w:r>
    </w:p>
    <w:p w14:paraId="7033AA62" w14:textId="77777777" w:rsidR="00913A0A" w:rsidRPr="00FE4B1C" w:rsidRDefault="00913A0A" w:rsidP="00FE4B1C">
      <w:pPr>
        <w:spacing w:line="360" w:lineRule="auto"/>
        <w:rPr>
          <w:rFonts w:ascii="Arial" w:hAnsi="Arial" w:cs="Arial"/>
        </w:rPr>
      </w:pPr>
    </w:p>
    <w:p w14:paraId="04A422C6" w14:textId="77777777" w:rsidR="00913A0A" w:rsidRPr="00FE4B1C" w:rsidRDefault="00913A0A" w:rsidP="00FE4B1C">
      <w:pPr>
        <w:spacing w:line="360" w:lineRule="auto"/>
        <w:rPr>
          <w:rFonts w:ascii="Arial" w:hAnsi="Arial" w:cs="Arial"/>
        </w:rPr>
      </w:pPr>
      <w:r w:rsidRPr="00FE4B1C">
        <w:rPr>
          <w:rFonts w:ascii="Arial" w:hAnsi="Arial" w:cs="Arial"/>
        </w:rPr>
        <w:t>When in-person attendance proved challenging, telehealth might assist retain access and make healthcare more comfortable. Avoiding travel, parking, waiting areas, and time away from work or family obligations was advantageous to patients. Because vulnerable patients could continue receiving care while lowering their risk of infection, these benefits were especially crucial during the pandemic (Murphy et al., 2021).</w:t>
      </w:r>
    </w:p>
    <w:p w14:paraId="229A4558" w14:textId="77777777" w:rsidR="00913A0A" w:rsidRPr="00FE4B1C" w:rsidRDefault="00913A0A" w:rsidP="00FE4B1C">
      <w:pPr>
        <w:spacing w:line="360" w:lineRule="auto"/>
        <w:rPr>
          <w:rFonts w:ascii="Arial" w:hAnsi="Arial" w:cs="Arial"/>
        </w:rPr>
      </w:pPr>
    </w:p>
    <w:p w14:paraId="3B5D55F6" w14:textId="27D6C53F" w:rsidR="00913A0A" w:rsidRPr="00FE4B1C" w:rsidRDefault="00913A0A" w:rsidP="00FE4B1C">
      <w:pPr>
        <w:spacing w:line="360" w:lineRule="auto"/>
        <w:rPr>
          <w:rFonts w:ascii="Arial" w:hAnsi="Arial" w:cs="Arial"/>
        </w:rPr>
      </w:pPr>
      <w:r w:rsidRPr="00FE4B1C">
        <w:rPr>
          <w:rFonts w:ascii="Arial" w:hAnsi="Arial" w:cs="Arial"/>
        </w:rPr>
        <w:t>For some individuals with chronic illnesses, telehealth also promoted independence. According to participants with type 2 diabetes, remote monitoring improved their understanding of the disease and gave them more control over their health (Lee, Greenfield, and Pappas, 2018). Remote consultations may be suitable for normal follow-up that doesn't require a physical examination, according to patients in NHS outpatient services (Schutz et al., 2022).</w:t>
      </w:r>
    </w:p>
    <w:p w14:paraId="63A0BF00" w14:textId="77777777" w:rsidR="00913A0A" w:rsidRPr="00FE4B1C" w:rsidRDefault="00913A0A" w:rsidP="00FE4B1C">
      <w:pPr>
        <w:spacing w:line="360" w:lineRule="auto"/>
        <w:rPr>
          <w:rFonts w:ascii="Arial" w:hAnsi="Arial" w:cs="Arial"/>
        </w:rPr>
      </w:pPr>
      <w:r w:rsidRPr="00FE4B1C">
        <w:rPr>
          <w:rFonts w:ascii="Arial" w:hAnsi="Arial" w:cs="Arial"/>
        </w:rPr>
        <w:t>Acceptability and patient choice</w:t>
      </w:r>
    </w:p>
    <w:p w14:paraId="6FA8348F" w14:textId="77777777" w:rsidR="00913A0A" w:rsidRPr="00FE4B1C" w:rsidRDefault="00913A0A" w:rsidP="00FE4B1C">
      <w:pPr>
        <w:spacing w:line="360" w:lineRule="auto"/>
        <w:rPr>
          <w:rFonts w:ascii="Arial" w:hAnsi="Arial" w:cs="Arial"/>
        </w:rPr>
      </w:pPr>
      <w:r w:rsidRPr="00FE4B1C">
        <w:rPr>
          <w:rFonts w:ascii="Arial" w:hAnsi="Arial" w:cs="Arial"/>
        </w:rPr>
        <w:t>Not every patient or consultation found telehealth to be equally acceptable. While some people thought in-person interactions improved communication, reassurance, and personal connection, others appreciated convenience and decreased worry. When anxiety made attendance challenging, patients with mental health concerns occasionally found that remote contact was simpler. However, it was thought that remote formats were less appropriate for addressing complicated issues, building a therapeutic relationship, or talking about emotions (Antonio et al., 2024).</w:t>
      </w:r>
    </w:p>
    <w:p w14:paraId="3044B266" w14:textId="22F53F59" w:rsidR="00913A0A" w:rsidRPr="00FE4B1C" w:rsidRDefault="00913A0A" w:rsidP="00FE4B1C">
      <w:pPr>
        <w:spacing w:line="360" w:lineRule="auto"/>
        <w:rPr>
          <w:rFonts w:ascii="Arial" w:hAnsi="Arial" w:cs="Arial"/>
        </w:rPr>
      </w:pPr>
      <w:r w:rsidRPr="00FE4B1C">
        <w:rPr>
          <w:rFonts w:ascii="Arial" w:hAnsi="Arial" w:cs="Arial"/>
        </w:rPr>
        <w:t>The results validated a hybrid model that maintains both in-person and remote alternatives. Improving patient happiness and preventing telehealth from becoming another barrier to access could be achieved by allowing the consultation approach to be tailored to the clinical goal and patient desire (Schutz et al., 2022).</w:t>
      </w:r>
    </w:p>
    <w:p w14:paraId="0C12FD8F" w14:textId="77777777" w:rsidR="00913A0A" w:rsidRPr="00FE4B1C" w:rsidRDefault="00913A0A" w:rsidP="00FE4B1C">
      <w:pPr>
        <w:spacing w:line="360" w:lineRule="auto"/>
        <w:rPr>
          <w:rFonts w:ascii="Arial" w:hAnsi="Arial" w:cs="Arial"/>
        </w:rPr>
      </w:pPr>
      <w:r w:rsidRPr="00FE4B1C">
        <w:rPr>
          <w:rFonts w:ascii="Arial" w:hAnsi="Arial" w:cs="Arial"/>
        </w:rPr>
        <w:t>Digital, communication and clinical barriers</w:t>
      </w:r>
    </w:p>
    <w:p w14:paraId="66707C6C" w14:textId="5546B5E1" w:rsidR="00913A0A" w:rsidRPr="00FE4B1C" w:rsidRDefault="00913A0A" w:rsidP="00FE4B1C">
      <w:pPr>
        <w:spacing w:line="360" w:lineRule="auto"/>
        <w:rPr>
          <w:rFonts w:ascii="Arial" w:hAnsi="Arial" w:cs="Arial"/>
        </w:rPr>
      </w:pPr>
      <w:r w:rsidRPr="00FE4B1C">
        <w:rPr>
          <w:rFonts w:ascii="Arial" w:hAnsi="Arial" w:cs="Arial"/>
        </w:rPr>
        <w:lastRenderedPageBreak/>
        <w:t>Digital exclusion was a significant issue. Inadequate skills, inappropriate gadgets, erratic connections, and unavailable online services could all have an impact on access. For individuals with cognitive or sensory disabilities, these obstacles were especially important. Individuals with dementia may have trouble following phone conversations, remembering issues without visual cues, or participating in conversations that are primarily aimed at a carer (</w:t>
      </w:r>
      <w:proofErr w:type="spellStart"/>
      <w:r w:rsidRPr="00FE4B1C">
        <w:rPr>
          <w:rFonts w:ascii="Arial" w:hAnsi="Arial" w:cs="Arial"/>
        </w:rPr>
        <w:t>Tuijt</w:t>
      </w:r>
      <w:proofErr w:type="spellEnd"/>
      <w:r w:rsidRPr="00FE4B1C">
        <w:rPr>
          <w:rFonts w:ascii="Arial" w:hAnsi="Arial" w:cs="Arial"/>
        </w:rPr>
        <w:t xml:space="preserve"> et al., 2021).</w:t>
      </w:r>
    </w:p>
    <w:p w14:paraId="18349B2D" w14:textId="63257451" w:rsidR="00187289" w:rsidRPr="00FE4B1C" w:rsidRDefault="00913A0A" w:rsidP="00FE4B1C">
      <w:pPr>
        <w:spacing w:line="360" w:lineRule="auto"/>
        <w:rPr>
          <w:rFonts w:ascii="Arial" w:hAnsi="Arial" w:cs="Arial"/>
        </w:rPr>
      </w:pPr>
      <w:r w:rsidRPr="00FE4B1C">
        <w:rPr>
          <w:rFonts w:ascii="Arial" w:hAnsi="Arial" w:cs="Arial"/>
        </w:rPr>
        <w:t>Communication between patients and professionals was also altered by remote consultations. Relationship building, evaluation, and understanding confirmation may be more challenging in the absence of body language and other non-verbal cues. Concerns among clinicians included missed symptoms, privacy, workload, safeguarding, and determining when in-person evaluation was required (Murphy et al., 2021). Therefore, telehealth enhanced access most successfully when it was tailored to the patient, the clinical goal, and the intricacy of the session.</w:t>
      </w:r>
    </w:p>
    <w:p w14:paraId="23DB9746" w14:textId="77777777" w:rsidR="00D141ED" w:rsidRPr="00647832" w:rsidRDefault="00D141ED" w:rsidP="00AC00C9">
      <w:pPr>
        <w:pStyle w:val="Heading3"/>
      </w:pPr>
    </w:p>
    <w:p w14:paraId="5C43254D" w14:textId="6A327DC7" w:rsidR="00B87E75" w:rsidRDefault="00B87E75" w:rsidP="00FE4B1C">
      <w:pPr>
        <w:pStyle w:val="Heading2"/>
      </w:pPr>
      <w:bookmarkStart w:id="5" w:name="_Toc236822316"/>
      <w:r w:rsidRPr="00CD33A8">
        <w:t>Discussion</w:t>
      </w:r>
      <w:bookmarkEnd w:id="5"/>
    </w:p>
    <w:p w14:paraId="2A7A844F" w14:textId="77777777" w:rsidR="00FE4B1C" w:rsidRPr="00FE4B1C" w:rsidRDefault="00FE4B1C" w:rsidP="00FE4B1C">
      <w:pPr>
        <w:rPr>
          <w:lang w:eastAsia="en-US"/>
        </w:rPr>
      </w:pPr>
    </w:p>
    <w:p w14:paraId="558073D8" w14:textId="3ABAB950" w:rsidR="00D141ED" w:rsidRPr="00FE4B1C" w:rsidRDefault="00D141ED" w:rsidP="00FE4B1C">
      <w:pPr>
        <w:spacing w:line="360" w:lineRule="auto"/>
        <w:rPr>
          <w:rFonts w:ascii="Arial" w:hAnsi="Arial" w:cs="Arial"/>
          <w:lang w:eastAsia="en-US"/>
        </w:rPr>
      </w:pPr>
      <w:r w:rsidRPr="00FE4B1C">
        <w:rPr>
          <w:rFonts w:ascii="Arial" w:hAnsi="Arial" w:cs="Arial"/>
          <w:lang w:eastAsia="en-US"/>
        </w:rPr>
        <w:t>Three key conclusions were drawn from this scoping review. First, telemedicine can facilitate continuity and self-management while lowering practical obstacles to healthcare. Second, the patient's condition, preferences, communication needs, and the goal of the consultation all affect how acceptable it is. Third, some patients may not be able to benefit due to clinical restrictions, communication challenges, and digital exclusion. These results address the review question by demonstrating that while telehealth can increase access for UK individuals with chronic illnesses, not everyone benefits equally from it, and it should supplement in-person care rather than take its place.</w:t>
      </w:r>
    </w:p>
    <w:p w14:paraId="229F1DC8" w14:textId="1993A979" w:rsidR="00D141ED" w:rsidRPr="00FE4B1C" w:rsidRDefault="00D141ED" w:rsidP="00FE4B1C">
      <w:pPr>
        <w:spacing w:line="360" w:lineRule="auto"/>
        <w:rPr>
          <w:rFonts w:ascii="Arial" w:hAnsi="Arial" w:cs="Arial"/>
          <w:lang w:eastAsia="en-US"/>
        </w:rPr>
      </w:pPr>
    </w:p>
    <w:p w14:paraId="637687DB" w14:textId="77777777" w:rsidR="00D141ED" w:rsidRPr="00FE4B1C" w:rsidRDefault="00D141ED" w:rsidP="00FE4B1C">
      <w:pPr>
        <w:spacing w:line="360" w:lineRule="auto"/>
        <w:rPr>
          <w:rFonts w:ascii="Arial" w:hAnsi="Arial" w:cs="Arial"/>
        </w:rPr>
      </w:pPr>
      <w:r w:rsidRPr="00FE4B1C">
        <w:rPr>
          <w:rFonts w:ascii="Arial" w:hAnsi="Arial" w:cs="Arial"/>
        </w:rPr>
        <w:t>5.1 Convenience and access</w:t>
      </w:r>
    </w:p>
    <w:p w14:paraId="3CA897B3" w14:textId="5C431026" w:rsidR="00D141ED" w:rsidRPr="00FE4B1C" w:rsidRDefault="00D141ED" w:rsidP="00FE4B1C">
      <w:pPr>
        <w:spacing w:line="360" w:lineRule="auto"/>
        <w:rPr>
          <w:rFonts w:ascii="Arial" w:hAnsi="Arial" w:cs="Arial"/>
          <w:lang w:eastAsia="en-US"/>
        </w:rPr>
      </w:pPr>
      <w:r w:rsidRPr="00FE4B1C">
        <w:rPr>
          <w:rFonts w:ascii="Arial" w:hAnsi="Arial" w:cs="Arial"/>
          <w:lang w:eastAsia="en-US"/>
        </w:rPr>
        <w:t xml:space="preserve">Reducing the practical obstacles to going to appointments was a constant advantage. Remote consultations cut down on travel, parking, waiting, and time spent away from work or family obligations. Throughout the COVID-19 epidemic, they also made it possible for patients who were at risk to continue receiving medical care. When implemented in appropriate clinical conditions, teleconsultations can </w:t>
      </w:r>
      <w:r w:rsidRPr="00FE4B1C">
        <w:rPr>
          <w:rFonts w:ascii="Arial" w:hAnsi="Arial" w:cs="Arial"/>
          <w:lang w:eastAsia="en-US"/>
        </w:rPr>
        <w:lastRenderedPageBreak/>
        <w:t>increase access while also reducing patient travel and expenses (</w:t>
      </w:r>
      <w:proofErr w:type="spellStart"/>
      <w:r w:rsidRPr="00FE4B1C">
        <w:rPr>
          <w:rFonts w:ascii="Arial" w:hAnsi="Arial" w:cs="Arial"/>
          <w:lang w:eastAsia="en-US"/>
        </w:rPr>
        <w:t>O'Cathail</w:t>
      </w:r>
      <w:proofErr w:type="spellEnd"/>
      <w:r w:rsidRPr="00FE4B1C">
        <w:rPr>
          <w:rFonts w:ascii="Arial" w:hAnsi="Arial" w:cs="Arial"/>
          <w:lang w:eastAsia="en-US"/>
        </w:rPr>
        <w:t xml:space="preserve"> et al., 2020).</w:t>
      </w:r>
    </w:p>
    <w:p w14:paraId="769BC141" w14:textId="77777777" w:rsidR="00D141ED" w:rsidRPr="00FE4B1C" w:rsidRDefault="00D141ED" w:rsidP="00FE4B1C">
      <w:pPr>
        <w:spacing w:line="360" w:lineRule="auto"/>
        <w:rPr>
          <w:rFonts w:ascii="Arial" w:hAnsi="Arial" w:cs="Arial"/>
          <w:lang w:eastAsia="en-US"/>
        </w:rPr>
      </w:pPr>
    </w:p>
    <w:p w14:paraId="17B61B31" w14:textId="63D87B06" w:rsidR="00D141ED" w:rsidRPr="00FE4B1C" w:rsidRDefault="00D141ED" w:rsidP="00FE4B1C">
      <w:pPr>
        <w:spacing w:line="360" w:lineRule="auto"/>
        <w:rPr>
          <w:rFonts w:ascii="Arial" w:hAnsi="Arial" w:cs="Arial"/>
          <w:lang w:eastAsia="en-US"/>
        </w:rPr>
      </w:pPr>
      <w:r w:rsidRPr="00FE4B1C">
        <w:rPr>
          <w:rFonts w:ascii="Arial" w:hAnsi="Arial" w:cs="Arial"/>
          <w:lang w:eastAsia="en-US"/>
        </w:rPr>
        <w:t>Convenience, however, does not guarantee better access for every patient. When a service is provided remotely, it can be geographically accessible, but it cannot be accessed by someone without an appropriate device, a dependable internet connection, a private space, or digital confidence. Results from participants who were digitally engaged might not accurately reflect those who were unable to start or finish a remote consultation.</w:t>
      </w:r>
    </w:p>
    <w:p w14:paraId="6B423AB1" w14:textId="77777777" w:rsidR="00D141ED" w:rsidRPr="00FE4B1C" w:rsidRDefault="00D141ED" w:rsidP="00FE4B1C">
      <w:pPr>
        <w:spacing w:line="360" w:lineRule="auto"/>
        <w:rPr>
          <w:rFonts w:ascii="Arial" w:hAnsi="Arial" w:cs="Arial"/>
          <w:lang w:eastAsia="en-US"/>
        </w:rPr>
      </w:pPr>
    </w:p>
    <w:p w14:paraId="0621B7D9" w14:textId="77777777" w:rsidR="00D141ED" w:rsidRPr="00FE4B1C" w:rsidRDefault="00D141ED" w:rsidP="00FE4B1C">
      <w:pPr>
        <w:spacing w:line="360" w:lineRule="auto"/>
        <w:rPr>
          <w:rFonts w:ascii="Arial" w:hAnsi="Arial" w:cs="Arial"/>
        </w:rPr>
      </w:pPr>
      <w:r w:rsidRPr="00FE4B1C">
        <w:rPr>
          <w:rFonts w:ascii="Arial" w:hAnsi="Arial" w:cs="Arial"/>
        </w:rPr>
        <w:t>5.2 Self-management and health outcomes</w:t>
      </w:r>
    </w:p>
    <w:p w14:paraId="37BB83D7" w14:textId="714D1C38" w:rsidR="00D141ED" w:rsidRPr="00FE4B1C" w:rsidRDefault="00D141ED" w:rsidP="00FE4B1C">
      <w:pPr>
        <w:spacing w:line="360" w:lineRule="auto"/>
        <w:rPr>
          <w:rFonts w:ascii="Arial" w:hAnsi="Arial" w:cs="Arial"/>
          <w:lang w:eastAsia="en-US"/>
        </w:rPr>
      </w:pPr>
      <w:r w:rsidRPr="00FE4B1C">
        <w:rPr>
          <w:rFonts w:ascii="Arial" w:hAnsi="Arial" w:cs="Arial"/>
          <w:lang w:eastAsia="en-US"/>
        </w:rPr>
        <w:t>Results from persons with type 2 diabetes indicate that telemedicine may encourage self-sufficiency and increased control over a condition. According to Lee, Greenfield, and Pappas (2018), remote monitoring can reassure patients and allow medical personnel to react to developments without waiting for a traditional appointment.</w:t>
      </w:r>
    </w:p>
    <w:p w14:paraId="0600D3CF" w14:textId="366385EB" w:rsidR="00D141ED" w:rsidRPr="00FE4B1C" w:rsidRDefault="00D141ED" w:rsidP="00FE4B1C">
      <w:pPr>
        <w:spacing w:line="360" w:lineRule="auto"/>
        <w:rPr>
          <w:rFonts w:ascii="Arial" w:hAnsi="Arial" w:cs="Arial"/>
          <w:lang w:eastAsia="en-US"/>
        </w:rPr>
      </w:pPr>
    </w:p>
    <w:p w14:paraId="04549B17" w14:textId="0FD9631A" w:rsidR="00D141ED" w:rsidRPr="00FE4B1C" w:rsidRDefault="00D141ED" w:rsidP="00FE4B1C">
      <w:pPr>
        <w:spacing w:line="360" w:lineRule="auto"/>
        <w:rPr>
          <w:rFonts w:ascii="Arial" w:hAnsi="Arial" w:cs="Arial"/>
          <w:lang w:eastAsia="en-US"/>
        </w:rPr>
      </w:pPr>
      <w:r w:rsidRPr="00FE4B1C">
        <w:rPr>
          <w:rFonts w:ascii="Arial" w:hAnsi="Arial" w:cs="Arial"/>
          <w:lang w:eastAsia="en-US"/>
        </w:rPr>
        <w:t xml:space="preserve">There is still conflicting evidence on clinical efficacy. Telehealth therapies for diabetes, heart failure, asthma, chronic obstructive pulmonary disease, and cancer varied significantly, according to a thorough metareview. The condition, intervention, and result being examined all affected how effective telehealth was (Hanlon et al., 2017). For quality of life, psychological wellness, physical functioning, and </w:t>
      </w:r>
      <w:proofErr w:type="gramStart"/>
      <w:r w:rsidRPr="00FE4B1C">
        <w:rPr>
          <w:rFonts w:ascii="Arial" w:hAnsi="Arial" w:cs="Arial"/>
          <w:lang w:eastAsia="en-US"/>
        </w:rPr>
        <w:t>a number of</w:t>
      </w:r>
      <w:proofErr w:type="gramEnd"/>
      <w:r w:rsidRPr="00FE4B1C">
        <w:rPr>
          <w:rFonts w:ascii="Arial" w:hAnsi="Arial" w:cs="Arial"/>
          <w:lang w:eastAsia="en-US"/>
        </w:rPr>
        <w:t xml:space="preserve"> disease-specific outcomes, telehealth and standard home care did not differ statistically significantly, according to another review. Nonetheless, some patients reported feeling more at ease and having easier access to expert assistance (McFarland, </w:t>
      </w:r>
      <w:proofErr w:type="spellStart"/>
      <w:r w:rsidRPr="00FE4B1C">
        <w:rPr>
          <w:rFonts w:ascii="Arial" w:hAnsi="Arial" w:cs="Arial"/>
          <w:lang w:eastAsia="en-US"/>
        </w:rPr>
        <w:t>Coufopolous</w:t>
      </w:r>
      <w:proofErr w:type="spellEnd"/>
      <w:r w:rsidRPr="00FE4B1C">
        <w:rPr>
          <w:rFonts w:ascii="Arial" w:hAnsi="Arial" w:cs="Arial"/>
          <w:lang w:eastAsia="en-US"/>
        </w:rPr>
        <w:t>, and Lycett, 2021).</w:t>
      </w:r>
    </w:p>
    <w:p w14:paraId="355ECD75" w14:textId="77777777" w:rsidR="00D141ED" w:rsidRPr="00FE4B1C" w:rsidRDefault="00D141ED" w:rsidP="00FE4B1C">
      <w:pPr>
        <w:spacing w:line="360" w:lineRule="auto"/>
        <w:rPr>
          <w:rFonts w:ascii="Arial" w:hAnsi="Arial" w:cs="Arial"/>
          <w:lang w:eastAsia="en-US"/>
        </w:rPr>
      </w:pPr>
    </w:p>
    <w:p w14:paraId="4D162C0F" w14:textId="6E44D318" w:rsidR="00D141ED" w:rsidRPr="00FE4B1C" w:rsidRDefault="00D141ED" w:rsidP="00FE4B1C">
      <w:pPr>
        <w:spacing w:line="360" w:lineRule="auto"/>
        <w:rPr>
          <w:rFonts w:ascii="Arial" w:hAnsi="Arial" w:cs="Arial"/>
          <w:lang w:eastAsia="en-US"/>
        </w:rPr>
      </w:pPr>
      <w:r w:rsidRPr="00FE4B1C">
        <w:rPr>
          <w:rFonts w:ascii="Arial" w:hAnsi="Arial" w:cs="Arial"/>
          <w:lang w:eastAsia="en-US"/>
        </w:rPr>
        <w:t>The evidence is similarly complicated when it comes to interactive monitoring. In the included data, telemonitoring was linked to lower all-cause mortality and improvements in certain physiological outcomes, but it did not consistently improve quality of life and was linked to higher hospitalisation rates (Leo et al., 2022). Because outcomes are also influenced by technology, clinical response, and integration with current services, increased digital interaction should not be automatically translated as better health.</w:t>
      </w:r>
    </w:p>
    <w:p w14:paraId="32CCA9A1" w14:textId="77777777" w:rsidR="00D141ED" w:rsidRPr="00FE4B1C" w:rsidRDefault="00D141ED" w:rsidP="00FE4B1C">
      <w:pPr>
        <w:spacing w:line="360" w:lineRule="auto"/>
        <w:rPr>
          <w:rFonts w:ascii="Arial" w:hAnsi="Arial" w:cs="Arial"/>
          <w:lang w:eastAsia="en-US"/>
        </w:rPr>
      </w:pPr>
    </w:p>
    <w:p w14:paraId="4494D12A" w14:textId="77777777" w:rsidR="00D141ED" w:rsidRPr="00FE4B1C" w:rsidRDefault="00D141ED" w:rsidP="00FE4B1C">
      <w:pPr>
        <w:spacing w:line="360" w:lineRule="auto"/>
        <w:rPr>
          <w:rFonts w:ascii="Arial" w:hAnsi="Arial" w:cs="Arial"/>
        </w:rPr>
      </w:pPr>
      <w:r w:rsidRPr="00FE4B1C">
        <w:rPr>
          <w:rFonts w:ascii="Arial" w:hAnsi="Arial" w:cs="Arial"/>
        </w:rPr>
        <w:lastRenderedPageBreak/>
        <w:t>5.3 Acceptability and patient choice</w:t>
      </w:r>
    </w:p>
    <w:p w14:paraId="064814A2" w14:textId="0FE8BE87" w:rsidR="00D141ED" w:rsidRPr="00FE4B1C" w:rsidRDefault="00D141ED" w:rsidP="00FE4B1C">
      <w:pPr>
        <w:spacing w:line="360" w:lineRule="auto"/>
        <w:rPr>
          <w:rFonts w:ascii="Arial" w:hAnsi="Arial" w:cs="Arial"/>
          <w:lang w:eastAsia="en-US"/>
        </w:rPr>
      </w:pPr>
      <w:r w:rsidRPr="00FE4B1C">
        <w:rPr>
          <w:rFonts w:ascii="Arial" w:hAnsi="Arial" w:cs="Arial"/>
          <w:lang w:eastAsia="en-US"/>
        </w:rPr>
        <w:t>Individuals and conditions had different levels of acceptability. While some patients with mental health disorders thought in-person interactions were better for emotional or relationship-based consultations, others appreciated the decreased anxiety that came with obtaining care at home (Antonio et al., 2024). When communication was impacted by memory, hearing, cognition, or the lack of visual cues, people with dementia faced unique challenges (</w:t>
      </w:r>
      <w:proofErr w:type="spellStart"/>
      <w:r w:rsidRPr="00FE4B1C">
        <w:rPr>
          <w:rFonts w:ascii="Arial" w:hAnsi="Arial" w:cs="Arial"/>
          <w:lang w:eastAsia="en-US"/>
        </w:rPr>
        <w:t>Tuijt</w:t>
      </w:r>
      <w:proofErr w:type="spellEnd"/>
      <w:r w:rsidRPr="00FE4B1C">
        <w:rPr>
          <w:rFonts w:ascii="Arial" w:hAnsi="Arial" w:cs="Arial"/>
          <w:lang w:eastAsia="en-US"/>
        </w:rPr>
        <w:t xml:space="preserve"> et al., 2021).</w:t>
      </w:r>
    </w:p>
    <w:p w14:paraId="70AFFE7B" w14:textId="77777777" w:rsidR="00D141ED" w:rsidRPr="00FE4B1C" w:rsidRDefault="00D141ED" w:rsidP="00FE4B1C">
      <w:pPr>
        <w:spacing w:line="360" w:lineRule="auto"/>
        <w:rPr>
          <w:rFonts w:ascii="Arial" w:hAnsi="Arial" w:cs="Arial"/>
          <w:lang w:eastAsia="en-US"/>
        </w:rPr>
      </w:pPr>
    </w:p>
    <w:p w14:paraId="09B0C514" w14:textId="560F4CBA" w:rsidR="00D141ED" w:rsidRPr="00FE4B1C" w:rsidRDefault="00E954E8" w:rsidP="00FE4B1C">
      <w:pPr>
        <w:spacing w:line="360" w:lineRule="auto"/>
        <w:rPr>
          <w:rFonts w:ascii="Arial" w:hAnsi="Arial" w:cs="Arial"/>
          <w:lang w:eastAsia="en-US"/>
        </w:rPr>
      </w:pPr>
      <w:r w:rsidRPr="00E954E8">
        <w:rPr>
          <w:rFonts w:ascii="Arial" w:hAnsi="Arial" w:cs="Arial"/>
          <w:lang w:eastAsia="en-US"/>
        </w:rPr>
        <w:t>These results are in line with NICE's (2021) recommendation that patients be actively involved in decisions about their care and assisted in selecting the consultation approach that best suits their individual preferences and clinical needs. For people with long-term diseases, shared decision-making is especially crucial when determining whether in-person or virtual consultations are the best choice (NICE, 2021).</w:t>
      </w:r>
      <w:r>
        <w:rPr>
          <w:rFonts w:ascii="Arial" w:hAnsi="Arial" w:cs="Arial"/>
          <w:lang w:eastAsia="en-US"/>
        </w:rPr>
        <w:t xml:space="preserve"> </w:t>
      </w:r>
      <w:r w:rsidR="00D141ED" w:rsidRPr="00FE4B1C">
        <w:rPr>
          <w:rFonts w:ascii="Arial" w:hAnsi="Arial" w:cs="Arial"/>
          <w:lang w:eastAsia="en-US"/>
        </w:rPr>
        <w:t>While video can offer visual communication when appropriate, telephone appointments might be useful for routine follow-up. Physical examinations, diagnosis, safeguarding, sophisticated decision-making, and consultations where nonverbal communication is crucial still require in-person sessions. Teleconsultations should be used to supplement traditional care rather than completely replace it, according to a broader NHS assessment (</w:t>
      </w:r>
      <w:proofErr w:type="spellStart"/>
      <w:r w:rsidR="00D141ED" w:rsidRPr="00FE4B1C">
        <w:rPr>
          <w:rFonts w:ascii="Arial" w:hAnsi="Arial" w:cs="Arial"/>
          <w:lang w:eastAsia="en-US"/>
        </w:rPr>
        <w:t>O'Cathail</w:t>
      </w:r>
      <w:proofErr w:type="spellEnd"/>
      <w:r w:rsidR="00D141ED" w:rsidRPr="00FE4B1C">
        <w:rPr>
          <w:rFonts w:ascii="Arial" w:hAnsi="Arial" w:cs="Arial"/>
          <w:lang w:eastAsia="en-US"/>
        </w:rPr>
        <w:t xml:space="preserve"> et al., 2020).</w:t>
      </w:r>
    </w:p>
    <w:p w14:paraId="2AFD8CE7" w14:textId="77777777" w:rsidR="00D141ED" w:rsidRPr="00FE4B1C" w:rsidRDefault="00D141ED" w:rsidP="00FE4B1C">
      <w:pPr>
        <w:spacing w:line="360" w:lineRule="auto"/>
        <w:rPr>
          <w:rFonts w:ascii="Arial" w:hAnsi="Arial" w:cs="Arial"/>
          <w:lang w:eastAsia="en-US"/>
        </w:rPr>
      </w:pPr>
    </w:p>
    <w:p w14:paraId="11CBA695" w14:textId="77777777" w:rsidR="00D141ED" w:rsidRPr="00FE4B1C" w:rsidRDefault="00D141ED" w:rsidP="00FE4B1C">
      <w:pPr>
        <w:spacing w:line="360" w:lineRule="auto"/>
        <w:rPr>
          <w:rFonts w:ascii="Arial" w:hAnsi="Arial" w:cs="Arial"/>
        </w:rPr>
      </w:pPr>
      <w:r w:rsidRPr="00FE4B1C">
        <w:rPr>
          <w:rFonts w:ascii="Arial" w:hAnsi="Arial" w:cs="Arial"/>
        </w:rPr>
        <w:t>5.4 Digital exclusion and health inequalities</w:t>
      </w:r>
    </w:p>
    <w:p w14:paraId="6B44D95F" w14:textId="073646CC" w:rsidR="00D141ED" w:rsidRPr="00FE4B1C" w:rsidRDefault="00D141ED" w:rsidP="00FE4B1C">
      <w:pPr>
        <w:spacing w:line="360" w:lineRule="auto"/>
        <w:rPr>
          <w:rFonts w:ascii="Arial" w:hAnsi="Arial" w:cs="Arial"/>
          <w:lang w:eastAsia="en-US"/>
        </w:rPr>
      </w:pPr>
      <w:r w:rsidRPr="00FE4B1C">
        <w:rPr>
          <w:rFonts w:ascii="Arial" w:hAnsi="Arial" w:cs="Arial"/>
          <w:lang w:eastAsia="en-US"/>
        </w:rPr>
        <w:t>One of the most significant restrictions on telehealth is digital exclusion. Accessing remote services may be more challenging for older persons, those with disabilities, those with limited English proficiency, those with lower finances, and those with little digital literacy. Younger, wealthier, and better educated patients are more likely to use internet-based general-practice consultations, but there is still little data on the quality and results for underprivileged populations (Parker et al., 2021).</w:t>
      </w:r>
    </w:p>
    <w:p w14:paraId="59536AF5" w14:textId="77777777" w:rsidR="00D141ED" w:rsidRPr="00FE4B1C" w:rsidRDefault="00D141ED" w:rsidP="00FE4B1C">
      <w:pPr>
        <w:spacing w:line="360" w:lineRule="auto"/>
        <w:rPr>
          <w:rFonts w:ascii="Arial" w:hAnsi="Arial" w:cs="Arial"/>
          <w:lang w:eastAsia="en-US"/>
        </w:rPr>
      </w:pPr>
    </w:p>
    <w:p w14:paraId="29A44839" w14:textId="76E3E8DB" w:rsidR="00D141ED" w:rsidRPr="00FE4B1C" w:rsidRDefault="00D141ED" w:rsidP="00FE4B1C">
      <w:pPr>
        <w:spacing w:line="360" w:lineRule="auto"/>
        <w:rPr>
          <w:rFonts w:ascii="Arial" w:hAnsi="Arial" w:cs="Arial"/>
          <w:lang w:eastAsia="en-US"/>
        </w:rPr>
      </w:pPr>
      <w:r w:rsidRPr="00FE4B1C">
        <w:rPr>
          <w:rFonts w:ascii="Arial" w:hAnsi="Arial" w:cs="Arial"/>
          <w:lang w:eastAsia="en-US"/>
        </w:rPr>
        <w:t xml:space="preserve">Secondary and tertiary outpatient services have also been found to exhibit disparities. Remote consultations were less common among older folks, those with lower incomes, jobless people, members of certain minority ethnic groups, and those who do not speak English as their first language (Jones et al., 2022). Therefore, </w:t>
      </w:r>
      <w:r w:rsidRPr="00FE4B1C">
        <w:rPr>
          <w:rFonts w:ascii="Arial" w:hAnsi="Arial" w:cs="Arial"/>
          <w:lang w:eastAsia="en-US"/>
        </w:rPr>
        <w:lastRenderedPageBreak/>
        <w:t>implementing telemedicine without preserving other options may exacerbate already-existing healthcare disparities.</w:t>
      </w:r>
    </w:p>
    <w:p w14:paraId="7B3C1D84" w14:textId="77777777" w:rsidR="00D141ED" w:rsidRPr="00FE4B1C" w:rsidRDefault="00D141ED" w:rsidP="00FE4B1C">
      <w:pPr>
        <w:spacing w:line="360" w:lineRule="auto"/>
        <w:rPr>
          <w:rFonts w:ascii="Arial" w:hAnsi="Arial" w:cs="Arial"/>
          <w:lang w:eastAsia="en-US"/>
        </w:rPr>
      </w:pPr>
    </w:p>
    <w:p w14:paraId="171F818C" w14:textId="3A120654" w:rsidR="00D141ED" w:rsidRPr="00FE4B1C" w:rsidRDefault="00D141ED" w:rsidP="00FE4B1C">
      <w:pPr>
        <w:spacing w:line="360" w:lineRule="auto"/>
        <w:rPr>
          <w:rFonts w:ascii="Arial" w:hAnsi="Arial" w:cs="Arial"/>
          <w:lang w:eastAsia="en-US"/>
        </w:rPr>
      </w:pPr>
      <w:r w:rsidRPr="00FE4B1C">
        <w:rPr>
          <w:rFonts w:ascii="Arial" w:hAnsi="Arial" w:cs="Arial"/>
          <w:lang w:eastAsia="en-US"/>
        </w:rPr>
        <w:t>Research on digital healthcare among underprivileged communities in the UK is still lacking. Rather from being planned with individuals most at risk of exclusion in mind, service development has often been impacted by organisational requirements (Farre et al., 2023). Before scheduling remote care, providers should determine whether patients have the necessary tools, connectivity, language support, accessibility modifications, and confidence.</w:t>
      </w:r>
    </w:p>
    <w:p w14:paraId="17793E2B" w14:textId="77777777" w:rsidR="00D141ED" w:rsidRPr="00FE4B1C" w:rsidRDefault="00D141ED" w:rsidP="00FE4B1C">
      <w:pPr>
        <w:spacing w:line="360" w:lineRule="auto"/>
        <w:rPr>
          <w:rFonts w:ascii="Arial" w:hAnsi="Arial" w:cs="Arial"/>
          <w:lang w:eastAsia="en-US"/>
        </w:rPr>
      </w:pPr>
    </w:p>
    <w:p w14:paraId="6B250846" w14:textId="77777777" w:rsidR="00D141ED" w:rsidRPr="00FE4B1C" w:rsidRDefault="00D141ED" w:rsidP="00FE4B1C">
      <w:pPr>
        <w:spacing w:line="360" w:lineRule="auto"/>
        <w:rPr>
          <w:rFonts w:ascii="Arial" w:hAnsi="Arial" w:cs="Arial"/>
        </w:rPr>
      </w:pPr>
      <w:r w:rsidRPr="00FE4B1C">
        <w:rPr>
          <w:rFonts w:ascii="Arial" w:hAnsi="Arial" w:cs="Arial"/>
        </w:rPr>
        <w:t>5.5 Importance for health and social care practice</w:t>
      </w:r>
    </w:p>
    <w:p w14:paraId="4E0DC803" w14:textId="7A72A87C" w:rsidR="00AC00C9" w:rsidRPr="00FE4B1C" w:rsidRDefault="00AC00C9" w:rsidP="00FE4B1C">
      <w:pPr>
        <w:spacing w:line="360" w:lineRule="auto"/>
        <w:rPr>
          <w:rFonts w:ascii="Arial" w:hAnsi="Arial" w:cs="Arial"/>
        </w:rPr>
      </w:pPr>
      <w:r w:rsidRPr="00FE4B1C">
        <w:rPr>
          <w:rFonts w:ascii="Arial" w:hAnsi="Arial" w:cs="Arial"/>
        </w:rPr>
        <w:t>Telehealth should be provided by healthcare groups as part of a flexible pathway. When online contact is not appropriate, patients should be able to seek in-person care and be given clear information about the available consultation options. Services shouldn't presume that all patients have the requisite digital abilities or access.</w:t>
      </w:r>
    </w:p>
    <w:p w14:paraId="4028A256" w14:textId="01643A26" w:rsidR="00AC00C9" w:rsidRPr="00FE4B1C" w:rsidRDefault="00AC00C9" w:rsidP="00FE4B1C">
      <w:pPr>
        <w:spacing w:line="360" w:lineRule="auto"/>
        <w:rPr>
          <w:rFonts w:ascii="Arial" w:hAnsi="Arial" w:cs="Arial"/>
        </w:rPr>
      </w:pPr>
      <w:r w:rsidRPr="00FE4B1C">
        <w:rPr>
          <w:rFonts w:ascii="Arial" w:hAnsi="Arial" w:cs="Arial"/>
        </w:rPr>
        <w:t>Employee education is also crucial. Healthcare practitioners need assistance in identifying when remote evaluation is risky, communicating without typical nonverbal cues, ensuring comprehension, and scheduling prompt in-person follow-up. Because remote services might result in more labour including coordination, technology, and communication across healthcare systems, administrative and technical support is required (Murphy et al., 2021).</w:t>
      </w:r>
    </w:p>
    <w:p w14:paraId="072863C4" w14:textId="3516ADA8" w:rsidR="00AC00C9" w:rsidRPr="00FE4B1C" w:rsidRDefault="00AC00C9" w:rsidP="00FE4B1C">
      <w:pPr>
        <w:spacing w:line="360" w:lineRule="auto"/>
        <w:rPr>
          <w:rFonts w:ascii="Arial" w:hAnsi="Arial" w:cs="Arial"/>
        </w:rPr>
      </w:pPr>
      <w:r w:rsidRPr="00FE4B1C">
        <w:rPr>
          <w:rFonts w:ascii="Arial" w:hAnsi="Arial" w:cs="Arial"/>
        </w:rPr>
        <w:t>Since many individuals with long-term conditions receive help from both health and social care, the findings are equally pertinent to adult social care and community services. Communication between general practitioners, speciality teams, community workers, social workers, patients, and unpaid carers should all be facilitated by telehealth. Digital communication should not, however, take the place of essential home visits, in-person evaluations, or helpful assistance for individuals who are unable to use remote services.</w:t>
      </w:r>
    </w:p>
    <w:p w14:paraId="1CAE3C95" w14:textId="51DD7297" w:rsidR="00AC00C9" w:rsidRPr="00FE4B1C" w:rsidRDefault="00AC00C9" w:rsidP="00FE4B1C">
      <w:pPr>
        <w:spacing w:line="360" w:lineRule="auto"/>
        <w:rPr>
          <w:rFonts w:ascii="Arial" w:hAnsi="Arial" w:cs="Arial"/>
        </w:rPr>
      </w:pPr>
      <w:r w:rsidRPr="00FE4B1C">
        <w:rPr>
          <w:rFonts w:ascii="Arial" w:hAnsi="Arial" w:cs="Arial"/>
        </w:rPr>
        <w:t>Evaluation ought to go beyond how many remote appointments are completed. Patient experience, clinical results, safety, continuity, non-attendance, repeated contact, and digital exclusion should all be examined by services. For technology to represent their objectives rather than just organisational efficiency, patients and carers should be involved in service design.</w:t>
      </w:r>
    </w:p>
    <w:p w14:paraId="4B355468" w14:textId="77777777" w:rsidR="00AC00C9" w:rsidRPr="00FE4B1C" w:rsidRDefault="00AC00C9" w:rsidP="00FE4B1C">
      <w:pPr>
        <w:spacing w:line="360" w:lineRule="auto"/>
        <w:rPr>
          <w:rFonts w:ascii="Arial" w:hAnsi="Arial" w:cs="Arial"/>
        </w:rPr>
      </w:pPr>
      <w:r w:rsidRPr="00FE4B1C">
        <w:rPr>
          <w:rFonts w:ascii="Arial" w:hAnsi="Arial" w:cs="Arial"/>
        </w:rPr>
        <w:lastRenderedPageBreak/>
        <w:t>5.6 Strengths and limitations</w:t>
      </w:r>
    </w:p>
    <w:p w14:paraId="4FA64AF5" w14:textId="787DEE0E" w:rsidR="00AC00C9" w:rsidRPr="00FE4B1C" w:rsidRDefault="00AC00C9" w:rsidP="00FE4B1C">
      <w:pPr>
        <w:spacing w:line="360" w:lineRule="auto"/>
        <w:rPr>
          <w:rFonts w:ascii="Arial" w:hAnsi="Arial" w:cs="Arial"/>
        </w:rPr>
      </w:pPr>
      <w:r w:rsidRPr="00FE4B1C">
        <w:rPr>
          <w:rFonts w:ascii="Arial" w:hAnsi="Arial" w:cs="Arial"/>
        </w:rPr>
        <w:t>This review's emphasis on UK health and care practices is one of its strong points. Various long-term conditions, healthcare settings, technology, and research strategies were included in the chosen papers. Perspectives from patients, carers, and professionals made it possible to take clinical issues and practical advantages into account.</w:t>
      </w:r>
    </w:p>
    <w:p w14:paraId="6E81CF19" w14:textId="428FA801" w:rsidR="00AC00C9" w:rsidRPr="00FE4B1C" w:rsidRDefault="00AC00C9" w:rsidP="00FE4B1C">
      <w:pPr>
        <w:spacing w:line="360" w:lineRule="auto"/>
        <w:rPr>
          <w:rFonts w:ascii="Arial" w:hAnsi="Arial" w:cs="Arial"/>
        </w:rPr>
      </w:pPr>
      <w:r w:rsidRPr="00FE4B1C">
        <w:rPr>
          <w:rFonts w:ascii="Arial" w:hAnsi="Arial" w:cs="Arial"/>
        </w:rPr>
        <w:t>However, the scope of the conclusions was limited because just five papers were examined. Direct comparisons were impossible due to the heterogeneity of the demographics, interventions, and reported outcomes. During the COVID-19 pandemic, when patient choice was limited and remote care was quickly established, several investigations were carried out. Therefore, rather than reflecting intended long-term service delivery, the results can represent emergency situations.</w:t>
      </w:r>
    </w:p>
    <w:p w14:paraId="092A2757" w14:textId="44359A6E" w:rsidR="00AC00C9" w:rsidRDefault="00AC00C9" w:rsidP="00FE4B1C">
      <w:pPr>
        <w:spacing w:line="360" w:lineRule="auto"/>
        <w:rPr>
          <w:rFonts w:ascii="Arial" w:hAnsi="Arial" w:cs="Arial"/>
        </w:rPr>
      </w:pPr>
      <w:r w:rsidRPr="00FE4B1C">
        <w:rPr>
          <w:rFonts w:ascii="Arial" w:hAnsi="Arial" w:cs="Arial"/>
        </w:rPr>
        <w:t>There is a chance of selection and interpretation bias because only one reviewer finished the review. A rigorous quality assessment of each included study was not conducted, and only English-language peer-reviewed evidence was considered. Instead, then focusing only on recruiting adults with chronic diseases, some research looked at remote consultations in general. As a result, while the results give a general perspective, they cannot prove that telehealth benefits all conditions, populations, or UK settings in the same way.</w:t>
      </w:r>
    </w:p>
    <w:p w14:paraId="4A21F52F" w14:textId="77777777" w:rsidR="00FE4B1C" w:rsidRPr="00FE4B1C" w:rsidRDefault="00FE4B1C" w:rsidP="00FE4B1C">
      <w:pPr>
        <w:spacing w:line="360" w:lineRule="auto"/>
        <w:rPr>
          <w:rFonts w:ascii="Arial" w:hAnsi="Arial" w:cs="Arial"/>
        </w:rPr>
      </w:pPr>
    </w:p>
    <w:p w14:paraId="48932ACD" w14:textId="2929B2C2" w:rsidR="00CD500C" w:rsidRDefault="00B87E75" w:rsidP="00FE4B1C">
      <w:pPr>
        <w:pStyle w:val="Heading2"/>
      </w:pPr>
      <w:bookmarkStart w:id="6" w:name="_Toc236822317"/>
      <w:r w:rsidRPr="00CD33A8">
        <w:t>Conclusion</w:t>
      </w:r>
      <w:r w:rsidR="00CD33A8">
        <w:t xml:space="preserve"> and Recommendations</w:t>
      </w:r>
      <w:bookmarkEnd w:id="6"/>
    </w:p>
    <w:p w14:paraId="46661692" w14:textId="6E4AD9D1" w:rsidR="00CD500C" w:rsidRPr="00FE4B1C" w:rsidRDefault="00CD500C" w:rsidP="00FE4B1C">
      <w:pPr>
        <w:spacing w:line="360" w:lineRule="auto"/>
        <w:rPr>
          <w:rFonts w:ascii="Arial" w:hAnsi="Arial" w:cs="Arial"/>
        </w:rPr>
      </w:pPr>
      <w:r w:rsidRPr="00FE4B1C">
        <w:rPr>
          <w:rFonts w:ascii="Arial" w:hAnsi="Arial" w:cs="Arial"/>
        </w:rPr>
        <w:t>6.1 Conclusion</w:t>
      </w:r>
    </w:p>
    <w:p w14:paraId="6812580D" w14:textId="669EC0B8" w:rsidR="0090040D" w:rsidRPr="00FE4B1C" w:rsidRDefault="00CD500C" w:rsidP="00FE4B1C">
      <w:pPr>
        <w:spacing w:line="360" w:lineRule="auto"/>
        <w:rPr>
          <w:rFonts w:ascii="Arial" w:hAnsi="Arial" w:cs="Arial"/>
        </w:rPr>
      </w:pPr>
      <w:r w:rsidRPr="00FE4B1C">
        <w:rPr>
          <w:rFonts w:ascii="Arial" w:hAnsi="Arial" w:cs="Arial"/>
        </w:rPr>
        <w:t>This scoping assessment looked at data on telehealth's potential to enhance healthcare access for UK persons with chronic illnesses. By minimising travel, waiting, parking issues, and time away from work or family obligations, telehealth can make care more convenient. Additionally, it can facilitate continuity, remote monitoring, and increased patient participation in condition management.</w:t>
      </w:r>
    </w:p>
    <w:p w14:paraId="011A720A" w14:textId="77777777" w:rsidR="00CD500C" w:rsidRPr="00FE4B1C" w:rsidRDefault="00CD500C" w:rsidP="00FE4B1C">
      <w:pPr>
        <w:spacing w:line="360" w:lineRule="auto"/>
        <w:rPr>
          <w:rFonts w:ascii="Arial" w:hAnsi="Arial" w:cs="Arial"/>
        </w:rPr>
      </w:pPr>
    </w:p>
    <w:p w14:paraId="7EDB3445" w14:textId="51169C5B" w:rsidR="00CD500C" w:rsidRPr="00FE4B1C" w:rsidRDefault="00CD500C" w:rsidP="00FE4B1C">
      <w:pPr>
        <w:spacing w:line="360" w:lineRule="auto"/>
        <w:rPr>
          <w:rFonts w:ascii="Arial" w:hAnsi="Arial" w:cs="Arial"/>
        </w:rPr>
      </w:pPr>
      <w:r w:rsidRPr="00FE4B1C">
        <w:rPr>
          <w:rFonts w:ascii="Arial" w:hAnsi="Arial" w:cs="Arial"/>
        </w:rPr>
        <w:t xml:space="preserve">These advantages are not shared equally, either. The patient's condition, digital capabilities, communication needs, relationship with medical providers, and the goal of the consultation all influence acceptability. Effective participation may be hampered by technical issues, skill gaps, cognitive or sensory impairment, privacy issues, and poor connectivity. Additionally, when examination, nonverbal </w:t>
      </w:r>
      <w:r w:rsidRPr="00FE4B1C">
        <w:rPr>
          <w:rFonts w:ascii="Arial" w:hAnsi="Arial" w:cs="Arial"/>
        </w:rPr>
        <w:lastRenderedPageBreak/>
        <w:t>communication, protective evaluation, or sophisticated clinical decision-making are necessary, remote consultations might not be appropriate.</w:t>
      </w:r>
    </w:p>
    <w:p w14:paraId="4371A9C5" w14:textId="7A8AB4F8" w:rsidR="00F66E1B" w:rsidRPr="00FE4B1C" w:rsidRDefault="00F66E1B" w:rsidP="00FE4B1C">
      <w:pPr>
        <w:spacing w:line="360" w:lineRule="auto"/>
        <w:rPr>
          <w:rFonts w:ascii="Arial" w:hAnsi="Arial" w:cs="Arial"/>
        </w:rPr>
      </w:pPr>
    </w:p>
    <w:p w14:paraId="21429B51" w14:textId="79BB573B" w:rsidR="00CD500C" w:rsidRPr="00FE4B1C" w:rsidRDefault="00CD500C" w:rsidP="00FE4B1C">
      <w:pPr>
        <w:spacing w:line="360" w:lineRule="auto"/>
        <w:rPr>
          <w:rFonts w:ascii="Arial" w:hAnsi="Arial" w:cs="Arial"/>
        </w:rPr>
      </w:pPr>
      <w:r w:rsidRPr="00FE4B1C">
        <w:rPr>
          <w:rFonts w:ascii="Arial" w:hAnsi="Arial" w:cs="Arial"/>
        </w:rPr>
        <w:t>The evidence does not support using a completely remote approach to replace in-person healthcare. When telehealth is used in conjunction with current services and consultation techniques are tailored to each patient's needs, it is most beneficial. Convenience can be maintained while guaranteeing that patients who require or prefer in-person appointments are not left out with a flexible blended approach.</w:t>
      </w:r>
    </w:p>
    <w:p w14:paraId="78B8D258" w14:textId="77777777" w:rsidR="00CD500C" w:rsidRPr="00FE4B1C" w:rsidRDefault="00CD500C" w:rsidP="00FE4B1C">
      <w:pPr>
        <w:spacing w:line="360" w:lineRule="auto"/>
        <w:rPr>
          <w:rFonts w:ascii="Arial" w:hAnsi="Arial" w:cs="Arial"/>
        </w:rPr>
      </w:pPr>
    </w:p>
    <w:p w14:paraId="2DD59334" w14:textId="77777777" w:rsidR="00CD500C" w:rsidRPr="00FE4B1C" w:rsidRDefault="00CD500C" w:rsidP="00FE4B1C">
      <w:pPr>
        <w:spacing w:line="360" w:lineRule="auto"/>
        <w:rPr>
          <w:rFonts w:ascii="Arial" w:hAnsi="Arial" w:cs="Arial"/>
        </w:rPr>
      </w:pPr>
      <w:r w:rsidRPr="00FE4B1C">
        <w:rPr>
          <w:rFonts w:ascii="Arial" w:hAnsi="Arial" w:cs="Arial"/>
        </w:rPr>
        <w:t>6.2 Recommendations</w:t>
      </w:r>
    </w:p>
    <w:p w14:paraId="3714F732" w14:textId="77777777" w:rsidR="00CD500C" w:rsidRPr="00FE4B1C" w:rsidRDefault="00CD500C" w:rsidP="00FE4B1C">
      <w:pPr>
        <w:spacing w:line="360" w:lineRule="auto"/>
        <w:rPr>
          <w:rFonts w:ascii="Arial" w:hAnsi="Arial" w:cs="Arial"/>
        </w:rPr>
      </w:pPr>
      <w:r w:rsidRPr="00FE4B1C">
        <w:rPr>
          <w:rFonts w:ascii="Arial" w:hAnsi="Arial" w:cs="Arial"/>
        </w:rPr>
        <w:t>In addition to easily accessible in-person visits, UK healthcare providers should continue to include telephone, video, and other digital choices. Requesting an in-person appointment shouldn't result in further obstacles or delays, and patients should be included in selecting the best approach (Schutz et al., 2022).</w:t>
      </w:r>
    </w:p>
    <w:p w14:paraId="3A5C0152" w14:textId="77777777" w:rsidR="00CD500C" w:rsidRPr="00FE4B1C" w:rsidRDefault="00CD500C" w:rsidP="00FE4B1C">
      <w:pPr>
        <w:spacing w:line="360" w:lineRule="auto"/>
        <w:rPr>
          <w:rFonts w:ascii="Arial" w:hAnsi="Arial" w:cs="Arial"/>
        </w:rPr>
      </w:pPr>
    </w:p>
    <w:p w14:paraId="3E3FF9CA" w14:textId="76AB7D8E" w:rsidR="00CD500C" w:rsidRPr="00FE4B1C" w:rsidRDefault="00CD500C" w:rsidP="00FE4B1C">
      <w:pPr>
        <w:spacing w:line="360" w:lineRule="auto"/>
        <w:rPr>
          <w:rFonts w:ascii="Arial" w:hAnsi="Arial" w:cs="Arial"/>
        </w:rPr>
      </w:pPr>
      <w:r w:rsidRPr="00FE4B1C">
        <w:rPr>
          <w:rFonts w:ascii="Arial" w:hAnsi="Arial" w:cs="Arial"/>
        </w:rPr>
        <w:t>Before scheduling remote care, providers should evaluate digital access, confidence, communication needs, and accessibility requirements. When needed, there should be support for digital skills, practical help, easily accessible instructions, and interpreters (Farre et al., 2023).</w:t>
      </w:r>
    </w:p>
    <w:p w14:paraId="144B72D8" w14:textId="77777777" w:rsidR="00CD500C" w:rsidRPr="00FE4B1C" w:rsidRDefault="00CD500C" w:rsidP="00FE4B1C">
      <w:pPr>
        <w:spacing w:line="360" w:lineRule="auto"/>
        <w:rPr>
          <w:rFonts w:ascii="Arial" w:hAnsi="Arial" w:cs="Arial"/>
        </w:rPr>
      </w:pPr>
    </w:p>
    <w:p w14:paraId="5E3D04E6" w14:textId="0F9B7420" w:rsidR="00CD500C" w:rsidRPr="00FE4B1C" w:rsidRDefault="00CD500C" w:rsidP="00FE4B1C">
      <w:pPr>
        <w:spacing w:line="360" w:lineRule="auto"/>
        <w:rPr>
          <w:rFonts w:ascii="Arial" w:hAnsi="Arial" w:cs="Arial"/>
        </w:rPr>
      </w:pPr>
      <w:r w:rsidRPr="00FE4B1C">
        <w:rPr>
          <w:rFonts w:ascii="Arial" w:hAnsi="Arial" w:cs="Arial"/>
        </w:rPr>
        <w:t xml:space="preserve">Professionals should be trained in clinical risk assessment, remote communication, privacy, protection, and identifying when an examination is required. </w:t>
      </w:r>
      <w:proofErr w:type="gramStart"/>
      <w:r w:rsidRPr="00FE4B1C">
        <w:rPr>
          <w:rFonts w:ascii="Arial" w:hAnsi="Arial" w:cs="Arial"/>
        </w:rPr>
        <w:t>In order to</w:t>
      </w:r>
      <w:proofErr w:type="gramEnd"/>
      <w:r w:rsidRPr="00FE4B1C">
        <w:rPr>
          <w:rFonts w:ascii="Arial" w:hAnsi="Arial" w:cs="Arial"/>
        </w:rPr>
        <w:t xml:space="preserve"> prevent remote consultations from increasing workload or interfering with continuity, organisations should also offer administrative and technological support (Murphy et al., 2021).</w:t>
      </w:r>
    </w:p>
    <w:p w14:paraId="1BCF846C" w14:textId="77777777" w:rsidR="00CD500C" w:rsidRPr="00FE4B1C" w:rsidRDefault="00CD500C" w:rsidP="00FE4B1C">
      <w:pPr>
        <w:spacing w:line="360" w:lineRule="auto"/>
        <w:rPr>
          <w:rFonts w:ascii="Arial" w:hAnsi="Arial" w:cs="Arial"/>
        </w:rPr>
      </w:pPr>
    </w:p>
    <w:p w14:paraId="44303A51" w14:textId="3A453A35" w:rsidR="00CD500C" w:rsidRPr="00FE4B1C" w:rsidRDefault="00CD500C" w:rsidP="00FE4B1C">
      <w:pPr>
        <w:spacing w:line="360" w:lineRule="auto"/>
        <w:rPr>
          <w:rFonts w:ascii="Arial" w:hAnsi="Arial" w:cs="Arial"/>
        </w:rPr>
      </w:pPr>
      <w:r w:rsidRPr="00FE4B1C">
        <w:rPr>
          <w:rFonts w:ascii="Arial" w:hAnsi="Arial" w:cs="Arial"/>
        </w:rPr>
        <w:t>Telehealth pathways should incorporate accessible non-digital alternatives, acceptable adaptations, and coordination across primary, community, and social care services, according to policymakers, commissioners, and health and social care groups. Additionally, services should keep an eye on whether remote delivery exacerbates inequality or leaves out individuals with disabilities, language, communication, or digital support needs (NHS England, 2025).</w:t>
      </w:r>
    </w:p>
    <w:p w14:paraId="26E4964F" w14:textId="77777777" w:rsidR="00CD500C" w:rsidRPr="00FE4B1C" w:rsidRDefault="00CD500C" w:rsidP="00FE4B1C">
      <w:pPr>
        <w:spacing w:line="360" w:lineRule="auto"/>
        <w:rPr>
          <w:rFonts w:ascii="Arial" w:hAnsi="Arial" w:cs="Arial"/>
        </w:rPr>
      </w:pPr>
    </w:p>
    <w:p w14:paraId="6308680A" w14:textId="09AE9812" w:rsidR="00CD500C" w:rsidRPr="00FE4B1C" w:rsidRDefault="00CD500C" w:rsidP="00FE4B1C">
      <w:pPr>
        <w:spacing w:line="360" w:lineRule="auto"/>
        <w:rPr>
          <w:rFonts w:ascii="Arial" w:hAnsi="Arial" w:cs="Arial"/>
        </w:rPr>
      </w:pPr>
      <w:r w:rsidRPr="00FE4B1C">
        <w:rPr>
          <w:rFonts w:ascii="Arial" w:hAnsi="Arial" w:cs="Arial"/>
        </w:rPr>
        <w:lastRenderedPageBreak/>
        <w:t xml:space="preserve">Future studies should focus on telehealth outside of emergency pandemic situations and encompass a wider range of UK demographics. Older persons, people with disabilities, members of minority ethnic communities, those who are socioeconomically disadvantaged, and those with restricted access to the internet should all receive more attention. </w:t>
      </w:r>
      <w:r w:rsidR="00D24B02" w:rsidRPr="00FE4B1C">
        <w:rPr>
          <w:rFonts w:ascii="Arial" w:hAnsi="Arial" w:cs="Arial"/>
        </w:rPr>
        <w:t>Instead,</w:t>
      </w:r>
      <w:r w:rsidRPr="00FE4B1C">
        <w:rPr>
          <w:rFonts w:ascii="Arial" w:hAnsi="Arial" w:cs="Arial"/>
        </w:rPr>
        <w:t xml:space="preserve"> </w:t>
      </w:r>
      <w:proofErr w:type="gramStart"/>
      <w:r w:rsidRPr="00FE4B1C">
        <w:rPr>
          <w:rFonts w:ascii="Arial" w:hAnsi="Arial" w:cs="Arial"/>
        </w:rPr>
        <w:t>than</w:t>
      </w:r>
      <w:proofErr w:type="gramEnd"/>
      <w:r w:rsidRPr="00FE4B1C">
        <w:rPr>
          <w:rFonts w:ascii="Arial" w:hAnsi="Arial" w:cs="Arial"/>
        </w:rPr>
        <w:t xml:space="preserve"> focusing solely on appointment numbers, studies should assess clinical results, safety, cost-effectiveness, and long-term experience (Hanlon et al., 2017).</w:t>
      </w:r>
    </w:p>
    <w:p w14:paraId="548C3F5E" w14:textId="77777777" w:rsidR="00CD500C" w:rsidRPr="00FE4B1C" w:rsidRDefault="00CD500C" w:rsidP="00FE4B1C">
      <w:pPr>
        <w:spacing w:line="360" w:lineRule="auto"/>
        <w:rPr>
          <w:rFonts w:ascii="Arial" w:hAnsi="Arial" w:cs="Arial"/>
        </w:rPr>
      </w:pPr>
    </w:p>
    <w:p w14:paraId="6777F21A" w14:textId="4B83A1B3" w:rsidR="00FE4B1C" w:rsidRDefault="00CD500C" w:rsidP="00FE4B1C">
      <w:pPr>
        <w:spacing w:line="360" w:lineRule="auto"/>
        <w:rPr>
          <w:rFonts w:ascii="Arial" w:hAnsi="Arial" w:cs="Arial"/>
        </w:rPr>
      </w:pPr>
      <w:r w:rsidRPr="00FE4B1C">
        <w:rPr>
          <w:rFonts w:ascii="Arial" w:hAnsi="Arial" w:cs="Arial"/>
        </w:rPr>
        <w:t>All things considered, telehealth can increase access for adults with chronic illnesses, but its effectiveness hinges on patient preference, inclusive service design, and successful integration with in-person care.</w:t>
      </w:r>
    </w:p>
    <w:p w14:paraId="2B6C00DD" w14:textId="77777777" w:rsidR="00E954E8" w:rsidRDefault="00E954E8" w:rsidP="00FE4B1C">
      <w:pPr>
        <w:spacing w:line="360" w:lineRule="auto"/>
        <w:rPr>
          <w:rFonts w:ascii="Arial" w:hAnsi="Arial" w:cs="Arial"/>
        </w:rPr>
      </w:pPr>
    </w:p>
    <w:p w14:paraId="20863F21" w14:textId="77777777" w:rsidR="00E954E8" w:rsidRDefault="00E954E8" w:rsidP="00FE4B1C">
      <w:pPr>
        <w:spacing w:line="360" w:lineRule="auto"/>
        <w:rPr>
          <w:rFonts w:ascii="Arial" w:hAnsi="Arial" w:cs="Arial"/>
        </w:rPr>
      </w:pPr>
    </w:p>
    <w:p w14:paraId="4E4EC82B" w14:textId="77777777" w:rsidR="00E954E8" w:rsidRDefault="00E954E8" w:rsidP="00FE4B1C">
      <w:pPr>
        <w:spacing w:line="360" w:lineRule="auto"/>
        <w:rPr>
          <w:rFonts w:ascii="Arial" w:hAnsi="Arial" w:cs="Arial"/>
        </w:rPr>
      </w:pPr>
    </w:p>
    <w:p w14:paraId="27351DB5" w14:textId="77777777" w:rsidR="00E954E8" w:rsidRDefault="00E954E8" w:rsidP="00FE4B1C">
      <w:pPr>
        <w:spacing w:line="360" w:lineRule="auto"/>
        <w:rPr>
          <w:rFonts w:ascii="Arial" w:hAnsi="Arial" w:cs="Arial"/>
        </w:rPr>
      </w:pPr>
    </w:p>
    <w:p w14:paraId="513643DE" w14:textId="77777777" w:rsidR="00E954E8" w:rsidRDefault="00E954E8" w:rsidP="00FE4B1C">
      <w:pPr>
        <w:spacing w:line="360" w:lineRule="auto"/>
        <w:rPr>
          <w:rFonts w:ascii="Arial" w:hAnsi="Arial" w:cs="Arial"/>
        </w:rPr>
      </w:pPr>
    </w:p>
    <w:p w14:paraId="7CBC03A7" w14:textId="77777777" w:rsidR="00E954E8" w:rsidRDefault="00E954E8" w:rsidP="00FE4B1C">
      <w:pPr>
        <w:spacing w:line="360" w:lineRule="auto"/>
        <w:rPr>
          <w:rFonts w:ascii="Arial" w:hAnsi="Arial" w:cs="Arial"/>
        </w:rPr>
      </w:pPr>
    </w:p>
    <w:p w14:paraId="7063744F" w14:textId="77777777" w:rsidR="00E954E8" w:rsidRDefault="00E954E8" w:rsidP="00FE4B1C">
      <w:pPr>
        <w:spacing w:line="360" w:lineRule="auto"/>
        <w:rPr>
          <w:rFonts w:ascii="Arial" w:hAnsi="Arial" w:cs="Arial"/>
        </w:rPr>
      </w:pPr>
    </w:p>
    <w:p w14:paraId="3FC41FAA" w14:textId="77777777" w:rsidR="00E954E8" w:rsidRDefault="00E954E8" w:rsidP="00FE4B1C">
      <w:pPr>
        <w:spacing w:line="360" w:lineRule="auto"/>
        <w:rPr>
          <w:rFonts w:ascii="Arial" w:hAnsi="Arial" w:cs="Arial"/>
        </w:rPr>
      </w:pPr>
    </w:p>
    <w:p w14:paraId="7F7D802F" w14:textId="77777777" w:rsidR="00E954E8" w:rsidRDefault="00E954E8" w:rsidP="00FE4B1C">
      <w:pPr>
        <w:spacing w:line="360" w:lineRule="auto"/>
        <w:rPr>
          <w:rFonts w:ascii="Arial" w:hAnsi="Arial" w:cs="Arial"/>
        </w:rPr>
      </w:pPr>
    </w:p>
    <w:p w14:paraId="1BF8BC35" w14:textId="77777777" w:rsidR="00E954E8" w:rsidRDefault="00E954E8" w:rsidP="00FE4B1C">
      <w:pPr>
        <w:spacing w:line="360" w:lineRule="auto"/>
        <w:rPr>
          <w:rFonts w:ascii="Arial" w:hAnsi="Arial" w:cs="Arial"/>
        </w:rPr>
      </w:pPr>
    </w:p>
    <w:p w14:paraId="024C0BA4" w14:textId="77777777" w:rsidR="00E954E8" w:rsidRDefault="00E954E8" w:rsidP="00FE4B1C">
      <w:pPr>
        <w:spacing w:line="360" w:lineRule="auto"/>
        <w:rPr>
          <w:rFonts w:ascii="Arial" w:hAnsi="Arial" w:cs="Arial"/>
        </w:rPr>
      </w:pPr>
    </w:p>
    <w:p w14:paraId="64FB042F" w14:textId="77777777" w:rsidR="00E954E8" w:rsidRDefault="00E954E8" w:rsidP="00FE4B1C">
      <w:pPr>
        <w:spacing w:line="360" w:lineRule="auto"/>
        <w:rPr>
          <w:rFonts w:ascii="Arial" w:hAnsi="Arial" w:cs="Arial"/>
        </w:rPr>
      </w:pPr>
    </w:p>
    <w:p w14:paraId="701877A5" w14:textId="77777777" w:rsidR="00E954E8" w:rsidRDefault="00E954E8" w:rsidP="00FE4B1C">
      <w:pPr>
        <w:spacing w:line="360" w:lineRule="auto"/>
        <w:rPr>
          <w:rFonts w:ascii="Arial" w:hAnsi="Arial" w:cs="Arial"/>
        </w:rPr>
      </w:pPr>
    </w:p>
    <w:p w14:paraId="6D34077B" w14:textId="77777777" w:rsidR="00E954E8" w:rsidRDefault="00E954E8" w:rsidP="00FE4B1C">
      <w:pPr>
        <w:spacing w:line="360" w:lineRule="auto"/>
        <w:rPr>
          <w:rFonts w:ascii="Arial" w:hAnsi="Arial" w:cs="Arial"/>
        </w:rPr>
      </w:pPr>
    </w:p>
    <w:p w14:paraId="4D60D329" w14:textId="77777777" w:rsidR="00E954E8" w:rsidRDefault="00E954E8" w:rsidP="00FE4B1C">
      <w:pPr>
        <w:spacing w:line="360" w:lineRule="auto"/>
        <w:rPr>
          <w:rFonts w:ascii="Arial" w:hAnsi="Arial" w:cs="Arial"/>
        </w:rPr>
      </w:pPr>
    </w:p>
    <w:p w14:paraId="41E16B8D" w14:textId="77777777" w:rsidR="00E954E8" w:rsidRDefault="00E954E8" w:rsidP="00FE4B1C">
      <w:pPr>
        <w:spacing w:line="360" w:lineRule="auto"/>
        <w:rPr>
          <w:rFonts w:ascii="Arial" w:hAnsi="Arial" w:cs="Arial"/>
        </w:rPr>
      </w:pPr>
    </w:p>
    <w:p w14:paraId="36F601F0" w14:textId="77777777" w:rsidR="00E954E8" w:rsidRDefault="00E954E8" w:rsidP="00FE4B1C">
      <w:pPr>
        <w:spacing w:line="360" w:lineRule="auto"/>
        <w:rPr>
          <w:rFonts w:ascii="Arial" w:hAnsi="Arial" w:cs="Arial"/>
        </w:rPr>
      </w:pPr>
    </w:p>
    <w:p w14:paraId="71282770" w14:textId="77777777" w:rsidR="00E954E8" w:rsidRDefault="00E954E8" w:rsidP="00FE4B1C">
      <w:pPr>
        <w:spacing w:line="360" w:lineRule="auto"/>
        <w:rPr>
          <w:rFonts w:ascii="Arial" w:hAnsi="Arial" w:cs="Arial"/>
        </w:rPr>
      </w:pPr>
    </w:p>
    <w:p w14:paraId="38055656" w14:textId="77777777" w:rsidR="00E954E8" w:rsidRDefault="00E954E8" w:rsidP="00FE4B1C">
      <w:pPr>
        <w:spacing w:line="360" w:lineRule="auto"/>
        <w:rPr>
          <w:rFonts w:ascii="Arial" w:hAnsi="Arial" w:cs="Arial"/>
        </w:rPr>
      </w:pPr>
    </w:p>
    <w:p w14:paraId="7702C2D6" w14:textId="77777777" w:rsidR="00E954E8" w:rsidRDefault="00E954E8" w:rsidP="00FE4B1C">
      <w:pPr>
        <w:spacing w:line="360" w:lineRule="auto"/>
        <w:rPr>
          <w:rFonts w:ascii="Arial" w:hAnsi="Arial" w:cs="Arial"/>
        </w:rPr>
      </w:pPr>
    </w:p>
    <w:p w14:paraId="649D82B8" w14:textId="77777777" w:rsidR="00E954E8" w:rsidRDefault="00E954E8" w:rsidP="00FE4B1C">
      <w:pPr>
        <w:spacing w:line="360" w:lineRule="auto"/>
        <w:rPr>
          <w:rFonts w:ascii="Arial" w:hAnsi="Arial" w:cs="Arial"/>
        </w:rPr>
      </w:pPr>
    </w:p>
    <w:p w14:paraId="2A828F14" w14:textId="77777777" w:rsidR="00E954E8" w:rsidRDefault="00E954E8" w:rsidP="00FE4B1C">
      <w:pPr>
        <w:spacing w:line="360" w:lineRule="auto"/>
        <w:rPr>
          <w:rFonts w:ascii="Arial" w:hAnsi="Arial" w:cs="Arial"/>
        </w:rPr>
      </w:pPr>
    </w:p>
    <w:p w14:paraId="33F8F0BD" w14:textId="657C2A84" w:rsidR="00B87E75" w:rsidRDefault="00B87E75" w:rsidP="00FE4B1C">
      <w:pPr>
        <w:pStyle w:val="Heading2"/>
      </w:pPr>
      <w:bookmarkStart w:id="7" w:name="_Toc236822318"/>
      <w:r w:rsidRPr="00CD33A8">
        <w:lastRenderedPageBreak/>
        <w:t>References</w:t>
      </w:r>
      <w:bookmarkEnd w:id="7"/>
    </w:p>
    <w:p w14:paraId="069EE7F4" w14:textId="77777777" w:rsidR="00FE4B1C" w:rsidRPr="00FE4B1C" w:rsidRDefault="00FE4B1C" w:rsidP="00FE4B1C">
      <w:pPr>
        <w:rPr>
          <w:rFonts w:eastAsiaTheme="majorEastAsia"/>
          <w:lang w:eastAsia="en-US"/>
        </w:rPr>
      </w:pPr>
    </w:p>
    <w:p w14:paraId="01CD79E8" w14:textId="2047CD2C"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Antonio, S., Joseph, D., Parsons, J. and Atherton, H. (2024). </w:t>
      </w:r>
      <w:r w:rsidRPr="00D24B02">
        <w:rPr>
          <w:rStyle w:val="s1"/>
          <w:rFonts w:ascii="Arial" w:eastAsiaTheme="majorEastAsia" w:hAnsi="Arial" w:cs="Arial"/>
          <w:i/>
          <w:iCs/>
          <w:sz w:val="22"/>
          <w:szCs w:val="22"/>
        </w:rPr>
        <w:t>Experiences of remote consultation in UK primary care for patients with mental health conditions: A systematic review</w:t>
      </w:r>
      <w:r w:rsidRPr="00D24B02">
        <w:rPr>
          <w:rFonts w:ascii="Arial" w:hAnsi="Arial" w:cs="Arial"/>
          <w:sz w:val="22"/>
          <w:szCs w:val="22"/>
        </w:rPr>
        <w:t>. DIGITAL HEALTH, 10. doi:10.1177/20552076241233969</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42CA5827" w14:textId="55FF06B5"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Farre, A., Mei Lan Fang, Hannah, E., Meiko Makita, McFadden, A., Menezes, D., Rodriguez, A., Sixsmith, J. and Gray, N. (2023). </w:t>
      </w:r>
      <w:r w:rsidRPr="00D24B02">
        <w:rPr>
          <w:rStyle w:val="s1"/>
          <w:rFonts w:ascii="Arial" w:eastAsiaTheme="majorEastAsia" w:hAnsi="Arial" w:cs="Arial"/>
          <w:i/>
          <w:iCs/>
          <w:sz w:val="22"/>
          <w:szCs w:val="22"/>
        </w:rPr>
        <w:t>Exploring the use of digital technology to deliver healthcare services with explicit consideration of health inequalities in UK settings: A scoping review</w:t>
      </w:r>
      <w:r w:rsidRPr="00D24B02">
        <w:rPr>
          <w:rFonts w:ascii="Arial" w:hAnsi="Arial" w:cs="Arial"/>
          <w:sz w:val="22"/>
          <w:szCs w:val="22"/>
        </w:rPr>
        <w:t>. Digital Health, 9. doi:10.1177/20552076231185442</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67A4A3B7" w14:textId="2A7B7BB6"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GOV.UK (2010). </w:t>
      </w:r>
      <w:r w:rsidRPr="00D24B02">
        <w:rPr>
          <w:rStyle w:val="s1"/>
          <w:rFonts w:ascii="Arial" w:eastAsiaTheme="majorEastAsia" w:hAnsi="Arial" w:cs="Arial"/>
          <w:i/>
          <w:iCs/>
          <w:sz w:val="22"/>
          <w:szCs w:val="22"/>
        </w:rPr>
        <w:t>Equality Act 2010</w:t>
      </w:r>
      <w:r w:rsidRPr="00D24B02">
        <w:rPr>
          <w:rFonts w:ascii="Arial" w:hAnsi="Arial" w:cs="Arial"/>
          <w:sz w:val="22"/>
          <w:szCs w:val="22"/>
        </w:rPr>
        <w:t xml:space="preserve">. [online] Legislation.gov.uk. Gov.uk. Available at: https://www.legislation.gov.uk/ukpga/2010/15/contents </w:t>
      </w:r>
      <w:r>
        <w:rPr>
          <w:rFonts w:ascii="Arial" w:hAnsi="Arial" w:cs="Arial"/>
          <w:sz w:val="22"/>
          <w:szCs w:val="22"/>
        </w:rPr>
        <w:t>(</w:t>
      </w:r>
      <w:r w:rsidRPr="00D24B02">
        <w:rPr>
          <w:rFonts w:ascii="Arial" w:hAnsi="Arial" w:cs="Arial"/>
          <w:sz w:val="22"/>
          <w:szCs w:val="22"/>
        </w:rPr>
        <w:t>Accessed 22 July 2026</w:t>
      </w:r>
      <w:r>
        <w:rPr>
          <w:rFonts w:ascii="Arial" w:hAnsi="Arial" w:cs="Arial"/>
          <w:sz w:val="22"/>
          <w:szCs w:val="22"/>
        </w:rPr>
        <w:t>)</w:t>
      </w:r>
      <w:r w:rsidRPr="00D24B02">
        <w:rPr>
          <w:rFonts w:ascii="Arial" w:hAnsi="Arial" w:cs="Arial"/>
          <w:sz w:val="22"/>
          <w:szCs w:val="22"/>
        </w:rPr>
        <w:t>.</w:t>
      </w:r>
    </w:p>
    <w:p w14:paraId="32298244" w14:textId="75551139"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GOV.UK (2018). </w:t>
      </w:r>
      <w:r w:rsidRPr="00D24B02">
        <w:rPr>
          <w:rStyle w:val="s1"/>
          <w:rFonts w:ascii="Arial" w:eastAsiaTheme="majorEastAsia" w:hAnsi="Arial" w:cs="Arial"/>
          <w:i/>
          <w:iCs/>
          <w:sz w:val="22"/>
          <w:szCs w:val="22"/>
        </w:rPr>
        <w:t>Data Protection Act 2018</w:t>
      </w:r>
      <w:r w:rsidRPr="00D24B02">
        <w:rPr>
          <w:rFonts w:ascii="Arial" w:hAnsi="Arial" w:cs="Arial"/>
          <w:sz w:val="22"/>
          <w:szCs w:val="22"/>
        </w:rPr>
        <w:t xml:space="preserve">. [online] Legislation.gov.uk. Available at: https://www.legislation.gov.uk/ukpga/2018/12/contents </w:t>
      </w:r>
      <w:r>
        <w:rPr>
          <w:rFonts w:ascii="Arial" w:hAnsi="Arial" w:cs="Arial"/>
          <w:sz w:val="22"/>
          <w:szCs w:val="22"/>
        </w:rPr>
        <w:t>(</w:t>
      </w:r>
      <w:r w:rsidRPr="00D24B02">
        <w:rPr>
          <w:rFonts w:ascii="Arial" w:hAnsi="Arial" w:cs="Arial"/>
          <w:sz w:val="22"/>
          <w:szCs w:val="22"/>
        </w:rPr>
        <w:t>Accessed 22 July 2026</w:t>
      </w:r>
      <w:r>
        <w:rPr>
          <w:rFonts w:ascii="Arial" w:hAnsi="Arial" w:cs="Arial"/>
          <w:sz w:val="22"/>
          <w:szCs w:val="22"/>
        </w:rPr>
        <w:t>)</w:t>
      </w:r>
      <w:r w:rsidRPr="00D24B02">
        <w:rPr>
          <w:rFonts w:ascii="Arial" w:hAnsi="Arial" w:cs="Arial"/>
          <w:sz w:val="22"/>
          <w:szCs w:val="22"/>
        </w:rPr>
        <w:t>.</w:t>
      </w:r>
    </w:p>
    <w:p w14:paraId="7D773BEC" w14:textId="1539B035"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Hanlon, P., Daines, L., Campbell, C., McKinstry, B., Weller, D. and Pinnock, H. (2017). </w:t>
      </w:r>
      <w:r w:rsidRPr="00D24B02">
        <w:rPr>
          <w:rStyle w:val="s1"/>
          <w:rFonts w:ascii="Arial" w:eastAsiaTheme="majorEastAsia" w:hAnsi="Arial" w:cs="Arial"/>
          <w:i/>
          <w:iCs/>
          <w:sz w:val="22"/>
          <w:szCs w:val="22"/>
        </w:rPr>
        <w:t>Telehealth Interventions to Support Self-Management of Long-Term Conditions: A Systematic Metareview of Diabetes, Heart Failure, Asthma, Chronic Obstructive Pulmonary Disease, and Cancer</w:t>
      </w:r>
      <w:r w:rsidRPr="00D24B02">
        <w:rPr>
          <w:rFonts w:ascii="Arial" w:hAnsi="Arial" w:cs="Arial"/>
          <w:sz w:val="22"/>
          <w:szCs w:val="22"/>
        </w:rPr>
        <w:t>. Journal of Medical Internet Research, 19(5). doi:10.2196/jmir.6688</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6242C90A" w14:textId="4F02E054"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Jones, J.E., Damery, S.L., Phillips, K., Retzer, A., Nayyar, P. and Jolly, K. (2022). </w:t>
      </w:r>
      <w:r w:rsidRPr="00D24B02">
        <w:rPr>
          <w:rStyle w:val="s1"/>
          <w:rFonts w:ascii="Arial" w:eastAsiaTheme="majorEastAsia" w:hAnsi="Arial" w:cs="Arial"/>
          <w:i/>
          <w:iCs/>
          <w:sz w:val="22"/>
          <w:szCs w:val="22"/>
        </w:rPr>
        <w:t>Real-time remote outpatient consultations in secondary and tertiary care: A systematic review of inequalities in invitation and uptake</w:t>
      </w:r>
      <w:r w:rsidRPr="00D24B02">
        <w:rPr>
          <w:rFonts w:ascii="Arial" w:hAnsi="Arial" w:cs="Arial"/>
          <w:sz w:val="22"/>
          <w:szCs w:val="22"/>
        </w:rPr>
        <w:t xml:space="preserve">. PLOS ONE, 17(6), p.e0269435. </w:t>
      </w:r>
      <w:proofErr w:type="gramStart"/>
      <w:r w:rsidRPr="00D24B02">
        <w:rPr>
          <w:rFonts w:ascii="Arial" w:hAnsi="Arial" w:cs="Arial"/>
          <w:sz w:val="22"/>
          <w:szCs w:val="22"/>
        </w:rPr>
        <w:t>doi:10.1371/journal.pone</w:t>
      </w:r>
      <w:proofErr w:type="gramEnd"/>
      <w:r w:rsidRPr="00D24B02">
        <w:rPr>
          <w:rFonts w:ascii="Arial" w:hAnsi="Arial" w:cs="Arial"/>
          <w:sz w:val="22"/>
          <w:szCs w:val="22"/>
        </w:rPr>
        <w:t>.0269435</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37276BA9" w14:textId="77777777"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Lee, P.A., Greenfield, G. and Pappas, Y. (2018). ‘Patients’ perception of using telehealth for type 2 diabetes management: A phenomenological study’, </w:t>
      </w:r>
      <w:r w:rsidRPr="00D24B02">
        <w:rPr>
          <w:rStyle w:val="s1"/>
          <w:rFonts w:ascii="Arial" w:eastAsiaTheme="majorEastAsia" w:hAnsi="Arial" w:cs="Arial"/>
          <w:i/>
          <w:iCs/>
          <w:sz w:val="22"/>
          <w:szCs w:val="22"/>
        </w:rPr>
        <w:t>BMC Health Services Research</w:t>
      </w:r>
      <w:r w:rsidRPr="00D24B02">
        <w:rPr>
          <w:rFonts w:ascii="Arial" w:hAnsi="Arial" w:cs="Arial"/>
          <w:sz w:val="22"/>
          <w:szCs w:val="22"/>
        </w:rPr>
        <w:t>, 18, 549. Available at: https://doi.org/10.1186/s12913-018-3353-x (Accessed 24 July 2026).</w:t>
      </w:r>
    </w:p>
    <w:p w14:paraId="7E5A02DD" w14:textId="11F3D2E0"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Leo, D.G., Buckley, B.J.R., Chowdhury, M., Harrison, S.L., Isanejad, M., Lip, G.Y.H., Wright, D.J. and Lane, D.A. (2022). </w:t>
      </w:r>
      <w:r w:rsidRPr="00D24B02">
        <w:rPr>
          <w:rStyle w:val="s1"/>
          <w:rFonts w:ascii="Arial" w:eastAsiaTheme="majorEastAsia" w:hAnsi="Arial" w:cs="Arial"/>
          <w:i/>
          <w:iCs/>
          <w:sz w:val="22"/>
          <w:szCs w:val="22"/>
        </w:rPr>
        <w:t>Interactive Remote Patient Monitoring Devices for Managing Chronic Health Conditions: Systematic Review and Meta-analysis</w:t>
      </w:r>
      <w:r w:rsidRPr="00D24B02">
        <w:rPr>
          <w:rFonts w:ascii="Arial" w:hAnsi="Arial" w:cs="Arial"/>
          <w:sz w:val="22"/>
          <w:szCs w:val="22"/>
        </w:rPr>
        <w:t xml:space="preserve">. Journal of Medical Internet Research, 24(11), p.e35508. doi:10.2196/35508 </w:t>
      </w:r>
      <w:r>
        <w:rPr>
          <w:rFonts w:ascii="Arial" w:hAnsi="Arial" w:cs="Arial"/>
          <w:sz w:val="22"/>
          <w:szCs w:val="22"/>
        </w:rPr>
        <w:t>(</w:t>
      </w:r>
      <w:r w:rsidRPr="00D24B02">
        <w:rPr>
          <w:rFonts w:ascii="Arial" w:hAnsi="Arial" w:cs="Arial"/>
          <w:sz w:val="22"/>
          <w:szCs w:val="22"/>
        </w:rPr>
        <w:t>Accessed 22 July 2026</w:t>
      </w:r>
      <w:r>
        <w:rPr>
          <w:rFonts w:ascii="Arial" w:hAnsi="Arial" w:cs="Arial"/>
          <w:sz w:val="22"/>
          <w:szCs w:val="22"/>
        </w:rPr>
        <w:t>)</w:t>
      </w:r>
      <w:r w:rsidRPr="00D24B02">
        <w:rPr>
          <w:rFonts w:ascii="Arial" w:hAnsi="Arial" w:cs="Arial"/>
          <w:sz w:val="22"/>
          <w:szCs w:val="22"/>
        </w:rPr>
        <w:t>.</w:t>
      </w:r>
    </w:p>
    <w:p w14:paraId="5E2CDBA2" w14:textId="1707D8D6"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McFarland, S., </w:t>
      </w:r>
      <w:proofErr w:type="spellStart"/>
      <w:r w:rsidRPr="00D24B02">
        <w:rPr>
          <w:rFonts w:ascii="Arial" w:hAnsi="Arial" w:cs="Arial"/>
          <w:sz w:val="22"/>
          <w:szCs w:val="22"/>
        </w:rPr>
        <w:t>Coufopolous</w:t>
      </w:r>
      <w:proofErr w:type="spellEnd"/>
      <w:r w:rsidRPr="00D24B02">
        <w:rPr>
          <w:rFonts w:ascii="Arial" w:hAnsi="Arial" w:cs="Arial"/>
          <w:sz w:val="22"/>
          <w:szCs w:val="22"/>
        </w:rPr>
        <w:t xml:space="preserve">, A. and Lycett, D. (2019). </w:t>
      </w:r>
      <w:r w:rsidRPr="00D24B02">
        <w:rPr>
          <w:rStyle w:val="s1"/>
          <w:rFonts w:ascii="Arial" w:eastAsiaTheme="majorEastAsia" w:hAnsi="Arial" w:cs="Arial"/>
          <w:i/>
          <w:iCs/>
          <w:sz w:val="22"/>
          <w:szCs w:val="22"/>
        </w:rPr>
        <w:t xml:space="preserve">The Effect of Telehealth versus Usual Care for home-care Patients with long-term conditions: a Systematic review, </w:t>
      </w:r>
      <w:r w:rsidRPr="00D24B02">
        <w:rPr>
          <w:rStyle w:val="s1"/>
          <w:rFonts w:ascii="Arial" w:eastAsiaTheme="majorEastAsia" w:hAnsi="Arial" w:cs="Arial"/>
          <w:i/>
          <w:iCs/>
          <w:sz w:val="22"/>
          <w:szCs w:val="22"/>
        </w:rPr>
        <w:lastRenderedPageBreak/>
        <w:t>meta-analysis and Qualitative Synthesis</w:t>
      </w:r>
      <w:r w:rsidRPr="00D24B02">
        <w:rPr>
          <w:rFonts w:ascii="Arial" w:hAnsi="Arial" w:cs="Arial"/>
          <w:sz w:val="22"/>
          <w:szCs w:val="22"/>
        </w:rPr>
        <w:t>. Journal of Telemedicine and Telecare, 27(2), p.1357633X1986295. doi:10.1177/1357633x19862956</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79F2BFB9" w14:textId="2DFD74B3"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Murphy, M., Scott, L.J., Salisbury, C., Turner, A., Scott, A., Denholm, R., Iyer, G., Lewis, R., MacLeod, J. and Horwood, J. (2021). </w:t>
      </w:r>
      <w:r w:rsidRPr="00D24B02">
        <w:rPr>
          <w:rStyle w:val="s1"/>
          <w:rFonts w:ascii="Arial" w:eastAsiaTheme="majorEastAsia" w:hAnsi="Arial" w:cs="Arial"/>
          <w:i/>
          <w:iCs/>
          <w:sz w:val="22"/>
          <w:szCs w:val="22"/>
        </w:rPr>
        <w:t>The implementation of remote consulting in UK primary care following the COVID-19 pandemic: a mixed-methods longitudinal study</w:t>
      </w:r>
      <w:r w:rsidRPr="00D24B02">
        <w:rPr>
          <w:rFonts w:ascii="Arial" w:hAnsi="Arial" w:cs="Arial"/>
          <w:sz w:val="22"/>
          <w:szCs w:val="22"/>
        </w:rPr>
        <w:t xml:space="preserve">. British Journal of General Practice, 71(704), </w:t>
      </w:r>
      <w:proofErr w:type="gramStart"/>
      <w:r w:rsidRPr="00D24B02">
        <w:rPr>
          <w:rFonts w:ascii="Arial" w:hAnsi="Arial" w:cs="Arial"/>
          <w:sz w:val="22"/>
          <w:szCs w:val="22"/>
        </w:rPr>
        <w:t>p.BJGP</w:t>
      </w:r>
      <w:proofErr w:type="gramEnd"/>
      <w:r w:rsidRPr="00D24B02">
        <w:rPr>
          <w:rFonts w:ascii="Arial" w:hAnsi="Arial" w:cs="Arial"/>
          <w:sz w:val="22"/>
          <w:szCs w:val="22"/>
        </w:rPr>
        <w:t>.2020.0948. doi:10.3399/bjgp.2020.0948</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70B20F4B" w14:textId="3C872473"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Style w:val="s1"/>
          <w:rFonts w:ascii="Arial" w:eastAsiaTheme="majorEastAsia" w:hAnsi="Arial" w:cs="Arial"/>
          <w:sz w:val="22"/>
          <w:szCs w:val="22"/>
        </w:rPr>
        <w:t>National Institute for Health and Care Excellence</w:t>
      </w:r>
      <w:r w:rsidRPr="00D24B02">
        <w:rPr>
          <w:rFonts w:ascii="Arial" w:hAnsi="Arial" w:cs="Arial"/>
          <w:sz w:val="22"/>
          <w:szCs w:val="22"/>
        </w:rPr>
        <w:t xml:space="preserve"> (2021). </w:t>
      </w:r>
      <w:r w:rsidRPr="00D24B02">
        <w:rPr>
          <w:rStyle w:val="s1"/>
          <w:rFonts w:ascii="Arial" w:eastAsiaTheme="majorEastAsia" w:hAnsi="Arial" w:cs="Arial"/>
          <w:i/>
          <w:iCs/>
          <w:sz w:val="22"/>
          <w:szCs w:val="22"/>
        </w:rPr>
        <w:t>Overview | Shared Decision Making | Guidance | NICE</w:t>
      </w:r>
      <w:r w:rsidRPr="00D24B02">
        <w:rPr>
          <w:rFonts w:ascii="Arial" w:hAnsi="Arial" w:cs="Arial"/>
          <w:sz w:val="22"/>
          <w:szCs w:val="22"/>
        </w:rPr>
        <w:t xml:space="preserve">. [online] www.nice.org.uk. Available at: https://www.nice.org.uk/guidance/ng197 </w:t>
      </w:r>
      <w:r>
        <w:rPr>
          <w:rFonts w:ascii="Arial" w:hAnsi="Arial" w:cs="Arial"/>
          <w:sz w:val="22"/>
          <w:szCs w:val="22"/>
        </w:rPr>
        <w:t>(</w:t>
      </w:r>
      <w:r w:rsidRPr="00D24B02">
        <w:rPr>
          <w:rFonts w:ascii="Arial" w:hAnsi="Arial" w:cs="Arial"/>
          <w:sz w:val="22"/>
          <w:szCs w:val="22"/>
        </w:rPr>
        <w:t>Accessed 5 Aug. 2026</w:t>
      </w:r>
      <w:r>
        <w:rPr>
          <w:rFonts w:ascii="Arial" w:hAnsi="Arial" w:cs="Arial"/>
          <w:sz w:val="22"/>
          <w:szCs w:val="22"/>
        </w:rPr>
        <w:t>)</w:t>
      </w:r>
      <w:r w:rsidRPr="00D24B02">
        <w:rPr>
          <w:rFonts w:ascii="Arial" w:hAnsi="Arial" w:cs="Arial"/>
          <w:sz w:val="22"/>
          <w:szCs w:val="22"/>
        </w:rPr>
        <w:t>.</w:t>
      </w:r>
    </w:p>
    <w:p w14:paraId="7A01B072" w14:textId="26F40FF2"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NHS England (2019). [online] Nationalarchives.gov.uk. Available at: https://webarchive.nationalarchives.gov.uk/ukgwa/20250511091243/https://www.longtermplan.nhs.uk/ </w:t>
      </w:r>
      <w:r>
        <w:rPr>
          <w:rFonts w:ascii="Arial" w:hAnsi="Arial" w:cs="Arial"/>
          <w:sz w:val="22"/>
          <w:szCs w:val="22"/>
        </w:rPr>
        <w:t>(</w:t>
      </w:r>
      <w:r w:rsidRPr="00D24B02">
        <w:rPr>
          <w:rFonts w:ascii="Arial" w:hAnsi="Arial" w:cs="Arial"/>
          <w:sz w:val="22"/>
          <w:szCs w:val="22"/>
        </w:rPr>
        <w:t>Accessed 22 July 2026</w:t>
      </w:r>
      <w:r>
        <w:rPr>
          <w:rFonts w:ascii="Arial" w:hAnsi="Arial" w:cs="Arial"/>
          <w:sz w:val="22"/>
          <w:szCs w:val="22"/>
        </w:rPr>
        <w:t>)</w:t>
      </w:r>
      <w:r w:rsidRPr="00D24B02">
        <w:rPr>
          <w:rFonts w:ascii="Arial" w:hAnsi="Arial" w:cs="Arial"/>
          <w:sz w:val="22"/>
          <w:szCs w:val="22"/>
        </w:rPr>
        <w:t>.</w:t>
      </w:r>
    </w:p>
    <w:p w14:paraId="2DDAFD87" w14:textId="3CBD68A0"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NHS England (2025). </w:t>
      </w:r>
      <w:r w:rsidRPr="00D24B02">
        <w:rPr>
          <w:rStyle w:val="s1"/>
          <w:rFonts w:ascii="Arial" w:eastAsiaTheme="majorEastAsia" w:hAnsi="Arial" w:cs="Arial"/>
          <w:i/>
          <w:iCs/>
          <w:sz w:val="22"/>
          <w:szCs w:val="22"/>
        </w:rPr>
        <w:t>NHS England » Accessible information standard</w:t>
      </w:r>
      <w:r w:rsidRPr="00D24B02">
        <w:rPr>
          <w:rFonts w:ascii="Arial" w:hAnsi="Arial" w:cs="Arial"/>
          <w:sz w:val="22"/>
          <w:szCs w:val="22"/>
        </w:rPr>
        <w:t xml:space="preserve">. [online] England.nhs.uk. Available at: https://www.england.nhs.uk/accessible-information-standard/ </w:t>
      </w:r>
      <w:r>
        <w:rPr>
          <w:rFonts w:ascii="Arial" w:hAnsi="Arial" w:cs="Arial"/>
          <w:sz w:val="22"/>
          <w:szCs w:val="22"/>
        </w:rPr>
        <w:t>(</w:t>
      </w:r>
      <w:r w:rsidRPr="00D24B02">
        <w:rPr>
          <w:rFonts w:ascii="Arial" w:hAnsi="Arial" w:cs="Arial"/>
          <w:sz w:val="22"/>
          <w:szCs w:val="22"/>
        </w:rPr>
        <w:t>Accessed 22 July 2026</w:t>
      </w:r>
      <w:r>
        <w:rPr>
          <w:rFonts w:ascii="Arial" w:hAnsi="Arial" w:cs="Arial"/>
          <w:sz w:val="22"/>
          <w:szCs w:val="22"/>
        </w:rPr>
        <w:t>)</w:t>
      </w:r>
      <w:r w:rsidRPr="00D24B02">
        <w:rPr>
          <w:rFonts w:ascii="Arial" w:hAnsi="Arial" w:cs="Arial"/>
          <w:sz w:val="22"/>
          <w:szCs w:val="22"/>
        </w:rPr>
        <w:t>.</w:t>
      </w:r>
    </w:p>
    <w:p w14:paraId="453CDE1D" w14:textId="5970D899"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proofErr w:type="spellStart"/>
      <w:r w:rsidRPr="00D24B02">
        <w:rPr>
          <w:rFonts w:ascii="Arial" w:hAnsi="Arial" w:cs="Arial"/>
          <w:sz w:val="22"/>
          <w:szCs w:val="22"/>
        </w:rPr>
        <w:t>O’Cathail</w:t>
      </w:r>
      <w:proofErr w:type="spellEnd"/>
      <w:r w:rsidRPr="00D24B02">
        <w:rPr>
          <w:rFonts w:ascii="Arial" w:hAnsi="Arial" w:cs="Arial"/>
          <w:sz w:val="22"/>
          <w:szCs w:val="22"/>
        </w:rPr>
        <w:t xml:space="preserve">, M., Sivanandan, M.A., Diver, C., Patel, P. and Christian, J. (2020). </w:t>
      </w:r>
      <w:r w:rsidRPr="00D24B02">
        <w:rPr>
          <w:rStyle w:val="s1"/>
          <w:rFonts w:ascii="Arial" w:eastAsiaTheme="majorEastAsia" w:hAnsi="Arial" w:cs="Arial"/>
          <w:i/>
          <w:iCs/>
          <w:sz w:val="22"/>
          <w:szCs w:val="22"/>
        </w:rPr>
        <w:t>The Use of Patient-Facing Teleconsultations in the National Health Service: Scoping Review</w:t>
      </w:r>
      <w:r w:rsidRPr="00D24B02">
        <w:rPr>
          <w:rFonts w:ascii="Arial" w:hAnsi="Arial" w:cs="Arial"/>
          <w:sz w:val="22"/>
          <w:szCs w:val="22"/>
        </w:rPr>
        <w:t xml:space="preserve">. JMIR Medical Informatics, 8(3), p.e15380. doi:10.2196/15380 </w:t>
      </w:r>
      <w:r>
        <w:rPr>
          <w:rFonts w:ascii="Arial" w:hAnsi="Arial" w:cs="Arial"/>
          <w:sz w:val="22"/>
          <w:szCs w:val="22"/>
        </w:rPr>
        <w:t>(</w:t>
      </w:r>
      <w:r w:rsidRPr="00D24B02">
        <w:rPr>
          <w:rFonts w:ascii="Arial" w:hAnsi="Arial" w:cs="Arial"/>
          <w:sz w:val="22"/>
          <w:szCs w:val="22"/>
        </w:rPr>
        <w:t>Accessed 22 July 2026</w:t>
      </w:r>
      <w:r>
        <w:rPr>
          <w:rFonts w:ascii="Arial" w:hAnsi="Arial" w:cs="Arial"/>
          <w:sz w:val="22"/>
          <w:szCs w:val="22"/>
        </w:rPr>
        <w:t>)</w:t>
      </w:r>
      <w:r w:rsidRPr="00D24B02">
        <w:rPr>
          <w:rFonts w:ascii="Arial" w:hAnsi="Arial" w:cs="Arial"/>
          <w:sz w:val="22"/>
          <w:szCs w:val="22"/>
        </w:rPr>
        <w:t>.</w:t>
      </w:r>
    </w:p>
    <w:p w14:paraId="4B21CF9B" w14:textId="13AAB662"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Parker, R.F., Figures, E.L., Paddison, C.A., Matheson, J.I., Blane, D.N. and Ford, J.A. (2021). </w:t>
      </w:r>
      <w:r w:rsidRPr="00D24B02">
        <w:rPr>
          <w:rStyle w:val="s1"/>
          <w:rFonts w:ascii="Arial" w:eastAsiaTheme="majorEastAsia" w:hAnsi="Arial" w:cs="Arial"/>
          <w:i/>
          <w:iCs/>
          <w:sz w:val="22"/>
          <w:szCs w:val="22"/>
        </w:rPr>
        <w:t>Inequalities in General Practice Remote consultations: A Systematic Review</w:t>
      </w:r>
      <w:r w:rsidRPr="00D24B02">
        <w:rPr>
          <w:rFonts w:ascii="Arial" w:hAnsi="Arial" w:cs="Arial"/>
          <w:sz w:val="22"/>
          <w:szCs w:val="22"/>
        </w:rPr>
        <w:t xml:space="preserve">. BJGP Open, 5(3), </w:t>
      </w:r>
      <w:proofErr w:type="gramStart"/>
      <w:r w:rsidRPr="00D24B02">
        <w:rPr>
          <w:rFonts w:ascii="Arial" w:hAnsi="Arial" w:cs="Arial"/>
          <w:sz w:val="22"/>
          <w:szCs w:val="22"/>
        </w:rPr>
        <w:t>p.BJGPO</w:t>
      </w:r>
      <w:proofErr w:type="gramEnd"/>
      <w:r w:rsidRPr="00D24B02">
        <w:rPr>
          <w:rFonts w:ascii="Arial" w:hAnsi="Arial" w:cs="Arial"/>
          <w:sz w:val="22"/>
          <w:szCs w:val="22"/>
        </w:rPr>
        <w:t>.2021.0040. doi:10.3399/bjgpo.2021.0040</w:t>
      </w:r>
      <w:r>
        <w:rPr>
          <w:rFonts w:ascii="Arial" w:hAnsi="Arial" w:cs="Arial"/>
          <w:sz w:val="22"/>
          <w:szCs w:val="22"/>
        </w:rPr>
        <w:t xml:space="preserve"> </w:t>
      </w:r>
      <w:r>
        <w:rPr>
          <w:rFonts w:ascii="Calibri" w:hAnsi="Calibri" w:cs="Calibri"/>
          <w:color w:val="000000"/>
        </w:rPr>
        <w:t>(</w:t>
      </w:r>
      <w:r w:rsidRPr="00D24B02">
        <w:rPr>
          <w:rFonts w:ascii="Calibri" w:hAnsi="Calibri" w:cs="Calibri"/>
          <w:color w:val="000000"/>
        </w:rPr>
        <w:t>Accessed 5 Aug. 202</w:t>
      </w:r>
      <w:r>
        <w:rPr>
          <w:rFonts w:ascii="Calibri" w:hAnsi="Calibri" w:cs="Calibri"/>
          <w:color w:val="000000"/>
        </w:rPr>
        <w:t>6)</w:t>
      </w:r>
      <w:r w:rsidRPr="00D24B02">
        <w:rPr>
          <w:rFonts w:ascii="Calibri" w:hAnsi="Calibri" w:cs="Calibri"/>
          <w:color w:val="000000"/>
        </w:rPr>
        <w:t>.</w:t>
      </w:r>
    </w:p>
    <w:p w14:paraId="6B265BAD" w14:textId="4A53E78B"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Peters, M.D.J., Marnie, C., </w:t>
      </w:r>
      <w:proofErr w:type="spellStart"/>
      <w:r w:rsidRPr="00D24B02">
        <w:rPr>
          <w:rFonts w:ascii="Arial" w:hAnsi="Arial" w:cs="Arial"/>
          <w:sz w:val="22"/>
          <w:szCs w:val="22"/>
        </w:rPr>
        <w:t>Tricco</w:t>
      </w:r>
      <w:proofErr w:type="spellEnd"/>
      <w:r w:rsidRPr="00D24B02">
        <w:rPr>
          <w:rFonts w:ascii="Arial" w:hAnsi="Arial" w:cs="Arial"/>
          <w:sz w:val="22"/>
          <w:szCs w:val="22"/>
        </w:rPr>
        <w:t xml:space="preserve">, A.C., Pollock, D., Munn, Z., Alexander, L., McInerney, P., Godfrey, C.M. and Khalil, H. (2020). </w:t>
      </w:r>
      <w:r w:rsidRPr="00D24B02">
        <w:rPr>
          <w:rStyle w:val="s1"/>
          <w:rFonts w:ascii="Arial" w:eastAsiaTheme="majorEastAsia" w:hAnsi="Arial" w:cs="Arial"/>
          <w:i/>
          <w:iCs/>
          <w:sz w:val="22"/>
          <w:szCs w:val="22"/>
        </w:rPr>
        <w:t>Updated Methodological Guidance for the Conduct of Scoping Reviews</w:t>
      </w:r>
      <w:r w:rsidRPr="00D24B02">
        <w:rPr>
          <w:rFonts w:ascii="Arial" w:hAnsi="Arial" w:cs="Arial"/>
          <w:sz w:val="22"/>
          <w:szCs w:val="22"/>
        </w:rPr>
        <w:t>. JBI Evidence Synthesis, 18(10), pp.2119–2126. doi:10.11124/JBIES-20-00167</w:t>
      </w:r>
      <w:r>
        <w:rPr>
          <w:rFonts w:ascii="Arial" w:hAnsi="Arial" w:cs="Arial"/>
          <w:sz w:val="22"/>
          <w:szCs w:val="22"/>
        </w:rPr>
        <w:t xml:space="preserve"> (</w:t>
      </w:r>
      <w:r w:rsidRPr="00D24B02">
        <w:rPr>
          <w:rFonts w:ascii="Arial" w:hAnsi="Arial" w:cs="Arial"/>
          <w:color w:val="000000"/>
          <w:sz w:val="22"/>
          <w:szCs w:val="22"/>
        </w:rPr>
        <w:t>Accessed 5 Aug. 2026</w:t>
      </w:r>
      <w:r>
        <w:rPr>
          <w:rFonts w:ascii="Arial" w:hAnsi="Arial" w:cs="Arial"/>
          <w:color w:val="000000"/>
          <w:sz w:val="22"/>
          <w:szCs w:val="22"/>
        </w:rPr>
        <w:t>)</w:t>
      </w:r>
      <w:r w:rsidRPr="00D24B02">
        <w:rPr>
          <w:rFonts w:ascii="Arial" w:hAnsi="Arial" w:cs="Arial"/>
          <w:color w:val="000000"/>
          <w:sz w:val="22"/>
          <w:szCs w:val="22"/>
        </w:rPr>
        <w:t>.</w:t>
      </w:r>
    </w:p>
    <w:p w14:paraId="3997EB0B" w14:textId="41E092CC"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Schutz, S., Walthall, H., Snowball, J., Vagner, R., Fernandez, N., Bartram, E. and Merriman, C. (2022). </w:t>
      </w:r>
      <w:r w:rsidRPr="00D24B02">
        <w:rPr>
          <w:rStyle w:val="s1"/>
          <w:rFonts w:ascii="Arial" w:eastAsiaTheme="majorEastAsia" w:hAnsi="Arial" w:cs="Arial"/>
          <w:i/>
          <w:iCs/>
          <w:sz w:val="22"/>
          <w:szCs w:val="22"/>
        </w:rPr>
        <w:t>Patient and clinician experiences of remote consultation during the SARS-CoV-2 pandemic: A service evaluation</w:t>
      </w:r>
      <w:r w:rsidRPr="00D24B02">
        <w:rPr>
          <w:rFonts w:ascii="Arial" w:hAnsi="Arial" w:cs="Arial"/>
          <w:sz w:val="22"/>
          <w:szCs w:val="22"/>
        </w:rPr>
        <w:t>. DIGITAL HEALTH, 8, p.205520762211150. doi:10.1177/20552076221115022.</w:t>
      </w:r>
      <w:r w:rsidRPr="00D24B02">
        <w:rPr>
          <w:rFonts w:ascii="Arial" w:hAnsi="Arial" w:cs="Arial"/>
          <w:color w:val="000000"/>
          <w:sz w:val="22"/>
          <w:szCs w:val="22"/>
        </w:rPr>
        <w:t xml:space="preserve"> </w:t>
      </w:r>
      <w:r>
        <w:rPr>
          <w:rFonts w:ascii="Arial" w:hAnsi="Arial" w:cs="Arial"/>
          <w:color w:val="000000"/>
          <w:sz w:val="22"/>
          <w:szCs w:val="22"/>
        </w:rPr>
        <w:t>(</w:t>
      </w:r>
      <w:r w:rsidRPr="00D24B02">
        <w:rPr>
          <w:rFonts w:ascii="Arial" w:hAnsi="Arial" w:cs="Arial"/>
          <w:color w:val="000000"/>
          <w:sz w:val="22"/>
          <w:szCs w:val="22"/>
        </w:rPr>
        <w:t>Accessed 5 Aug. 2026</w:t>
      </w:r>
      <w:r>
        <w:rPr>
          <w:rFonts w:ascii="Arial" w:hAnsi="Arial" w:cs="Arial"/>
          <w:color w:val="000000"/>
          <w:sz w:val="22"/>
          <w:szCs w:val="22"/>
        </w:rPr>
        <w:t>)</w:t>
      </w:r>
      <w:r w:rsidRPr="00D24B02">
        <w:rPr>
          <w:rFonts w:ascii="Arial" w:hAnsi="Arial" w:cs="Arial"/>
          <w:color w:val="000000"/>
          <w:sz w:val="22"/>
          <w:szCs w:val="22"/>
        </w:rPr>
        <w:t>.</w:t>
      </w:r>
    </w:p>
    <w:p w14:paraId="1420CDC1" w14:textId="39416B5E"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proofErr w:type="spellStart"/>
      <w:r w:rsidRPr="00D24B02">
        <w:rPr>
          <w:rFonts w:ascii="Arial" w:hAnsi="Arial" w:cs="Arial"/>
          <w:sz w:val="22"/>
          <w:szCs w:val="22"/>
        </w:rPr>
        <w:t>Tricco</w:t>
      </w:r>
      <w:proofErr w:type="spellEnd"/>
      <w:r w:rsidRPr="00D24B02">
        <w:rPr>
          <w:rFonts w:ascii="Arial" w:hAnsi="Arial" w:cs="Arial"/>
          <w:sz w:val="22"/>
          <w:szCs w:val="22"/>
        </w:rPr>
        <w:t xml:space="preserve">, A.C., Lillie, E., Zarin, W., O’Brien, K.K., Colquhoun, H., Levac, D., Moher, D., Peters, M.D.J., Horsley, T., Weeks, L., Hempel, S., Akl, E.A., Chang, C., McGowan, J., Stewart, L., Hartling, L., </w:t>
      </w:r>
      <w:proofErr w:type="spellStart"/>
      <w:r w:rsidRPr="00D24B02">
        <w:rPr>
          <w:rFonts w:ascii="Arial" w:hAnsi="Arial" w:cs="Arial"/>
          <w:sz w:val="22"/>
          <w:szCs w:val="22"/>
        </w:rPr>
        <w:t>Aldcroft</w:t>
      </w:r>
      <w:proofErr w:type="spellEnd"/>
      <w:r w:rsidRPr="00D24B02">
        <w:rPr>
          <w:rFonts w:ascii="Arial" w:hAnsi="Arial" w:cs="Arial"/>
          <w:sz w:val="22"/>
          <w:szCs w:val="22"/>
        </w:rPr>
        <w:t xml:space="preserve">, A., Wilson, M.G., Garritty, C., Lewin, S., Godfrey, C.M., Macdonald, M.T., Langlois, E.V., Soares-Weiser, K., Moriarty, J., Clifford, T., Tunçalp, Ö. and Straus, S.E. (2018). </w:t>
      </w:r>
      <w:r w:rsidRPr="00D24B02">
        <w:rPr>
          <w:rStyle w:val="s1"/>
          <w:rFonts w:ascii="Arial" w:eastAsiaTheme="majorEastAsia" w:hAnsi="Arial" w:cs="Arial"/>
          <w:i/>
          <w:iCs/>
          <w:sz w:val="22"/>
          <w:szCs w:val="22"/>
        </w:rPr>
        <w:t xml:space="preserve">PRISMA Extension for Scoping Reviews </w:t>
      </w:r>
      <w:r w:rsidRPr="00D24B02">
        <w:rPr>
          <w:rStyle w:val="s1"/>
          <w:rFonts w:ascii="Arial" w:eastAsiaTheme="majorEastAsia" w:hAnsi="Arial" w:cs="Arial"/>
          <w:i/>
          <w:iCs/>
          <w:sz w:val="22"/>
          <w:szCs w:val="22"/>
        </w:rPr>
        <w:lastRenderedPageBreak/>
        <w:t>(PRISMA-</w:t>
      </w:r>
      <w:proofErr w:type="spellStart"/>
      <w:r w:rsidRPr="00D24B02">
        <w:rPr>
          <w:rStyle w:val="s1"/>
          <w:rFonts w:ascii="Arial" w:eastAsiaTheme="majorEastAsia" w:hAnsi="Arial" w:cs="Arial"/>
          <w:i/>
          <w:iCs/>
          <w:sz w:val="22"/>
          <w:szCs w:val="22"/>
        </w:rPr>
        <w:t>ScR</w:t>
      </w:r>
      <w:proofErr w:type="spellEnd"/>
      <w:r w:rsidRPr="00D24B02">
        <w:rPr>
          <w:rStyle w:val="s1"/>
          <w:rFonts w:ascii="Arial" w:eastAsiaTheme="majorEastAsia" w:hAnsi="Arial" w:cs="Arial"/>
          <w:i/>
          <w:iCs/>
          <w:sz w:val="22"/>
          <w:szCs w:val="22"/>
        </w:rPr>
        <w:t>): Checklist and Explanation</w:t>
      </w:r>
      <w:r w:rsidRPr="00D24B02">
        <w:rPr>
          <w:rFonts w:ascii="Arial" w:hAnsi="Arial" w:cs="Arial"/>
          <w:sz w:val="22"/>
          <w:szCs w:val="22"/>
        </w:rPr>
        <w:t>. Annals of Internal Medicine, 169(7), pp.467–473. doi:10.7326/M18-0850</w:t>
      </w:r>
      <w:r>
        <w:rPr>
          <w:rFonts w:ascii="Arial" w:hAnsi="Arial" w:cs="Arial"/>
          <w:sz w:val="22"/>
          <w:szCs w:val="22"/>
        </w:rPr>
        <w:t xml:space="preserve"> (</w:t>
      </w:r>
      <w:r w:rsidRPr="00D24B02">
        <w:rPr>
          <w:rFonts w:ascii="Arial" w:hAnsi="Arial" w:cs="Arial"/>
          <w:color w:val="000000"/>
          <w:sz w:val="22"/>
          <w:szCs w:val="22"/>
        </w:rPr>
        <w:t>Accessed 5 Aug. 2026</w:t>
      </w:r>
      <w:r>
        <w:rPr>
          <w:rFonts w:ascii="Arial" w:hAnsi="Arial" w:cs="Arial"/>
          <w:color w:val="000000"/>
          <w:sz w:val="22"/>
          <w:szCs w:val="22"/>
        </w:rPr>
        <w:t>)</w:t>
      </w:r>
      <w:r w:rsidRPr="00D24B02">
        <w:rPr>
          <w:rFonts w:ascii="Arial" w:hAnsi="Arial" w:cs="Arial"/>
          <w:color w:val="000000"/>
          <w:sz w:val="22"/>
          <w:szCs w:val="22"/>
        </w:rPr>
        <w:t>.</w:t>
      </w:r>
    </w:p>
    <w:p w14:paraId="498226E6" w14:textId="3FCC0202"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proofErr w:type="spellStart"/>
      <w:r w:rsidRPr="00D24B02">
        <w:rPr>
          <w:rFonts w:ascii="Arial" w:hAnsi="Arial" w:cs="Arial"/>
          <w:sz w:val="22"/>
          <w:szCs w:val="22"/>
        </w:rPr>
        <w:t>Tuijt</w:t>
      </w:r>
      <w:proofErr w:type="spellEnd"/>
      <w:r w:rsidRPr="00D24B02">
        <w:rPr>
          <w:rFonts w:ascii="Arial" w:hAnsi="Arial" w:cs="Arial"/>
          <w:sz w:val="22"/>
          <w:szCs w:val="22"/>
        </w:rPr>
        <w:t xml:space="preserve">, R., Rait, G., Frost, R., Wilcock, J., Manthorpe, J. and Walters, K. (2021). </w:t>
      </w:r>
      <w:r w:rsidRPr="00D24B02">
        <w:rPr>
          <w:rStyle w:val="s1"/>
          <w:rFonts w:ascii="Arial" w:eastAsiaTheme="majorEastAsia" w:hAnsi="Arial" w:cs="Arial"/>
          <w:i/>
          <w:iCs/>
          <w:sz w:val="22"/>
          <w:szCs w:val="22"/>
        </w:rPr>
        <w:t>Remote Primary Care Consultations for People Living with Dementia during the COVID-19 pandemic: Experiences of People Living with Dementia and Their Carers</w:t>
      </w:r>
      <w:r w:rsidRPr="00D24B02">
        <w:rPr>
          <w:rFonts w:ascii="Arial" w:hAnsi="Arial" w:cs="Arial"/>
          <w:sz w:val="22"/>
          <w:szCs w:val="22"/>
        </w:rPr>
        <w:t xml:space="preserve">. British Journal of General Practice, 71(709), </w:t>
      </w:r>
      <w:proofErr w:type="gramStart"/>
      <w:r w:rsidRPr="00D24B02">
        <w:rPr>
          <w:rFonts w:ascii="Arial" w:hAnsi="Arial" w:cs="Arial"/>
          <w:sz w:val="22"/>
          <w:szCs w:val="22"/>
        </w:rPr>
        <w:t>p.BJGP</w:t>
      </w:r>
      <w:proofErr w:type="gramEnd"/>
      <w:r w:rsidRPr="00D24B02">
        <w:rPr>
          <w:rFonts w:ascii="Arial" w:hAnsi="Arial" w:cs="Arial"/>
          <w:sz w:val="22"/>
          <w:szCs w:val="22"/>
        </w:rPr>
        <w:t>.2020.1094. doi:10.3399/bjgp.2020.1094.</w:t>
      </w:r>
      <w:r w:rsidRPr="00D24B02">
        <w:rPr>
          <w:rFonts w:ascii="Arial" w:hAnsi="Arial" w:cs="Arial"/>
          <w:color w:val="000000"/>
          <w:sz w:val="22"/>
          <w:szCs w:val="22"/>
        </w:rPr>
        <w:t xml:space="preserve"> </w:t>
      </w:r>
      <w:r>
        <w:rPr>
          <w:rFonts w:ascii="Arial" w:hAnsi="Arial" w:cs="Arial"/>
          <w:color w:val="000000"/>
          <w:sz w:val="22"/>
          <w:szCs w:val="22"/>
        </w:rPr>
        <w:t>(</w:t>
      </w:r>
      <w:r w:rsidRPr="00D24B02">
        <w:rPr>
          <w:rFonts w:ascii="Arial" w:hAnsi="Arial" w:cs="Arial"/>
          <w:color w:val="000000"/>
          <w:sz w:val="22"/>
          <w:szCs w:val="22"/>
        </w:rPr>
        <w:t>Accessed 5 Aug. 2026</w:t>
      </w:r>
      <w:r>
        <w:rPr>
          <w:rFonts w:ascii="Arial" w:hAnsi="Arial" w:cs="Arial"/>
          <w:color w:val="000000"/>
          <w:sz w:val="22"/>
          <w:szCs w:val="22"/>
        </w:rPr>
        <w:t>)</w:t>
      </w:r>
      <w:r w:rsidRPr="00D24B02">
        <w:rPr>
          <w:rFonts w:ascii="Arial" w:hAnsi="Arial" w:cs="Arial"/>
          <w:color w:val="000000"/>
          <w:sz w:val="22"/>
          <w:szCs w:val="22"/>
        </w:rPr>
        <w:t>.</w:t>
      </w:r>
    </w:p>
    <w:p w14:paraId="211B31D4" w14:textId="740213C6" w:rsidR="00D24B02" w:rsidRPr="00D24B02" w:rsidRDefault="00D24B02" w:rsidP="00D24B02">
      <w:pPr>
        <w:numPr>
          <w:ilvl w:val="0"/>
          <w:numId w:val="6"/>
        </w:numPr>
        <w:spacing w:before="100" w:beforeAutospacing="1" w:after="100" w:afterAutospacing="1" w:line="360" w:lineRule="auto"/>
        <w:rPr>
          <w:rFonts w:ascii="Arial" w:hAnsi="Arial" w:cs="Arial"/>
          <w:sz w:val="22"/>
          <w:szCs w:val="22"/>
        </w:rPr>
      </w:pPr>
      <w:r w:rsidRPr="00D24B02">
        <w:rPr>
          <w:rFonts w:ascii="Arial" w:hAnsi="Arial" w:cs="Arial"/>
          <w:sz w:val="22"/>
          <w:szCs w:val="22"/>
        </w:rPr>
        <w:t xml:space="preserve">World Health Organization (2021). </w:t>
      </w:r>
      <w:r w:rsidRPr="00D24B02">
        <w:rPr>
          <w:rStyle w:val="s1"/>
          <w:rFonts w:ascii="Arial" w:eastAsiaTheme="majorEastAsia" w:hAnsi="Arial" w:cs="Arial"/>
          <w:i/>
          <w:iCs/>
          <w:sz w:val="22"/>
          <w:szCs w:val="22"/>
        </w:rPr>
        <w:t>Global strategy on digital health 2020–2025</w:t>
      </w:r>
      <w:r w:rsidRPr="00D24B02">
        <w:rPr>
          <w:rFonts w:ascii="Arial" w:hAnsi="Arial" w:cs="Arial"/>
          <w:sz w:val="22"/>
          <w:szCs w:val="22"/>
        </w:rPr>
        <w:t xml:space="preserve">. [online] World Health Organization. Available at: https://www.who.int/publications/i/item/9789240020924 </w:t>
      </w:r>
      <w:r>
        <w:rPr>
          <w:rFonts w:ascii="Arial" w:hAnsi="Arial" w:cs="Arial"/>
          <w:sz w:val="22"/>
          <w:szCs w:val="22"/>
        </w:rPr>
        <w:t>(</w:t>
      </w:r>
      <w:r w:rsidRPr="00D24B02">
        <w:rPr>
          <w:rFonts w:ascii="Arial" w:hAnsi="Arial" w:cs="Arial"/>
          <w:sz w:val="22"/>
          <w:szCs w:val="22"/>
        </w:rPr>
        <w:t>Accessed 5 Aug. 2026</w:t>
      </w:r>
      <w:r>
        <w:rPr>
          <w:rFonts w:ascii="Arial" w:hAnsi="Arial" w:cs="Arial"/>
          <w:sz w:val="22"/>
          <w:szCs w:val="22"/>
        </w:rPr>
        <w:t>)</w:t>
      </w:r>
      <w:r w:rsidRPr="00D24B02">
        <w:rPr>
          <w:rFonts w:ascii="Arial" w:hAnsi="Arial" w:cs="Arial"/>
          <w:sz w:val="22"/>
          <w:szCs w:val="22"/>
        </w:rPr>
        <w:t>.</w:t>
      </w:r>
    </w:p>
    <w:p w14:paraId="541B128F" w14:textId="52C8EFFC" w:rsidR="00E954E8" w:rsidRPr="00D24B02" w:rsidRDefault="00D24B02" w:rsidP="00D24B02">
      <w:pPr>
        <w:spacing w:line="360" w:lineRule="atLeast"/>
        <w:rPr>
          <w:rFonts w:ascii="Calibri" w:hAnsi="Calibri" w:cs="Calibri"/>
          <w:color w:val="000000"/>
        </w:rPr>
      </w:pPr>
      <w:r>
        <w:rPr>
          <w:rFonts w:ascii="Calibri" w:hAnsi="Calibri" w:cs="Calibri"/>
          <w:color w:val="000000"/>
        </w:rPr>
        <w:br/>
      </w:r>
      <w:r>
        <w:rPr>
          <w:rFonts w:ascii="Calibri" w:hAnsi="Calibri" w:cs="Calibri"/>
          <w:color w:val="000000"/>
        </w:rPr>
        <w:br/>
      </w:r>
    </w:p>
    <w:p w14:paraId="7FCDE022" w14:textId="77777777" w:rsidR="00E954E8" w:rsidRPr="00E954E8" w:rsidRDefault="00E954E8" w:rsidP="00E954E8">
      <w:pPr>
        <w:spacing w:line="360" w:lineRule="auto"/>
        <w:ind w:left="360"/>
        <w:rPr>
          <w:rFonts w:ascii="Arial" w:hAnsi="Arial" w:cs="Arial"/>
        </w:rPr>
      </w:pPr>
    </w:p>
    <w:p w14:paraId="0912196C" w14:textId="77777777" w:rsidR="00913A0A" w:rsidRPr="009E65B7" w:rsidRDefault="00913A0A" w:rsidP="009E65B7">
      <w:pPr>
        <w:pStyle w:val="ListParagraph"/>
        <w:spacing w:line="360" w:lineRule="atLeast"/>
        <w:ind w:left="360"/>
        <w:rPr>
          <w:rFonts w:ascii="Calibri" w:hAnsi="Calibri" w:cs="Calibri"/>
          <w:color w:val="000000"/>
        </w:rPr>
      </w:pPr>
    </w:p>
    <w:p w14:paraId="520821C9" w14:textId="77777777" w:rsidR="00DA5917" w:rsidRDefault="00DA5917" w:rsidP="007C0D17">
      <w:pPr>
        <w:spacing w:line="360" w:lineRule="atLeast"/>
        <w:rPr>
          <w:rFonts w:ascii="Calibri" w:hAnsi="Calibri" w:cs="Calibri"/>
          <w:color w:val="000000"/>
        </w:rPr>
      </w:pPr>
    </w:p>
    <w:p w14:paraId="3B6E9263" w14:textId="77777777" w:rsidR="007C0D17" w:rsidRPr="008C2FBD" w:rsidRDefault="007C0D17" w:rsidP="00CD33A8">
      <w:pPr>
        <w:tabs>
          <w:tab w:val="left" w:pos="6540"/>
        </w:tabs>
        <w:spacing w:line="360" w:lineRule="auto"/>
        <w:rPr>
          <w:rFonts w:ascii="Arial" w:hAnsi="Arial" w:cs="Arial"/>
        </w:rPr>
      </w:pPr>
    </w:p>
    <w:sectPr w:rsidR="007C0D17" w:rsidRPr="008C2FBD"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9DE5A" w14:textId="77777777" w:rsidR="00726814" w:rsidRDefault="00726814" w:rsidP="003E4ECF">
      <w:r>
        <w:separator/>
      </w:r>
    </w:p>
  </w:endnote>
  <w:endnote w:type="continuationSeparator" w:id="0">
    <w:p w14:paraId="130B5443" w14:textId="77777777" w:rsidR="00726814" w:rsidRDefault="00726814"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C22F0" w14:textId="77777777" w:rsidR="00726814" w:rsidRDefault="00726814" w:rsidP="003E4ECF">
      <w:r>
        <w:separator/>
      </w:r>
    </w:p>
  </w:footnote>
  <w:footnote w:type="continuationSeparator" w:id="0">
    <w:p w14:paraId="4634980F" w14:textId="77777777" w:rsidR="00726814" w:rsidRDefault="00726814"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D106E"/>
    <w:multiLevelType w:val="hybridMultilevel"/>
    <w:tmpl w:val="18329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21293"/>
    <w:multiLevelType w:val="hybridMultilevel"/>
    <w:tmpl w:val="A2B6A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A0220"/>
    <w:multiLevelType w:val="hybridMultilevel"/>
    <w:tmpl w:val="5464DD1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BE44DCB"/>
    <w:multiLevelType w:val="multilevel"/>
    <w:tmpl w:val="4BFA3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E73805"/>
    <w:multiLevelType w:val="multilevel"/>
    <w:tmpl w:val="AD587D66"/>
    <w:lvl w:ilvl="0">
      <w:start w:val="1"/>
      <w:numFmt w:val="decimal"/>
      <w:lvlText w:val="%1."/>
      <w:lvlJc w:val="left"/>
      <w:pPr>
        <w:tabs>
          <w:tab w:val="num" w:pos="502"/>
        </w:tabs>
        <w:ind w:left="50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47749B"/>
    <w:multiLevelType w:val="hybridMultilevel"/>
    <w:tmpl w:val="EABA6C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29363086">
    <w:abstractNumId w:val="5"/>
  </w:num>
  <w:num w:numId="2" w16cid:durableId="1235355401">
    <w:abstractNumId w:val="0"/>
  </w:num>
  <w:num w:numId="3" w16cid:durableId="301663711">
    <w:abstractNumId w:val="3"/>
  </w:num>
  <w:num w:numId="4" w16cid:durableId="1229998942">
    <w:abstractNumId w:val="1"/>
  </w:num>
  <w:num w:numId="5" w16cid:durableId="628365484">
    <w:abstractNumId w:val="2"/>
  </w:num>
  <w:num w:numId="6" w16cid:durableId="5964458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559CC"/>
    <w:rsid w:val="00186FA7"/>
    <w:rsid w:val="00187289"/>
    <w:rsid w:val="001D0C6E"/>
    <w:rsid w:val="001D7C03"/>
    <w:rsid w:val="00216C85"/>
    <w:rsid w:val="0026393A"/>
    <w:rsid w:val="00273EDD"/>
    <w:rsid w:val="00286E95"/>
    <w:rsid w:val="002C1776"/>
    <w:rsid w:val="002C3965"/>
    <w:rsid w:val="00321C4C"/>
    <w:rsid w:val="00392BBC"/>
    <w:rsid w:val="003E4ECF"/>
    <w:rsid w:val="004A736E"/>
    <w:rsid w:val="00551C97"/>
    <w:rsid w:val="005D6762"/>
    <w:rsid w:val="00623573"/>
    <w:rsid w:val="00647832"/>
    <w:rsid w:val="006925AA"/>
    <w:rsid w:val="006A4A0C"/>
    <w:rsid w:val="00725177"/>
    <w:rsid w:val="00726814"/>
    <w:rsid w:val="007C0D17"/>
    <w:rsid w:val="00814A9E"/>
    <w:rsid w:val="00897307"/>
    <w:rsid w:val="008C2FBD"/>
    <w:rsid w:val="0090040D"/>
    <w:rsid w:val="00913A0A"/>
    <w:rsid w:val="009840D2"/>
    <w:rsid w:val="009D052C"/>
    <w:rsid w:val="009D1D1E"/>
    <w:rsid w:val="009D3EF3"/>
    <w:rsid w:val="009E65B7"/>
    <w:rsid w:val="00A035FD"/>
    <w:rsid w:val="00A52B00"/>
    <w:rsid w:val="00A85007"/>
    <w:rsid w:val="00AC00C9"/>
    <w:rsid w:val="00B8304B"/>
    <w:rsid w:val="00B87E75"/>
    <w:rsid w:val="00CD33A8"/>
    <w:rsid w:val="00CD500C"/>
    <w:rsid w:val="00D141ED"/>
    <w:rsid w:val="00D24B02"/>
    <w:rsid w:val="00D723E6"/>
    <w:rsid w:val="00D80D64"/>
    <w:rsid w:val="00DA5917"/>
    <w:rsid w:val="00E569FD"/>
    <w:rsid w:val="00E620E7"/>
    <w:rsid w:val="00E71C21"/>
    <w:rsid w:val="00E954E8"/>
    <w:rsid w:val="00F66E1B"/>
    <w:rsid w:val="00F8594A"/>
    <w:rsid w:val="00F9324E"/>
    <w:rsid w:val="00FB7B14"/>
    <w:rsid w:val="00FE4B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832"/>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E620E7"/>
    <w:pPr>
      <w:keepNext/>
      <w:keepLines/>
      <w:spacing w:before="240" w:line="360" w:lineRule="auto"/>
      <w:outlineLvl w:val="0"/>
    </w:pPr>
    <w:rPr>
      <w:rFonts w:ascii="Arial" w:eastAsiaTheme="majorEastAsia" w:hAnsi="Arial" w:cstheme="minorBidi"/>
      <w:b/>
      <w:sz w:val="32"/>
      <w:szCs w:val="22"/>
      <w:lang w:eastAsia="en-US"/>
    </w:rPr>
  </w:style>
  <w:style w:type="paragraph" w:styleId="Heading2">
    <w:name w:val="heading 2"/>
    <w:basedOn w:val="Normal"/>
    <w:next w:val="Normal"/>
    <w:link w:val="Heading2Char"/>
    <w:autoRedefine/>
    <w:uiPriority w:val="9"/>
    <w:unhideWhenUsed/>
    <w:qFormat/>
    <w:rsid w:val="00A035FD"/>
    <w:pPr>
      <w:keepNext/>
      <w:keepLines/>
      <w:spacing w:before="40" w:line="259" w:lineRule="auto"/>
      <w:outlineLvl w:val="1"/>
    </w:pPr>
    <w:rPr>
      <w:rFonts w:ascii="Arial" w:eastAsiaTheme="majorEastAsia" w:hAnsi="Arial" w:cstheme="majorBidi"/>
      <w:b/>
      <w:i/>
      <w:color w:val="2F5496" w:themeColor="accent1" w:themeShade="BF"/>
      <w:sz w:val="26"/>
      <w:szCs w:val="26"/>
      <w:lang w:eastAsia="en-US"/>
    </w:rPr>
  </w:style>
  <w:style w:type="paragraph" w:styleId="Heading3">
    <w:name w:val="heading 3"/>
    <w:basedOn w:val="Normal"/>
    <w:link w:val="Heading3Char"/>
    <w:autoRedefine/>
    <w:uiPriority w:val="9"/>
    <w:qFormat/>
    <w:rsid w:val="00AC00C9"/>
    <w:pPr>
      <w:spacing w:before="100" w:beforeAutospacing="1" w:after="100" w:afterAutospacing="1"/>
      <w:outlineLvl w:val="2"/>
    </w:pPr>
    <w:rPr>
      <w:rFonts w:ascii="Arial" w:hAnsi="Arial"/>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AC00C9"/>
    <w:rPr>
      <w:rFonts w:ascii="Arial" w:eastAsia="Times New Roman" w:hAnsi="Arial" w:cs="Times New Roman"/>
      <w:szCs w:val="27"/>
      <w:lang w:eastAsia="en-GB"/>
    </w:rPr>
  </w:style>
  <w:style w:type="paragraph" w:styleId="Header">
    <w:name w:val="header"/>
    <w:basedOn w:val="Normal"/>
    <w:link w:val="HeaderChar"/>
    <w:uiPriority w:val="99"/>
    <w:unhideWhenUsed/>
    <w:rsid w:val="003E4ECF"/>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3E4ECF"/>
  </w:style>
  <w:style w:type="paragraph" w:customStyle="1" w:styleId="p1">
    <w:name w:val="p1"/>
    <w:basedOn w:val="Normal"/>
    <w:rsid w:val="00897307"/>
    <w:rPr>
      <w:rFonts w:ascii="Arial" w:hAnsi="Arial" w:cs="Arial"/>
      <w:color w:val="000000"/>
      <w:sz w:val="17"/>
      <w:szCs w:val="17"/>
    </w:rPr>
  </w:style>
  <w:style w:type="character" w:customStyle="1" w:styleId="apple-converted-space">
    <w:name w:val="apple-converted-space"/>
    <w:basedOn w:val="DefaultParagraphFont"/>
    <w:rsid w:val="00897307"/>
  </w:style>
  <w:style w:type="paragraph" w:styleId="ListParagraph">
    <w:name w:val="List Paragraph"/>
    <w:basedOn w:val="Normal"/>
    <w:uiPriority w:val="34"/>
    <w:qFormat/>
    <w:rsid w:val="008C2FBD"/>
    <w:pPr>
      <w:ind w:left="720"/>
      <w:contextualSpacing/>
    </w:pPr>
  </w:style>
  <w:style w:type="paragraph" w:styleId="NormalWeb">
    <w:name w:val="Normal (Web)"/>
    <w:basedOn w:val="Normal"/>
    <w:uiPriority w:val="99"/>
    <w:unhideWhenUsed/>
    <w:rsid w:val="007C0D17"/>
    <w:pPr>
      <w:spacing w:before="100" w:beforeAutospacing="1" w:after="100" w:afterAutospacing="1"/>
    </w:pPr>
  </w:style>
  <w:style w:type="character" w:customStyle="1" w:styleId="s1">
    <w:name w:val="s1"/>
    <w:basedOn w:val="DefaultParagraphFont"/>
    <w:rsid w:val="00913A0A"/>
  </w:style>
  <w:style w:type="character" w:styleId="Emphasis">
    <w:name w:val="Emphasis"/>
    <w:basedOn w:val="DefaultParagraphFont"/>
    <w:uiPriority w:val="20"/>
    <w:qFormat/>
    <w:rsid w:val="00CD500C"/>
    <w:rPr>
      <w:i/>
      <w:iCs/>
    </w:rPr>
  </w:style>
  <w:style w:type="character" w:styleId="Hyperlink">
    <w:name w:val="Hyperlink"/>
    <w:basedOn w:val="DefaultParagraphFont"/>
    <w:uiPriority w:val="99"/>
    <w:unhideWhenUsed/>
    <w:rsid w:val="00CD500C"/>
    <w:rPr>
      <w:color w:val="0000FF"/>
      <w:u w:val="single"/>
    </w:rPr>
  </w:style>
  <w:style w:type="paragraph" w:styleId="TOCHeading">
    <w:name w:val="TOC Heading"/>
    <w:basedOn w:val="Heading1"/>
    <w:next w:val="Normal"/>
    <w:uiPriority w:val="39"/>
    <w:unhideWhenUsed/>
    <w:qFormat/>
    <w:rsid w:val="00FE4B1C"/>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FE4B1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E4B1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FE4B1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E4B1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E4B1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E4B1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E4B1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E4B1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E4B1C"/>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21</Pages>
  <Words>5686</Words>
  <Characters>32415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Gabriela Arapu (2311889)</cp:lastModifiedBy>
  <cp:revision>11</cp:revision>
  <dcterms:created xsi:type="dcterms:W3CDTF">2026-07-22T11:15:00Z</dcterms:created>
  <dcterms:modified xsi:type="dcterms:W3CDTF">2026-08-05T10:39:00Z</dcterms:modified>
</cp:coreProperties>
</file>