
<file path=[Content_Types].xml><?xml version="1.0" encoding="utf-8"?>
<Types xmlns="http://schemas.openxmlformats.org/package/2006/content-types">
  <Default Extension="jpe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52E7A2" w14:textId="77777777" w:rsidR="00251DA7" w:rsidRDefault="00251DA7" w:rsidP="00251DA7">
      <w:bookmarkStart w:id="0" w:name="_Toc70545363"/>
      <w:r w:rsidRPr="007A17AD">
        <w:rPr>
          <w:noProof/>
        </w:rPr>
        <w:drawing>
          <wp:inline distT="0" distB="0" distL="0" distR="0" wp14:anchorId="326004CB" wp14:editId="28A4A847">
            <wp:extent cx="2405576" cy="946399"/>
            <wp:effectExtent l="0" t="0" r="0" b="6350"/>
            <wp:docPr id="37" name="Obraz 1"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braz 1" descr="Obraz zawierający tekst&#10;&#10;Opis wygenerowany automatyczni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33068" cy="957215"/>
                    </a:xfrm>
                    <a:prstGeom prst="rect">
                      <a:avLst/>
                    </a:prstGeom>
                  </pic:spPr>
                </pic:pic>
              </a:graphicData>
            </a:graphic>
          </wp:inline>
        </w:drawing>
      </w:r>
    </w:p>
    <w:p w14:paraId="048CFD75" w14:textId="77777777" w:rsidR="00251DA7" w:rsidRPr="003154A1" w:rsidRDefault="00251DA7" w:rsidP="00251DA7"/>
    <w:p w14:paraId="2EFCCBE0" w14:textId="77777777" w:rsidR="00D31737" w:rsidRDefault="00D31737" w:rsidP="001009F4">
      <w:pPr>
        <w:jc w:val="center"/>
        <w:rPr>
          <w:rFonts w:eastAsiaTheme="majorEastAsia" w:cstheme="majorBidi"/>
          <w:b/>
          <w:bCs/>
          <w:kern w:val="28"/>
          <w:sz w:val="24"/>
          <w:szCs w:val="24"/>
        </w:rPr>
      </w:pPr>
    </w:p>
    <w:p w14:paraId="4BEFAF7E" w14:textId="77777777" w:rsidR="00305173" w:rsidRDefault="00305173" w:rsidP="001009F4">
      <w:pPr>
        <w:jc w:val="center"/>
        <w:rPr>
          <w:rFonts w:eastAsiaTheme="majorEastAsia" w:cstheme="majorBidi"/>
          <w:b/>
          <w:bCs/>
          <w:kern w:val="28"/>
          <w:sz w:val="24"/>
          <w:szCs w:val="24"/>
        </w:rPr>
      </w:pPr>
    </w:p>
    <w:p w14:paraId="4E35A133" w14:textId="77777777" w:rsidR="00305173" w:rsidRDefault="00305173" w:rsidP="001009F4">
      <w:pPr>
        <w:jc w:val="center"/>
        <w:rPr>
          <w:rFonts w:eastAsiaTheme="majorEastAsia" w:cstheme="majorBidi"/>
          <w:b/>
          <w:bCs/>
          <w:kern w:val="28"/>
          <w:sz w:val="24"/>
          <w:szCs w:val="24"/>
        </w:rPr>
      </w:pPr>
    </w:p>
    <w:p w14:paraId="1D3B9FAC" w14:textId="77777777" w:rsidR="00305173" w:rsidRDefault="00305173" w:rsidP="001009F4">
      <w:pPr>
        <w:jc w:val="center"/>
        <w:rPr>
          <w:rFonts w:eastAsiaTheme="majorEastAsia" w:cstheme="majorBidi"/>
          <w:b/>
          <w:bCs/>
          <w:kern w:val="28"/>
          <w:sz w:val="24"/>
          <w:szCs w:val="24"/>
        </w:rPr>
      </w:pPr>
    </w:p>
    <w:p w14:paraId="4BB5889A" w14:textId="77777777" w:rsidR="00305173" w:rsidRDefault="00305173" w:rsidP="001009F4">
      <w:pPr>
        <w:jc w:val="center"/>
        <w:rPr>
          <w:rFonts w:eastAsiaTheme="majorEastAsia" w:cstheme="majorBidi"/>
          <w:b/>
          <w:bCs/>
          <w:kern w:val="28"/>
          <w:sz w:val="24"/>
          <w:szCs w:val="24"/>
        </w:rPr>
      </w:pPr>
    </w:p>
    <w:p w14:paraId="3BDFCB7C" w14:textId="77777777" w:rsidR="00305173" w:rsidRDefault="00305173" w:rsidP="001009F4">
      <w:pPr>
        <w:jc w:val="center"/>
        <w:rPr>
          <w:rFonts w:eastAsiaTheme="majorEastAsia" w:cstheme="majorBidi"/>
          <w:b/>
          <w:bCs/>
          <w:kern w:val="28"/>
          <w:sz w:val="24"/>
          <w:szCs w:val="24"/>
        </w:rPr>
      </w:pPr>
    </w:p>
    <w:p w14:paraId="11097A73" w14:textId="0E465962" w:rsidR="000329FC" w:rsidRDefault="000329FC" w:rsidP="001009F4">
      <w:pPr>
        <w:jc w:val="center"/>
        <w:rPr>
          <w:rFonts w:eastAsiaTheme="majorEastAsia" w:cstheme="majorBidi"/>
          <w:b/>
          <w:bCs/>
          <w:kern w:val="28"/>
          <w:sz w:val="24"/>
          <w:szCs w:val="24"/>
        </w:rPr>
      </w:pPr>
      <w:r w:rsidRPr="000329FC">
        <w:rPr>
          <w:rFonts w:eastAsiaTheme="majorEastAsia" w:cstheme="majorBidi"/>
          <w:b/>
          <w:bCs/>
          <w:kern w:val="28"/>
          <w:sz w:val="24"/>
          <w:szCs w:val="24"/>
        </w:rPr>
        <w:t>Critical analysis on a piece of architecture post 1945</w:t>
      </w:r>
    </w:p>
    <w:p w14:paraId="3B959DE6" w14:textId="77777777" w:rsidR="000329FC" w:rsidRDefault="000329FC" w:rsidP="001009F4">
      <w:pPr>
        <w:jc w:val="center"/>
        <w:rPr>
          <w:rFonts w:eastAsiaTheme="majorEastAsia" w:cstheme="majorBidi"/>
          <w:b/>
          <w:bCs/>
          <w:kern w:val="28"/>
          <w:sz w:val="24"/>
          <w:szCs w:val="24"/>
        </w:rPr>
      </w:pPr>
    </w:p>
    <w:p w14:paraId="2465C7FE" w14:textId="77777777" w:rsidR="00B03385" w:rsidRDefault="00B03385" w:rsidP="001009F4">
      <w:pPr>
        <w:jc w:val="center"/>
        <w:rPr>
          <w:rFonts w:eastAsiaTheme="majorEastAsia" w:cstheme="majorBidi"/>
          <w:b/>
          <w:bCs/>
          <w:kern w:val="28"/>
          <w:sz w:val="24"/>
          <w:szCs w:val="24"/>
        </w:rPr>
      </w:pPr>
    </w:p>
    <w:p w14:paraId="3A4060CE" w14:textId="77777777" w:rsidR="00B03385" w:rsidRDefault="00B03385" w:rsidP="001009F4">
      <w:pPr>
        <w:jc w:val="center"/>
        <w:rPr>
          <w:rFonts w:eastAsiaTheme="majorEastAsia" w:cstheme="majorBidi"/>
          <w:b/>
          <w:bCs/>
          <w:kern w:val="28"/>
          <w:sz w:val="24"/>
          <w:szCs w:val="24"/>
        </w:rPr>
      </w:pPr>
    </w:p>
    <w:p w14:paraId="4F8BFA42" w14:textId="77777777" w:rsidR="00305173" w:rsidRDefault="00305173" w:rsidP="001009F4">
      <w:pPr>
        <w:jc w:val="center"/>
        <w:rPr>
          <w:rFonts w:eastAsiaTheme="majorEastAsia" w:cstheme="majorBidi"/>
          <w:b/>
          <w:bCs/>
          <w:kern w:val="28"/>
          <w:sz w:val="24"/>
          <w:szCs w:val="24"/>
        </w:rPr>
      </w:pPr>
    </w:p>
    <w:p w14:paraId="26438799" w14:textId="77777777" w:rsidR="00305173" w:rsidRDefault="00305173" w:rsidP="001009F4">
      <w:pPr>
        <w:jc w:val="center"/>
        <w:rPr>
          <w:rFonts w:eastAsiaTheme="majorEastAsia" w:cstheme="majorBidi"/>
          <w:b/>
          <w:bCs/>
          <w:kern w:val="28"/>
          <w:sz w:val="24"/>
          <w:szCs w:val="24"/>
        </w:rPr>
      </w:pPr>
    </w:p>
    <w:p w14:paraId="629EAA34" w14:textId="77777777" w:rsidR="00305173" w:rsidRDefault="00305173" w:rsidP="001009F4">
      <w:pPr>
        <w:jc w:val="center"/>
        <w:rPr>
          <w:rFonts w:eastAsiaTheme="majorEastAsia" w:cstheme="majorBidi"/>
          <w:b/>
          <w:bCs/>
          <w:kern w:val="28"/>
          <w:sz w:val="24"/>
          <w:szCs w:val="24"/>
        </w:rPr>
      </w:pPr>
    </w:p>
    <w:p w14:paraId="7BB9B9D0" w14:textId="07B5C04B" w:rsidR="001009F4" w:rsidRPr="00634CD9" w:rsidRDefault="001009F4" w:rsidP="001009F4">
      <w:pPr>
        <w:jc w:val="center"/>
        <w:rPr>
          <w:rFonts w:eastAsiaTheme="majorEastAsia" w:cstheme="majorBidi"/>
          <w:b/>
          <w:bCs/>
          <w:kern w:val="28"/>
          <w:sz w:val="24"/>
          <w:szCs w:val="24"/>
        </w:rPr>
      </w:pPr>
      <w:r w:rsidRPr="00634CD9">
        <w:rPr>
          <w:rFonts w:eastAsiaTheme="majorEastAsia" w:cstheme="majorBidi"/>
          <w:b/>
          <w:bCs/>
          <w:kern w:val="28"/>
          <w:sz w:val="24"/>
          <w:szCs w:val="24"/>
        </w:rPr>
        <w:t>The Latvian National Library (</w:t>
      </w:r>
      <w:proofErr w:type="spellStart"/>
      <w:r w:rsidRPr="00634CD9">
        <w:rPr>
          <w:rFonts w:eastAsiaTheme="majorEastAsia" w:cstheme="majorBidi"/>
          <w:b/>
          <w:bCs/>
          <w:kern w:val="28"/>
          <w:sz w:val="24"/>
          <w:szCs w:val="24"/>
        </w:rPr>
        <w:t>Gaismas</w:t>
      </w:r>
      <w:proofErr w:type="spellEnd"/>
      <w:r w:rsidRPr="00634CD9">
        <w:rPr>
          <w:rFonts w:eastAsiaTheme="majorEastAsia" w:cstheme="majorBidi"/>
          <w:b/>
          <w:bCs/>
          <w:kern w:val="28"/>
          <w:sz w:val="24"/>
          <w:szCs w:val="24"/>
        </w:rPr>
        <w:t xml:space="preserve"> </w:t>
      </w:r>
      <w:proofErr w:type="spellStart"/>
      <w:r w:rsidRPr="00634CD9">
        <w:rPr>
          <w:rFonts w:eastAsiaTheme="majorEastAsia" w:cstheme="majorBidi"/>
          <w:b/>
          <w:bCs/>
          <w:kern w:val="28"/>
          <w:sz w:val="24"/>
          <w:szCs w:val="24"/>
        </w:rPr>
        <w:t>pils</w:t>
      </w:r>
      <w:proofErr w:type="spellEnd"/>
      <w:r w:rsidRPr="00634CD9">
        <w:rPr>
          <w:rFonts w:eastAsiaTheme="majorEastAsia" w:cstheme="majorBidi"/>
          <w:b/>
          <w:bCs/>
          <w:kern w:val="28"/>
          <w:sz w:val="24"/>
          <w:szCs w:val="24"/>
        </w:rPr>
        <w:t>) by Gunārs Birkerts:</w:t>
      </w:r>
    </w:p>
    <w:p w14:paraId="13E58CC6" w14:textId="77777777" w:rsidR="001009F4" w:rsidRPr="00634CD9" w:rsidRDefault="001009F4" w:rsidP="001009F4">
      <w:pPr>
        <w:jc w:val="center"/>
        <w:rPr>
          <w:rFonts w:eastAsiaTheme="majorEastAsia" w:cstheme="majorBidi"/>
          <w:b/>
          <w:bCs/>
          <w:kern w:val="28"/>
          <w:sz w:val="24"/>
          <w:szCs w:val="24"/>
        </w:rPr>
      </w:pPr>
    </w:p>
    <w:p w14:paraId="6000D09E" w14:textId="1F1A6BB5" w:rsidR="00251DA7" w:rsidRPr="00634CD9" w:rsidRDefault="001009F4" w:rsidP="001009F4">
      <w:pPr>
        <w:jc w:val="center"/>
        <w:rPr>
          <w:rFonts w:eastAsiaTheme="majorEastAsia" w:cstheme="majorBidi"/>
          <w:b/>
          <w:bCs/>
          <w:kern w:val="28"/>
          <w:sz w:val="28"/>
          <w:szCs w:val="28"/>
        </w:rPr>
      </w:pPr>
      <w:r w:rsidRPr="00634CD9">
        <w:rPr>
          <w:rFonts w:eastAsiaTheme="majorEastAsia" w:cstheme="majorBidi"/>
          <w:b/>
          <w:bCs/>
          <w:kern w:val="28"/>
          <w:sz w:val="24"/>
          <w:szCs w:val="24"/>
        </w:rPr>
        <w:t>How does Architecture Express Symbolism, Memory, and National Identity?</w:t>
      </w:r>
    </w:p>
    <w:p w14:paraId="1A503789" w14:textId="77777777" w:rsidR="00251DA7" w:rsidRPr="003154A1" w:rsidRDefault="00251DA7" w:rsidP="00251DA7"/>
    <w:p w14:paraId="575917AE" w14:textId="77777777" w:rsidR="00B03385" w:rsidRDefault="00B03385" w:rsidP="00D74F3A">
      <w:pPr>
        <w:pStyle w:val="Subtitle"/>
        <w:rPr>
          <w:sz w:val="24"/>
          <w:szCs w:val="24"/>
        </w:rPr>
      </w:pPr>
      <w:bookmarkStart w:id="1" w:name="_Toc216475999"/>
    </w:p>
    <w:p w14:paraId="17863702" w14:textId="77777777" w:rsidR="00D74F3A" w:rsidRPr="00D74F3A" w:rsidRDefault="00D74F3A" w:rsidP="00D74F3A"/>
    <w:p w14:paraId="42F2F088" w14:textId="77777777" w:rsidR="00B03385" w:rsidRDefault="00B03385" w:rsidP="00634CD9">
      <w:pPr>
        <w:pStyle w:val="Subtitle"/>
        <w:jc w:val="center"/>
        <w:rPr>
          <w:sz w:val="24"/>
          <w:szCs w:val="24"/>
        </w:rPr>
      </w:pPr>
    </w:p>
    <w:p w14:paraId="126F3918" w14:textId="0FEE45A8" w:rsidR="00251DA7" w:rsidRPr="00634CD9" w:rsidRDefault="00251DA7" w:rsidP="00634CD9">
      <w:pPr>
        <w:pStyle w:val="Subtitle"/>
        <w:jc w:val="center"/>
        <w:rPr>
          <w:sz w:val="24"/>
          <w:szCs w:val="24"/>
        </w:rPr>
      </w:pPr>
      <w:r w:rsidRPr="00634CD9">
        <w:rPr>
          <w:sz w:val="24"/>
          <w:szCs w:val="24"/>
        </w:rPr>
        <w:t>School of Architecture, Built and Natural Environment</w:t>
      </w:r>
      <w:bookmarkEnd w:id="1"/>
    </w:p>
    <w:p w14:paraId="4FEE1BA5" w14:textId="77777777" w:rsidR="00251DA7" w:rsidRPr="00634CD9" w:rsidRDefault="00251DA7" w:rsidP="00634CD9">
      <w:pPr>
        <w:pStyle w:val="Subtitle"/>
        <w:jc w:val="center"/>
        <w:rPr>
          <w:sz w:val="24"/>
          <w:szCs w:val="24"/>
        </w:rPr>
      </w:pPr>
      <w:bookmarkStart w:id="2" w:name="_Toc216476000"/>
      <w:r w:rsidRPr="00634CD9">
        <w:rPr>
          <w:sz w:val="24"/>
          <w:szCs w:val="24"/>
        </w:rPr>
        <w:t>Course: BSc Architecture Year 2</w:t>
      </w:r>
      <w:bookmarkEnd w:id="2"/>
    </w:p>
    <w:p w14:paraId="7CA75F2E" w14:textId="77777777" w:rsidR="00251DA7" w:rsidRDefault="00251DA7" w:rsidP="00251DA7"/>
    <w:p w14:paraId="2D6571CD" w14:textId="77777777" w:rsidR="00590B20" w:rsidRDefault="00590B20" w:rsidP="00251DA7"/>
    <w:p w14:paraId="2410EB97" w14:textId="77777777" w:rsidR="00590B20" w:rsidRDefault="00590B20" w:rsidP="00251DA7"/>
    <w:p w14:paraId="2CDEEBDE" w14:textId="77777777" w:rsidR="00590B20" w:rsidRDefault="00590B20" w:rsidP="00251DA7"/>
    <w:p w14:paraId="37FFB1DB" w14:textId="77777777" w:rsidR="00590B20" w:rsidRDefault="00590B20" w:rsidP="00251DA7"/>
    <w:p w14:paraId="4D30AD71" w14:textId="77777777" w:rsidR="00251DA7" w:rsidRPr="00D150B1" w:rsidRDefault="00251DA7" w:rsidP="00251DA7">
      <w:pPr>
        <w:rPr>
          <w:rStyle w:val="Strong"/>
          <w:b w:val="0"/>
          <w:bCs w:val="0"/>
        </w:rPr>
      </w:pPr>
      <w:r w:rsidRPr="00634CD9">
        <w:rPr>
          <w:rStyle w:val="Strong"/>
          <w:b w:val="0"/>
          <w:bCs w:val="0"/>
        </w:rPr>
        <w:t>Name: ELLA OSA</w:t>
      </w:r>
    </w:p>
    <w:p w14:paraId="5F7AB6CB" w14:textId="77777777" w:rsidR="00251DA7" w:rsidRPr="00D150B1" w:rsidRDefault="00251DA7" w:rsidP="00251DA7">
      <w:pPr>
        <w:rPr>
          <w:rStyle w:val="Strong"/>
          <w:b w:val="0"/>
          <w:bCs w:val="0"/>
        </w:rPr>
      </w:pPr>
      <w:r w:rsidRPr="00634CD9">
        <w:rPr>
          <w:rStyle w:val="Strong"/>
          <w:b w:val="0"/>
          <w:bCs w:val="0"/>
        </w:rPr>
        <w:t>Student Number: 0151768</w:t>
      </w:r>
    </w:p>
    <w:p w14:paraId="01C3756C" w14:textId="77777777" w:rsidR="00251DA7" w:rsidRPr="00D150B1" w:rsidRDefault="00251DA7" w:rsidP="00251DA7">
      <w:pPr>
        <w:rPr>
          <w:rStyle w:val="Strong"/>
          <w:b w:val="0"/>
          <w:bCs w:val="0"/>
        </w:rPr>
      </w:pPr>
      <w:r w:rsidRPr="00634CD9">
        <w:rPr>
          <w:rStyle w:val="Strong"/>
          <w:b w:val="0"/>
          <w:bCs w:val="0"/>
        </w:rPr>
        <w:t>Module code: ACAA5003</w:t>
      </w:r>
    </w:p>
    <w:p w14:paraId="427C6462" w14:textId="130E17EE" w:rsidR="00251DA7" w:rsidRPr="00D150B1" w:rsidRDefault="00251DA7" w:rsidP="00251DA7">
      <w:pPr>
        <w:rPr>
          <w:rStyle w:val="Strong"/>
          <w:b w:val="0"/>
          <w:bCs w:val="0"/>
        </w:rPr>
      </w:pPr>
      <w:r w:rsidRPr="00634CD9">
        <w:rPr>
          <w:rStyle w:val="Strong"/>
          <w:b w:val="0"/>
          <w:bCs w:val="0"/>
        </w:rPr>
        <w:t>Word count: 2</w:t>
      </w:r>
      <w:r w:rsidR="00E90B89">
        <w:rPr>
          <w:rStyle w:val="Strong"/>
          <w:b w:val="0"/>
          <w:bCs w:val="0"/>
        </w:rPr>
        <w:t>657</w:t>
      </w:r>
    </w:p>
    <w:p w14:paraId="065C374F" w14:textId="0662F844" w:rsidR="00251DA7" w:rsidRPr="00634CD9" w:rsidRDefault="00251DA7" w:rsidP="00251DA7">
      <w:pPr>
        <w:rPr>
          <w:rStyle w:val="Strong"/>
          <w:bCs w:val="0"/>
        </w:rPr>
      </w:pPr>
      <w:r w:rsidRPr="00634CD9">
        <w:rPr>
          <w:rStyle w:val="Strong"/>
          <w:b w:val="0"/>
          <w:bCs w:val="0"/>
        </w:rPr>
        <w:t>Date:</w:t>
      </w:r>
      <w:bookmarkEnd w:id="0"/>
      <w:r w:rsidR="00590B20" w:rsidRPr="00634CD9">
        <w:rPr>
          <w:rStyle w:val="Strong"/>
          <w:b w:val="0"/>
          <w:bCs w:val="0"/>
        </w:rPr>
        <w:t xml:space="preserve"> 3</w:t>
      </w:r>
      <w:r w:rsidR="00590B20" w:rsidRPr="00634CD9">
        <w:rPr>
          <w:rStyle w:val="Strong"/>
          <w:b w:val="0"/>
          <w:bCs w:val="0"/>
          <w:vertAlign w:val="superscript"/>
        </w:rPr>
        <w:t>rd</w:t>
      </w:r>
      <w:r w:rsidR="00A95C19">
        <w:rPr>
          <w:rStyle w:val="Strong"/>
          <w:b w:val="0"/>
          <w:bCs w:val="0"/>
        </w:rPr>
        <w:t xml:space="preserve"> </w:t>
      </w:r>
      <w:r w:rsidR="00590B20" w:rsidRPr="00634CD9">
        <w:rPr>
          <w:rStyle w:val="Strong"/>
          <w:b w:val="0"/>
          <w:bCs w:val="0"/>
        </w:rPr>
        <w:t>April 2026</w:t>
      </w:r>
    </w:p>
    <w:p w14:paraId="53738916" w14:textId="77777777" w:rsidR="00B86B72" w:rsidRPr="00634CD9" w:rsidRDefault="00B86B72" w:rsidP="00251DA7">
      <w:pPr>
        <w:rPr>
          <w:rStyle w:val="Strong"/>
        </w:rPr>
      </w:pPr>
    </w:p>
    <w:p w14:paraId="3923EDA1" w14:textId="596A48F4" w:rsidR="00FB1AF7" w:rsidRDefault="00FB1AF7"/>
    <w:sdt>
      <w:sdtPr>
        <w:rPr>
          <w:rFonts w:ascii="Arial" w:eastAsia="Arial" w:hAnsi="Arial" w:cs="Arial"/>
          <w:b/>
          <w:bCs/>
          <w:color w:val="auto"/>
          <w:sz w:val="22"/>
          <w:szCs w:val="22"/>
        </w:rPr>
        <w:id w:val="-1098557390"/>
        <w:docPartObj>
          <w:docPartGallery w:val="Table of Contents"/>
          <w:docPartUnique/>
        </w:docPartObj>
      </w:sdtPr>
      <w:sdtContent>
        <w:p w14:paraId="09B4BDB3" w14:textId="6CD9168D" w:rsidR="00FB1AF7" w:rsidRDefault="00FB1AF7">
          <w:pPr>
            <w:pStyle w:val="TOCHeading"/>
          </w:pPr>
          <w:r>
            <w:t>Contents</w:t>
          </w:r>
        </w:p>
        <w:p w14:paraId="452CB6AD" w14:textId="0132F616" w:rsidR="00BE6621" w:rsidRDefault="00FB1AF7">
          <w:pPr>
            <w:pStyle w:val="TOC2"/>
            <w:tabs>
              <w:tab w:val="right" w:leader="dot" w:pos="9016"/>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26147779" w:history="1">
            <w:r w:rsidR="00BE6621" w:rsidRPr="00631C9A">
              <w:rPr>
                <w:rStyle w:val="Hyperlink"/>
                <w:noProof/>
              </w:rPr>
              <w:t>Introduction</w:t>
            </w:r>
            <w:r w:rsidR="00BE6621">
              <w:rPr>
                <w:noProof/>
                <w:webHidden/>
              </w:rPr>
              <w:tab/>
            </w:r>
            <w:r w:rsidR="00BE6621">
              <w:rPr>
                <w:noProof/>
                <w:webHidden/>
              </w:rPr>
              <w:fldChar w:fldCharType="begin"/>
            </w:r>
            <w:r w:rsidR="00BE6621">
              <w:rPr>
                <w:noProof/>
                <w:webHidden/>
              </w:rPr>
              <w:instrText xml:space="preserve"> PAGEREF _Toc226147779 \h </w:instrText>
            </w:r>
            <w:r w:rsidR="00BE6621">
              <w:rPr>
                <w:noProof/>
                <w:webHidden/>
              </w:rPr>
            </w:r>
            <w:r w:rsidR="00BE6621">
              <w:rPr>
                <w:noProof/>
                <w:webHidden/>
              </w:rPr>
              <w:fldChar w:fldCharType="separate"/>
            </w:r>
            <w:r w:rsidR="00BE6621">
              <w:rPr>
                <w:noProof/>
                <w:webHidden/>
              </w:rPr>
              <w:t>1</w:t>
            </w:r>
            <w:r w:rsidR="00BE6621">
              <w:rPr>
                <w:noProof/>
                <w:webHidden/>
              </w:rPr>
              <w:fldChar w:fldCharType="end"/>
            </w:r>
          </w:hyperlink>
        </w:p>
        <w:p w14:paraId="5F68EF8D" w14:textId="69E55C37" w:rsidR="00BE6621" w:rsidRDefault="00BE6621">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6147780" w:history="1">
            <w:r w:rsidRPr="00631C9A">
              <w:rPr>
                <w:rStyle w:val="Hyperlink"/>
                <w:noProof/>
              </w:rPr>
              <w:t>Gunārs Birkerts: Life in Exile and Professional Formation</w:t>
            </w:r>
            <w:r>
              <w:rPr>
                <w:noProof/>
                <w:webHidden/>
              </w:rPr>
              <w:tab/>
            </w:r>
            <w:r>
              <w:rPr>
                <w:noProof/>
                <w:webHidden/>
              </w:rPr>
              <w:fldChar w:fldCharType="begin"/>
            </w:r>
            <w:r>
              <w:rPr>
                <w:noProof/>
                <w:webHidden/>
              </w:rPr>
              <w:instrText xml:space="preserve"> PAGEREF _Toc226147780 \h </w:instrText>
            </w:r>
            <w:r>
              <w:rPr>
                <w:noProof/>
                <w:webHidden/>
              </w:rPr>
            </w:r>
            <w:r>
              <w:rPr>
                <w:noProof/>
                <w:webHidden/>
              </w:rPr>
              <w:fldChar w:fldCharType="separate"/>
            </w:r>
            <w:r>
              <w:rPr>
                <w:noProof/>
                <w:webHidden/>
              </w:rPr>
              <w:t>1</w:t>
            </w:r>
            <w:r>
              <w:rPr>
                <w:noProof/>
                <w:webHidden/>
              </w:rPr>
              <w:fldChar w:fldCharType="end"/>
            </w:r>
          </w:hyperlink>
        </w:p>
        <w:p w14:paraId="57BAD2DB" w14:textId="3292A1CE" w:rsidR="00BE6621" w:rsidRDefault="00BE6621">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6147781" w:history="1">
            <w:r w:rsidRPr="00631C9A">
              <w:rPr>
                <w:rStyle w:val="Hyperlink"/>
                <w:noProof/>
              </w:rPr>
              <w:t>Context: Location and Urban Setting</w:t>
            </w:r>
            <w:r>
              <w:rPr>
                <w:noProof/>
                <w:webHidden/>
              </w:rPr>
              <w:tab/>
            </w:r>
            <w:r>
              <w:rPr>
                <w:noProof/>
                <w:webHidden/>
              </w:rPr>
              <w:fldChar w:fldCharType="begin"/>
            </w:r>
            <w:r>
              <w:rPr>
                <w:noProof/>
                <w:webHidden/>
              </w:rPr>
              <w:instrText xml:space="preserve"> PAGEREF _Toc226147781 \h </w:instrText>
            </w:r>
            <w:r>
              <w:rPr>
                <w:noProof/>
                <w:webHidden/>
              </w:rPr>
            </w:r>
            <w:r>
              <w:rPr>
                <w:noProof/>
                <w:webHidden/>
              </w:rPr>
              <w:fldChar w:fldCharType="separate"/>
            </w:r>
            <w:r>
              <w:rPr>
                <w:noProof/>
                <w:webHidden/>
              </w:rPr>
              <w:t>3</w:t>
            </w:r>
            <w:r>
              <w:rPr>
                <w:noProof/>
                <w:webHidden/>
              </w:rPr>
              <w:fldChar w:fldCharType="end"/>
            </w:r>
          </w:hyperlink>
        </w:p>
        <w:p w14:paraId="35380535" w14:textId="0936E37A" w:rsidR="00BE6621" w:rsidRDefault="00BE6621">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6147782" w:history="1">
            <w:r w:rsidRPr="00631C9A">
              <w:rPr>
                <w:rStyle w:val="Hyperlink"/>
                <w:noProof/>
              </w:rPr>
              <w:t>History: The Long Development of the Latvian National Library</w:t>
            </w:r>
            <w:r>
              <w:rPr>
                <w:noProof/>
                <w:webHidden/>
              </w:rPr>
              <w:tab/>
            </w:r>
            <w:r>
              <w:rPr>
                <w:noProof/>
                <w:webHidden/>
              </w:rPr>
              <w:fldChar w:fldCharType="begin"/>
            </w:r>
            <w:r>
              <w:rPr>
                <w:noProof/>
                <w:webHidden/>
              </w:rPr>
              <w:instrText xml:space="preserve"> PAGEREF _Toc226147782 \h </w:instrText>
            </w:r>
            <w:r>
              <w:rPr>
                <w:noProof/>
                <w:webHidden/>
              </w:rPr>
            </w:r>
            <w:r>
              <w:rPr>
                <w:noProof/>
                <w:webHidden/>
              </w:rPr>
              <w:fldChar w:fldCharType="separate"/>
            </w:r>
            <w:r>
              <w:rPr>
                <w:noProof/>
                <w:webHidden/>
              </w:rPr>
              <w:t>4</w:t>
            </w:r>
            <w:r>
              <w:rPr>
                <w:noProof/>
                <w:webHidden/>
              </w:rPr>
              <w:fldChar w:fldCharType="end"/>
            </w:r>
          </w:hyperlink>
        </w:p>
        <w:p w14:paraId="412CA070" w14:textId="2C83579D" w:rsidR="00BE6621" w:rsidRDefault="00BE6621">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6147783" w:history="1">
            <w:r w:rsidRPr="00631C9A">
              <w:rPr>
                <w:rStyle w:val="Hyperlink"/>
                <w:noProof/>
              </w:rPr>
              <w:t>Architectural Symbolism: The Glass Mountain and the Castle of Light</w:t>
            </w:r>
            <w:r>
              <w:rPr>
                <w:noProof/>
                <w:webHidden/>
              </w:rPr>
              <w:tab/>
            </w:r>
            <w:r>
              <w:rPr>
                <w:noProof/>
                <w:webHidden/>
              </w:rPr>
              <w:fldChar w:fldCharType="begin"/>
            </w:r>
            <w:r>
              <w:rPr>
                <w:noProof/>
                <w:webHidden/>
              </w:rPr>
              <w:instrText xml:space="preserve"> PAGEREF _Toc226147783 \h </w:instrText>
            </w:r>
            <w:r>
              <w:rPr>
                <w:noProof/>
                <w:webHidden/>
              </w:rPr>
            </w:r>
            <w:r>
              <w:rPr>
                <w:noProof/>
                <w:webHidden/>
              </w:rPr>
              <w:fldChar w:fldCharType="separate"/>
            </w:r>
            <w:r>
              <w:rPr>
                <w:noProof/>
                <w:webHidden/>
              </w:rPr>
              <w:t>6</w:t>
            </w:r>
            <w:r>
              <w:rPr>
                <w:noProof/>
                <w:webHidden/>
              </w:rPr>
              <w:fldChar w:fldCharType="end"/>
            </w:r>
          </w:hyperlink>
        </w:p>
        <w:p w14:paraId="6813CEE3" w14:textId="2C200A2D" w:rsidR="00BE6621" w:rsidRDefault="00BE6621">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6147784" w:history="1">
            <w:r w:rsidRPr="00631C9A">
              <w:rPr>
                <w:rStyle w:val="Hyperlink"/>
                <w:noProof/>
              </w:rPr>
              <w:t>Materiality, light and Structural Expression</w:t>
            </w:r>
            <w:r>
              <w:rPr>
                <w:noProof/>
                <w:webHidden/>
              </w:rPr>
              <w:tab/>
            </w:r>
            <w:r>
              <w:rPr>
                <w:noProof/>
                <w:webHidden/>
              </w:rPr>
              <w:fldChar w:fldCharType="begin"/>
            </w:r>
            <w:r>
              <w:rPr>
                <w:noProof/>
                <w:webHidden/>
              </w:rPr>
              <w:instrText xml:space="preserve"> PAGEREF _Toc226147784 \h </w:instrText>
            </w:r>
            <w:r>
              <w:rPr>
                <w:noProof/>
                <w:webHidden/>
              </w:rPr>
            </w:r>
            <w:r>
              <w:rPr>
                <w:noProof/>
                <w:webHidden/>
              </w:rPr>
              <w:fldChar w:fldCharType="separate"/>
            </w:r>
            <w:r>
              <w:rPr>
                <w:noProof/>
                <w:webHidden/>
              </w:rPr>
              <w:t>6</w:t>
            </w:r>
            <w:r>
              <w:rPr>
                <w:noProof/>
                <w:webHidden/>
              </w:rPr>
              <w:fldChar w:fldCharType="end"/>
            </w:r>
          </w:hyperlink>
        </w:p>
        <w:p w14:paraId="5AF4D160" w14:textId="1A0D2EFA" w:rsidR="00BE6621" w:rsidRDefault="00BE6621">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6147785" w:history="1">
            <w:r w:rsidRPr="00631C9A">
              <w:rPr>
                <w:rStyle w:val="Hyperlink"/>
                <w:noProof/>
              </w:rPr>
              <w:t>Spatial Experience and Phenomenology</w:t>
            </w:r>
            <w:r>
              <w:rPr>
                <w:noProof/>
                <w:webHidden/>
              </w:rPr>
              <w:tab/>
            </w:r>
            <w:r>
              <w:rPr>
                <w:noProof/>
                <w:webHidden/>
              </w:rPr>
              <w:fldChar w:fldCharType="begin"/>
            </w:r>
            <w:r>
              <w:rPr>
                <w:noProof/>
                <w:webHidden/>
              </w:rPr>
              <w:instrText xml:space="preserve"> PAGEREF _Toc226147785 \h </w:instrText>
            </w:r>
            <w:r>
              <w:rPr>
                <w:noProof/>
                <w:webHidden/>
              </w:rPr>
            </w:r>
            <w:r>
              <w:rPr>
                <w:noProof/>
                <w:webHidden/>
              </w:rPr>
              <w:fldChar w:fldCharType="separate"/>
            </w:r>
            <w:r>
              <w:rPr>
                <w:noProof/>
                <w:webHidden/>
              </w:rPr>
              <w:t>7</w:t>
            </w:r>
            <w:r>
              <w:rPr>
                <w:noProof/>
                <w:webHidden/>
              </w:rPr>
              <w:fldChar w:fldCharType="end"/>
            </w:r>
          </w:hyperlink>
        </w:p>
        <w:p w14:paraId="7D1133D3" w14:textId="729435FB" w:rsidR="00BE6621" w:rsidRDefault="00BE6621">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6147786" w:history="1">
            <w:r w:rsidRPr="00631C9A">
              <w:rPr>
                <w:rStyle w:val="Hyperlink"/>
                <w:noProof/>
              </w:rPr>
              <w:t>Semiotics: The Library as a System of Signs</w:t>
            </w:r>
            <w:r>
              <w:rPr>
                <w:noProof/>
                <w:webHidden/>
              </w:rPr>
              <w:tab/>
            </w:r>
            <w:r>
              <w:rPr>
                <w:noProof/>
                <w:webHidden/>
              </w:rPr>
              <w:fldChar w:fldCharType="begin"/>
            </w:r>
            <w:r>
              <w:rPr>
                <w:noProof/>
                <w:webHidden/>
              </w:rPr>
              <w:instrText xml:space="preserve"> PAGEREF _Toc226147786 \h </w:instrText>
            </w:r>
            <w:r>
              <w:rPr>
                <w:noProof/>
                <w:webHidden/>
              </w:rPr>
            </w:r>
            <w:r>
              <w:rPr>
                <w:noProof/>
                <w:webHidden/>
              </w:rPr>
              <w:fldChar w:fldCharType="separate"/>
            </w:r>
            <w:r>
              <w:rPr>
                <w:noProof/>
                <w:webHidden/>
              </w:rPr>
              <w:t>8</w:t>
            </w:r>
            <w:r>
              <w:rPr>
                <w:noProof/>
                <w:webHidden/>
              </w:rPr>
              <w:fldChar w:fldCharType="end"/>
            </w:r>
          </w:hyperlink>
        </w:p>
        <w:p w14:paraId="17FE31B2" w14:textId="6C3FCE3A" w:rsidR="00BE6621" w:rsidRDefault="00BE6621">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6147787" w:history="1">
            <w:r w:rsidRPr="00631C9A">
              <w:rPr>
                <w:rStyle w:val="Hyperlink"/>
                <w:noProof/>
              </w:rPr>
              <w:t>Critical Evaluation</w:t>
            </w:r>
            <w:r>
              <w:rPr>
                <w:noProof/>
                <w:webHidden/>
              </w:rPr>
              <w:tab/>
            </w:r>
            <w:r>
              <w:rPr>
                <w:noProof/>
                <w:webHidden/>
              </w:rPr>
              <w:fldChar w:fldCharType="begin"/>
            </w:r>
            <w:r>
              <w:rPr>
                <w:noProof/>
                <w:webHidden/>
              </w:rPr>
              <w:instrText xml:space="preserve"> PAGEREF _Toc226147787 \h </w:instrText>
            </w:r>
            <w:r>
              <w:rPr>
                <w:noProof/>
                <w:webHidden/>
              </w:rPr>
            </w:r>
            <w:r>
              <w:rPr>
                <w:noProof/>
                <w:webHidden/>
              </w:rPr>
              <w:fldChar w:fldCharType="separate"/>
            </w:r>
            <w:r>
              <w:rPr>
                <w:noProof/>
                <w:webHidden/>
              </w:rPr>
              <w:t>9</w:t>
            </w:r>
            <w:r>
              <w:rPr>
                <w:noProof/>
                <w:webHidden/>
              </w:rPr>
              <w:fldChar w:fldCharType="end"/>
            </w:r>
          </w:hyperlink>
        </w:p>
        <w:p w14:paraId="0DC53FE0" w14:textId="732014C3" w:rsidR="00BE6621" w:rsidRDefault="00BE6621">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6147788" w:history="1">
            <w:r w:rsidRPr="00631C9A">
              <w:rPr>
                <w:rStyle w:val="Hyperlink"/>
                <w:noProof/>
              </w:rPr>
              <w:t>Conclusion</w:t>
            </w:r>
            <w:r>
              <w:rPr>
                <w:noProof/>
                <w:webHidden/>
              </w:rPr>
              <w:tab/>
            </w:r>
            <w:r>
              <w:rPr>
                <w:noProof/>
                <w:webHidden/>
              </w:rPr>
              <w:fldChar w:fldCharType="begin"/>
            </w:r>
            <w:r>
              <w:rPr>
                <w:noProof/>
                <w:webHidden/>
              </w:rPr>
              <w:instrText xml:space="preserve"> PAGEREF _Toc226147788 \h </w:instrText>
            </w:r>
            <w:r>
              <w:rPr>
                <w:noProof/>
                <w:webHidden/>
              </w:rPr>
            </w:r>
            <w:r>
              <w:rPr>
                <w:noProof/>
                <w:webHidden/>
              </w:rPr>
              <w:fldChar w:fldCharType="separate"/>
            </w:r>
            <w:r>
              <w:rPr>
                <w:noProof/>
                <w:webHidden/>
              </w:rPr>
              <w:t>10</w:t>
            </w:r>
            <w:r>
              <w:rPr>
                <w:noProof/>
                <w:webHidden/>
              </w:rPr>
              <w:fldChar w:fldCharType="end"/>
            </w:r>
          </w:hyperlink>
        </w:p>
        <w:p w14:paraId="63302F6B" w14:textId="39342A55" w:rsidR="00BE6621" w:rsidRDefault="00BE6621">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6147789" w:history="1">
            <w:r w:rsidRPr="00631C9A">
              <w:rPr>
                <w:rStyle w:val="Hyperlink"/>
                <w:noProof/>
              </w:rPr>
              <w:t>References</w:t>
            </w:r>
            <w:r>
              <w:rPr>
                <w:noProof/>
                <w:webHidden/>
              </w:rPr>
              <w:tab/>
            </w:r>
            <w:r>
              <w:rPr>
                <w:noProof/>
                <w:webHidden/>
              </w:rPr>
              <w:fldChar w:fldCharType="begin"/>
            </w:r>
            <w:r>
              <w:rPr>
                <w:noProof/>
                <w:webHidden/>
              </w:rPr>
              <w:instrText xml:space="preserve"> PAGEREF _Toc226147789 \h </w:instrText>
            </w:r>
            <w:r>
              <w:rPr>
                <w:noProof/>
                <w:webHidden/>
              </w:rPr>
            </w:r>
            <w:r>
              <w:rPr>
                <w:noProof/>
                <w:webHidden/>
              </w:rPr>
              <w:fldChar w:fldCharType="separate"/>
            </w:r>
            <w:r>
              <w:rPr>
                <w:noProof/>
                <w:webHidden/>
              </w:rPr>
              <w:t>11</w:t>
            </w:r>
            <w:r>
              <w:rPr>
                <w:noProof/>
                <w:webHidden/>
              </w:rPr>
              <w:fldChar w:fldCharType="end"/>
            </w:r>
          </w:hyperlink>
        </w:p>
        <w:p w14:paraId="75DE412F" w14:textId="4A97FACE" w:rsidR="00FB1AF7" w:rsidRDefault="00FB1AF7">
          <w:r>
            <w:rPr>
              <w:b/>
              <w:bCs/>
            </w:rPr>
            <w:fldChar w:fldCharType="end"/>
          </w:r>
        </w:p>
      </w:sdtContent>
    </w:sdt>
    <w:p w14:paraId="248898F5" w14:textId="77777777" w:rsidR="00FB1AF7" w:rsidRPr="00FB1AF7" w:rsidRDefault="00FB1AF7" w:rsidP="00FB1AF7">
      <w:pPr>
        <w:sectPr w:rsidR="00FB1AF7" w:rsidRPr="00FB1AF7" w:rsidSect="006B11CA">
          <w:footerReference w:type="default" r:id="rId9"/>
          <w:pgSz w:w="11906" w:h="16838"/>
          <w:pgMar w:top="1440" w:right="1440" w:bottom="1440" w:left="1440" w:header="708" w:footer="708" w:gutter="0"/>
          <w:pgNumType w:fmt="lowerRoman"/>
          <w:cols w:space="708"/>
          <w:docGrid w:linePitch="360"/>
        </w:sectPr>
      </w:pPr>
    </w:p>
    <w:p w14:paraId="00000006" w14:textId="77777777" w:rsidR="00512BDD" w:rsidRPr="00634CD9" w:rsidRDefault="00000000" w:rsidP="00634CD9">
      <w:pPr>
        <w:pStyle w:val="Heading2"/>
        <w:rPr>
          <w:u w:val="single"/>
        </w:rPr>
      </w:pPr>
      <w:bookmarkStart w:id="3" w:name="_Toc226147779"/>
      <w:r w:rsidRPr="00634CD9">
        <w:rPr>
          <w:sz w:val="22"/>
          <w:szCs w:val="22"/>
          <w:u w:val="single"/>
        </w:rPr>
        <w:lastRenderedPageBreak/>
        <w:t>Introduction</w:t>
      </w:r>
      <w:bookmarkEnd w:id="3"/>
    </w:p>
    <w:p w14:paraId="00000007" w14:textId="574205B4" w:rsidR="00512BDD" w:rsidRPr="00633894" w:rsidRDefault="00000000" w:rsidP="0015136E">
      <w:pPr>
        <w:spacing w:before="120" w:after="120"/>
      </w:pPr>
      <w:r w:rsidRPr="00633894">
        <w:t xml:space="preserve">This essay examines the Latvian National Library, widely known as </w:t>
      </w:r>
      <w:proofErr w:type="spellStart"/>
      <w:r w:rsidRPr="00633894">
        <w:rPr>
          <w:i/>
          <w:iCs/>
        </w:rPr>
        <w:t>Gaismas</w:t>
      </w:r>
      <w:proofErr w:type="spellEnd"/>
      <w:r w:rsidRPr="00633894">
        <w:rPr>
          <w:i/>
          <w:iCs/>
        </w:rPr>
        <w:t xml:space="preserve"> </w:t>
      </w:r>
      <w:proofErr w:type="spellStart"/>
      <w:r w:rsidRPr="00633894">
        <w:rPr>
          <w:i/>
          <w:iCs/>
        </w:rPr>
        <w:t>pils</w:t>
      </w:r>
      <w:proofErr w:type="spellEnd"/>
      <w:r w:rsidRPr="00633894">
        <w:t xml:space="preserve"> (“Castle of Light”). The building was designed by </w:t>
      </w:r>
      <w:proofErr w:type="gramStart"/>
      <w:r w:rsidRPr="00633894">
        <w:t>Latvian-American</w:t>
      </w:r>
      <w:proofErr w:type="gramEnd"/>
      <w:r w:rsidRPr="00633894">
        <w:t xml:space="preserve"> architect Gunārs Birkerts and completed in 2014 in Riga, Latvia</w:t>
      </w:r>
      <w:r w:rsidR="00EE3E47" w:rsidRPr="000A0BD0">
        <w:t xml:space="preserve"> </w:t>
      </w:r>
      <w:r w:rsidR="00EE3E47" w:rsidRPr="00633894">
        <w:t>(</w:t>
      </w:r>
      <w:proofErr w:type="spellStart"/>
      <w:r w:rsidR="00EE3E47" w:rsidRPr="00633894">
        <w:t>Vilks</w:t>
      </w:r>
      <w:proofErr w:type="spellEnd"/>
      <w:r w:rsidR="00EE3E47" w:rsidRPr="00633894">
        <w:t>, 2014)</w:t>
      </w:r>
      <w:r w:rsidRPr="00633894">
        <w:t>. It stands as one of the most significant cultural infrastructure projects in the Baltic region and is a major example of post-Soviet civic architecture. More than a functional library, it operates as a multi-layered symbol. The structure reflects Latvia’s historical memory, cultural identity, and political transformation following the restoration of independence in 1991</w:t>
      </w:r>
      <w:r w:rsidR="00EE3E47" w:rsidRPr="00633894">
        <w:t xml:space="preserve"> (Barikadopedija.lv, n.d.)</w:t>
      </w:r>
      <w:r w:rsidRPr="00633894">
        <w:t>.</w:t>
      </w:r>
    </w:p>
    <w:p w14:paraId="00000008" w14:textId="5A388FC9" w:rsidR="00512BDD" w:rsidRPr="00633894" w:rsidRDefault="00000000" w:rsidP="0015136E">
      <w:pPr>
        <w:spacing w:before="120" w:after="120"/>
      </w:pPr>
      <w:r w:rsidRPr="00633894">
        <w:t>Designed by Birkerts, whose professional career was largely developed in exile in the United States, the building can be understood as both an architectural and personal return to Latvia</w:t>
      </w:r>
      <w:r w:rsidR="00400B9E" w:rsidRPr="00633894">
        <w:t xml:space="preserve"> (Neighborhood.lv, n.d.)</w:t>
      </w:r>
      <w:r w:rsidRPr="00633894">
        <w:t>. The project connects the architect’s biography with the wider national narrative of independence and cultural reconstruction.</w:t>
      </w:r>
    </w:p>
    <w:p w14:paraId="00000009" w14:textId="1B028AE4" w:rsidR="00512BDD" w:rsidRPr="00633894" w:rsidRDefault="00000000" w:rsidP="0015136E">
      <w:pPr>
        <w:spacing w:before="120" w:after="120"/>
        <w:rPr>
          <w:b/>
          <w:bCs/>
        </w:rPr>
      </w:pPr>
      <w:r w:rsidRPr="00633894">
        <w:t>This essay will examine the historical development of the project, Birkerts’ architectural philosophy and professional influences</w:t>
      </w:r>
      <w:r w:rsidR="00400B9E" w:rsidRPr="00633894">
        <w:t xml:space="preserve"> (Schwartz, 2015)</w:t>
      </w:r>
      <w:r w:rsidRPr="00633894">
        <w:t>, as well as the political and cultural context of Latvia following the collapse of the Soviet Union</w:t>
      </w:r>
      <w:r w:rsidR="00400B9E" w:rsidRPr="00633894">
        <w:t xml:space="preserve"> (Biblioteka.lv, 2025)</w:t>
      </w:r>
      <w:r w:rsidRPr="00633894">
        <w:t xml:space="preserve">. It will also analyse the building’s urban context along the Daugava River, its architectural design and material expression, and the symbolic narratives embedded in its form. Through these aspects, the essay seeks to answer the central question: </w:t>
      </w:r>
      <w:r w:rsidRPr="00633894">
        <w:rPr>
          <w:b/>
          <w:bCs/>
        </w:rPr>
        <w:t>how does the architecture of the Latvian National Library express symbolism, memory, and national identity through form, spatial experience, and material construction?</w:t>
      </w:r>
    </w:p>
    <w:p w14:paraId="13C146D4" w14:textId="465642A6" w:rsidR="002D5415" w:rsidRDefault="00000000" w:rsidP="0015136E">
      <w:pPr>
        <w:spacing w:before="120" w:after="120"/>
      </w:pPr>
      <w:r w:rsidRPr="00633894">
        <w:t xml:space="preserve">The analysis draws on architectural criticism, including </w:t>
      </w:r>
      <w:r w:rsidRPr="00633894">
        <w:rPr>
          <w:i/>
          <w:iCs/>
        </w:rPr>
        <w:t>Architectural Record</w:t>
      </w:r>
      <w:r w:rsidRPr="00633894">
        <w:t xml:space="preserve"> (Cohn, 2010), </w:t>
      </w:r>
      <w:proofErr w:type="spellStart"/>
      <w:r w:rsidRPr="00633894">
        <w:rPr>
          <w:i/>
          <w:iCs/>
        </w:rPr>
        <w:t>ArchDaily</w:t>
      </w:r>
      <w:proofErr w:type="spellEnd"/>
      <w:r w:rsidRPr="00633894">
        <w:t>, and academic commentary, while also acknowledging that some sources, particularly those associated with the architect or cultural institutions, may present a partially idealised narrative.</w:t>
      </w:r>
    </w:p>
    <w:p w14:paraId="14C19272" w14:textId="77777777" w:rsidR="00A85F28" w:rsidRDefault="00007CE4" w:rsidP="00634CD9">
      <w:pPr>
        <w:keepNext/>
        <w:spacing w:before="120" w:after="120"/>
        <w:jc w:val="center"/>
      </w:pPr>
      <w:r>
        <w:rPr>
          <w:noProof/>
        </w:rPr>
        <w:drawing>
          <wp:inline distT="0" distB="0" distL="0" distR="0" wp14:anchorId="0940ADD2" wp14:editId="51EFD922">
            <wp:extent cx="4255280" cy="2217420"/>
            <wp:effectExtent l="0" t="0" r="0" b="0"/>
            <wp:docPr id="204417579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309322" cy="2245581"/>
                    </a:xfrm>
                    <a:prstGeom prst="rect">
                      <a:avLst/>
                    </a:prstGeom>
                    <a:noFill/>
                    <a:ln>
                      <a:noFill/>
                    </a:ln>
                  </pic:spPr>
                </pic:pic>
              </a:graphicData>
            </a:graphic>
          </wp:inline>
        </w:drawing>
      </w:r>
    </w:p>
    <w:p w14:paraId="6970953F" w14:textId="4AED976A" w:rsidR="002D5415" w:rsidRPr="00633894" w:rsidRDefault="00A85F28" w:rsidP="00634CD9">
      <w:pPr>
        <w:pStyle w:val="Caption"/>
      </w:pPr>
      <w:r>
        <w:t xml:space="preserve">Figure </w:t>
      </w:r>
      <w:fldSimple w:instr=" SEQ Figure \* ARABIC ">
        <w:r w:rsidR="00704650">
          <w:rPr>
            <w:noProof/>
          </w:rPr>
          <w:t>1</w:t>
        </w:r>
      </w:fldSimple>
      <w:r>
        <w:t xml:space="preserve">  </w:t>
      </w:r>
      <w:r w:rsidR="00C9443B" w:rsidRPr="00C9443B">
        <w:t>Latvian National Library (</w:t>
      </w:r>
      <w:proofErr w:type="spellStart"/>
      <w:r w:rsidR="00C9443B" w:rsidRPr="00C9443B">
        <w:t>Gaismas</w:t>
      </w:r>
      <w:proofErr w:type="spellEnd"/>
      <w:r w:rsidR="00C9443B" w:rsidRPr="00C9443B">
        <w:t xml:space="preserve"> </w:t>
      </w:r>
      <w:proofErr w:type="spellStart"/>
      <w:r w:rsidR="00C9443B" w:rsidRPr="00C9443B">
        <w:t>pils</w:t>
      </w:r>
      <w:proofErr w:type="spellEnd"/>
      <w:r w:rsidR="00C9443B" w:rsidRPr="00C9443B">
        <w:t>), Riga (2014). Designed by Gunārs Birkerts. (Source: Latvian National Library, n.d.).</w:t>
      </w:r>
    </w:p>
    <w:p w14:paraId="0000000C" w14:textId="35651162" w:rsidR="00512BDD" w:rsidRPr="00634CD9" w:rsidRDefault="00000000" w:rsidP="00634CD9">
      <w:pPr>
        <w:pStyle w:val="Heading2"/>
        <w:rPr>
          <w:u w:val="single"/>
        </w:rPr>
      </w:pPr>
      <w:bookmarkStart w:id="4" w:name="_Toc226147780"/>
      <w:r w:rsidRPr="00634CD9">
        <w:rPr>
          <w:sz w:val="22"/>
          <w:szCs w:val="22"/>
          <w:u w:val="single"/>
        </w:rPr>
        <w:t>Gunārs Birkerts: Life in Exile and Professional Formation</w:t>
      </w:r>
      <w:bookmarkEnd w:id="4"/>
    </w:p>
    <w:p w14:paraId="0000000D" w14:textId="77777777" w:rsidR="00512BDD" w:rsidRPr="00633894" w:rsidRDefault="00000000" w:rsidP="0015136E">
      <w:pPr>
        <w:spacing w:before="120" w:after="120"/>
      </w:pPr>
      <w:r w:rsidRPr="00633894">
        <w:t>Gunārs Birkerts (1925–2017) was born in Riga, Latvia, in 1925, and his life story is closely tied to the political upheavals of the 20th century. During World War II, he was forced to leave Latvia and went into exile in Germany, later emigrating to the United States. This experience had a profound impact on his identity and perception of architecture.</w:t>
      </w:r>
    </w:p>
    <w:p w14:paraId="0000000E" w14:textId="41A41282" w:rsidR="00512BDD" w:rsidRPr="00633894" w:rsidRDefault="00000000" w:rsidP="0015136E">
      <w:pPr>
        <w:spacing w:before="120" w:after="120"/>
      </w:pPr>
      <w:r w:rsidRPr="00633894">
        <w:lastRenderedPageBreak/>
        <w:t xml:space="preserve">For Birkerts, exile meant not only physical displacement, but also a constant search for a connection with his lost homeland. As Jānis </w:t>
      </w:r>
      <w:proofErr w:type="spellStart"/>
      <w:r w:rsidRPr="00633894">
        <w:t>Dripe</w:t>
      </w:r>
      <w:proofErr w:type="spellEnd"/>
      <w:r w:rsidRPr="00633894">
        <w:t xml:space="preserve"> points out in the book Latvian National Library: Architect Gunārs Birkerts (2015), Birkerts’ works often feature the motif of “return through architecture”</w:t>
      </w:r>
      <w:r w:rsidR="006A0598">
        <w:t xml:space="preserve">, an </w:t>
      </w:r>
      <w:r w:rsidRPr="00633894">
        <w:t>idea particularly vividly embodied in the Latvian National Library.</w:t>
      </w:r>
    </w:p>
    <w:p w14:paraId="0000000F" w14:textId="155FCCB6" w:rsidR="00512BDD" w:rsidRPr="00633894" w:rsidRDefault="00000000" w:rsidP="0015136E">
      <w:pPr>
        <w:spacing w:before="120" w:after="120"/>
      </w:pPr>
      <w:r w:rsidRPr="00633894">
        <w:t>During his years in Germany, Gun</w:t>
      </w:r>
      <w:r w:rsidR="001548CE" w:rsidRPr="00633894">
        <w:rPr>
          <w:lang w:val="lv-LV"/>
        </w:rPr>
        <w:t>ā</w:t>
      </w:r>
      <w:proofErr w:type="spellStart"/>
      <w:r w:rsidRPr="00633894">
        <w:t>rs</w:t>
      </w:r>
      <w:proofErr w:type="spellEnd"/>
      <w:r w:rsidRPr="00633894">
        <w:t xml:space="preserve"> Birkerts graduated from Stuttgart</w:t>
      </w:r>
      <w:hyperlink r:id="rId11">
        <w:r w:rsidR="00512BDD" w:rsidRPr="00633894">
          <w:t xml:space="preserve"> </w:t>
        </w:r>
      </w:hyperlink>
      <w:hyperlink r:id="rId12">
        <w:r w:rsidR="00512BDD" w:rsidRPr="00633894">
          <w:rPr>
            <w:color w:val="1155CC"/>
            <w:u w:val="single"/>
          </w:rPr>
          <w:t>Institute of Technology</w:t>
        </w:r>
      </w:hyperlink>
      <w:r w:rsidRPr="00633894">
        <w:rPr>
          <w:b/>
          <w:bCs/>
        </w:rPr>
        <w:t xml:space="preserve"> (</w:t>
      </w:r>
      <w:proofErr w:type="spellStart"/>
      <w:r w:rsidRPr="00633894">
        <w:rPr>
          <w:b/>
          <w:bCs/>
        </w:rPr>
        <w:t>Technische</w:t>
      </w:r>
      <w:proofErr w:type="spellEnd"/>
      <w:r w:rsidRPr="00633894">
        <w:rPr>
          <w:b/>
          <w:bCs/>
        </w:rPr>
        <w:t xml:space="preserve"> Hochschule Stuttgart</w:t>
      </w:r>
      <w:r w:rsidRPr="00633894">
        <w:t>); however, his career developed mainly in the USA. Soon after, in the early 1950’s, he moved to the United States, and his work experience at Detroit architectural offices and collaborations were particularly important. He worked for</w:t>
      </w:r>
      <w:hyperlink r:id="rId13">
        <w:r w:rsidR="00512BDD" w:rsidRPr="00633894">
          <w:t xml:space="preserve"> </w:t>
        </w:r>
      </w:hyperlink>
      <w:hyperlink r:id="rId14">
        <w:r w:rsidR="00512BDD" w:rsidRPr="00633894">
          <w:rPr>
            <w:color w:val="1155CC"/>
            <w:u w:val="single"/>
          </w:rPr>
          <w:t>Eero Saarinen</w:t>
        </w:r>
      </w:hyperlink>
      <w:r w:rsidRPr="00633894">
        <w:t xml:space="preserve">, </w:t>
      </w:r>
      <w:r w:rsidR="00312DA2">
        <w:t>collaborating</w:t>
      </w:r>
      <w:r w:rsidRPr="00633894">
        <w:t xml:space="preserve"> with modernist architects</w:t>
      </w:r>
      <w:r w:rsidR="0054123A" w:rsidRPr="00633894">
        <w:t xml:space="preserve"> (Michigan Modern, n.d.)</w:t>
      </w:r>
      <w:r w:rsidRPr="00633894">
        <w:t xml:space="preserve"> such as Robert Venturi and Kevin Roche. He was also a chief designer for</w:t>
      </w:r>
      <w:hyperlink r:id="rId15">
        <w:r w:rsidR="00512BDD" w:rsidRPr="00633894">
          <w:t xml:space="preserve"> </w:t>
        </w:r>
      </w:hyperlink>
      <w:hyperlink r:id="rId16">
        <w:r w:rsidR="00512BDD" w:rsidRPr="00633894">
          <w:rPr>
            <w:color w:val="1155CC"/>
            <w:u w:val="single"/>
          </w:rPr>
          <w:t>Minoru Yamasaki</w:t>
        </w:r>
      </w:hyperlink>
      <w:r w:rsidR="00400B9E" w:rsidRPr="00633894">
        <w:t xml:space="preserve"> (FX Design, 2013)</w:t>
      </w:r>
      <w:r w:rsidRPr="00633894">
        <w:t>. In this environment, he sought metaphorical and symbolic expression, whilst rooted in the traditions of international and Northern European modernism.</w:t>
      </w:r>
    </w:p>
    <w:p w14:paraId="00000011" w14:textId="27F989A2" w:rsidR="00512BDD" w:rsidRPr="00633894" w:rsidRDefault="00CA2A90" w:rsidP="0015136E">
      <w:pPr>
        <w:spacing w:before="120" w:after="120"/>
      </w:pPr>
      <w:r w:rsidRPr="00CA2A90">
        <w:t>Birkerts’ work reflects a synthesis of Alvar Aalto’s organic materiality and Eero Saarinen’s sculptural monumentality. When asked about these influences, his response to Blueprint was concise</w:t>
      </w:r>
      <w:r w:rsidRPr="00633894">
        <w:t xml:space="preserve">: “We are all North Europeans, we have these climatic conditions, we have the same vegetation and all that. I was working with Saarinen. There was something with us in common, otherwise he would not have hired me, probably.” </w:t>
      </w:r>
      <w:r w:rsidR="005B6C14" w:rsidRPr="00633894">
        <w:rPr>
          <w:i/>
          <w:iCs/>
        </w:rPr>
        <w:t>(FX Design, 2014)</w:t>
      </w:r>
    </w:p>
    <w:p w14:paraId="1FC54E2C" w14:textId="2B21C207" w:rsidR="009524FC" w:rsidRPr="00633894" w:rsidRDefault="00000000" w:rsidP="0015136E">
      <w:pPr>
        <w:spacing w:before="120" w:after="120"/>
      </w:pPr>
      <w:r w:rsidRPr="00633894">
        <w:t>Across his career, Birkerts designed around 300 buildings, including approximately 19 libraries. (</w:t>
      </w:r>
      <w:r w:rsidR="00FF1995" w:rsidRPr="00633894">
        <w:t>National Library of Latvia, 2025</w:t>
      </w:r>
      <w:r w:rsidRPr="00633894">
        <w:t>) This repetition of typology is significant: for Birkerts, the library became a primary architectural problem through which he explored knowledge, light, and spatial experience. As noted in De Gruyter's research, his work consistently integrates symbolic form with technological innovation, positioning him as a key figure in late modernist experimentation (De Gruyter, 2026).</w:t>
      </w:r>
    </w:p>
    <w:tbl>
      <w:tblPr>
        <w:tblStyle w:val="TableGrid"/>
        <w:tblW w:w="903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966"/>
        <w:gridCol w:w="4896"/>
        <w:gridCol w:w="222"/>
      </w:tblGrid>
      <w:tr w:rsidR="00CF45FB" w:rsidRPr="00633894" w14:paraId="5897D99F" w14:textId="77777777" w:rsidTr="005C38E7">
        <w:tc>
          <w:tcPr>
            <w:tcW w:w="3955" w:type="dxa"/>
          </w:tcPr>
          <w:p w14:paraId="31317848" w14:textId="77777777" w:rsidR="005C38E7" w:rsidRPr="00633894" w:rsidRDefault="005C38E7" w:rsidP="00634CD9">
            <w:pPr>
              <w:spacing w:before="120" w:after="120" w:line="276" w:lineRule="auto"/>
            </w:pPr>
            <w:r w:rsidRPr="00633894">
              <w:rPr>
                <w:noProof/>
              </w:rPr>
              <w:drawing>
                <wp:inline distT="0" distB="0" distL="0" distR="0" wp14:anchorId="20E35B60" wp14:editId="46547FEE">
                  <wp:extent cx="2362200" cy="1771192"/>
                  <wp:effectExtent l="0" t="0" r="0" b="635"/>
                  <wp:docPr id="14003399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396084" cy="1796599"/>
                          </a:xfrm>
                          <a:prstGeom prst="rect">
                            <a:avLst/>
                          </a:prstGeom>
                          <a:noFill/>
                          <a:ln>
                            <a:noFill/>
                          </a:ln>
                        </pic:spPr>
                      </pic:pic>
                    </a:graphicData>
                  </a:graphic>
                </wp:inline>
              </w:drawing>
            </w:r>
          </w:p>
          <w:p w14:paraId="63732840" w14:textId="51E01DA6" w:rsidR="005C38E7" w:rsidRPr="00633894" w:rsidRDefault="005C38E7" w:rsidP="00634CD9">
            <w:pPr>
              <w:spacing w:before="120" w:after="120" w:line="276" w:lineRule="auto"/>
            </w:pPr>
            <w:r w:rsidRPr="00633894">
              <w:rPr>
                <w:noProof/>
              </w:rPr>
              <w:drawing>
                <wp:inline distT="0" distB="0" distL="0" distR="0" wp14:anchorId="1DDE4BB0" wp14:editId="393BCDD7">
                  <wp:extent cx="2374668" cy="1780540"/>
                  <wp:effectExtent l="0" t="0" r="6985" b="0"/>
                  <wp:docPr id="91481290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399824" cy="1799402"/>
                          </a:xfrm>
                          <a:prstGeom prst="rect">
                            <a:avLst/>
                          </a:prstGeom>
                          <a:noFill/>
                          <a:ln>
                            <a:noFill/>
                          </a:ln>
                        </pic:spPr>
                      </pic:pic>
                    </a:graphicData>
                  </a:graphic>
                </wp:inline>
              </w:drawing>
            </w:r>
          </w:p>
        </w:tc>
        <w:tc>
          <w:tcPr>
            <w:tcW w:w="4842" w:type="dxa"/>
          </w:tcPr>
          <w:p w14:paraId="53DC164F" w14:textId="75CFE3D5" w:rsidR="005C38E7" w:rsidRPr="00633894" w:rsidRDefault="005C38E7" w:rsidP="00634CD9">
            <w:pPr>
              <w:spacing w:before="120" w:after="120" w:line="276" w:lineRule="auto"/>
            </w:pPr>
            <w:r w:rsidRPr="00633894">
              <w:rPr>
                <w:noProof/>
              </w:rPr>
              <w:drawing>
                <wp:inline distT="0" distB="0" distL="0" distR="0" wp14:anchorId="43645DB6" wp14:editId="0E85195B">
                  <wp:extent cx="2963752" cy="3665220"/>
                  <wp:effectExtent l="0" t="0" r="8255" b="0"/>
                  <wp:docPr id="10462206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020493" cy="3735391"/>
                          </a:xfrm>
                          <a:prstGeom prst="rect">
                            <a:avLst/>
                          </a:prstGeom>
                          <a:noFill/>
                          <a:ln>
                            <a:noFill/>
                          </a:ln>
                        </pic:spPr>
                      </pic:pic>
                    </a:graphicData>
                  </a:graphic>
                </wp:inline>
              </w:drawing>
            </w:r>
          </w:p>
        </w:tc>
        <w:tc>
          <w:tcPr>
            <w:tcW w:w="236" w:type="dxa"/>
          </w:tcPr>
          <w:p w14:paraId="53309DA5" w14:textId="77777777" w:rsidR="005C38E7" w:rsidRPr="00633894" w:rsidRDefault="005C38E7" w:rsidP="00634CD9">
            <w:pPr>
              <w:spacing w:before="120" w:after="120" w:line="276" w:lineRule="auto"/>
              <w:rPr>
                <w:noProof/>
              </w:rPr>
            </w:pPr>
          </w:p>
        </w:tc>
      </w:tr>
    </w:tbl>
    <w:p w14:paraId="37FA9715" w14:textId="5DF6B856" w:rsidR="00903A7F" w:rsidRDefault="00A019B1" w:rsidP="00634CD9">
      <w:pPr>
        <w:pStyle w:val="Caption"/>
      </w:pPr>
      <w:r>
        <w:t xml:space="preserve">Figure </w:t>
      </w:r>
      <w:fldSimple w:instr=" SEQ Figure \* ARABIC ">
        <w:r w:rsidR="00704650">
          <w:rPr>
            <w:noProof/>
          </w:rPr>
          <w:t>2</w:t>
        </w:r>
      </w:fldSimple>
      <w:r>
        <w:t xml:space="preserve">  </w:t>
      </w:r>
      <w:r w:rsidRPr="00EE7A3C">
        <w:t xml:space="preserve">Architectural works and portrait of </w:t>
      </w:r>
      <w:r>
        <w:t xml:space="preserve">G. </w:t>
      </w:r>
      <w:r w:rsidRPr="00EE7A3C">
        <w:t xml:space="preserve">Birkerts. </w:t>
      </w:r>
      <w:r w:rsidR="00D17A79" w:rsidRPr="00634CD9">
        <w:rPr>
          <w:b/>
          <w:bCs/>
        </w:rPr>
        <w:t>Top Left</w:t>
      </w:r>
      <w:r w:rsidR="00D17A79">
        <w:rPr>
          <w:b/>
          <w:bCs/>
        </w:rPr>
        <w:t>:</w:t>
      </w:r>
      <w:r w:rsidRPr="00EE7A3C">
        <w:t xml:space="preserve"> Corning Museum of Glass Extension, 1980; </w:t>
      </w:r>
      <w:r w:rsidR="00D17A79" w:rsidRPr="00634CD9">
        <w:rPr>
          <w:b/>
          <w:bCs/>
        </w:rPr>
        <w:t>Bottom Left</w:t>
      </w:r>
      <w:r w:rsidR="00D17A79">
        <w:t>:</w:t>
      </w:r>
      <w:r w:rsidRPr="00EE7A3C">
        <w:t xml:space="preserve"> Federal Reserve Bank, Minneapolis, 1973; </w:t>
      </w:r>
      <w:r w:rsidR="0071390D" w:rsidRPr="00634CD9">
        <w:rPr>
          <w:b/>
          <w:bCs/>
        </w:rPr>
        <w:t>Right:</w:t>
      </w:r>
      <w:r w:rsidR="0071390D">
        <w:t xml:space="preserve"> </w:t>
      </w:r>
      <w:r w:rsidRPr="00EE7A3C">
        <w:t>Portrait of the architect</w:t>
      </w:r>
    </w:p>
    <w:p w14:paraId="295F3400" w14:textId="77777777" w:rsidR="00A019B1" w:rsidRPr="00633894" w:rsidRDefault="00A019B1" w:rsidP="0015136E">
      <w:pPr>
        <w:spacing w:before="120" w:after="120"/>
      </w:pPr>
    </w:p>
    <w:p w14:paraId="00000015" w14:textId="386518F6" w:rsidR="00512BDD" w:rsidRPr="00BE6621" w:rsidRDefault="00000000" w:rsidP="00634CD9">
      <w:pPr>
        <w:pStyle w:val="Heading2"/>
        <w:rPr>
          <w:sz w:val="22"/>
          <w:szCs w:val="22"/>
        </w:rPr>
      </w:pPr>
      <w:bookmarkStart w:id="5" w:name="_Toc226147781"/>
      <w:r w:rsidRPr="00BE6621">
        <w:rPr>
          <w:sz w:val="22"/>
          <w:szCs w:val="22"/>
          <w:u w:val="single"/>
        </w:rPr>
        <w:t>Context: Location and Urban Setting</w:t>
      </w:r>
      <w:bookmarkEnd w:id="5"/>
    </w:p>
    <w:p w14:paraId="00000016" w14:textId="309C87F6" w:rsidR="00512BDD" w:rsidRPr="00633894" w:rsidRDefault="00000000" w:rsidP="0015136E">
      <w:pPr>
        <w:spacing w:before="120" w:after="120"/>
      </w:pPr>
      <w:r w:rsidRPr="00633894">
        <w:t xml:space="preserve">The Latvian National Library is located in Riga, Latvia’s </w:t>
      </w:r>
      <w:r w:rsidR="004F4C5B" w:rsidRPr="00633894">
        <w:t>c</w:t>
      </w:r>
      <w:r w:rsidRPr="00633894">
        <w:t xml:space="preserve">apital </w:t>
      </w:r>
      <w:r w:rsidR="004F4C5B" w:rsidRPr="00633894">
        <w:t>c</w:t>
      </w:r>
      <w:r w:rsidRPr="00633894">
        <w:t>ity, on the left bank of the Daugava River</w:t>
      </w:r>
      <w:r w:rsidR="00400B9E" w:rsidRPr="00633894">
        <w:t xml:space="preserve"> (Neighborhood.lv, n.d.)</w:t>
      </w:r>
      <w:r w:rsidRPr="00633894">
        <w:t>, directly opposite the historic medieval Old Town</w:t>
      </w:r>
      <w:r w:rsidR="00F077D8" w:rsidRPr="00633894">
        <w:t xml:space="preserve"> (Valters </w:t>
      </w:r>
      <w:proofErr w:type="gramStart"/>
      <w:r w:rsidR="00F077D8" w:rsidRPr="00633894">
        <w:t>un Rapa</w:t>
      </w:r>
      <w:proofErr w:type="gramEnd"/>
      <w:r w:rsidR="00F077D8" w:rsidRPr="00633894">
        <w:t xml:space="preserve">, n.d.; </w:t>
      </w:r>
      <w:r w:rsidR="0099102B" w:rsidRPr="00633894">
        <w:t>Latvian National Library (n.d.)</w:t>
      </w:r>
      <w:r w:rsidR="00F077D8" w:rsidRPr="00633894">
        <w:t>)</w:t>
      </w:r>
      <w:r w:rsidRPr="00633894">
        <w:t>. This location is fundamental to its meaning, as it physically and visually serves as a threshold between historical memory and contemporary national identity, connecting the inherited imperial past and the reconstructed present.</w:t>
      </w:r>
    </w:p>
    <w:p w14:paraId="00000017" w14:textId="5CD347D2" w:rsidR="00512BDD" w:rsidRPr="00633894" w:rsidRDefault="00000000" w:rsidP="0015136E">
      <w:pPr>
        <w:spacing w:before="120" w:after="120"/>
      </w:pPr>
      <w:r w:rsidRPr="00633894">
        <w:t>During the nineteenth and early twentieth centuries, as Riga expanded as an important Baltic port</w:t>
      </w:r>
      <w:r w:rsidR="00613736" w:rsidRPr="00633894">
        <w:t xml:space="preserve"> </w:t>
      </w:r>
      <w:r w:rsidRPr="00633894">
        <w:t xml:space="preserve">within the Russian Empire, </w:t>
      </w:r>
      <w:r w:rsidR="000B72D2" w:rsidRPr="00633894">
        <w:t xml:space="preserve">industrial </w:t>
      </w:r>
      <w:r w:rsidRPr="00633894">
        <w:t>infrastructure developed along the riverbanks. The left bank, therefore, became associated with industry, transport infrastructure, and working-class neighbourhoods rather than cultural or administrative institutions. This spatial pattern largely continued during the Soviet period and, as a result, the river functioned not only as a geographical boundary but also as a symbolic division between the historic centre of the city and the more utilitarian landscapes of the twentieth century. Therefore, even though connected by several bridges, with the site of the library mere 800 m from the guild hall and the main city square, it would be described as a suburb.</w:t>
      </w:r>
    </w:p>
    <w:p w14:paraId="00000018" w14:textId="77777777" w:rsidR="00512BDD" w:rsidRPr="00633894" w:rsidRDefault="00000000" w:rsidP="0015136E">
      <w:pPr>
        <w:spacing w:before="120" w:after="120"/>
      </w:pPr>
      <w:r w:rsidRPr="00633894">
        <w:t>Following the restoration of Latvian independence in 1991, however, the urban role of the left bank began to change significantly. The newly independent state sought to redefine Riga’s urban identity and to create new cultural and governmental institutions that would reflect Latvia’s renewed sovereignty. The library anchors a new cultural district intended to include government and educational buildings. According to Birkerts, the planning approach also aimed to protect Riga’s Old Town from overdevelopment, working in cooperation with UNESCO guidelines for heritage preservation (Cohn, 2010), playing a role in managing urban heritage pressures. Thus, from its conception, the library was not merely a building but part of a strategic urban and political landscape intervention.</w:t>
      </w:r>
    </w:p>
    <w:p w14:paraId="00000019" w14:textId="77777777" w:rsidR="00512BDD" w:rsidRPr="00633894" w:rsidRDefault="00000000" w:rsidP="0015136E">
      <w:pPr>
        <w:spacing w:before="120" w:after="120"/>
      </w:pPr>
      <w:r w:rsidRPr="00633894">
        <w:t xml:space="preserve">The synthesis of these influences is visible in the National Library of Latvia, </w:t>
      </w:r>
      <w:proofErr w:type="gramStart"/>
      <w:r w:rsidRPr="00633894">
        <w:t>where</w:t>
      </w:r>
      <w:proofErr w:type="gramEnd"/>
      <w:r w:rsidRPr="00633894">
        <w:t xml:space="preserve"> modernism merges with symbolism.</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716"/>
        <w:gridCol w:w="4313"/>
      </w:tblGrid>
      <w:tr w:rsidR="00014E87" w14:paraId="009B1C5B" w14:textId="77777777" w:rsidTr="00014E87">
        <w:tc>
          <w:tcPr>
            <w:tcW w:w="4509" w:type="dxa"/>
          </w:tcPr>
          <w:p w14:paraId="6E9F1429" w14:textId="762B1CF5" w:rsidR="00C028A0" w:rsidRDefault="00C028A0" w:rsidP="0015136E">
            <w:pPr>
              <w:spacing w:before="120" w:after="120"/>
            </w:pPr>
            <w:r>
              <w:rPr>
                <w:noProof/>
              </w:rPr>
              <w:drawing>
                <wp:inline distT="0" distB="0" distL="0" distR="0" wp14:anchorId="1855A18B" wp14:editId="56A5BAC2">
                  <wp:extent cx="2857500" cy="1815647"/>
                  <wp:effectExtent l="0" t="0" r="0" b="0"/>
                  <wp:docPr id="184845904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877331" cy="1828247"/>
                          </a:xfrm>
                          <a:prstGeom prst="rect">
                            <a:avLst/>
                          </a:prstGeom>
                          <a:noFill/>
                          <a:ln>
                            <a:noFill/>
                          </a:ln>
                        </pic:spPr>
                      </pic:pic>
                    </a:graphicData>
                  </a:graphic>
                </wp:inline>
              </w:drawing>
            </w:r>
          </w:p>
        </w:tc>
        <w:tc>
          <w:tcPr>
            <w:tcW w:w="4510" w:type="dxa"/>
          </w:tcPr>
          <w:p w14:paraId="67D56546" w14:textId="7C19EC4E" w:rsidR="00C028A0" w:rsidRDefault="00023887" w:rsidP="0015136E">
            <w:pPr>
              <w:spacing w:before="120" w:after="120"/>
            </w:pPr>
            <w:r>
              <w:rPr>
                <w:noProof/>
              </w:rPr>
              <w:drawing>
                <wp:inline distT="0" distB="0" distL="0" distR="0" wp14:anchorId="5D6565A3" wp14:editId="482BE2B9">
                  <wp:extent cx="2545080" cy="1785981"/>
                  <wp:effectExtent l="0" t="0" r="7620" b="5080"/>
                  <wp:docPr id="143849197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576679" cy="1808155"/>
                          </a:xfrm>
                          <a:prstGeom prst="rect">
                            <a:avLst/>
                          </a:prstGeom>
                          <a:noFill/>
                          <a:ln>
                            <a:noFill/>
                          </a:ln>
                        </pic:spPr>
                      </pic:pic>
                    </a:graphicData>
                  </a:graphic>
                </wp:inline>
              </w:drawing>
            </w:r>
          </w:p>
        </w:tc>
      </w:tr>
    </w:tbl>
    <w:p w14:paraId="0000001A" w14:textId="74BF0EC7" w:rsidR="00512BDD" w:rsidRDefault="00014E87" w:rsidP="00634CD9">
      <w:pPr>
        <w:pStyle w:val="Caption"/>
      </w:pPr>
      <w:r>
        <w:t xml:space="preserve">Figure </w:t>
      </w:r>
      <w:fldSimple w:instr=" SEQ Figure \* ARABIC ">
        <w:r w:rsidR="00704650">
          <w:rPr>
            <w:noProof/>
          </w:rPr>
          <w:t>3</w:t>
        </w:r>
      </w:fldSimple>
      <w:r>
        <w:t xml:space="preserve"> </w:t>
      </w:r>
      <w:r w:rsidRPr="005312FE">
        <w:t xml:space="preserve">The Latvian National Library in its urban context. </w:t>
      </w:r>
      <w:r w:rsidRPr="00634CD9">
        <w:rPr>
          <w:b/>
          <w:bCs/>
        </w:rPr>
        <w:t>Left</w:t>
      </w:r>
      <w:r w:rsidRPr="005312FE">
        <w:t xml:space="preserve">: Site context within the urban fabric. </w:t>
      </w:r>
      <w:r w:rsidRPr="00634CD9">
        <w:rPr>
          <w:b/>
          <w:bCs/>
        </w:rPr>
        <w:t>Right</w:t>
      </w:r>
      <w:r w:rsidRPr="005312FE">
        <w:t>: Elevation view from the Daugava River right bank.</w:t>
      </w:r>
    </w:p>
    <w:p w14:paraId="31EA1F18" w14:textId="77777777" w:rsidR="00D741E5" w:rsidRDefault="00D741E5" w:rsidP="00D741E5">
      <w:pPr>
        <w:spacing w:before="120" w:after="120"/>
        <w:rPr>
          <w:u w:val="single"/>
        </w:rPr>
      </w:pPr>
    </w:p>
    <w:p w14:paraId="54ED6EE2" w14:textId="77777777" w:rsidR="00D741E5" w:rsidRDefault="00D741E5" w:rsidP="00D741E5">
      <w:pPr>
        <w:spacing w:before="120" w:after="120"/>
      </w:pPr>
    </w:p>
    <w:p w14:paraId="18673048" w14:textId="77777777" w:rsidR="00B86B72" w:rsidRDefault="00B86B72" w:rsidP="00D741E5">
      <w:pPr>
        <w:spacing w:before="120" w:after="120"/>
      </w:pPr>
    </w:p>
    <w:p w14:paraId="67FC4F88" w14:textId="77777777" w:rsidR="00BE6621" w:rsidRDefault="00BE6621" w:rsidP="00D741E5">
      <w:pPr>
        <w:spacing w:before="120" w:after="120"/>
      </w:pPr>
    </w:p>
    <w:p w14:paraId="2FC38FBD" w14:textId="77777777" w:rsidR="00BE6621" w:rsidRDefault="00BE6621" w:rsidP="00D741E5">
      <w:pPr>
        <w:spacing w:before="120" w:after="120"/>
      </w:pPr>
    </w:p>
    <w:p w14:paraId="60F9C1AA" w14:textId="77777777" w:rsidR="00BE6621" w:rsidRPr="00431BAB" w:rsidRDefault="00BE6621" w:rsidP="00D741E5">
      <w:pPr>
        <w:spacing w:before="120" w:after="120"/>
      </w:pPr>
    </w:p>
    <w:p w14:paraId="0000001B" w14:textId="77777777" w:rsidR="00512BDD" w:rsidRPr="00634CD9" w:rsidRDefault="00000000" w:rsidP="00634CD9">
      <w:pPr>
        <w:pStyle w:val="Heading2"/>
        <w:rPr>
          <w:sz w:val="22"/>
          <w:szCs w:val="22"/>
          <w:u w:val="single"/>
        </w:rPr>
      </w:pPr>
      <w:bookmarkStart w:id="6" w:name="_ao4odc66zu0m" w:colFirst="0" w:colLast="0"/>
      <w:bookmarkStart w:id="7" w:name="_Toc226147782"/>
      <w:bookmarkEnd w:id="6"/>
      <w:r w:rsidRPr="00634CD9">
        <w:rPr>
          <w:sz w:val="22"/>
          <w:szCs w:val="22"/>
          <w:u w:val="single"/>
        </w:rPr>
        <w:t>History: The Long Development of the Latvian National Library</w:t>
      </w:r>
      <w:bookmarkEnd w:id="7"/>
    </w:p>
    <w:p w14:paraId="0000001D" w14:textId="3C857A0F" w:rsidR="00512BDD" w:rsidRPr="00633894" w:rsidRDefault="00000000" w:rsidP="0015136E">
      <w:pPr>
        <w:spacing w:before="120" w:after="120"/>
      </w:pPr>
      <w:r w:rsidRPr="00633894">
        <w:t>The construction of a purpose-built national library in Latvia was a long and complex process that extended across nearly a century. The need for a dedicated building for the Latvian National Library was first formally expressed in 1928, during the period of Latvia’s first independence following the establishment of the Latvian state in 1918 and the birth of the National Library a year later. At this time, the library’s collections were expanding rapidly, yet the institution lacked a permanent architectural home suitable for preserving books and providing public access to knowledge.</w:t>
      </w:r>
    </w:p>
    <w:p w14:paraId="0000001E" w14:textId="77777777" w:rsidR="00512BDD" w:rsidRPr="00633894" w:rsidRDefault="00000000" w:rsidP="0015136E">
      <w:pPr>
        <w:spacing w:before="120" w:after="120"/>
      </w:pPr>
      <w:r w:rsidRPr="00633894">
        <w:t xml:space="preserve">Instead, for nearly one hundred years, the library had to adapt to a wide variety of unsuitable buildings (a total of 38 addresses), never designed for library use. </w:t>
      </w:r>
      <w:proofErr w:type="gramStart"/>
      <w:r w:rsidRPr="00633894">
        <w:t>These included basements,</w:t>
      </w:r>
      <w:proofErr w:type="gramEnd"/>
      <w:r w:rsidRPr="00633894">
        <w:t xml:space="preserve"> adapted residential houses, factory hangars and old bank buildings. Such improvised spaces created significant challenges for both the preservation of the library collection and the functioning of the institution as a public cultural centre.</w:t>
      </w:r>
    </w:p>
    <w:p w14:paraId="0000001F" w14:textId="77777777" w:rsidR="00512BDD" w:rsidRPr="00633894" w:rsidRDefault="00000000" w:rsidP="0015136E">
      <w:pPr>
        <w:spacing w:before="120" w:after="120"/>
      </w:pPr>
      <w:r w:rsidRPr="00633894">
        <w:t>The situation became even more complicated after the Soviet occupation of Latvia in 1940 and the subsequent incorporation of the country into the Soviet Union. Cultural institutions such as the national library continued to operate, but their development was limited by centralised planning structures and shifting political priorities.</w:t>
      </w:r>
    </w:p>
    <w:p w14:paraId="00000020" w14:textId="77777777" w:rsidR="00512BDD" w:rsidRPr="00633894" w:rsidRDefault="00000000" w:rsidP="0015136E">
      <w:pPr>
        <w:spacing w:before="120" w:after="120"/>
      </w:pPr>
      <w:r w:rsidRPr="00633894">
        <w:t>The first significant attempt to address this issue occurred in 1966, when a possible site for a future national library building was officially announced. However, despite initial planning discussions, the project did not progress beyond the early stages. The absence of a purpose-built library, therefore, reflected not only architectural shortcomings but also broader political and economic instability in the region.</w:t>
      </w:r>
    </w:p>
    <w:p w14:paraId="00000021" w14:textId="77777777" w:rsidR="00512BDD" w:rsidRPr="00633894" w:rsidRDefault="00000000" w:rsidP="0015136E">
      <w:pPr>
        <w:spacing w:before="120" w:after="120"/>
      </w:pPr>
      <w:r w:rsidRPr="00633894">
        <w:t xml:space="preserve">A decisive turning point occurred in the late 1980s during the political transformation that preceded the collapse of the Soviet Union. In 1988, during the period of political reform and national awakening known in Latvia as the </w:t>
      </w:r>
      <w:proofErr w:type="spellStart"/>
      <w:r w:rsidRPr="00633894">
        <w:rPr>
          <w:i/>
          <w:iCs/>
        </w:rPr>
        <w:t>Atmoda</w:t>
      </w:r>
      <w:proofErr w:type="spellEnd"/>
      <w:r w:rsidRPr="00633894">
        <w:t xml:space="preserve"> (Awakening), the idea of building a national library re-emerged. At this time, cultural institutions became increasingly important symbols of national identity and intellectual independence. A design competition for the new library building was therefore organised, representing not only an architectural project but also a broader cultural and political statement about Latvia’s future.</w:t>
      </w:r>
    </w:p>
    <w:p w14:paraId="00000028" w14:textId="401C372E" w:rsidR="00512BDD" w:rsidRDefault="00000000" w:rsidP="0015136E">
      <w:pPr>
        <w:spacing w:before="120" w:after="120"/>
      </w:pPr>
      <w:r w:rsidRPr="00633894">
        <w:t>In January 1989, the public was introduced to the first conceptual sketches for the building designed by Latvian-born architect Gunārs Birkerts. His proposal, which later became known as the “Castle of Light” (</w:t>
      </w:r>
      <w:proofErr w:type="spellStart"/>
      <w:r w:rsidRPr="00633894">
        <w:rPr>
          <w:i/>
          <w:iCs/>
        </w:rPr>
        <w:t>Gaismas</w:t>
      </w:r>
      <w:proofErr w:type="spellEnd"/>
      <w:r w:rsidRPr="00633894">
        <w:rPr>
          <w:i/>
          <w:iCs/>
        </w:rPr>
        <w:t xml:space="preserve"> </w:t>
      </w:r>
      <w:proofErr w:type="spellStart"/>
      <w:r w:rsidRPr="00633894">
        <w:rPr>
          <w:i/>
          <w:iCs/>
        </w:rPr>
        <w:t>pils</w:t>
      </w:r>
      <w:proofErr w:type="spellEnd"/>
      <w:r w:rsidRPr="00633894">
        <w:t>), immediately distinguished itself through its strong symbolic architectural language. Inspired by Latvian folklore and particularly the mythological image of a glass mountain, the design presented architecture as a metaphor for the nation’s historical struggle and cultural revival.</w:t>
      </w:r>
    </w:p>
    <w:tbl>
      <w:tblPr>
        <w:tblStyle w:val="TableGrid"/>
        <w:tblW w:w="0" w:type="auto"/>
        <w:tblLook w:val="04A0" w:firstRow="1" w:lastRow="0" w:firstColumn="1" w:lastColumn="0" w:noHBand="0" w:noVBand="1"/>
      </w:tblPr>
      <w:tblGrid>
        <w:gridCol w:w="4507"/>
        <w:gridCol w:w="4512"/>
      </w:tblGrid>
      <w:tr w:rsidR="001E47CA" w14:paraId="3D9429EC" w14:textId="77777777" w:rsidTr="001E47CA">
        <w:tc>
          <w:tcPr>
            <w:tcW w:w="4521" w:type="dxa"/>
          </w:tcPr>
          <w:p w14:paraId="50BB0E6E" w14:textId="6588A4BD" w:rsidR="008E2367" w:rsidRDefault="003D2AF0" w:rsidP="0015136E">
            <w:pPr>
              <w:spacing w:before="120" w:after="120"/>
            </w:pPr>
            <w:r>
              <w:rPr>
                <w:noProof/>
              </w:rPr>
              <w:lastRenderedPageBreak/>
              <w:drawing>
                <wp:inline distT="0" distB="0" distL="0" distR="0" wp14:anchorId="02AB66CE" wp14:editId="2759C087">
                  <wp:extent cx="2560320" cy="3498924"/>
                  <wp:effectExtent l="0" t="0" r="0" b="6350"/>
                  <wp:docPr id="125041507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588009" cy="3536764"/>
                          </a:xfrm>
                          <a:prstGeom prst="rect">
                            <a:avLst/>
                          </a:prstGeom>
                          <a:noFill/>
                          <a:ln>
                            <a:noFill/>
                          </a:ln>
                        </pic:spPr>
                      </pic:pic>
                    </a:graphicData>
                  </a:graphic>
                </wp:inline>
              </w:drawing>
            </w:r>
          </w:p>
        </w:tc>
        <w:tc>
          <w:tcPr>
            <w:tcW w:w="4498" w:type="dxa"/>
          </w:tcPr>
          <w:p w14:paraId="2C75A0E0" w14:textId="77777777" w:rsidR="008E2367" w:rsidRDefault="003816FE" w:rsidP="0015136E">
            <w:pPr>
              <w:spacing w:before="120" w:after="120"/>
            </w:pPr>
            <w:r>
              <w:rPr>
                <w:noProof/>
              </w:rPr>
              <w:drawing>
                <wp:inline distT="0" distB="0" distL="0" distR="0" wp14:anchorId="3AEB4CAB" wp14:editId="4ACFB70F">
                  <wp:extent cx="2651760" cy="1988893"/>
                  <wp:effectExtent l="0" t="0" r="0" b="0"/>
                  <wp:docPr id="22693817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684459" cy="2013418"/>
                          </a:xfrm>
                          <a:prstGeom prst="rect">
                            <a:avLst/>
                          </a:prstGeom>
                          <a:noFill/>
                          <a:ln>
                            <a:noFill/>
                          </a:ln>
                        </pic:spPr>
                      </pic:pic>
                    </a:graphicData>
                  </a:graphic>
                </wp:inline>
              </w:drawing>
            </w:r>
          </w:p>
          <w:p w14:paraId="33256B5A" w14:textId="5DF50A0F" w:rsidR="001E47CA" w:rsidRDefault="001E47CA" w:rsidP="0015136E">
            <w:pPr>
              <w:spacing w:before="120" w:after="120"/>
            </w:pPr>
            <w:r>
              <w:rPr>
                <w:noProof/>
              </w:rPr>
              <w:drawing>
                <wp:inline distT="0" distB="0" distL="0" distR="0" wp14:anchorId="2DC7BBD7" wp14:editId="05F2B328">
                  <wp:extent cx="2727960" cy="2164274"/>
                  <wp:effectExtent l="0" t="0" r="0" b="7620"/>
                  <wp:docPr id="144639762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763763" cy="2192679"/>
                          </a:xfrm>
                          <a:prstGeom prst="rect">
                            <a:avLst/>
                          </a:prstGeom>
                          <a:noFill/>
                          <a:ln>
                            <a:noFill/>
                          </a:ln>
                        </pic:spPr>
                      </pic:pic>
                    </a:graphicData>
                  </a:graphic>
                </wp:inline>
              </w:drawing>
            </w:r>
          </w:p>
        </w:tc>
      </w:tr>
    </w:tbl>
    <w:p w14:paraId="2D41C888" w14:textId="2DC795BC" w:rsidR="008E2367" w:rsidRDefault="00B6504B" w:rsidP="00634CD9">
      <w:pPr>
        <w:pStyle w:val="Caption"/>
      </w:pPr>
      <w:r>
        <w:t xml:space="preserve">Figure </w:t>
      </w:r>
      <w:fldSimple w:instr=" SEQ Figure \* ARABIC ">
        <w:r w:rsidR="00704650">
          <w:rPr>
            <w:noProof/>
          </w:rPr>
          <w:t>4</w:t>
        </w:r>
      </w:fldSimple>
      <w:r>
        <w:t xml:space="preserve">  </w:t>
      </w:r>
      <w:r w:rsidRPr="00F84FCB">
        <w:t xml:space="preserve">Early site and conceptual development. </w:t>
      </w:r>
      <w:r w:rsidRPr="00634CD9">
        <w:rPr>
          <w:b/>
          <w:bCs/>
        </w:rPr>
        <w:t>Left</w:t>
      </w:r>
      <w:r w:rsidRPr="00F84FCB">
        <w:t xml:space="preserve">: Early surveyor location for the future National Library. </w:t>
      </w:r>
      <w:r w:rsidRPr="00634CD9">
        <w:rPr>
          <w:b/>
          <w:bCs/>
        </w:rPr>
        <w:t>Right</w:t>
      </w:r>
      <w:r w:rsidRPr="00F84FCB">
        <w:t xml:space="preserve">: Original sketches of the </w:t>
      </w:r>
      <w:proofErr w:type="spellStart"/>
      <w:r w:rsidRPr="00F84FCB">
        <w:t>Gaismas</w:t>
      </w:r>
      <w:proofErr w:type="spellEnd"/>
      <w:r w:rsidRPr="00F84FCB">
        <w:t xml:space="preserve"> </w:t>
      </w:r>
      <w:proofErr w:type="spellStart"/>
      <w:r w:rsidRPr="00F84FCB">
        <w:t>pils</w:t>
      </w:r>
      <w:proofErr w:type="spellEnd"/>
      <w:r w:rsidRPr="00F84FCB">
        <w:t xml:space="preserve"> by Gunārs Birkerts.</w:t>
      </w:r>
    </w:p>
    <w:p w14:paraId="121BD9C8" w14:textId="77777777" w:rsidR="003777DB" w:rsidRPr="00633894" w:rsidRDefault="003777DB" w:rsidP="003777DB">
      <w:pPr>
        <w:spacing w:before="120" w:after="120"/>
      </w:pPr>
      <w:r w:rsidRPr="00633894">
        <w:t xml:space="preserve">As David Cohn notes in </w:t>
      </w:r>
      <w:r w:rsidRPr="00633894">
        <w:rPr>
          <w:i/>
          <w:iCs/>
        </w:rPr>
        <w:t>Architectural Record</w:t>
      </w:r>
      <w:r w:rsidRPr="00633894">
        <w:t xml:space="preserve">, Gunārs Birkerts won the international design competition in 1991, the same year Latvia regained independence from the Soviet Union (Cohn, 2010). This temporal coincidence is critical: the library is not simply post-Soviet architecture, but </w:t>
      </w:r>
      <w:r w:rsidRPr="00633894">
        <w:rPr>
          <w:i/>
          <w:iCs/>
        </w:rPr>
        <w:t>architecture of independence itself</w:t>
      </w:r>
      <w:r w:rsidRPr="00633894">
        <w:t>.</w:t>
      </w:r>
    </w:p>
    <w:p w14:paraId="517E9822" w14:textId="77777777" w:rsidR="003777DB" w:rsidRPr="00633894" w:rsidRDefault="003777DB" w:rsidP="003777DB">
      <w:pPr>
        <w:spacing w:before="120" w:after="120"/>
      </w:pPr>
      <w:r w:rsidRPr="00633894">
        <w:t>Nevertheless, the realisation of the building proved extremely difficult. The newly independent state faced severe economic challenges, and debates over public expenditure repeatedly delayed construction.</w:t>
      </w:r>
    </w:p>
    <w:p w14:paraId="26F59167" w14:textId="0B49409E" w:rsidR="008E2367" w:rsidRPr="00633894" w:rsidRDefault="003777DB" w:rsidP="0015136E">
      <w:pPr>
        <w:spacing w:before="120" w:after="120"/>
      </w:pPr>
      <w:r w:rsidRPr="00633894">
        <w:t>As a result, although the architectural concept was developed in the early 1990s, the building itself was not completed until 2014. The construction process, therefore, lasted more than two decades. This unusually long development period reflects the broader political and economic transformation of Latvia after independence. The library’s construction became intertwined with debates about national priorities, cultural investment, and the symbolic role of architecture in representing the state.</w:t>
      </w:r>
    </w:p>
    <w:p w14:paraId="7F67F3E5" w14:textId="04D5D7C0" w:rsidR="00D20C89" w:rsidRDefault="00000000" w:rsidP="000D2725">
      <w:pPr>
        <w:spacing w:before="360" w:after="360"/>
        <w:rPr>
          <w:u w:val="single"/>
        </w:rPr>
      </w:pPr>
      <w:r w:rsidRPr="00633894">
        <w:t>Despite the long delay of construction, the conceptual integrity of the design remained largely unchanged. Birkerts himself stated that although the building underwent internal modifications, “the shell has not changed” (Cohn, 2010). This continuity is architecturally significant: it suggests that the symbolic framework of the building was strong enough to survive changing political as well as economic conditions.</w:t>
      </w:r>
    </w:p>
    <w:p w14:paraId="672C94FE" w14:textId="4B2873A1" w:rsidR="000D2725" w:rsidRPr="00BE6621" w:rsidRDefault="00000000" w:rsidP="00634CD9">
      <w:pPr>
        <w:pStyle w:val="Heading2"/>
        <w:rPr>
          <w:sz w:val="22"/>
          <w:szCs w:val="22"/>
          <w:u w:val="single"/>
        </w:rPr>
      </w:pPr>
      <w:bookmarkStart w:id="8" w:name="_Toc226147783"/>
      <w:r w:rsidRPr="00BE6621">
        <w:rPr>
          <w:sz w:val="22"/>
          <w:szCs w:val="22"/>
          <w:u w:val="single"/>
        </w:rPr>
        <w:lastRenderedPageBreak/>
        <w:t>Architectural Symbolism: The Glass Mountain and the Castle of Light</w:t>
      </w:r>
      <w:bookmarkEnd w:id="8"/>
    </w:p>
    <w:p w14:paraId="57B50C3D" w14:textId="576886E0" w:rsidR="0064699F" w:rsidRDefault="00000000" w:rsidP="00D20C89">
      <w:pPr>
        <w:spacing w:before="360" w:after="360"/>
      </w:pPr>
      <w:r w:rsidRPr="00633894">
        <w:t>Symbolism is the central conceptual driver of the Latvian National Library. The building's visual story is based on a Latvian folk tale about a glass mountain that heroes must climb to rescue a captive princess. Birkerts explicitly translated this narrative into architectural form.</w:t>
      </w:r>
    </w:p>
    <w:p w14:paraId="0000002E" w14:textId="0A3CC097" w:rsidR="00512BDD" w:rsidRDefault="00000000" w:rsidP="00634CD9">
      <w:pPr>
        <w:spacing w:before="360" w:after="360"/>
      </w:pPr>
      <w:r w:rsidRPr="00633894">
        <w:t xml:space="preserve">As Birkerts explained, the folktale is universally known in Latvia and metaphorically represents the country’s political struggle to break free from Soviet occupation (Cohn, 2010). The architecture, therefore, plays the role of a </w:t>
      </w:r>
      <w:r w:rsidRPr="00633894">
        <w:rPr>
          <w:i/>
          <w:iCs/>
        </w:rPr>
        <w:t>national allegory</w:t>
      </w:r>
      <w:r w:rsidRPr="00633894">
        <w:t>, where spatial form encodes historical memory. The library’s sloping, asymmetrical massing reflects the idea of ascent, struggle, and transformation. Large glass surfaces and reflective materials reinforce themes of fragility and transparency.</w:t>
      </w:r>
    </w:p>
    <w:p w14:paraId="2E47C991" w14:textId="2D09779F" w:rsidR="008825E4" w:rsidRDefault="00626C7D" w:rsidP="00634CD9">
      <w:pPr>
        <w:spacing w:before="120" w:after="120"/>
        <w:jc w:val="center"/>
      </w:pPr>
      <w:r>
        <w:rPr>
          <w:noProof/>
        </w:rPr>
        <w:drawing>
          <wp:inline distT="0" distB="0" distL="0" distR="0" wp14:anchorId="49E2B699" wp14:editId="357CA64B">
            <wp:extent cx="3307080" cy="3307080"/>
            <wp:effectExtent l="0" t="0" r="7620" b="7620"/>
            <wp:docPr id="46653533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307080" cy="3307080"/>
                    </a:xfrm>
                    <a:prstGeom prst="rect">
                      <a:avLst/>
                    </a:prstGeom>
                    <a:noFill/>
                    <a:ln>
                      <a:noFill/>
                    </a:ln>
                  </pic:spPr>
                </pic:pic>
              </a:graphicData>
            </a:graphic>
          </wp:inline>
        </w:drawing>
      </w:r>
    </w:p>
    <w:p w14:paraId="67EA9B6C" w14:textId="46661DB8" w:rsidR="00D20C89" w:rsidRPr="00633894" w:rsidRDefault="00F151F3" w:rsidP="00634CD9">
      <w:pPr>
        <w:pStyle w:val="Caption"/>
      </w:pPr>
      <w:r>
        <w:t xml:space="preserve">Figure </w:t>
      </w:r>
      <w:fldSimple w:instr=" SEQ Figure \* ARABIC ">
        <w:r w:rsidR="00704650">
          <w:rPr>
            <w:noProof/>
          </w:rPr>
          <w:t>5</w:t>
        </w:r>
      </w:fldSimple>
      <w:r>
        <w:t xml:space="preserve">  The Library stands in stark contrast to the urban architectural relics in the foreground</w:t>
      </w:r>
    </w:p>
    <w:p w14:paraId="00000032" w14:textId="615C0B65" w:rsidR="00512BDD" w:rsidRPr="000D2725" w:rsidRDefault="00D20C89" w:rsidP="00634CD9">
      <w:pPr>
        <w:pStyle w:val="Heading2"/>
        <w:keepNext w:val="0"/>
        <w:keepLines w:val="0"/>
        <w:spacing w:before="340" w:after="180"/>
      </w:pPr>
      <w:bookmarkStart w:id="9" w:name="_Toc226147784"/>
      <w:r w:rsidRPr="00FB1AF7">
        <w:rPr>
          <w:sz w:val="22"/>
          <w:szCs w:val="22"/>
          <w:u w:val="single"/>
        </w:rPr>
        <w:t>Materiality</w:t>
      </w:r>
      <w:r w:rsidRPr="00634CD9">
        <w:rPr>
          <w:sz w:val="22"/>
          <w:szCs w:val="22"/>
          <w:u w:val="single"/>
        </w:rPr>
        <w:t>, light and Structural Expression</w:t>
      </w:r>
      <w:bookmarkEnd w:id="9"/>
    </w:p>
    <w:p w14:paraId="00000033" w14:textId="77777777" w:rsidR="00512BDD" w:rsidRPr="00633894" w:rsidRDefault="00000000" w:rsidP="0015136E">
      <w:pPr>
        <w:spacing w:before="120" w:after="120"/>
      </w:pPr>
      <w:r w:rsidRPr="00633894">
        <w:t>The building combines reinforced concrete, steel, and glass in a deliberately expressive composition. It seems like each material carries symbolic weight - concrete representing permanence and historical grounding, steel enabling the dynamic structural geometry of the sloping form, while glass introduces transparency and fragility, reinforcing the metaphor of openness and knowledge.</w:t>
      </w:r>
    </w:p>
    <w:p w14:paraId="00000034" w14:textId="77777777" w:rsidR="00512BDD" w:rsidRPr="00633894" w:rsidRDefault="00000000" w:rsidP="0015136E">
      <w:pPr>
        <w:spacing w:before="120" w:after="120"/>
      </w:pPr>
      <w:r w:rsidRPr="00633894">
        <w:t>Internally, warmer materials such as wood are used to humanise the scale of the vast interior spaces. This contrast between monumental exterior and tactile interior creates a layered architectural experience.</w:t>
      </w:r>
    </w:p>
    <w:p w14:paraId="00000035" w14:textId="77777777" w:rsidR="00512BDD" w:rsidRDefault="00000000" w:rsidP="0015136E">
      <w:pPr>
        <w:spacing w:before="120" w:after="120"/>
      </w:pPr>
      <w:r w:rsidRPr="00633894">
        <w:t xml:space="preserve">Light plays a critical role in shaping perception. It filters through glass and structural elements, constantly changing throughout the day. FX Design describes this as a dynamic </w:t>
      </w:r>
      <w:r w:rsidRPr="00633894">
        <w:lastRenderedPageBreak/>
        <w:t>environment where light and structure interact to produce shifting atmospheres (FX Design, 2013).</w:t>
      </w:r>
    </w:p>
    <w:p w14:paraId="75208D64" w14:textId="77777777" w:rsidR="00793948" w:rsidRDefault="00793948" w:rsidP="0015136E">
      <w:pPr>
        <w:spacing w:before="120" w:after="120"/>
      </w:pPr>
    </w:p>
    <w:p w14:paraId="479E20B4" w14:textId="563EE80F" w:rsidR="002C57F5" w:rsidRDefault="00793948" w:rsidP="0015136E">
      <w:pPr>
        <w:spacing w:before="120" w:after="120"/>
      </w:pPr>
      <w:r>
        <w:rPr>
          <w:noProof/>
        </w:rPr>
        <w:drawing>
          <wp:inline distT="0" distB="0" distL="0" distR="0" wp14:anchorId="3F4722EB" wp14:editId="2B7A7A31">
            <wp:extent cx="5733415" cy="2962910"/>
            <wp:effectExtent l="0" t="0" r="635" b="8890"/>
            <wp:docPr id="23204281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3415" cy="2962910"/>
                    </a:xfrm>
                    <a:prstGeom prst="rect">
                      <a:avLst/>
                    </a:prstGeom>
                    <a:noFill/>
                    <a:ln>
                      <a:noFill/>
                    </a:ln>
                  </pic:spPr>
                </pic:pic>
              </a:graphicData>
            </a:graphic>
          </wp:inline>
        </w:drawing>
      </w:r>
    </w:p>
    <w:p w14:paraId="1F2C1008" w14:textId="4621F38E" w:rsidR="00793948" w:rsidRPr="00633894" w:rsidRDefault="002E1D1C" w:rsidP="00634CD9">
      <w:pPr>
        <w:pStyle w:val="Caption"/>
      </w:pPr>
      <w:r>
        <w:t xml:space="preserve">Figure </w:t>
      </w:r>
      <w:fldSimple w:instr=" SEQ Figure \* ARABIC ">
        <w:r w:rsidR="00704650">
          <w:rPr>
            <w:noProof/>
          </w:rPr>
          <w:t>6</w:t>
        </w:r>
      </w:fldSimple>
      <w:r>
        <w:t xml:space="preserve">  Interior of the Library (Notice the bookshelves on the left)</w:t>
      </w:r>
    </w:p>
    <w:p w14:paraId="00000036" w14:textId="77777777" w:rsidR="00512BDD" w:rsidRPr="00634CD9" w:rsidRDefault="00000000" w:rsidP="00634CD9">
      <w:pPr>
        <w:pStyle w:val="Heading2"/>
        <w:keepNext w:val="0"/>
        <w:keepLines w:val="0"/>
        <w:spacing w:before="340" w:after="180"/>
        <w:rPr>
          <w:u w:val="single"/>
        </w:rPr>
      </w:pPr>
      <w:bookmarkStart w:id="10" w:name="_Toc226147785"/>
      <w:r w:rsidRPr="00634CD9">
        <w:rPr>
          <w:sz w:val="22"/>
          <w:szCs w:val="22"/>
          <w:u w:val="single"/>
        </w:rPr>
        <w:t>Spatial Experience and Phenomenology</w:t>
      </w:r>
      <w:bookmarkEnd w:id="10"/>
    </w:p>
    <w:p w14:paraId="00000037" w14:textId="180EE8CD" w:rsidR="00512BDD" w:rsidRPr="00633894" w:rsidRDefault="00000000" w:rsidP="0015136E">
      <w:pPr>
        <w:spacing w:before="120" w:after="120"/>
      </w:pPr>
      <w:r w:rsidRPr="00633894">
        <w:t>The interior of the library is organised around a vast central atrium that extends vertically through the building. This space functions as both a structural and symbolic core</w:t>
      </w:r>
      <w:r w:rsidR="0054123A" w:rsidRPr="00633894">
        <w:t xml:space="preserve"> (De Gruyter, 2026)</w:t>
      </w:r>
      <w:r w:rsidRPr="00633894">
        <w:t>.</w:t>
      </w:r>
    </w:p>
    <w:p w14:paraId="00000038" w14:textId="77777777" w:rsidR="00512BDD" w:rsidRPr="00633894" w:rsidRDefault="00000000" w:rsidP="0015136E">
      <w:pPr>
        <w:spacing w:before="120" w:after="120"/>
      </w:pPr>
      <w:r w:rsidRPr="00633894">
        <w:t>In the phenomenological theory of architecture, developed by thinkers such as Christian Norberg-Schulz and Juhani Pallasmaa, the idea of ​​architecture as an art of experience is essential. Architecture is not just an object, but a spatial situation in which a person perceives, feels and interprets the environment. In the case of the National Library of Latvia, this experience is carefully constructed.</w:t>
      </w:r>
    </w:p>
    <w:p w14:paraId="00000039" w14:textId="77777777" w:rsidR="00512BDD" w:rsidRPr="00633894" w:rsidRDefault="00000000" w:rsidP="0015136E">
      <w:pPr>
        <w:spacing w:before="120" w:after="120"/>
      </w:pPr>
      <w:r w:rsidRPr="00633894">
        <w:t>Upon entering the building, the visitor finds themself in a space that initially seems relatively closed and even somewhat heavy. This spatial compression creates a contrast with the further experience - a gradual opening and expansion of the space. This creates a dramatic experiential shift that mirrors intellectual discovery.</w:t>
      </w:r>
    </w:p>
    <w:p w14:paraId="658EAF9F" w14:textId="21942A65" w:rsidR="00916DF3" w:rsidRPr="00633894" w:rsidRDefault="00000000" w:rsidP="0015136E">
      <w:pPr>
        <w:spacing w:before="120" w:after="120"/>
      </w:pPr>
      <w:r w:rsidRPr="00633894">
        <w:t>The central atrium becomes the main phenomenological space, where light, movement and the vertical dimension converge. Here, the user experiences the space as a dynamic and changing environment. The light that flows through the glass structures is constantly changing, creating different atmospheric states. This change reinforces the awareness of time and presence, which is an essential part of the phenomenological experience.</w:t>
      </w:r>
    </w:p>
    <w:tbl>
      <w:tblPr>
        <w:tblStyle w:val="TableGrid"/>
        <w:tblW w:w="0" w:type="auto"/>
        <w:jc w:val="center"/>
        <w:tblLook w:val="04A0" w:firstRow="1" w:lastRow="0" w:firstColumn="1" w:lastColumn="0" w:noHBand="0" w:noVBand="1"/>
      </w:tblPr>
      <w:tblGrid>
        <w:gridCol w:w="8256"/>
      </w:tblGrid>
      <w:tr w:rsidR="00704650" w14:paraId="22B24372" w14:textId="77777777" w:rsidTr="00634CD9">
        <w:trPr>
          <w:jc w:val="center"/>
        </w:trPr>
        <w:tc>
          <w:tcPr>
            <w:tcW w:w="4575" w:type="dxa"/>
          </w:tcPr>
          <w:p w14:paraId="3F4437D2" w14:textId="775D2B7D" w:rsidR="00704650" w:rsidRDefault="00C337E3" w:rsidP="0015136E">
            <w:pPr>
              <w:spacing w:before="120" w:after="120"/>
            </w:pPr>
            <w:r>
              <w:rPr>
                <w:noProof/>
              </w:rPr>
              <w:lastRenderedPageBreak/>
              <w:drawing>
                <wp:inline distT="0" distB="0" distL="0" distR="0" wp14:anchorId="5745B729" wp14:editId="2FBFF9A8">
                  <wp:extent cx="5105400" cy="3829191"/>
                  <wp:effectExtent l="0" t="0" r="0" b="0"/>
                  <wp:docPr id="179609031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117715" cy="3838427"/>
                          </a:xfrm>
                          <a:prstGeom prst="rect">
                            <a:avLst/>
                          </a:prstGeom>
                          <a:noFill/>
                          <a:ln>
                            <a:noFill/>
                          </a:ln>
                        </pic:spPr>
                      </pic:pic>
                    </a:graphicData>
                  </a:graphic>
                </wp:inline>
              </w:drawing>
            </w:r>
          </w:p>
        </w:tc>
      </w:tr>
      <w:tr w:rsidR="00704650" w14:paraId="502DB7E8" w14:textId="77777777" w:rsidTr="00634CD9">
        <w:trPr>
          <w:jc w:val="center"/>
        </w:trPr>
        <w:tc>
          <w:tcPr>
            <w:tcW w:w="4575" w:type="dxa"/>
          </w:tcPr>
          <w:p w14:paraId="759323DA" w14:textId="0E7C70F1" w:rsidR="00704650" w:rsidRDefault="00592E49" w:rsidP="0015136E">
            <w:pPr>
              <w:spacing w:before="120" w:after="120"/>
              <w:rPr>
                <w:noProof/>
              </w:rPr>
            </w:pPr>
            <w:r>
              <w:rPr>
                <w:noProof/>
              </w:rPr>
              <w:drawing>
                <wp:inline distT="0" distB="0" distL="0" distR="0" wp14:anchorId="56A7899D" wp14:editId="352BEF53">
                  <wp:extent cx="5099091" cy="2511425"/>
                  <wp:effectExtent l="0" t="0" r="6350" b="3175"/>
                  <wp:docPr id="47401936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108849" cy="2516231"/>
                          </a:xfrm>
                          <a:prstGeom prst="rect">
                            <a:avLst/>
                          </a:prstGeom>
                          <a:noFill/>
                          <a:ln>
                            <a:noFill/>
                          </a:ln>
                        </pic:spPr>
                      </pic:pic>
                    </a:graphicData>
                  </a:graphic>
                </wp:inline>
              </w:drawing>
            </w:r>
          </w:p>
        </w:tc>
      </w:tr>
    </w:tbl>
    <w:p w14:paraId="0000003B" w14:textId="12EB87FB" w:rsidR="00512BDD" w:rsidRDefault="00704650" w:rsidP="00634CD9">
      <w:pPr>
        <w:pStyle w:val="Caption"/>
      </w:pPr>
      <w:r>
        <w:t xml:space="preserve">Figure </w:t>
      </w:r>
      <w:fldSimple w:instr=" SEQ Figure \* ARABIC ">
        <w:r>
          <w:rPr>
            <w:noProof/>
          </w:rPr>
          <w:t>7</w:t>
        </w:r>
      </w:fldSimple>
      <w:r>
        <w:t xml:space="preserve"> </w:t>
      </w:r>
      <w:r w:rsidR="00592E49">
        <w:rPr>
          <w:b/>
          <w:bCs/>
        </w:rPr>
        <w:t>Top</w:t>
      </w:r>
      <w:r w:rsidRPr="007768E8">
        <w:t xml:space="preserve">: The main entrance foyer. </w:t>
      </w:r>
      <w:r w:rsidR="00592E49">
        <w:rPr>
          <w:b/>
          <w:bCs/>
        </w:rPr>
        <w:t>Bottom</w:t>
      </w:r>
      <w:r w:rsidRPr="007768E8">
        <w:t>: The "zigzag" arrangement of the internal stairways.</w:t>
      </w:r>
    </w:p>
    <w:p w14:paraId="12E90B7B" w14:textId="77777777" w:rsidR="003F4488" w:rsidRPr="003F4488" w:rsidRDefault="003F4488" w:rsidP="003F4488"/>
    <w:p w14:paraId="0000003C" w14:textId="77777777" w:rsidR="00512BDD" w:rsidRPr="00634CD9" w:rsidRDefault="00000000" w:rsidP="0015136E">
      <w:pPr>
        <w:pStyle w:val="Heading2"/>
        <w:keepNext w:val="0"/>
        <w:keepLines w:val="0"/>
        <w:spacing w:before="340" w:after="180"/>
        <w:rPr>
          <w:sz w:val="22"/>
          <w:szCs w:val="22"/>
          <w:u w:val="single"/>
        </w:rPr>
      </w:pPr>
      <w:bookmarkStart w:id="11" w:name="_g199h9ruc5ga" w:colFirst="0" w:colLast="0"/>
      <w:bookmarkStart w:id="12" w:name="_Toc226147786"/>
      <w:bookmarkEnd w:id="11"/>
      <w:r w:rsidRPr="00634CD9">
        <w:rPr>
          <w:sz w:val="22"/>
          <w:szCs w:val="22"/>
          <w:u w:val="single"/>
        </w:rPr>
        <w:t>Semiotics: The Library as a System of Signs</w:t>
      </w:r>
      <w:bookmarkEnd w:id="12"/>
    </w:p>
    <w:p w14:paraId="00000043" w14:textId="7034E642" w:rsidR="00512BDD" w:rsidRPr="00633894" w:rsidRDefault="00000000" w:rsidP="0015136E">
      <w:pPr>
        <w:spacing w:before="120" w:after="120"/>
      </w:pPr>
      <w:r w:rsidRPr="00633894">
        <w:t>From a semiotic perspective, the National Library of Latvia functions as a system of symbols. Its form, materials, and spatial organisation form a set of signs that are interpreted in a cultural context. The shape of the Glass Hill is a signifier that refers to Latvian folklore, while the concept of the “Castle of Light” functions as a signified—the idea of ​​knowledge being regained after a period of darkness. This symbolic structure is reinforced by the building’s location in the urban environment.</w:t>
      </w:r>
    </w:p>
    <w:p w14:paraId="00000044" w14:textId="77777777" w:rsidR="00512BDD" w:rsidRPr="00633894" w:rsidRDefault="00000000" w:rsidP="0015136E">
      <w:pPr>
        <w:spacing w:before="120" w:after="120"/>
      </w:pPr>
      <w:r w:rsidRPr="00633894">
        <w:lastRenderedPageBreak/>
        <w:t>The experience of ascending through the building also reinforces symbolic meaning. Movement upward becomes a metaphor for knowledge acquisition and enlightenment, comparing physical movement with intellectual progression.</w:t>
      </w:r>
    </w:p>
    <w:p w14:paraId="00000046" w14:textId="77777777" w:rsidR="00512BDD" w:rsidRPr="00633894" w:rsidRDefault="00000000" w:rsidP="0015136E">
      <w:pPr>
        <w:spacing w:before="120" w:after="120"/>
      </w:pPr>
      <w:r w:rsidRPr="00633894">
        <w:t>However, these meanings are not fixed. They depend on cultural interpretation and individual experience. For Latvian users, the symbolism may evoke national identity and historical memory; for international visitors, it may function as an abstract architectural gesture.</w:t>
      </w:r>
    </w:p>
    <w:p w14:paraId="00000048" w14:textId="0E9EA9CF" w:rsidR="00512BDD" w:rsidRPr="00633894" w:rsidRDefault="00000000" w:rsidP="0015136E">
      <w:pPr>
        <w:spacing w:before="120" w:after="120"/>
      </w:pPr>
      <w:r w:rsidRPr="00633894">
        <w:t xml:space="preserve">The building, therefore, operates as an </w:t>
      </w:r>
      <w:r w:rsidRPr="00633894">
        <w:rPr>
          <w:i/>
          <w:iCs/>
        </w:rPr>
        <w:t>open semiotic system</w:t>
      </w:r>
      <w:r w:rsidRPr="00633894">
        <w:t>, capable of generating multiple readings.</w:t>
      </w:r>
    </w:p>
    <w:p w14:paraId="0000004A" w14:textId="6557C66A" w:rsidR="00512BDD" w:rsidRPr="00633894" w:rsidRDefault="00000000" w:rsidP="0015136E">
      <w:pPr>
        <w:spacing w:before="120" w:after="120"/>
      </w:pPr>
      <w:r w:rsidRPr="00633894">
        <w:t>Phenomenological and semiotic analysis also reveals that Birkerts</w:t>
      </w:r>
      <w:r w:rsidR="00CA5A5E" w:rsidRPr="00633894">
        <w:t>’</w:t>
      </w:r>
      <w:r w:rsidRPr="00633894">
        <w:t xml:space="preserve"> architecture operates on the border between the material and the immaterial. </w:t>
      </w:r>
    </w:p>
    <w:p w14:paraId="0000004C" w14:textId="1177E7D2" w:rsidR="00512BDD" w:rsidRPr="00633894" w:rsidRDefault="00000000" w:rsidP="0015136E">
      <w:pPr>
        <w:spacing w:before="120" w:after="120"/>
      </w:pPr>
      <w:r w:rsidRPr="00633894">
        <w:t>This duality is particularly significant in the Latvian context, where architecture often serves as a means of articulating historical experience. The National Library of Latvia, in this sense, becomes a spatial narrative that tells the story of occupation, the restoration of independence, and hopes for the future</w:t>
      </w:r>
    </w:p>
    <w:p w14:paraId="0000004E" w14:textId="4F1312C5" w:rsidR="00512BDD" w:rsidRPr="00633894" w:rsidRDefault="00000000" w:rsidP="0015136E">
      <w:pPr>
        <w:spacing w:before="120" w:after="120"/>
      </w:pPr>
      <w:r w:rsidRPr="00633894">
        <w:t>In addition, the spatial structure of the building also facilitates social interaction. Public spaces, reading rooms, and shared areas create an environment in which people can meet, discuss, and share ideas. This social dimension complements the phenomenological experience, making the library a living public space.</w:t>
      </w:r>
    </w:p>
    <w:p w14:paraId="00000051" w14:textId="510A5BD0" w:rsidR="00512BDD" w:rsidRPr="00633894" w:rsidRDefault="00000000" w:rsidP="0015136E">
      <w:pPr>
        <w:spacing w:before="120" w:after="120"/>
      </w:pPr>
      <w:r w:rsidRPr="00633894">
        <w:t>Analysing the building within this theoretical framework, it becomes clear that the National Library of Latvia is not just an architectural object, but a complex cultural artefact. It simultaneously functions as a space, a symbol, and an experience that influences both individual and collective consciousness.</w:t>
      </w:r>
    </w:p>
    <w:p w14:paraId="00000052" w14:textId="77777777" w:rsidR="00512BDD" w:rsidRPr="00634CD9" w:rsidRDefault="00000000" w:rsidP="0015136E">
      <w:pPr>
        <w:pStyle w:val="Heading2"/>
        <w:keepNext w:val="0"/>
        <w:keepLines w:val="0"/>
        <w:spacing w:before="340" w:after="180"/>
        <w:rPr>
          <w:sz w:val="22"/>
          <w:szCs w:val="22"/>
          <w:u w:val="single"/>
        </w:rPr>
      </w:pPr>
      <w:bookmarkStart w:id="13" w:name="_dgw0vm7jqfhs" w:colFirst="0" w:colLast="0"/>
      <w:bookmarkStart w:id="14" w:name="_Toc226147787"/>
      <w:bookmarkEnd w:id="13"/>
      <w:r w:rsidRPr="00634CD9">
        <w:rPr>
          <w:sz w:val="22"/>
          <w:szCs w:val="22"/>
          <w:u w:val="single"/>
        </w:rPr>
        <w:t>Critical Evaluation</w:t>
      </w:r>
      <w:bookmarkEnd w:id="14"/>
    </w:p>
    <w:p w14:paraId="00000053" w14:textId="77777777" w:rsidR="00512BDD" w:rsidRPr="00633894" w:rsidRDefault="00000000" w:rsidP="0015136E">
      <w:pPr>
        <w:spacing w:before="120" w:after="120"/>
      </w:pPr>
      <w:r w:rsidRPr="00633894">
        <w:t>While the Latvian National Library is widely celebrated as a national symbol, it also raises critical questions about the role of symbolic architecture in contemporary society.</w:t>
      </w:r>
    </w:p>
    <w:p w14:paraId="00000054" w14:textId="77777777" w:rsidR="00512BDD" w:rsidRPr="00633894" w:rsidRDefault="00000000" w:rsidP="0015136E">
      <w:pPr>
        <w:spacing w:before="120" w:after="120"/>
      </w:pPr>
      <w:r w:rsidRPr="00633894">
        <w:t>One critique is that its strong metaphorical form risks prioritising symbolism over everyday functionality. Large-scale civic buildings must balance expressive identity with practical usability, and this tension is evident in the library’s monumental spatial organisation.</w:t>
      </w:r>
    </w:p>
    <w:p w14:paraId="00000055" w14:textId="77777777" w:rsidR="00512BDD" w:rsidRPr="00633894" w:rsidRDefault="00000000" w:rsidP="0015136E">
      <w:pPr>
        <w:spacing w:before="120" w:after="120"/>
      </w:pPr>
      <w:r w:rsidRPr="00633894">
        <w:t>Another issue concerns urban integration. While visually powerful, the building’s scale and form can appear detached from the surrounding urban fabric, functioning more as an icon than as an integrated public space.</w:t>
      </w:r>
    </w:p>
    <w:p w14:paraId="00000057" w14:textId="18D27C2F" w:rsidR="00512BDD" w:rsidRDefault="00000000" w:rsidP="0015136E">
      <w:pPr>
        <w:spacing w:before="120" w:after="120"/>
      </w:pPr>
      <w:r w:rsidRPr="00633894">
        <w:t>However, these critiques must be balanced against their cultural significance. The building successfully embodies a national narrative at a moment of historical transition, which may justify its expressive architectural language.</w:t>
      </w:r>
    </w:p>
    <w:p w14:paraId="3960C00C" w14:textId="4FB463A6" w:rsidR="008539F6" w:rsidRDefault="008539F6">
      <w:r>
        <w:br w:type="page"/>
      </w:r>
    </w:p>
    <w:p w14:paraId="00000058" w14:textId="77777777" w:rsidR="00512BDD" w:rsidRPr="00634CD9" w:rsidRDefault="00000000" w:rsidP="0015136E">
      <w:pPr>
        <w:pStyle w:val="Heading2"/>
        <w:keepNext w:val="0"/>
        <w:keepLines w:val="0"/>
        <w:spacing w:before="340" w:after="180"/>
        <w:rPr>
          <w:sz w:val="22"/>
          <w:szCs w:val="22"/>
          <w:u w:val="single"/>
        </w:rPr>
      </w:pPr>
      <w:bookmarkStart w:id="15" w:name="_z4bhvqai4ahx" w:colFirst="0" w:colLast="0"/>
      <w:bookmarkStart w:id="16" w:name="_Toc226147788"/>
      <w:bookmarkEnd w:id="15"/>
      <w:r w:rsidRPr="00634CD9">
        <w:rPr>
          <w:sz w:val="22"/>
          <w:szCs w:val="22"/>
          <w:u w:val="single"/>
        </w:rPr>
        <w:lastRenderedPageBreak/>
        <w:t>Conclusion</w:t>
      </w:r>
      <w:bookmarkEnd w:id="16"/>
    </w:p>
    <w:p w14:paraId="00000059" w14:textId="72BF39AA" w:rsidR="00512BDD" w:rsidRPr="00633894" w:rsidRDefault="00000000" w:rsidP="0015136E">
      <w:pPr>
        <w:spacing w:before="120" w:after="120"/>
      </w:pPr>
      <w:r w:rsidRPr="00633894">
        <w:t>The Latvian National Library by Gunārs Birkerts is a highly symbolic architectural work that embodies the intersection of memory, identity, and transformation</w:t>
      </w:r>
      <w:r w:rsidR="00400B9E" w:rsidRPr="00633894">
        <w:t xml:space="preserve"> (Birkerts and Schwartz, 2009)</w:t>
      </w:r>
      <w:r w:rsidRPr="00633894">
        <w:t>. Through its form, spatial organisation, materiality, and urban positioning, it constructs a powerful narrative of national renewal.</w:t>
      </w:r>
    </w:p>
    <w:p w14:paraId="0000005A" w14:textId="77777777" w:rsidR="00512BDD" w:rsidRPr="00633894" w:rsidRDefault="00000000" w:rsidP="0015136E">
      <w:pPr>
        <w:spacing w:before="120" w:after="120"/>
      </w:pPr>
      <w:r w:rsidRPr="00633894">
        <w:t>The building’s symbolism is not decorative but structural: it is embedded in the architecture itself. The symbolism speaks on multiple levels: mythological, political, spatial and material. The glass mountain metaphor, the manipulation of light, and the spatial journey through the building all contribute to a unified narrative experience.</w:t>
      </w:r>
    </w:p>
    <w:p w14:paraId="0000005B" w14:textId="77777777" w:rsidR="00512BDD" w:rsidRPr="00633894" w:rsidRDefault="00000000" w:rsidP="0015136E">
      <w:pPr>
        <w:spacing w:before="120" w:after="120"/>
      </w:pPr>
      <w:r w:rsidRPr="00633894">
        <w:t>Ultimately, the library functions as both a cultural institution and a national monument. It reflects not only Birkerts’ architectural philosophy but also Latvia’s broader historical trajectory from occupation to independence.</w:t>
      </w:r>
    </w:p>
    <w:p w14:paraId="0000005C" w14:textId="77777777" w:rsidR="00512BDD" w:rsidRPr="00633894" w:rsidRDefault="00000000" w:rsidP="0015136E">
      <w:pPr>
        <w:spacing w:before="120" w:after="120"/>
      </w:pPr>
      <w:r w:rsidRPr="00633894">
        <w:t>The persistence of the design also reinforces its symbolic role as a national project rather than a purely functional building. It becomes a fixed ideological image of Latvia’s independence journey.</w:t>
      </w:r>
    </w:p>
    <w:p w14:paraId="0000005D" w14:textId="77777777" w:rsidR="00512BDD" w:rsidRPr="00633894" w:rsidRDefault="00000000" w:rsidP="0015136E">
      <w:pPr>
        <w:spacing w:before="120" w:after="120"/>
      </w:pPr>
      <w:r w:rsidRPr="00633894">
        <w:t>In this sense, the building is not only a container for books but a spatial articulation of collective memory and cultural aspiration.</w:t>
      </w:r>
    </w:p>
    <w:p w14:paraId="0000005E" w14:textId="5F26051F" w:rsidR="00EE3E47" w:rsidRPr="00633894" w:rsidRDefault="00EE3E47" w:rsidP="0015136E">
      <w:r w:rsidRPr="00633894">
        <w:br w:type="page"/>
      </w:r>
    </w:p>
    <w:p w14:paraId="509F574B" w14:textId="50DC1266" w:rsidR="00512BDD" w:rsidRPr="00AF4895" w:rsidRDefault="00EE3E47" w:rsidP="00AF4895">
      <w:pPr>
        <w:pStyle w:val="Heading2"/>
        <w:rPr>
          <w:sz w:val="22"/>
          <w:szCs w:val="22"/>
          <w:u w:val="single"/>
        </w:rPr>
      </w:pPr>
      <w:bookmarkStart w:id="17" w:name="_Toc226147789"/>
      <w:r w:rsidRPr="00AF4895">
        <w:rPr>
          <w:sz w:val="22"/>
          <w:szCs w:val="22"/>
          <w:u w:val="single"/>
        </w:rPr>
        <w:lastRenderedPageBreak/>
        <w:t>References</w:t>
      </w:r>
      <w:bookmarkEnd w:id="17"/>
    </w:p>
    <w:p w14:paraId="1EB9D4C3" w14:textId="77777777" w:rsidR="00EE3E47" w:rsidRPr="00633894" w:rsidRDefault="00EE3E47" w:rsidP="0015136E"/>
    <w:p w14:paraId="11523A97" w14:textId="77777777" w:rsidR="00EE3E47" w:rsidRPr="00633894" w:rsidRDefault="00EE3E47" w:rsidP="0015136E"/>
    <w:p w14:paraId="7199F645" w14:textId="77777777" w:rsidR="00EE3E47" w:rsidRPr="00633894" w:rsidRDefault="00EE3E47" w:rsidP="0015136E">
      <w:r w:rsidRPr="00633894">
        <w:t xml:space="preserve">Barikadopedija.lv (n.d.) </w:t>
      </w:r>
      <w:proofErr w:type="spellStart"/>
      <w:r w:rsidRPr="00634CD9">
        <w:rPr>
          <w:i/>
          <w:iCs/>
        </w:rPr>
        <w:t>Latvijas</w:t>
      </w:r>
      <w:proofErr w:type="spellEnd"/>
      <w:r w:rsidRPr="00634CD9">
        <w:rPr>
          <w:i/>
          <w:iCs/>
        </w:rPr>
        <w:t xml:space="preserve"> </w:t>
      </w:r>
      <w:proofErr w:type="spellStart"/>
      <w:r w:rsidRPr="00634CD9">
        <w:rPr>
          <w:i/>
          <w:iCs/>
        </w:rPr>
        <w:t>Nacionālā</w:t>
      </w:r>
      <w:proofErr w:type="spellEnd"/>
      <w:r w:rsidRPr="00634CD9">
        <w:rPr>
          <w:i/>
          <w:iCs/>
        </w:rPr>
        <w:t xml:space="preserve"> </w:t>
      </w:r>
      <w:proofErr w:type="spellStart"/>
      <w:r w:rsidRPr="00634CD9">
        <w:rPr>
          <w:i/>
          <w:iCs/>
        </w:rPr>
        <w:t>bibliotēka</w:t>
      </w:r>
      <w:proofErr w:type="spellEnd"/>
      <w:r w:rsidRPr="00634CD9">
        <w:rPr>
          <w:i/>
          <w:iCs/>
        </w:rPr>
        <w:t xml:space="preserve">: </w:t>
      </w:r>
      <w:proofErr w:type="spellStart"/>
      <w:r w:rsidRPr="00634CD9">
        <w:rPr>
          <w:i/>
          <w:iCs/>
        </w:rPr>
        <w:t>Vēsture</w:t>
      </w:r>
      <w:proofErr w:type="spellEnd"/>
      <w:r w:rsidRPr="00633894">
        <w:t>. Available at: https://www.barikadopedija.lv/raksti/517678 (Accessed: 3 April 2026).</w:t>
      </w:r>
    </w:p>
    <w:p w14:paraId="3A8997E6" w14:textId="77777777" w:rsidR="00EE3E47" w:rsidRPr="00633894" w:rsidRDefault="00EE3E47" w:rsidP="0015136E"/>
    <w:p w14:paraId="4B951C82" w14:textId="77777777" w:rsidR="00EE3E47" w:rsidRPr="00633894" w:rsidRDefault="00EE3E47" w:rsidP="0015136E">
      <w:r w:rsidRPr="00633894">
        <w:t xml:space="preserve">Biblioteka.lv (2025) </w:t>
      </w:r>
      <w:r w:rsidRPr="00634CD9">
        <w:rPr>
          <w:i/>
          <w:iCs/>
        </w:rPr>
        <w:t xml:space="preserve">LNB </w:t>
      </w:r>
      <w:proofErr w:type="spellStart"/>
      <w:r w:rsidRPr="00634CD9">
        <w:rPr>
          <w:i/>
          <w:iCs/>
        </w:rPr>
        <w:t>aktualitātes</w:t>
      </w:r>
      <w:proofErr w:type="spellEnd"/>
      <w:r w:rsidRPr="00634CD9">
        <w:rPr>
          <w:i/>
          <w:iCs/>
        </w:rPr>
        <w:t xml:space="preserve"> 2025</w:t>
      </w:r>
      <w:r w:rsidRPr="00633894">
        <w:t>. Available at: https://www.biblioteka.lv/wp-content/uploads/2025/01/LNB-aktualitates-2025_compressed.pdf (Accessed: 3 April 2026).</w:t>
      </w:r>
    </w:p>
    <w:p w14:paraId="1D914EE2" w14:textId="77777777" w:rsidR="0099102B" w:rsidRPr="00633894" w:rsidRDefault="0099102B" w:rsidP="0015136E"/>
    <w:p w14:paraId="6FB42495" w14:textId="21971550" w:rsidR="0099102B" w:rsidRPr="00633894" w:rsidRDefault="0099102B" w:rsidP="0015136E">
      <w:r w:rsidRPr="00633894">
        <w:t xml:space="preserve">Birkerts, S. and Schwartz, M. (2009) </w:t>
      </w:r>
      <w:r w:rsidRPr="00634CD9">
        <w:rPr>
          <w:i/>
          <w:iCs/>
        </w:rPr>
        <w:t>Gunnar Birkerts</w:t>
      </w:r>
      <w:r w:rsidRPr="00633894">
        <w:t>. Stuttgart: Axel Menges.</w:t>
      </w:r>
    </w:p>
    <w:p w14:paraId="22BC066C" w14:textId="77777777" w:rsidR="0099102B" w:rsidRPr="00633894" w:rsidRDefault="0099102B" w:rsidP="0015136E"/>
    <w:p w14:paraId="0C0D5D19" w14:textId="116A733B" w:rsidR="0099102B" w:rsidRPr="00633894" w:rsidRDefault="0099102B" w:rsidP="0015136E">
      <w:r w:rsidRPr="00633894">
        <w:t xml:space="preserve">Cohn, D. (2010) ‘Latvian National Library’, </w:t>
      </w:r>
      <w:r w:rsidRPr="00634CD9">
        <w:rPr>
          <w:i/>
          <w:iCs/>
        </w:rPr>
        <w:t>Architectural Record</w:t>
      </w:r>
      <w:r w:rsidRPr="00633894">
        <w:t>, 198(12).</w:t>
      </w:r>
    </w:p>
    <w:p w14:paraId="32738BC8" w14:textId="77777777" w:rsidR="00EE3E47" w:rsidRPr="00633894" w:rsidRDefault="00EE3E47" w:rsidP="0015136E"/>
    <w:p w14:paraId="15C6485B" w14:textId="77777777" w:rsidR="00EE3E47" w:rsidRPr="00633894" w:rsidRDefault="00EE3E47" w:rsidP="0015136E">
      <w:r w:rsidRPr="00633894">
        <w:t xml:space="preserve">De Gruyter (2026) ‘Birkerts: Libraries and Light’, </w:t>
      </w:r>
      <w:proofErr w:type="spellStart"/>
      <w:r w:rsidRPr="00634CD9">
        <w:rPr>
          <w:i/>
          <w:iCs/>
        </w:rPr>
        <w:t>Abitech</w:t>
      </w:r>
      <w:proofErr w:type="spellEnd"/>
      <w:r w:rsidRPr="00633894">
        <w:t>. doi:10.1515/abitech-2026-0003.</w:t>
      </w:r>
    </w:p>
    <w:p w14:paraId="764AACCD" w14:textId="77777777" w:rsidR="0099102B" w:rsidRPr="00633894" w:rsidRDefault="0099102B" w:rsidP="0015136E"/>
    <w:p w14:paraId="027FDACD" w14:textId="526D5025" w:rsidR="0099102B" w:rsidRPr="00633894" w:rsidRDefault="0099102B" w:rsidP="0015136E">
      <w:proofErr w:type="spellStart"/>
      <w:r w:rsidRPr="00633894">
        <w:t>Dripe</w:t>
      </w:r>
      <w:proofErr w:type="spellEnd"/>
      <w:r w:rsidRPr="00633894">
        <w:t xml:space="preserve">, J. (2015) </w:t>
      </w:r>
      <w:r w:rsidRPr="00634CD9">
        <w:rPr>
          <w:i/>
          <w:iCs/>
        </w:rPr>
        <w:t>Latvian National Library: Architect Gunārs Birkerts</w:t>
      </w:r>
      <w:r w:rsidRPr="00633894">
        <w:t xml:space="preserve">. Riga: Jāņa Rozes </w:t>
      </w:r>
      <w:proofErr w:type="spellStart"/>
      <w:r w:rsidRPr="00633894">
        <w:t>apgāds</w:t>
      </w:r>
      <w:proofErr w:type="spellEnd"/>
      <w:r w:rsidRPr="00633894">
        <w:t>.</w:t>
      </w:r>
    </w:p>
    <w:p w14:paraId="72D29695" w14:textId="77777777" w:rsidR="00EE3E47" w:rsidRPr="00633894" w:rsidRDefault="00EE3E47" w:rsidP="0015136E"/>
    <w:p w14:paraId="13E7D5EE" w14:textId="77777777" w:rsidR="00EE3E47" w:rsidRPr="00633894" w:rsidRDefault="00EE3E47" w:rsidP="0015136E">
      <w:r w:rsidRPr="00633894">
        <w:t xml:space="preserve">FX Design (2013) </w:t>
      </w:r>
      <w:r w:rsidRPr="00634CD9">
        <w:rPr>
          <w:i/>
          <w:iCs/>
        </w:rPr>
        <w:t>Motown to Mountain</w:t>
      </w:r>
      <w:r w:rsidRPr="00633894">
        <w:t>. Available at: https://www.fxdesign.co.uk/motown-to-mountain-4346260/ (Accessed: 3 April 2026).</w:t>
      </w:r>
    </w:p>
    <w:p w14:paraId="099420AE" w14:textId="77777777" w:rsidR="00116357" w:rsidRPr="00633894" w:rsidRDefault="00116357" w:rsidP="0015136E"/>
    <w:p w14:paraId="4006D26B" w14:textId="39A29557" w:rsidR="00EE3E47" w:rsidRPr="00633894" w:rsidRDefault="00807573" w:rsidP="0015136E">
      <w:r w:rsidRPr="00633894">
        <w:t>FX Design (2014) Gunnar Birkerts – Interview. Available at: https://www.fxdesign.co.uk/gunnar-birkerts-4345683/ (Accessed: 3 April 2026)</w:t>
      </w:r>
    </w:p>
    <w:p w14:paraId="52847178" w14:textId="77777777" w:rsidR="00807573" w:rsidRPr="00633894" w:rsidRDefault="00807573" w:rsidP="0015136E"/>
    <w:p w14:paraId="60C32D3C" w14:textId="77777777" w:rsidR="00EE3E47" w:rsidRPr="00633894" w:rsidRDefault="00EE3E47" w:rsidP="0015136E">
      <w:r w:rsidRPr="00633894">
        <w:t xml:space="preserve">Latvian National Library (n.d.) </w:t>
      </w:r>
      <w:r w:rsidRPr="00634CD9">
        <w:rPr>
          <w:i/>
          <w:iCs/>
        </w:rPr>
        <w:t>Venues and Spaces</w:t>
      </w:r>
      <w:r w:rsidRPr="00633894">
        <w:t>. Available at: https://lnb.gov.lv/en/services/telpas/ (Accessed: 3 April 2026).</w:t>
      </w:r>
    </w:p>
    <w:p w14:paraId="28859F2A" w14:textId="77777777" w:rsidR="008F04DD" w:rsidRPr="00633894" w:rsidRDefault="008F04DD" w:rsidP="0015136E"/>
    <w:p w14:paraId="5F08576F" w14:textId="4C89DF59" w:rsidR="008F04DD" w:rsidRPr="00633894" w:rsidRDefault="008F04DD" w:rsidP="0015136E">
      <w:proofErr w:type="spellStart"/>
      <w:r w:rsidRPr="00633894">
        <w:t>Nacionālā</w:t>
      </w:r>
      <w:proofErr w:type="spellEnd"/>
      <w:r w:rsidRPr="00633894">
        <w:t xml:space="preserve"> </w:t>
      </w:r>
      <w:proofErr w:type="spellStart"/>
      <w:r w:rsidRPr="00633894">
        <w:t>enciklopēdija</w:t>
      </w:r>
      <w:proofErr w:type="spellEnd"/>
      <w:r w:rsidRPr="00633894">
        <w:t xml:space="preserve"> (2024) </w:t>
      </w:r>
      <w:proofErr w:type="spellStart"/>
      <w:r w:rsidRPr="00634CD9">
        <w:rPr>
          <w:i/>
          <w:iCs/>
        </w:rPr>
        <w:t>Latvijas</w:t>
      </w:r>
      <w:proofErr w:type="spellEnd"/>
      <w:r w:rsidRPr="00634CD9">
        <w:rPr>
          <w:i/>
          <w:iCs/>
        </w:rPr>
        <w:t xml:space="preserve"> </w:t>
      </w:r>
      <w:proofErr w:type="spellStart"/>
      <w:r w:rsidRPr="00634CD9">
        <w:rPr>
          <w:i/>
          <w:iCs/>
        </w:rPr>
        <w:t>Nacionālās</w:t>
      </w:r>
      <w:proofErr w:type="spellEnd"/>
      <w:r w:rsidRPr="00634CD9">
        <w:rPr>
          <w:i/>
          <w:iCs/>
        </w:rPr>
        <w:t xml:space="preserve"> </w:t>
      </w:r>
      <w:proofErr w:type="spellStart"/>
      <w:r w:rsidRPr="00634CD9">
        <w:rPr>
          <w:i/>
          <w:iCs/>
        </w:rPr>
        <w:t>bibliotēkas</w:t>
      </w:r>
      <w:proofErr w:type="spellEnd"/>
      <w:r w:rsidRPr="00634CD9">
        <w:rPr>
          <w:i/>
          <w:iCs/>
        </w:rPr>
        <w:t xml:space="preserve"> </w:t>
      </w:r>
      <w:proofErr w:type="spellStart"/>
      <w:r w:rsidRPr="00634CD9">
        <w:rPr>
          <w:i/>
          <w:iCs/>
        </w:rPr>
        <w:t>ēka</w:t>
      </w:r>
      <w:proofErr w:type="spellEnd"/>
      <w:r w:rsidRPr="00634CD9">
        <w:rPr>
          <w:i/>
          <w:iCs/>
        </w:rPr>
        <w:t xml:space="preserve">, </w:t>
      </w:r>
      <w:proofErr w:type="spellStart"/>
      <w:r w:rsidRPr="00634CD9">
        <w:rPr>
          <w:i/>
          <w:iCs/>
        </w:rPr>
        <w:t>arhitektūra</w:t>
      </w:r>
      <w:proofErr w:type="spellEnd"/>
      <w:r w:rsidRPr="00633894">
        <w:t>. Available at: https://enciklopedija.lv/skirklis/35140-Latvijas-Nacionālās-bibliotēkas-ēka,-arhitektūra (Accessed: 3 April 2026).</w:t>
      </w:r>
    </w:p>
    <w:p w14:paraId="71AE9F35" w14:textId="77777777" w:rsidR="0099102B" w:rsidRPr="00633894" w:rsidRDefault="0099102B" w:rsidP="0015136E"/>
    <w:p w14:paraId="4D964635" w14:textId="5410957C" w:rsidR="0099102B" w:rsidRPr="00633894" w:rsidRDefault="0099102B" w:rsidP="0015136E">
      <w:r w:rsidRPr="00633894">
        <w:t xml:space="preserve">National Library of Latvia (2025) </w:t>
      </w:r>
      <w:r w:rsidRPr="00634CD9">
        <w:rPr>
          <w:i/>
          <w:iCs/>
        </w:rPr>
        <w:t>The Exhibition. Birkerts. Libraries. Light</w:t>
      </w:r>
      <w:r w:rsidRPr="00633894">
        <w:t xml:space="preserve">. [Online]. Available at: </w:t>
      </w:r>
      <w:r w:rsidR="004A6595" w:rsidRPr="00633894">
        <w:t>https://www.liveriga.com/en/13639-exhibition-birkerts-libraries-light</w:t>
      </w:r>
      <w:r w:rsidRPr="00633894">
        <w:t xml:space="preserve"> (Accessed: 3 April 2026).</w:t>
      </w:r>
    </w:p>
    <w:p w14:paraId="3AAB32E2" w14:textId="77777777" w:rsidR="00EE3E47" w:rsidRPr="00633894" w:rsidRDefault="00EE3E47" w:rsidP="0015136E"/>
    <w:p w14:paraId="54CBEB02" w14:textId="77777777" w:rsidR="00EE3E47" w:rsidRPr="00633894" w:rsidRDefault="00EE3E47" w:rsidP="0015136E">
      <w:r w:rsidRPr="00633894">
        <w:t xml:space="preserve">Michigan Modern (n.d.) </w:t>
      </w:r>
      <w:r w:rsidRPr="00634CD9">
        <w:rPr>
          <w:i/>
          <w:iCs/>
        </w:rPr>
        <w:t>University of Michigan Law School: Allan and Alene Smith Law Library Addition</w:t>
      </w:r>
      <w:r w:rsidRPr="00633894">
        <w:t>. Available at: https://www.michiganmodern.org/modern-buildings/university-of-michigan-law-school-allan-and-alene-smith-law-library-addition/ (Accessed: 3 April 2026).</w:t>
      </w:r>
    </w:p>
    <w:p w14:paraId="2E037C93" w14:textId="77777777" w:rsidR="00EE3E47" w:rsidRPr="00633894" w:rsidRDefault="00EE3E47" w:rsidP="0015136E"/>
    <w:p w14:paraId="56CEECDE" w14:textId="77777777" w:rsidR="00EE3E47" w:rsidRPr="00633894" w:rsidRDefault="00EE3E47" w:rsidP="0015136E">
      <w:r w:rsidRPr="00633894">
        <w:t xml:space="preserve">Neighborhood.lv (n.d.) </w:t>
      </w:r>
      <w:r w:rsidRPr="00634CD9">
        <w:rPr>
          <w:i/>
          <w:iCs/>
        </w:rPr>
        <w:t>Gunnar Birkerts: Latvia’s most famous architect</w:t>
      </w:r>
      <w:r w:rsidRPr="00633894">
        <w:t>. Available at: https://neighborhood.lv/en/real-estate/gunnar-birkerts-latvias-most-famous-architect/ (Accessed: 3 April 2026).</w:t>
      </w:r>
    </w:p>
    <w:p w14:paraId="5B61D5D7" w14:textId="77777777" w:rsidR="00EE3E47" w:rsidRPr="00633894" w:rsidRDefault="00EE3E47" w:rsidP="0015136E"/>
    <w:p w14:paraId="53558719" w14:textId="77777777" w:rsidR="00EE3E47" w:rsidRPr="00633894" w:rsidRDefault="00EE3E47" w:rsidP="0015136E">
      <w:r w:rsidRPr="00633894">
        <w:t xml:space="preserve">Schwartz, M. (2015) </w:t>
      </w:r>
      <w:r w:rsidRPr="00634CD9">
        <w:rPr>
          <w:i/>
          <w:iCs/>
        </w:rPr>
        <w:t>Gunnar Birkerts: Metaphor and Material</w:t>
      </w:r>
      <w:r w:rsidRPr="00633894">
        <w:t>. Available at: https://architecture-history.org/architects/architects/BIRKERTS/BOOKS.html (Accessed: 3 April 2026).</w:t>
      </w:r>
    </w:p>
    <w:p w14:paraId="132CBCCD" w14:textId="77777777" w:rsidR="00EE3E47" w:rsidRPr="00633894" w:rsidRDefault="00EE3E47" w:rsidP="0015136E"/>
    <w:p w14:paraId="3653BB79" w14:textId="77777777" w:rsidR="00EE3E47" w:rsidRPr="00633894" w:rsidRDefault="00EE3E47" w:rsidP="0015136E">
      <w:r w:rsidRPr="00633894">
        <w:lastRenderedPageBreak/>
        <w:t xml:space="preserve">Valters </w:t>
      </w:r>
      <w:proofErr w:type="gramStart"/>
      <w:r w:rsidRPr="00633894">
        <w:t>un Rapa</w:t>
      </w:r>
      <w:proofErr w:type="gramEnd"/>
      <w:r w:rsidRPr="00633894">
        <w:t xml:space="preserve"> (n.d.) </w:t>
      </w:r>
      <w:proofErr w:type="spellStart"/>
      <w:r w:rsidRPr="00634CD9">
        <w:rPr>
          <w:i/>
          <w:iCs/>
        </w:rPr>
        <w:t>Latvijas</w:t>
      </w:r>
      <w:proofErr w:type="spellEnd"/>
      <w:r w:rsidRPr="00634CD9">
        <w:rPr>
          <w:i/>
          <w:iCs/>
        </w:rPr>
        <w:t xml:space="preserve"> </w:t>
      </w:r>
      <w:proofErr w:type="spellStart"/>
      <w:r w:rsidRPr="00634CD9">
        <w:rPr>
          <w:i/>
          <w:iCs/>
        </w:rPr>
        <w:t>Nacionālā</w:t>
      </w:r>
      <w:proofErr w:type="spellEnd"/>
      <w:r w:rsidRPr="00634CD9">
        <w:rPr>
          <w:i/>
          <w:iCs/>
        </w:rPr>
        <w:t xml:space="preserve"> </w:t>
      </w:r>
      <w:proofErr w:type="spellStart"/>
      <w:r w:rsidRPr="00634CD9">
        <w:rPr>
          <w:i/>
          <w:iCs/>
        </w:rPr>
        <w:t>bibliotēka</w:t>
      </w:r>
      <w:proofErr w:type="spellEnd"/>
      <w:r w:rsidRPr="00634CD9">
        <w:rPr>
          <w:i/>
          <w:iCs/>
        </w:rPr>
        <w:t>: History and Collection</w:t>
      </w:r>
      <w:r w:rsidRPr="00633894">
        <w:t xml:space="preserve">. Riga: Valters </w:t>
      </w:r>
      <w:proofErr w:type="gramStart"/>
      <w:r w:rsidRPr="00633894">
        <w:t>un Rapa</w:t>
      </w:r>
      <w:proofErr w:type="gramEnd"/>
      <w:r w:rsidRPr="00633894">
        <w:t>.</w:t>
      </w:r>
    </w:p>
    <w:p w14:paraId="454BD0DF" w14:textId="77777777" w:rsidR="00EE3E47" w:rsidRPr="00633894" w:rsidRDefault="00EE3E47" w:rsidP="0015136E"/>
    <w:p w14:paraId="1963F250" w14:textId="0898D288" w:rsidR="00EE3E47" w:rsidRPr="00633894" w:rsidRDefault="00EE3E47" w:rsidP="0015136E">
      <w:proofErr w:type="spellStart"/>
      <w:r w:rsidRPr="00633894">
        <w:t>Vilks</w:t>
      </w:r>
      <w:proofErr w:type="spellEnd"/>
      <w:r w:rsidRPr="00633894">
        <w:t xml:space="preserve">, A. (2014) </w:t>
      </w:r>
      <w:r w:rsidRPr="00634CD9">
        <w:rPr>
          <w:i/>
          <w:iCs/>
        </w:rPr>
        <w:t>The National Library of Latvia: The Castle of Light</w:t>
      </w:r>
      <w:r w:rsidRPr="00633894">
        <w:t>. LIBER Europe. Available at: https://libereurope.eu/wp-content/uploads/2020/09/3_Do_Vilks_Riga-LAG-140508.pdf (Accessed: 3 April 2026).</w:t>
      </w:r>
    </w:p>
    <w:sectPr w:rsidR="00EE3E47" w:rsidRPr="0063389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56C441" w14:textId="77777777" w:rsidR="00A91312" w:rsidRDefault="00A91312">
      <w:pPr>
        <w:spacing w:line="240" w:lineRule="auto"/>
      </w:pPr>
      <w:r>
        <w:separator/>
      </w:r>
    </w:p>
  </w:endnote>
  <w:endnote w:type="continuationSeparator" w:id="0">
    <w:p w14:paraId="0869E532" w14:textId="77777777" w:rsidR="00A91312" w:rsidRDefault="00A9131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09F57D75-A5F1-4B4E-9019-CAEB72D20A67}"/>
  </w:font>
  <w:font w:name="Cambria">
    <w:panose1 w:val="02040503050406030204"/>
    <w:charset w:val="00"/>
    <w:family w:val="roman"/>
    <w:pitch w:val="variable"/>
    <w:sig w:usb0="E00006FF" w:usb1="420024FF" w:usb2="02000000" w:usb3="00000000" w:csb0="0000019F" w:csb1="00000000"/>
    <w:embedRegular r:id="rId2" w:fontKey="{BA2B7ECA-8DD7-4550-AF18-93B40162A26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8351700"/>
      <w:docPartObj>
        <w:docPartGallery w:val="Page Numbers (Bottom of Page)"/>
        <w:docPartUnique/>
      </w:docPartObj>
    </w:sdtPr>
    <w:sdtEndPr>
      <w:rPr>
        <w:noProof/>
      </w:rPr>
    </w:sdtEndPr>
    <w:sdtContent>
      <w:p w14:paraId="4FD87F0A" w14:textId="7C5C07E6" w:rsidR="00251DA7" w:rsidRDefault="00E20760">
        <w:pPr>
          <w:pStyle w:val="Footer"/>
          <w:jc w:val="right"/>
        </w:pPr>
        <w:r>
          <w:t xml:space="preserve">CWS 2 PAGE </w:t>
        </w:r>
        <w:r w:rsidR="00251DA7">
          <w:fldChar w:fldCharType="begin"/>
        </w:r>
        <w:r w:rsidR="00251DA7">
          <w:instrText xml:space="preserve"> PAGE   \* MERGEFORMAT </w:instrText>
        </w:r>
        <w:r w:rsidR="00251DA7">
          <w:fldChar w:fldCharType="separate"/>
        </w:r>
        <w:r w:rsidR="00251DA7">
          <w:rPr>
            <w:noProof/>
          </w:rPr>
          <w:t>2</w:t>
        </w:r>
        <w:r w:rsidR="00251DA7">
          <w:rPr>
            <w:noProof/>
          </w:rPr>
          <w:fldChar w:fldCharType="end"/>
        </w:r>
      </w:p>
    </w:sdtContent>
  </w:sdt>
  <w:p w14:paraId="3F8E74E8" w14:textId="77777777" w:rsidR="00251DA7" w:rsidRDefault="00251D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933EBB" w14:textId="77777777" w:rsidR="00A91312" w:rsidRDefault="00A91312">
      <w:pPr>
        <w:spacing w:line="240" w:lineRule="auto"/>
      </w:pPr>
      <w:r>
        <w:separator/>
      </w:r>
    </w:p>
  </w:footnote>
  <w:footnote w:type="continuationSeparator" w:id="0">
    <w:p w14:paraId="6BAF5E5C" w14:textId="77777777" w:rsidR="00A91312" w:rsidRDefault="00A9131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274BCA"/>
    <w:multiLevelType w:val="multilevel"/>
    <w:tmpl w:val="8410C7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8225550"/>
    <w:multiLevelType w:val="multilevel"/>
    <w:tmpl w:val="C374C3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B590E4D"/>
    <w:multiLevelType w:val="multilevel"/>
    <w:tmpl w:val="C456A1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82803034">
    <w:abstractNumId w:val="1"/>
  </w:num>
  <w:num w:numId="2" w16cid:durableId="84965304">
    <w:abstractNumId w:val="2"/>
  </w:num>
  <w:num w:numId="3" w16cid:durableId="5804568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3"/>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2BDD"/>
    <w:rsid w:val="00007CE4"/>
    <w:rsid w:val="00014E87"/>
    <w:rsid w:val="00023887"/>
    <w:rsid w:val="000329FC"/>
    <w:rsid w:val="00093D7E"/>
    <w:rsid w:val="000B72D2"/>
    <w:rsid w:val="000D2725"/>
    <w:rsid w:val="000F7D05"/>
    <w:rsid w:val="001009F4"/>
    <w:rsid w:val="00116357"/>
    <w:rsid w:val="00127B87"/>
    <w:rsid w:val="001400D4"/>
    <w:rsid w:val="0015136E"/>
    <w:rsid w:val="001548CE"/>
    <w:rsid w:val="001679DB"/>
    <w:rsid w:val="0017179F"/>
    <w:rsid w:val="00175046"/>
    <w:rsid w:val="001A744A"/>
    <w:rsid w:val="001E47CA"/>
    <w:rsid w:val="00251DA7"/>
    <w:rsid w:val="00254C8A"/>
    <w:rsid w:val="002C57F5"/>
    <w:rsid w:val="002D5415"/>
    <w:rsid w:val="002E1D1C"/>
    <w:rsid w:val="00305173"/>
    <w:rsid w:val="00312DA2"/>
    <w:rsid w:val="0033273B"/>
    <w:rsid w:val="003777DB"/>
    <w:rsid w:val="003816FE"/>
    <w:rsid w:val="0039046F"/>
    <w:rsid w:val="003C6B89"/>
    <w:rsid w:val="003D2AF0"/>
    <w:rsid w:val="003F2445"/>
    <w:rsid w:val="003F4488"/>
    <w:rsid w:val="00400B9E"/>
    <w:rsid w:val="004109BB"/>
    <w:rsid w:val="00416B82"/>
    <w:rsid w:val="00431BAB"/>
    <w:rsid w:val="00434767"/>
    <w:rsid w:val="0046103E"/>
    <w:rsid w:val="004A6595"/>
    <w:rsid w:val="004B55B3"/>
    <w:rsid w:val="004F4C5B"/>
    <w:rsid w:val="00512BDD"/>
    <w:rsid w:val="00521346"/>
    <w:rsid w:val="0054123A"/>
    <w:rsid w:val="00547299"/>
    <w:rsid w:val="00590B20"/>
    <w:rsid w:val="00592E49"/>
    <w:rsid w:val="005B6C14"/>
    <w:rsid w:val="005C38E7"/>
    <w:rsid w:val="005F5978"/>
    <w:rsid w:val="00613736"/>
    <w:rsid w:val="00626C7D"/>
    <w:rsid w:val="0062702E"/>
    <w:rsid w:val="00627795"/>
    <w:rsid w:val="00633894"/>
    <w:rsid w:val="00634CD9"/>
    <w:rsid w:val="0064699F"/>
    <w:rsid w:val="00647512"/>
    <w:rsid w:val="006A0598"/>
    <w:rsid w:val="006A688B"/>
    <w:rsid w:val="006B11CA"/>
    <w:rsid w:val="00704650"/>
    <w:rsid w:val="0071390D"/>
    <w:rsid w:val="00751E2A"/>
    <w:rsid w:val="00793948"/>
    <w:rsid w:val="007A6FC1"/>
    <w:rsid w:val="007D13DD"/>
    <w:rsid w:val="008028F7"/>
    <w:rsid w:val="00807573"/>
    <w:rsid w:val="008429E9"/>
    <w:rsid w:val="0085300C"/>
    <w:rsid w:val="008539F6"/>
    <w:rsid w:val="008825E4"/>
    <w:rsid w:val="008E2367"/>
    <w:rsid w:val="008F04DD"/>
    <w:rsid w:val="008F209C"/>
    <w:rsid w:val="008F4B21"/>
    <w:rsid w:val="00903A7F"/>
    <w:rsid w:val="00916DF3"/>
    <w:rsid w:val="009524FC"/>
    <w:rsid w:val="0099102B"/>
    <w:rsid w:val="009B6DD4"/>
    <w:rsid w:val="009C296C"/>
    <w:rsid w:val="009E1720"/>
    <w:rsid w:val="00A019B1"/>
    <w:rsid w:val="00A35A4B"/>
    <w:rsid w:val="00A46F3A"/>
    <w:rsid w:val="00A83FC5"/>
    <w:rsid w:val="00A85F28"/>
    <w:rsid w:val="00A91312"/>
    <w:rsid w:val="00A95C19"/>
    <w:rsid w:val="00AF4895"/>
    <w:rsid w:val="00B03385"/>
    <w:rsid w:val="00B6504B"/>
    <w:rsid w:val="00B84A89"/>
    <w:rsid w:val="00B86B72"/>
    <w:rsid w:val="00B94BC6"/>
    <w:rsid w:val="00BB2A6B"/>
    <w:rsid w:val="00BD1053"/>
    <w:rsid w:val="00BE6621"/>
    <w:rsid w:val="00C028A0"/>
    <w:rsid w:val="00C07BAD"/>
    <w:rsid w:val="00C337E3"/>
    <w:rsid w:val="00C55CFC"/>
    <w:rsid w:val="00C64F40"/>
    <w:rsid w:val="00C9443B"/>
    <w:rsid w:val="00C95BC7"/>
    <w:rsid w:val="00CA2A90"/>
    <w:rsid w:val="00CA5A5E"/>
    <w:rsid w:val="00CB5A70"/>
    <w:rsid w:val="00CE4EAB"/>
    <w:rsid w:val="00CF45FB"/>
    <w:rsid w:val="00D150B1"/>
    <w:rsid w:val="00D1787A"/>
    <w:rsid w:val="00D17A79"/>
    <w:rsid w:val="00D20C89"/>
    <w:rsid w:val="00D31737"/>
    <w:rsid w:val="00D65326"/>
    <w:rsid w:val="00D741E5"/>
    <w:rsid w:val="00D74F3A"/>
    <w:rsid w:val="00DF2CBF"/>
    <w:rsid w:val="00E20760"/>
    <w:rsid w:val="00E56649"/>
    <w:rsid w:val="00E70932"/>
    <w:rsid w:val="00E85444"/>
    <w:rsid w:val="00E90B89"/>
    <w:rsid w:val="00EE3E47"/>
    <w:rsid w:val="00F077D8"/>
    <w:rsid w:val="00F07C95"/>
    <w:rsid w:val="00F151F3"/>
    <w:rsid w:val="00F61C6D"/>
    <w:rsid w:val="00F96421"/>
    <w:rsid w:val="00FB1AF7"/>
    <w:rsid w:val="00FF19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47BC14"/>
  <w15:docId w15:val="{6A78C66E-731E-4A49-9728-AB4ACDA5DC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link w:val="SubtitleChar"/>
    <w:uiPriority w:val="11"/>
    <w:qFormat/>
    <w:pPr>
      <w:keepNext/>
      <w:keepLines/>
      <w:spacing w:after="320"/>
    </w:pPr>
    <w:rPr>
      <w:color w:val="666666"/>
      <w:sz w:val="30"/>
      <w:szCs w:val="30"/>
    </w:rPr>
  </w:style>
  <w:style w:type="paragraph" w:styleId="Revision">
    <w:name w:val="Revision"/>
    <w:hidden/>
    <w:uiPriority w:val="99"/>
    <w:semiHidden/>
    <w:rsid w:val="00EE3E47"/>
    <w:pPr>
      <w:spacing w:line="240" w:lineRule="auto"/>
    </w:pPr>
  </w:style>
  <w:style w:type="table" w:styleId="TableGrid">
    <w:name w:val="Table Grid"/>
    <w:basedOn w:val="TableNormal"/>
    <w:uiPriority w:val="39"/>
    <w:rsid w:val="00903A7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019B1"/>
    <w:pPr>
      <w:spacing w:after="200" w:line="240" w:lineRule="auto"/>
    </w:pPr>
    <w:rPr>
      <w:i/>
      <w:iCs/>
      <w:color w:val="1F497D" w:themeColor="text2"/>
      <w:sz w:val="18"/>
      <w:szCs w:val="18"/>
    </w:rPr>
  </w:style>
  <w:style w:type="paragraph" w:styleId="Footer">
    <w:name w:val="footer"/>
    <w:basedOn w:val="Normal"/>
    <w:link w:val="FooterChar"/>
    <w:uiPriority w:val="99"/>
    <w:unhideWhenUsed/>
    <w:rsid w:val="00251DA7"/>
    <w:pPr>
      <w:tabs>
        <w:tab w:val="center" w:pos="4513"/>
        <w:tab w:val="right" w:pos="9026"/>
      </w:tabs>
      <w:spacing w:line="240" w:lineRule="auto"/>
      <w:jc w:val="both"/>
    </w:pPr>
    <w:rPr>
      <w:rFonts w:eastAsiaTheme="minorEastAsia" w:cs="Times New Roman"/>
      <w:szCs w:val="24"/>
      <w:lang w:eastAsia="en-US"/>
    </w:rPr>
  </w:style>
  <w:style w:type="character" w:customStyle="1" w:styleId="FooterChar">
    <w:name w:val="Footer Char"/>
    <w:basedOn w:val="DefaultParagraphFont"/>
    <w:link w:val="Footer"/>
    <w:uiPriority w:val="99"/>
    <w:rsid w:val="00251DA7"/>
    <w:rPr>
      <w:rFonts w:eastAsiaTheme="minorEastAsia" w:cs="Times New Roman"/>
      <w:szCs w:val="24"/>
      <w:lang w:eastAsia="en-US"/>
    </w:rPr>
  </w:style>
  <w:style w:type="character" w:customStyle="1" w:styleId="SubtitleChar">
    <w:name w:val="Subtitle Char"/>
    <w:basedOn w:val="DefaultParagraphFont"/>
    <w:link w:val="Subtitle"/>
    <w:uiPriority w:val="11"/>
    <w:rsid w:val="00251DA7"/>
    <w:rPr>
      <w:color w:val="666666"/>
      <w:sz w:val="30"/>
      <w:szCs w:val="30"/>
    </w:rPr>
  </w:style>
  <w:style w:type="character" w:styleId="Strong">
    <w:name w:val="Strong"/>
    <w:basedOn w:val="DefaultParagraphFont"/>
    <w:uiPriority w:val="22"/>
    <w:qFormat/>
    <w:rsid w:val="00251DA7"/>
    <w:rPr>
      <w:b/>
      <w:bCs/>
    </w:rPr>
  </w:style>
  <w:style w:type="paragraph" w:styleId="TOCHeading">
    <w:name w:val="TOC Heading"/>
    <w:basedOn w:val="Heading1"/>
    <w:next w:val="Normal"/>
    <w:uiPriority w:val="39"/>
    <w:unhideWhenUsed/>
    <w:qFormat/>
    <w:rsid w:val="00FB1AF7"/>
    <w:pPr>
      <w:spacing w:before="240" w:after="0" w:line="259" w:lineRule="auto"/>
      <w:outlineLvl w:val="9"/>
    </w:pPr>
    <w:rPr>
      <w:rFonts w:asciiTheme="majorHAnsi" w:eastAsiaTheme="majorEastAsia" w:hAnsiTheme="majorHAnsi" w:cstheme="majorBidi"/>
      <w:color w:val="365F91" w:themeColor="accent1" w:themeShade="BF"/>
      <w:sz w:val="32"/>
      <w:szCs w:val="32"/>
    </w:rPr>
  </w:style>
  <w:style w:type="paragraph" w:styleId="TOC1">
    <w:name w:val="toc 1"/>
    <w:basedOn w:val="Normal"/>
    <w:next w:val="Normal"/>
    <w:autoRedefine/>
    <w:uiPriority w:val="39"/>
    <w:unhideWhenUsed/>
    <w:rsid w:val="00FB1AF7"/>
    <w:pPr>
      <w:spacing w:after="100"/>
    </w:pPr>
  </w:style>
  <w:style w:type="paragraph" w:styleId="TOC2">
    <w:name w:val="toc 2"/>
    <w:basedOn w:val="Normal"/>
    <w:next w:val="Normal"/>
    <w:autoRedefine/>
    <w:uiPriority w:val="39"/>
    <w:unhideWhenUsed/>
    <w:rsid w:val="00FB1AF7"/>
    <w:pPr>
      <w:spacing w:after="100"/>
      <w:ind w:left="220"/>
    </w:pPr>
  </w:style>
  <w:style w:type="character" w:styleId="Hyperlink">
    <w:name w:val="Hyperlink"/>
    <w:basedOn w:val="DefaultParagraphFont"/>
    <w:uiPriority w:val="99"/>
    <w:unhideWhenUsed/>
    <w:rsid w:val="00FB1AF7"/>
    <w:rPr>
      <w:color w:val="0000FF" w:themeColor="hyperlink"/>
      <w:u w:val="single"/>
    </w:rPr>
  </w:style>
  <w:style w:type="paragraph" w:styleId="Header">
    <w:name w:val="header"/>
    <w:basedOn w:val="Normal"/>
    <w:link w:val="HeaderChar"/>
    <w:uiPriority w:val="99"/>
    <w:unhideWhenUsed/>
    <w:rsid w:val="000F7D05"/>
    <w:pPr>
      <w:tabs>
        <w:tab w:val="center" w:pos="4513"/>
        <w:tab w:val="right" w:pos="9026"/>
      </w:tabs>
      <w:spacing w:line="240" w:lineRule="auto"/>
    </w:pPr>
  </w:style>
  <w:style w:type="character" w:customStyle="1" w:styleId="HeaderChar">
    <w:name w:val="Header Char"/>
    <w:basedOn w:val="DefaultParagraphFont"/>
    <w:link w:val="Header"/>
    <w:uiPriority w:val="99"/>
    <w:rsid w:val="000F7D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en.wikipedia.org/wiki/Eero_Saarinen" TargetMode="External"/><Relationship Id="rId18" Type="http://schemas.openxmlformats.org/officeDocument/2006/relationships/image" Target="media/image4.jpeg"/><Relationship Id="rId26" Type="http://schemas.openxmlformats.org/officeDocument/2006/relationships/image" Target="media/image12.jpeg"/><Relationship Id="rId3" Type="http://schemas.openxmlformats.org/officeDocument/2006/relationships/styles" Target="styles.xml"/><Relationship Id="rId21" Type="http://schemas.openxmlformats.org/officeDocument/2006/relationships/image" Target="media/image7.jpeg"/><Relationship Id="rId7" Type="http://schemas.openxmlformats.org/officeDocument/2006/relationships/endnotes" Target="endnotes.xml"/><Relationship Id="rId12" Type="http://schemas.openxmlformats.org/officeDocument/2006/relationships/hyperlink" Target="https://en.wikipedia.org/wiki/Institute_of_Technology" TargetMode="External"/><Relationship Id="rId17" Type="http://schemas.openxmlformats.org/officeDocument/2006/relationships/image" Target="media/image3.jpeg"/><Relationship Id="rId25" Type="http://schemas.openxmlformats.org/officeDocument/2006/relationships/image" Target="media/image11.jpeg"/><Relationship Id="rId2" Type="http://schemas.openxmlformats.org/officeDocument/2006/relationships/numbering" Target="numbering.xml"/><Relationship Id="rId16" Type="http://schemas.openxmlformats.org/officeDocument/2006/relationships/hyperlink" Target="https://en.wikipedia.org/wiki/Minoru_Yamasaki" TargetMode="External"/><Relationship Id="rId20" Type="http://schemas.openxmlformats.org/officeDocument/2006/relationships/image" Target="media/image6.jpe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Institute_of_Technology" TargetMode="External"/><Relationship Id="rId24" Type="http://schemas.openxmlformats.org/officeDocument/2006/relationships/image" Target="media/image10.jpeg"/><Relationship Id="rId5" Type="http://schemas.openxmlformats.org/officeDocument/2006/relationships/webSettings" Target="webSettings.xml"/><Relationship Id="rId15" Type="http://schemas.openxmlformats.org/officeDocument/2006/relationships/hyperlink" Target="https://en.wikipedia.org/wiki/Minoru_Yamasaki" TargetMode="External"/><Relationship Id="rId23" Type="http://schemas.openxmlformats.org/officeDocument/2006/relationships/image" Target="media/image9.jpeg"/><Relationship Id="rId28" Type="http://schemas.openxmlformats.org/officeDocument/2006/relationships/image" Target="media/image14.jpeg"/><Relationship Id="rId10" Type="http://schemas.openxmlformats.org/officeDocument/2006/relationships/image" Target="media/image2.jpeg"/><Relationship Id="rId19"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en.wikipedia.org/wiki/Eero_Saarinen" TargetMode="External"/><Relationship Id="rId22" Type="http://schemas.openxmlformats.org/officeDocument/2006/relationships/image" Target="media/image8.jpeg"/><Relationship Id="rId27" Type="http://schemas.openxmlformats.org/officeDocument/2006/relationships/image" Target="media/image13.jpeg"/><Relationship Id="rId30"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6E852E-D936-437F-9243-D421142F5E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14</Pages>
  <Words>3345</Words>
  <Characters>20779</Characters>
  <Application>Microsoft Office Word</Application>
  <DocSecurity>0</DocSecurity>
  <Lines>399</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 B</cp:lastModifiedBy>
  <cp:revision>12</cp:revision>
  <cp:lastPrinted>2026-04-03T21:03:00Z</cp:lastPrinted>
  <dcterms:created xsi:type="dcterms:W3CDTF">2026-04-03T21:17:00Z</dcterms:created>
  <dcterms:modified xsi:type="dcterms:W3CDTF">2026-04-03T21:30:00Z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9fd188f6-4864-4971-998b-859cde80b7c3</vt:lpwstr>
  </property>
</Properties>
</file>