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2D6EF6" w14:textId="773F9C49" w:rsidR="00167B70" w:rsidRPr="00E772C1" w:rsidRDefault="00167B70" w:rsidP="00E772C1">
      <w:pPr>
        <w:pStyle w:val="Heading1"/>
        <w:spacing w:line="360" w:lineRule="auto"/>
        <w:jc w:val="both"/>
        <w:rPr>
          <w:color w:val="000000" w:themeColor="text1"/>
        </w:rPr>
      </w:pPr>
      <w:bookmarkStart w:id="0" w:name="_Toc233953604"/>
      <w:r w:rsidRPr="00E772C1">
        <w:rPr>
          <w:noProof/>
          <w:color w:val="000000" w:themeColor="text1"/>
        </w:rPr>
        <w:drawing>
          <wp:inline distT="0" distB="0" distL="0" distR="0" wp14:anchorId="5E5B953A" wp14:editId="3D59E8D4">
            <wp:extent cx="3225800" cy="1181100"/>
            <wp:effectExtent l="0" t="0" r="0" b="0"/>
            <wp:docPr id="1340473710" name="Picture 1"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473710" name="Picture 1" descr="Black text on a white background&#10;&#10;AI-generated content may be incorrect."/>
                    <pic:cNvPicPr/>
                  </pic:nvPicPr>
                  <pic:blipFill>
                    <a:blip r:embed="rId8"/>
                    <a:stretch>
                      <a:fillRect/>
                    </a:stretch>
                  </pic:blipFill>
                  <pic:spPr>
                    <a:xfrm>
                      <a:off x="0" y="0"/>
                      <a:ext cx="3225800" cy="1181100"/>
                    </a:xfrm>
                    <a:prstGeom prst="rect">
                      <a:avLst/>
                    </a:prstGeom>
                  </pic:spPr>
                </pic:pic>
              </a:graphicData>
            </a:graphic>
          </wp:inline>
        </w:drawing>
      </w:r>
    </w:p>
    <w:p w14:paraId="7CD05C8A" w14:textId="567E87D2" w:rsidR="00457659" w:rsidRPr="00E772C1" w:rsidRDefault="00457659" w:rsidP="00E772C1">
      <w:pPr>
        <w:pStyle w:val="Heading1"/>
        <w:spacing w:line="360" w:lineRule="auto"/>
        <w:jc w:val="center"/>
        <w:rPr>
          <w:color w:val="000000" w:themeColor="text1"/>
          <w:sz w:val="44"/>
          <w:szCs w:val="44"/>
        </w:rPr>
      </w:pPr>
      <w:r w:rsidRPr="00E772C1">
        <w:rPr>
          <w:color w:val="000000" w:themeColor="text1"/>
          <w:sz w:val="44"/>
          <w:szCs w:val="44"/>
        </w:rPr>
        <w:t>Stakeholder Management Plan for New Public Park</w:t>
      </w:r>
      <w:bookmarkEnd w:id="0"/>
    </w:p>
    <w:p w14:paraId="6113091A" w14:textId="77777777" w:rsidR="00457659" w:rsidRPr="00E772C1" w:rsidRDefault="00457659" w:rsidP="00E772C1">
      <w:pPr>
        <w:spacing w:line="360" w:lineRule="auto"/>
        <w:jc w:val="both"/>
        <w:rPr>
          <w:color w:val="000000" w:themeColor="text1"/>
        </w:rPr>
      </w:pPr>
    </w:p>
    <w:p w14:paraId="69BC4F14" w14:textId="77777777" w:rsidR="00457659" w:rsidRPr="00E772C1" w:rsidRDefault="00457659" w:rsidP="00E772C1">
      <w:pPr>
        <w:spacing w:line="360" w:lineRule="auto"/>
        <w:jc w:val="both"/>
        <w:rPr>
          <w:color w:val="000000" w:themeColor="text1"/>
        </w:rPr>
      </w:pPr>
    </w:p>
    <w:p w14:paraId="46AB942E" w14:textId="77777777" w:rsidR="00457659" w:rsidRPr="00E772C1" w:rsidRDefault="00457659" w:rsidP="00E772C1">
      <w:pPr>
        <w:spacing w:line="360" w:lineRule="auto"/>
        <w:jc w:val="both"/>
        <w:rPr>
          <w:color w:val="000000" w:themeColor="text1"/>
        </w:rPr>
      </w:pPr>
    </w:p>
    <w:p w14:paraId="721BC84F" w14:textId="77777777" w:rsidR="00457659" w:rsidRPr="00E772C1" w:rsidRDefault="00457659" w:rsidP="00E772C1">
      <w:pPr>
        <w:spacing w:line="360" w:lineRule="auto"/>
        <w:jc w:val="both"/>
        <w:rPr>
          <w:color w:val="000000" w:themeColor="text1"/>
        </w:rPr>
      </w:pPr>
    </w:p>
    <w:p w14:paraId="74128571" w14:textId="77777777" w:rsidR="00457659" w:rsidRPr="00E772C1" w:rsidRDefault="00457659" w:rsidP="00E772C1">
      <w:pPr>
        <w:spacing w:line="360" w:lineRule="auto"/>
        <w:jc w:val="both"/>
        <w:rPr>
          <w:color w:val="000000" w:themeColor="text1"/>
        </w:rPr>
      </w:pPr>
    </w:p>
    <w:p w14:paraId="6C015F43" w14:textId="77777777" w:rsidR="00457659" w:rsidRPr="00E772C1" w:rsidRDefault="00457659" w:rsidP="00E772C1">
      <w:pPr>
        <w:spacing w:line="360" w:lineRule="auto"/>
        <w:jc w:val="both"/>
        <w:rPr>
          <w:color w:val="000000" w:themeColor="text1"/>
        </w:rPr>
      </w:pPr>
    </w:p>
    <w:p w14:paraId="0E4A09A6" w14:textId="77777777" w:rsidR="00457659" w:rsidRPr="00E772C1" w:rsidRDefault="00457659" w:rsidP="00E772C1">
      <w:pPr>
        <w:spacing w:line="360" w:lineRule="auto"/>
        <w:jc w:val="both"/>
        <w:rPr>
          <w:color w:val="000000" w:themeColor="text1"/>
        </w:rPr>
      </w:pPr>
    </w:p>
    <w:p w14:paraId="21A036E5" w14:textId="77777777" w:rsidR="00457659" w:rsidRPr="00E772C1" w:rsidRDefault="00457659" w:rsidP="00E772C1">
      <w:pPr>
        <w:spacing w:line="360" w:lineRule="auto"/>
        <w:jc w:val="both"/>
        <w:rPr>
          <w:color w:val="000000" w:themeColor="text1"/>
        </w:rPr>
      </w:pPr>
    </w:p>
    <w:p w14:paraId="6EDFE744" w14:textId="77777777" w:rsidR="00457659" w:rsidRPr="00E772C1" w:rsidRDefault="00457659" w:rsidP="00E772C1">
      <w:pPr>
        <w:spacing w:line="360" w:lineRule="auto"/>
        <w:jc w:val="both"/>
        <w:rPr>
          <w:color w:val="000000" w:themeColor="text1"/>
        </w:rPr>
      </w:pPr>
    </w:p>
    <w:p w14:paraId="13A3F80A" w14:textId="77777777" w:rsidR="00457659" w:rsidRPr="00E772C1" w:rsidRDefault="00457659" w:rsidP="00E772C1">
      <w:pPr>
        <w:spacing w:line="360" w:lineRule="auto"/>
        <w:jc w:val="both"/>
        <w:rPr>
          <w:color w:val="000000" w:themeColor="text1"/>
        </w:rPr>
      </w:pPr>
    </w:p>
    <w:p w14:paraId="0F0B470B" w14:textId="77777777" w:rsidR="00457659" w:rsidRPr="00E772C1" w:rsidRDefault="00457659" w:rsidP="00E772C1">
      <w:pPr>
        <w:spacing w:line="360" w:lineRule="auto"/>
        <w:jc w:val="both"/>
        <w:rPr>
          <w:color w:val="000000" w:themeColor="text1"/>
        </w:rPr>
      </w:pPr>
    </w:p>
    <w:p w14:paraId="2C32EEBE" w14:textId="77777777" w:rsidR="00457659" w:rsidRPr="00E772C1" w:rsidRDefault="00457659" w:rsidP="00E772C1">
      <w:pPr>
        <w:spacing w:line="360" w:lineRule="auto"/>
        <w:jc w:val="both"/>
        <w:rPr>
          <w:color w:val="000000" w:themeColor="text1"/>
        </w:rPr>
      </w:pPr>
    </w:p>
    <w:p w14:paraId="7A773ECF" w14:textId="77777777" w:rsidR="00457659" w:rsidRPr="00E772C1" w:rsidRDefault="00457659" w:rsidP="00E772C1">
      <w:pPr>
        <w:spacing w:line="360" w:lineRule="auto"/>
        <w:jc w:val="both"/>
        <w:rPr>
          <w:color w:val="000000" w:themeColor="text1"/>
        </w:rPr>
      </w:pPr>
    </w:p>
    <w:p w14:paraId="7369352B" w14:textId="77777777" w:rsidR="00457659" w:rsidRPr="00E772C1" w:rsidRDefault="00457659" w:rsidP="00E772C1">
      <w:pPr>
        <w:spacing w:line="360" w:lineRule="auto"/>
        <w:jc w:val="both"/>
        <w:rPr>
          <w:color w:val="000000" w:themeColor="text1"/>
        </w:rPr>
      </w:pPr>
    </w:p>
    <w:p w14:paraId="29A5CB97" w14:textId="77777777" w:rsidR="00457659" w:rsidRPr="00E772C1" w:rsidRDefault="00457659" w:rsidP="00E772C1">
      <w:pPr>
        <w:spacing w:line="360" w:lineRule="auto"/>
        <w:jc w:val="both"/>
        <w:rPr>
          <w:color w:val="000000" w:themeColor="text1"/>
        </w:rPr>
      </w:pPr>
    </w:p>
    <w:sdt>
      <w:sdtPr>
        <w:rPr>
          <w:rFonts w:ascii="Times New Roman" w:eastAsiaTheme="minorEastAsia" w:hAnsi="Times New Roman" w:cstheme="minorBidi"/>
          <w:b w:val="0"/>
          <w:bCs w:val="0"/>
          <w:color w:val="000000" w:themeColor="text1"/>
          <w:sz w:val="24"/>
          <w:szCs w:val="22"/>
        </w:rPr>
        <w:id w:val="-152752504"/>
        <w:docPartObj>
          <w:docPartGallery w:val="Table of Contents"/>
          <w:docPartUnique/>
        </w:docPartObj>
      </w:sdtPr>
      <w:sdtEndPr>
        <w:rPr>
          <w:noProof/>
        </w:rPr>
      </w:sdtEndPr>
      <w:sdtContent>
        <w:p w14:paraId="5986D39F" w14:textId="13A35152" w:rsidR="00457659" w:rsidRPr="00E772C1" w:rsidRDefault="00457659" w:rsidP="00E772C1">
          <w:pPr>
            <w:pStyle w:val="TOCHeading"/>
            <w:spacing w:line="360" w:lineRule="auto"/>
            <w:jc w:val="both"/>
            <w:rPr>
              <w:color w:val="000000" w:themeColor="text1"/>
            </w:rPr>
          </w:pPr>
          <w:r w:rsidRPr="00E772C1">
            <w:rPr>
              <w:color w:val="000000" w:themeColor="text1"/>
            </w:rPr>
            <w:t>Table of Contents</w:t>
          </w:r>
        </w:p>
        <w:p w14:paraId="6CB741E5" w14:textId="0885F503" w:rsidR="00457659" w:rsidRPr="00E772C1" w:rsidRDefault="00457659" w:rsidP="00E772C1">
          <w:pPr>
            <w:pStyle w:val="TOC1"/>
            <w:tabs>
              <w:tab w:val="right" w:leader="dot" w:pos="8630"/>
            </w:tabs>
            <w:spacing w:line="360" w:lineRule="auto"/>
            <w:jc w:val="both"/>
            <w:rPr>
              <w:rFonts w:cstheme="minorBidi"/>
              <w:b w:val="0"/>
              <w:bCs w:val="0"/>
              <w:i w:val="0"/>
              <w:iCs w:val="0"/>
              <w:noProof/>
              <w:color w:val="000000" w:themeColor="text1"/>
              <w:kern w:val="2"/>
              <w:szCs w:val="24"/>
              <w:lang w:val="en-KW"/>
              <w14:ligatures w14:val="standardContextual"/>
            </w:rPr>
          </w:pPr>
          <w:r w:rsidRPr="00E772C1">
            <w:rPr>
              <w:b w:val="0"/>
              <w:bCs w:val="0"/>
              <w:color w:val="000000" w:themeColor="text1"/>
            </w:rPr>
            <w:fldChar w:fldCharType="begin"/>
          </w:r>
          <w:r w:rsidRPr="00E772C1">
            <w:rPr>
              <w:color w:val="000000" w:themeColor="text1"/>
            </w:rPr>
            <w:instrText xml:space="preserve"> TOC \o "1-3" \h \z \u </w:instrText>
          </w:r>
          <w:r w:rsidRPr="00E772C1">
            <w:rPr>
              <w:b w:val="0"/>
              <w:bCs w:val="0"/>
              <w:color w:val="000000" w:themeColor="text1"/>
            </w:rPr>
            <w:fldChar w:fldCharType="separate"/>
          </w:r>
          <w:hyperlink w:anchor="_Toc233953604" w:history="1">
            <w:r w:rsidRPr="00E772C1">
              <w:rPr>
                <w:rStyle w:val="Hyperlink"/>
                <w:noProof/>
                <w:color w:val="000000" w:themeColor="text1"/>
              </w:rPr>
              <w:t>Stakeholder Management Plan for New Public Park</w:t>
            </w:r>
            <w:r w:rsidRPr="00E772C1">
              <w:rPr>
                <w:noProof/>
                <w:webHidden/>
                <w:color w:val="000000" w:themeColor="text1"/>
              </w:rPr>
              <w:tab/>
            </w:r>
            <w:r w:rsidRPr="00E772C1">
              <w:rPr>
                <w:noProof/>
                <w:webHidden/>
                <w:color w:val="000000" w:themeColor="text1"/>
              </w:rPr>
              <w:fldChar w:fldCharType="begin"/>
            </w:r>
            <w:r w:rsidRPr="00E772C1">
              <w:rPr>
                <w:noProof/>
                <w:webHidden/>
                <w:color w:val="000000" w:themeColor="text1"/>
              </w:rPr>
              <w:instrText xml:space="preserve"> PAGEREF _Toc233953604 \h </w:instrText>
            </w:r>
            <w:r w:rsidRPr="00E772C1">
              <w:rPr>
                <w:noProof/>
                <w:webHidden/>
                <w:color w:val="000000" w:themeColor="text1"/>
              </w:rPr>
            </w:r>
            <w:r w:rsidRPr="00E772C1">
              <w:rPr>
                <w:noProof/>
                <w:webHidden/>
                <w:color w:val="000000" w:themeColor="text1"/>
              </w:rPr>
              <w:fldChar w:fldCharType="separate"/>
            </w:r>
            <w:r w:rsidRPr="00E772C1">
              <w:rPr>
                <w:noProof/>
                <w:webHidden/>
                <w:color w:val="000000" w:themeColor="text1"/>
              </w:rPr>
              <w:t>1</w:t>
            </w:r>
            <w:r w:rsidRPr="00E772C1">
              <w:rPr>
                <w:noProof/>
                <w:webHidden/>
                <w:color w:val="000000" w:themeColor="text1"/>
              </w:rPr>
              <w:fldChar w:fldCharType="end"/>
            </w:r>
          </w:hyperlink>
        </w:p>
        <w:p w14:paraId="4D67D61E" w14:textId="3C547F52" w:rsidR="00457659" w:rsidRPr="00E772C1" w:rsidRDefault="00457659" w:rsidP="00E772C1">
          <w:pPr>
            <w:pStyle w:val="TOC2"/>
            <w:tabs>
              <w:tab w:val="right" w:leader="dot" w:pos="8630"/>
            </w:tabs>
            <w:spacing w:line="360" w:lineRule="auto"/>
            <w:jc w:val="both"/>
            <w:rPr>
              <w:rFonts w:cstheme="minorBidi"/>
              <w:b w:val="0"/>
              <w:bCs w:val="0"/>
              <w:noProof/>
              <w:color w:val="000000" w:themeColor="text1"/>
              <w:kern w:val="2"/>
              <w:sz w:val="24"/>
              <w:szCs w:val="24"/>
              <w:lang w:val="en-KW"/>
              <w14:ligatures w14:val="standardContextual"/>
            </w:rPr>
          </w:pPr>
          <w:hyperlink w:anchor="_Toc233953605" w:history="1">
            <w:r w:rsidRPr="00E772C1">
              <w:rPr>
                <w:rStyle w:val="Hyperlink"/>
                <w:noProof/>
                <w:color w:val="000000" w:themeColor="text1"/>
              </w:rPr>
              <w:t>Element 1: Introduction</w:t>
            </w:r>
            <w:r w:rsidRPr="00E772C1">
              <w:rPr>
                <w:noProof/>
                <w:webHidden/>
                <w:color w:val="000000" w:themeColor="text1"/>
              </w:rPr>
              <w:tab/>
            </w:r>
            <w:r w:rsidRPr="00E772C1">
              <w:rPr>
                <w:noProof/>
                <w:webHidden/>
                <w:color w:val="000000" w:themeColor="text1"/>
              </w:rPr>
              <w:fldChar w:fldCharType="begin"/>
            </w:r>
            <w:r w:rsidRPr="00E772C1">
              <w:rPr>
                <w:noProof/>
                <w:webHidden/>
                <w:color w:val="000000" w:themeColor="text1"/>
              </w:rPr>
              <w:instrText xml:space="preserve"> PAGEREF _Toc233953605 \h </w:instrText>
            </w:r>
            <w:r w:rsidRPr="00E772C1">
              <w:rPr>
                <w:noProof/>
                <w:webHidden/>
                <w:color w:val="000000" w:themeColor="text1"/>
              </w:rPr>
            </w:r>
            <w:r w:rsidRPr="00E772C1">
              <w:rPr>
                <w:noProof/>
                <w:webHidden/>
                <w:color w:val="000000" w:themeColor="text1"/>
              </w:rPr>
              <w:fldChar w:fldCharType="separate"/>
            </w:r>
            <w:r w:rsidRPr="00E772C1">
              <w:rPr>
                <w:noProof/>
                <w:webHidden/>
                <w:color w:val="000000" w:themeColor="text1"/>
              </w:rPr>
              <w:t>2</w:t>
            </w:r>
            <w:r w:rsidRPr="00E772C1">
              <w:rPr>
                <w:noProof/>
                <w:webHidden/>
                <w:color w:val="000000" w:themeColor="text1"/>
              </w:rPr>
              <w:fldChar w:fldCharType="end"/>
            </w:r>
          </w:hyperlink>
        </w:p>
        <w:p w14:paraId="238E1458" w14:textId="0E90FEDA" w:rsidR="00457659" w:rsidRPr="00E772C1" w:rsidRDefault="00457659" w:rsidP="00E772C1">
          <w:pPr>
            <w:pStyle w:val="TOC2"/>
            <w:tabs>
              <w:tab w:val="right" w:leader="dot" w:pos="8630"/>
            </w:tabs>
            <w:spacing w:line="360" w:lineRule="auto"/>
            <w:jc w:val="both"/>
            <w:rPr>
              <w:rFonts w:cstheme="minorBidi"/>
              <w:b w:val="0"/>
              <w:bCs w:val="0"/>
              <w:noProof/>
              <w:color w:val="000000" w:themeColor="text1"/>
              <w:kern w:val="2"/>
              <w:sz w:val="24"/>
              <w:szCs w:val="24"/>
              <w:lang w:val="en-KW"/>
              <w14:ligatures w14:val="standardContextual"/>
            </w:rPr>
          </w:pPr>
          <w:hyperlink w:anchor="_Toc233953606" w:history="1">
            <w:r w:rsidRPr="00E772C1">
              <w:rPr>
                <w:rStyle w:val="Hyperlink"/>
                <w:noProof/>
                <w:color w:val="000000" w:themeColor="text1"/>
              </w:rPr>
              <w:t>Element 2: Stakeholder Engagement Strategies</w:t>
            </w:r>
            <w:r w:rsidRPr="00E772C1">
              <w:rPr>
                <w:noProof/>
                <w:webHidden/>
                <w:color w:val="000000" w:themeColor="text1"/>
              </w:rPr>
              <w:tab/>
            </w:r>
            <w:r w:rsidRPr="00E772C1">
              <w:rPr>
                <w:noProof/>
                <w:webHidden/>
                <w:color w:val="000000" w:themeColor="text1"/>
              </w:rPr>
              <w:fldChar w:fldCharType="begin"/>
            </w:r>
            <w:r w:rsidRPr="00E772C1">
              <w:rPr>
                <w:noProof/>
                <w:webHidden/>
                <w:color w:val="000000" w:themeColor="text1"/>
              </w:rPr>
              <w:instrText xml:space="preserve"> PAGEREF _Toc233953606 \h </w:instrText>
            </w:r>
            <w:r w:rsidRPr="00E772C1">
              <w:rPr>
                <w:noProof/>
                <w:webHidden/>
                <w:color w:val="000000" w:themeColor="text1"/>
              </w:rPr>
            </w:r>
            <w:r w:rsidRPr="00E772C1">
              <w:rPr>
                <w:noProof/>
                <w:webHidden/>
                <w:color w:val="000000" w:themeColor="text1"/>
              </w:rPr>
              <w:fldChar w:fldCharType="separate"/>
            </w:r>
            <w:r w:rsidRPr="00E772C1">
              <w:rPr>
                <w:noProof/>
                <w:webHidden/>
                <w:color w:val="000000" w:themeColor="text1"/>
              </w:rPr>
              <w:t>2</w:t>
            </w:r>
            <w:r w:rsidRPr="00E772C1">
              <w:rPr>
                <w:noProof/>
                <w:webHidden/>
                <w:color w:val="000000" w:themeColor="text1"/>
              </w:rPr>
              <w:fldChar w:fldCharType="end"/>
            </w:r>
          </w:hyperlink>
        </w:p>
        <w:p w14:paraId="1CAF2679" w14:textId="43D459C5" w:rsidR="00457659" w:rsidRPr="00E772C1" w:rsidRDefault="00457659" w:rsidP="00E772C1">
          <w:pPr>
            <w:pStyle w:val="TOC2"/>
            <w:tabs>
              <w:tab w:val="right" w:leader="dot" w:pos="8630"/>
            </w:tabs>
            <w:spacing w:line="360" w:lineRule="auto"/>
            <w:jc w:val="both"/>
            <w:rPr>
              <w:rFonts w:cstheme="minorBidi"/>
              <w:b w:val="0"/>
              <w:bCs w:val="0"/>
              <w:noProof/>
              <w:color w:val="000000" w:themeColor="text1"/>
              <w:kern w:val="2"/>
              <w:sz w:val="24"/>
              <w:szCs w:val="24"/>
              <w:lang w:val="en-KW"/>
              <w14:ligatures w14:val="standardContextual"/>
            </w:rPr>
          </w:pPr>
          <w:hyperlink w:anchor="_Toc233953607" w:history="1">
            <w:r w:rsidRPr="00E772C1">
              <w:rPr>
                <w:rStyle w:val="Hyperlink"/>
                <w:noProof/>
                <w:color w:val="000000" w:themeColor="text1"/>
              </w:rPr>
              <w:t>Element 3: Ethical Considerations in Stakeholder Consultation, Participation and Feedback</w:t>
            </w:r>
            <w:r w:rsidRPr="00E772C1">
              <w:rPr>
                <w:noProof/>
                <w:webHidden/>
                <w:color w:val="000000" w:themeColor="text1"/>
              </w:rPr>
              <w:tab/>
            </w:r>
            <w:r w:rsidRPr="00E772C1">
              <w:rPr>
                <w:noProof/>
                <w:webHidden/>
                <w:color w:val="000000" w:themeColor="text1"/>
              </w:rPr>
              <w:fldChar w:fldCharType="begin"/>
            </w:r>
            <w:r w:rsidRPr="00E772C1">
              <w:rPr>
                <w:noProof/>
                <w:webHidden/>
                <w:color w:val="000000" w:themeColor="text1"/>
              </w:rPr>
              <w:instrText xml:space="preserve"> PAGEREF _Toc233953607 \h </w:instrText>
            </w:r>
            <w:r w:rsidRPr="00E772C1">
              <w:rPr>
                <w:noProof/>
                <w:webHidden/>
                <w:color w:val="000000" w:themeColor="text1"/>
              </w:rPr>
            </w:r>
            <w:r w:rsidRPr="00E772C1">
              <w:rPr>
                <w:noProof/>
                <w:webHidden/>
                <w:color w:val="000000" w:themeColor="text1"/>
              </w:rPr>
              <w:fldChar w:fldCharType="separate"/>
            </w:r>
            <w:r w:rsidRPr="00E772C1">
              <w:rPr>
                <w:noProof/>
                <w:webHidden/>
                <w:color w:val="000000" w:themeColor="text1"/>
              </w:rPr>
              <w:t>6</w:t>
            </w:r>
            <w:r w:rsidRPr="00E772C1">
              <w:rPr>
                <w:noProof/>
                <w:webHidden/>
                <w:color w:val="000000" w:themeColor="text1"/>
              </w:rPr>
              <w:fldChar w:fldCharType="end"/>
            </w:r>
          </w:hyperlink>
        </w:p>
        <w:p w14:paraId="0663B3C5" w14:textId="62866222" w:rsidR="00457659" w:rsidRPr="00E772C1" w:rsidRDefault="00457659" w:rsidP="00E772C1">
          <w:pPr>
            <w:pStyle w:val="TOC2"/>
            <w:tabs>
              <w:tab w:val="right" w:leader="dot" w:pos="8630"/>
            </w:tabs>
            <w:spacing w:line="360" w:lineRule="auto"/>
            <w:jc w:val="both"/>
            <w:rPr>
              <w:rFonts w:cstheme="minorBidi"/>
              <w:b w:val="0"/>
              <w:bCs w:val="0"/>
              <w:noProof/>
              <w:color w:val="000000" w:themeColor="text1"/>
              <w:kern w:val="2"/>
              <w:sz w:val="24"/>
              <w:szCs w:val="24"/>
              <w:lang w:val="en-KW"/>
              <w14:ligatures w14:val="standardContextual"/>
            </w:rPr>
          </w:pPr>
          <w:hyperlink w:anchor="_Toc233953608" w:history="1">
            <w:r w:rsidRPr="00E772C1">
              <w:rPr>
                <w:rStyle w:val="Hyperlink"/>
                <w:noProof/>
                <w:color w:val="000000" w:themeColor="text1"/>
              </w:rPr>
              <w:t>Element 4: Conclusion and Reflection</w:t>
            </w:r>
            <w:r w:rsidRPr="00E772C1">
              <w:rPr>
                <w:noProof/>
                <w:webHidden/>
                <w:color w:val="000000" w:themeColor="text1"/>
              </w:rPr>
              <w:tab/>
            </w:r>
            <w:r w:rsidRPr="00E772C1">
              <w:rPr>
                <w:noProof/>
                <w:webHidden/>
                <w:color w:val="000000" w:themeColor="text1"/>
              </w:rPr>
              <w:fldChar w:fldCharType="begin"/>
            </w:r>
            <w:r w:rsidRPr="00E772C1">
              <w:rPr>
                <w:noProof/>
                <w:webHidden/>
                <w:color w:val="000000" w:themeColor="text1"/>
              </w:rPr>
              <w:instrText xml:space="preserve"> PAGEREF _Toc233953608 \h </w:instrText>
            </w:r>
            <w:r w:rsidRPr="00E772C1">
              <w:rPr>
                <w:noProof/>
                <w:webHidden/>
                <w:color w:val="000000" w:themeColor="text1"/>
              </w:rPr>
            </w:r>
            <w:r w:rsidRPr="00E772C1">
              <w:rPr>
                <w:noProof/>
                <w:webHidden/>
                <w:color w:val="000000" w:themeColor="text1"/>
              </w:rPr>
              <w:fldChar w:fldCharType="separate"/>
            </w:r>
            <w:r w:rsidRPr="00E772C1">
              <w:rPr>
                <w:noProof/>
                <w:webHidden/>
                <w:color w:val="000000" w:themeColor="text1"/>
              </w:rPr>
              <w:t>7</w:t>
            </w:r>
            <w:r w:rsidRPr="00E772C1">
              <w:rPr>
                <w:noProof/>
                <w:webHidden/>
                <w:color w:val="000000" w:themeColor="text1"/>
              </w:rPr>
              <w:fldChar w:fldCharType="end"/>
            </w:r>
          </w:hyperlink>
        </w:p>
        <w:p w14:paraId="39F44ECE" w14:textId="3F134559" w:rsidR="00457659" w:rsidRPr="00E772C1" w:rsidRDefault="00457659" w:rsidP="00E772C1">
          <w:pPr>
            <w:pStyle w:val="TOC2"/>
            <w:tabs>
              <w:tab w:val="right" w:leader="dot" w:pos="8630"/>
            </w:tabs>
            <w:spacing w:line="360" w:lineRule="auto"/>
            <w:jc w:val="both"/>
            <w:rPr>
              <w:rFonts w:cstheme="minorBidi"/>
              <w:b w:val="0"/>
              <w:bCs w:val="0"/>
              <w:noProof/>
              <w:color w:val="000000" w:themeColor="text1"/>
              <w:kern w:val="2"/>
              <w:sz w:val="24"/>
              <w:szCs w:val="24"/>
              <w:lang w:val="en-KW"/>
              <w14:ligatures w14:val="standardContextual"/>
            </w:rPr>
          </w:pPr>
          <w:hyperlink w:anchor="_Toc233953609" w:history="1">
            <w:r w:rsidRPr="00E772C1">
              <w:rPr>
                <w:rStyle w:val="Hyperlink"/>
                <w:noProof/>
                <w:color w:val="000000" w:themeColor="text1"/>
              </w:rPr>
              <w:t>References</w:t>
            </w:r>
            <w:r w:rsidRPr="00E772C1">
              <w:rPr>
                <w:noProof/>
                <w:webHidden/>
                <w:color w:val="000000" w:themeColor="text1"/>
              </w:rPr>
              <w:tab/>
            </w:r>
            <w:r w:rsidRPr="00E772C1">
              <w:rPr>
                <w:noProof/>
                <w:webHidden/>
                <w:color w:val="000000" w:themeColor="text1"/>
              </w:rPr>
              <w:fldChar w:fldCharType="begin"/>
            </w:r>
            <w:r w:rsidRPr="00E772C1">
              <w:rPr>
                <w:noProof/>
                <w:webHidden/>
                <w:color w:val="000000" w:themeColor="text1"/>
              </w:rPr>
              <w:instrText xml:space="preserve"> PAGEREF _Toc233953609 \h </w:instrText>
            </w:r>
            <w:r w:rsidRPr="00E772C1">
              <w:rPr>
                <w:noProof/>
                <w:webHidden/>
                <w:color w:val="000000" w:themeColor="text1"/>
              </w:rPr>
            </w:r>
            <w:r w:rsidRPr="00E772C1">
              <w:rPr>
                <w:noProof/>
                <w:webHidden/>
                <w:color w:val="000000" w:themeColor="text1"/>
              </w:rPr>
              <w:fldChar w:fldCharType="separate"/>
            </w:r>
            <w:r w:rsidRPr="00E772C1">
              <w:rPr>
                <w:noProof/>
                <w:webHidden/>
                <w:color w:val="000000" w:themeColor="text1"/>
              </w:rPr>
              <w:t>8</w:t>
            </w:r>
            <w:r w:rsidRPr="00E772C1">
              <w:rPr>
                <w:noProof/>
                <w:webHidden/>
                <w:color w:val="000000" w:themeColor="text1"/>
              </w:rPr>
              <w:fldChar w:fldCharType="end"/>
            </w:r>
          </w:hyperlink>
        </w:p>
        <w:p w14:paraId="24717127" w14:textId="61584D88" w:rsidR="00457659" w:rsidRPr="00E772C1" w:rsidRDefault="00457659" w:rsidP="00E772C1">
          <w:pPr>
            <w:spacing w:line="360" w:lineRule="auto"/>
            <w:jc w:val="both"/>
            <w:rPr>
              <w:color w:val="000000" w:themeColor="text1"/>
            </w:rPr>
          </w:pPr>
          <w:r w:rsidRPr="00E772C1">
            <w:rPr>
              <w:b/>
              <w:bCs/>
              <w:noProof/>
              <w:color w:val="000000" w:themeColor="text1"/>
            </w:rPr>
            <w:fldChar w:fldCharType="end"/>
          </w:r>
        </w:p>
      </w:sdtContent>
    </w:sdt>
    <w:p w14:paraId="49353EB7" w14:textId="77777777" w:rsidR="00457659" w:rsidRPr="00E772C1" w:rsidRDefault="00457659" w:rsidP="00E772C1">
      <w:pPr>
        <w:spacing w:line="360" w:lineRule="auto"/>
        <w:jc w:val="both"/>
        <w:rPr>
          <w:color w:val="000000" w:themeColor="text1"/>
        </w:rPr>
      </w:pPr>
    </w:p>
    <w:p w14:paraId="013BDA3D" w14:textId="77777777" w:rsidR="00457659" w:rsidRPr="00E772C1" w:rsidRDefault="00457659" w:rsidP="00E772C1">
      <w:pPr>
        <w:spacing w:line="360" w:lineRule="auto"/>
        <w:jc w:val="both"/>
        <w:rPr>
          <w:color w:val="000000" w:themeColor="text1"/>
        </w:rPr>
      </w:pPr>
    </w:p>
    <w:p w14:paraId="7C451706" w14:textId="77777777" w:rsidR="00457659" w:rsidRPr="00E772C1" w:rsidRDefault="00457659" w:rsidP="00E772C1">
      <w:pPr>
        <w:spacing w:line="360" w:lineRule="auto"/>
        <w:jc w:val="both"/>
        <w:rPr>
          <w:color w:val="000000" w:themeColor="text1"/>
        </w:rPr>
      </w:pPr>
    </w:p>
    <w:p w14:paraId="5982B043" w14:textId="77777777" w:rsidR="00E772C1" w:rsidRPr="00E772C1" w:rsidRDefault="00E772C1" w:rsidP="00E772C1">
      <w:pPr>
        <w:spacing w:line="360" w:lineRule="auto"/>
        <w:jc w:val="both"/>
        <w:rPr>
          <w:color w:val="000000" w:themeColor="text1"/>
        </w:rPr>
      </w:pPr>
    </w:p>
    <w:p w14:paraId="6BE29937" w14:textId="77777777" w:rsidR="00E772C1" w:rsidRPr="00E772C1" w:rsidRDefault="00E772C1" w:rsidP="00E772C1">
      <w:pPr>
        <w:spacing w:line="360" w:lineRule="auto"/>
        <w:jc w:val="both"/>
        <w:rPr>
          <w:color w:val="000000" w:themeColor="text1"/>
        </w:rPr>
      </w:pPr>
    </w:p>
    <w:p w14:paraId="0C644C06" w14:textId="77777777" w:rsidR="00E772C1" w:rsidRPr="00E772C1" w:rsidRDefault="00E772C1" w:rsidP="00E772C1">
      <w:pPr>
        <w:spacing w:line="360" w:lineRule="auto"/>
        <w:jc w:val="both"/>
        <w:rPr>
          <w:color w:val="000000" w:themeColor="text1"/>
        </w:rPr>
      </w:pPr>
    </w:p>
    <w:p w14:paraId="55FF8817" w14:textId="77777777" w:rsidR="00E772C1" w:rsidRPr="00E772C1" w:rsidRDefault="00E772C1" w:rsidP="00E772C1">
      <w:pPr>
        <w:spacing w:line="360" w:lineRule="auto"/>
        <w:jc w:val="both"/>
        <w:rPr>
          <w:color w:val="000000" w:themeColor="text1"/>
        </w:rPr>
      </w:pPr>
    </w:p>
    <w:p w14:paraId="66A2DC03" w14:textId="77777777" w:rsidR="00E772C1" w:rsidRPr="00E772C1" w:rsidRDefault="00E772C1" w:rsidP="00E772C1">
      <w:pPr>
        <w:spacing w:line="360" w:lineRule="auto"/>
        <w:jc w:val="both"/>
        <w:rPr>
          <w:color w:val="000000" w:themeColor="text1"/>
        </w:rPr>
      </w:pPr>
    </w:p>
    <w:p w14:paraId="0B9B01E6" w14:textId="77777777" w:rsidR="00E772C1" w:rsidRPr="00E772C1" w:rsidRDefault="00E772C1" w:rsidP="00E772C1">
      <w:pPr>
        <w:spacing w:line="360" w:lineRule="auto"/>
        <w:jc w:val="both"/>
        <w:rPr>
          <w:color w:val="000000" w:themeColor="text1"/>
        </w:rPr>
      </w:pPr>
    </w:p>
    <w:p w14:paraId="21BE804D" w14:textId="77777777" w:rsidR="00E772C1" w:rsidRPr="00E772C1" w:rsidRDefault="00E772C1" w:rsidP="00E772C1">
      <w:pPr>
        <w:spacing w:line="360" w:lineRule="auto"/>
        <w:jc w:val="both"/>
        <w:rPr>
          <w:color w:val="000000" w:themeColor="text1"/>
        </w:rPr>
      </w:pPr>
    </w:p>
    <w:p w14:paraId="1607311C" w14:textId="77777777" w:rsidR="00E772C1" w:rsidRPr="00E772C1" w:rsidRDefault="00E772C1" w:rsidP="00E772C1">
      <w:pPr>
        <w:spacing w:line="360" w:lineRule="auto"/>
        <w:jc w:val="both"/>
        <w:rPr>
          <w:color w:val="000000" w:themeColor="text1"/>
        </w:rPr>
      </w:pPr>
    </w:p>
    <w:p w14:paraId="607B2306" w14:textId="77777777" w:rsidR="00457659" w:rsidRPr="00E772C1" w:rsidRDefault="00457659" w:rsidP="00E772C1">
      <w:pPr>
        <w:pStyle w:val="Heading2"/>
        <w:spacing w:line="360" w:lineRule="auto"/>
        <w:jc w:val="both"/>
        <w:rPr>
          <w:color w:val="000000" w:themeColor="text1"/>
        </w:rPr>
      </w:pPr>
      <w:bookmarkStart w:id="1" w:name="_Toc233953605"/>
      <w:r w:rsidRPr="00E772C1">
        <w:rPr>
          <w:color w:val="000000" w:themeColor="text1"/>
        </w:rPr>
        <w:lastRenderedPageBreak/>
        <w:t>Element 1: Introduction</w:t>
      </w:r>
      <w:bookmarkEnd w:id="1"/>
    </w:p>
    <w:p w14:paraId="6C66679A" w14:textId="3F38BCE6" w:rsidR="00E772C1" w:rsidRPr="00E772C1" w:rsidRDefault="00E772C1" w:rsidP="00E772C1">
      <w:pPr>
        <w:pStyle w:val="BodyText"/>
        <w:spacing w:line="360" w:lineRule="auto"/>
        <w:jc w:val="both"/>
        <w:rPr>
          <w:color w:val="000000" w:themeColor="text1"/>
        </w:rPr>
      </w:pPr>
      <w:r w:rsidRPr="00E772C1">
        <w:rPr>
          <w:color w:val="000000" w:themeColor="text1"/>
          <w:lang w:val="en-KW"/>
        </w:rPr>
        <w:t>City of Ploiești (Prahova County) – New public park in a previously unexploited area in Romania. Green spaces encourage exercise, relaxation, mental health, social cohesion, and sustainability (Minkler 2010). Urban parks address heat islands, pollution and (somewhat) provide family and kid-friendly environments. In urban populations where rapid growth is a fact, equitable access to green spaces enhances quality of life and contributes towards sustainability (Ryan 2003).</w:t>
      </w:r>
      <w:r w:rsidRPr="00E772C1">
        <w:rPr>
          <w:rFonts w:eastAsia="Times New Roman" w:cs="Times New Roman"/>
          <w:color w:val="000000" w:themeColor="text1"/>
          <w:szCs w:val="24"/>
          <w:lang w:val="en-KW"/>
        </w:rPr>
        <w:t xml:space="preserve"> </w:t>
      </w:r>
      <w:r w:rsidRPr="00E772C1">
        <w:rPr>
          <w:color w:val="000000" w:themeColor="text1"/>
        </w:rPr>
        <w:t xml:space="preserve">We are proposing a city park. Parklands in urban settings are critical for recreation, community and ecology. As a junior stakeholder manager at a consultancy, you will need to fit this project into broader community objectives and identify the key stakeholders. Walking trails, playgrounds, athletic fields and gardens will turn an underused area into a park for events. Public health outcomes of projects that include physical well-being, stormwater management, habitat creation and urban </w:t>
      </w:r>
      <w:proofErr w:type="spellStart"/>
      <w:r w:rsidRPr="00E772C1">
        <w:rPr>
          <w:color w:val="000000" w:themeColor="text1"/>
        </w:rPr>
        <w:t>liveability</w:t>
      </w:r>
      <w:proofErr w:type="spellEnd"/>
      <w:r w:rsidRPr="00E772C1">
        <w:rPr>
          <w:color w:val="000000" w:themeColor="text1"/>
        </w:rPr>
        <w:t>.</w:t>
      </w:r>
    </w:p>
    <w:p w14:paraId="2FA175A2"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This program is beneficial for myriad stakeholders. The site will broaden greenspace and enhance home values for neighboring homeowners. In turn, the City Council and planning department will fulfill sustainable building objectives, including public amenity. Creation of habitats and conservation of biodiversity will give NGOs and environmental agencies a boost. Park foot traffic will drive business for local cafés, bike rentals, and events. The rollout will provide schools and sports clubs with further physical space for entertainment, education and social programs. Finally, tourists will benefit from another attraction and that gives the green, liveable city a boost. Recognizing these six stakeholder groups helps in the interaction of the project lifecycle.</w:t>
      </w:r>
    </w:p>
    <w:p w14:paraId="602A96E6"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Element 2: Stakeholder Engagement Strategies</w:t>
      </w:r>
    </w:p>
    <w:p w14:paraId="5CEBE798"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 xml:space="preserve">Systematic stakeholder analysis prioritizes involvement. The power–interest matrix sorts stakeholders according to their ability to impact the project and their desired Project Outcome. Studies demonstrate that power/interest grids are among the most frequently used stakeholder grouping methods — they enable project holders to decide on what communication channels they should use for each category. Power is how much power someone can exercise to influence the choices of others, while interest refers to a stakeholder's concern for the impact of a project. High-power stakeholders must be </w:t>
      </w:r>
      <w:r w:rsidRPr="00E772C1">
        <w:rPr>
          <w:color w:val="000000" w:themeColor="text1"/>
          <w:lang w:val="en-KW"/>
        </w:rPr>
        <w:lastRenderedPageBreak/>
        <w:t>managed very closely while for low-interest, high power – there should be education about the infrastructure and constant monitoring to detect any changes in real interests.</w:t>
      </w:r>
    </w:p>
    <w:p w14:paraId="109742F8" w14:textId="61209D97" w:rsidR="00E772C1" w:rsidRPr="00E772C1" w:rsidRDefault="00E772C1" w:rsidP="00E772C1">
      <w:pPr>
        <w:pStyle w:val="BodyText"/>
        <w:spacing w:line="360" w:lineRule="auto"/>
        <w:jc w:val="both"/>
        <w:rPr>
          <w:color w:val="000000" w:themeColor="text1"/>
          <w:lang w:val="en-KW"/>
        </w:rPr>
      </w:pPr>
    </w:p>
    <w:p w14:paraId="15F0EAD4"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The park will have walking routes, playgrounds, sports facilities and landscaped gardens as well as community event spaces. To achieve these benefits, stakeholders need to be engaged not only at the outset of a project (as in most traditional development process) but also throughout the project (Oguz, 2020). According to stakeholder theory, gaining insight into what all relevant parties want and attempting to balance clashing interests in order to benefit different stakeholders, not just shareholder (Trickett, 2011). Stakeholder identification and communication gaps are critical to relain essential infrastructural project performance (Fritz, Negash &amp; Sutherland). However, a good stakeholder management plan is crucial for success!</w:t>
      </w:r>
    </w:p>
    <w:p w14:paraId="566D8C79"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The six key stakeholders for this project The council also has considerable power and interest in funding, land use to create the park as it will be on municipal property. Provides Resources, Has Power But Medium Interest (if the project is one of Many Supported) (Ryan, 2000) Families and local country clubs are highly interested as they will be users of the park and help design it, but relatively low power (Marsh 2012). Biodiversity, conservation and sustainability groupsAdvocacy – Medium power High interest, typically watchdog The 7,500 trainees and volunteers active in the park will allow more cafes and retailers in the vicinity to enjoy higher levels of foot traffic. Lastly, local workers will oversee the construction and maintenance; they have significant amount of power and interest in finishing the project (Cohen, 2013).</w:t>
      </w:r>
    </w:p>
    <w:p w14:paraId="43B2E668"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Application: Stakeholder Engagement Strategies</w:t>
      </w:r>
    </w:p>
    <w:p w14:paraId="380F232C"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The power/interest table provides a matrix for the project owner to summarize stakeholders based on their level of power, interest in the project and their impact on decision making. The stakeholder theory states that initiatives need to identify and address stakeholders different needs and expectations (Cohen, 2006). Categorization of stakeholders Based on their interest, power and proximity, you decide the communication, resources to be allocated.</w:t>
      </w:r>
    </w:p>
    <w:p w14:paraId="37C51B7D"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lastRenderedPageBreak/>
        <w:t>2.2 Stakeholder Map</w:t>
      </w:r>
    </w:p>
    <w:p w14:paraId="1FBC4F59"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A stakeholder map groups by power/influence and interest on a quadrant basis. Control these stakeholders as they are high-power, high-interest; while low-interest/high-power groups should be satisfied, informed and monitored with a little effort [UK Data Service, 2023]).</w:t>
      </w:r>
    </w:p>
    <w:p w14:paraId="33C51BA1"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2.3 Quadrant Distribution</w:t>
      </w:r>
    </w:p>
    <w:p w14:paraId="2BC1C848"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The number of stakeholders in each power/interest quadrant is displayed with this bar chart. It indicates where communication and consultation resources should be directed (Trickett, 2012).</w:t>
      </w:r>
    </w:p>
    <w:p w14:paraId="1470D95C" w14:textId="77777777"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2.4 Communication and Consultation Plan</w:t>
      </w:r>
    </w:p>
    <w:p w14:paraId="484F6767" w14:textId="329B6772" w:rsidR="00E772C1" w:rsidRPr="00E772C1" w:rsidRDefault="00E772C1" w:rsidP="00E772C1">
      <w:pPr>
        <w:pStyle w:val="BodyText"/>
        <w:spacing w:line="360" w:lineRule="auto"/>
        <w:jc w:val="both"/>
        <w:rPr>
          <w:color w:val="000000" w:themeColor="text1"/>
          <w:lang w:val="en-KW"/>
        </w:rPr>
      </w:pPr>
      <w:r w:rsidRPr="00E772C1">
        <w:rPr>
          <w:color w:val="000000" w:themeColor="text1"/>
          <w:lang w:val="en-KW"/>
        </w:rPr>
        <w:t>A communication plan that is built in a structured manner delivers information to the right stakeholders, at the right time and through the appropriate channels. Communication means trust and better decision-making. Table 2 indicates the proposed communication and consultation plan regarding who will be contacted, what information is to be communicated, when it should happen, and method of communication</w:t>
      </w:r>
      <w:r w:rsidRPr="00E772C1">
        <w:rPr>
          <w:color w:val="000000" w:themeColor="text1"/>
          <w:lang w:val="en-KW"/>
        </w:rPr>
        <w:t>.</w:t>
      </w:r>
    </w:p>
    <w:p w14:paraId="6B8B054F" w14:textId="77777777" w:rsidR="00E772C1" w:rsidRPr="00E772C1" w:rsidRDefault="00E772C1" w:rsidP="00E772C1">
      <w:pPr>
        <w:pStyle w:val="BodyText"/>
        <w:spacing w:line="360" w:lineRule="auto"/>
        <w:jc w:val="both"/>
        <w:rPr>
          <w:color w:val="000000" w:themeColor="text1"/>
          <w:lang w:val="en-KW"/>
        </w:rPr>
      </w:pPr>
    </w:p>
    <w:p w14:paraId="39C8160B" w14:textId="1E34D2E3" w:rsidR="00FC6831" w:rsidRPr="00E772C1" w:rsidRDefault="00FC6831" w:rsidP="00E772C1">
      <w:pPr>
        <w:pStyle w:val="BodyText"/>
        <w:spacing w:line="360" w:lineRule="auto"/>
        <w:jc w:val="both"/>
        <w:rPr>
          <w:color w:val="000000" w:themeColor="text1"/>
        </w:rPr>
      </w:pPr>
      <w:r w:rsidRPr="00E772C1">
        <w:rPr>
          <w:color w:val="000000" w:themeColor="text1"/>
        </w:rPr>
        <w:tab/>
      </w:r>
      <w:r w:rsidRPr="00E772C1">
        <w:rPr>
          <w:color w:val="000000" w:themeColor="text1"/>
        </w:rPr>
        <w:tab/>
      </w:r>
      <w:r w:rsidRPr="00E772C1">
        <w:rPr>
          <w:color w:val="000000" w:themeColor="text1"/>
        </w:rPr>
        <w:tab/>
      </w:r>
      <w:r w:rsidRPr="00E772C1">
        <w:rPr>
          <w:color w:val="000000" w:themeColor="text1"/>
        </w:rPr>
        <w:tab/>
      </w:r>
      <w:r w:rsidRPr="00E772C1">
        <w:rPr>
          <w:color w:val="000000" w:themeColor="text1"/>
        </w:rPr>
        <w:tab/>
      </w:r>
    </w:p>
    <w:p w14:paraId="4C026E1A" w14:textId="77777777" w:rsidR="00FC6831" w:rsidRPr="00E772C1" w:rsidRDefault="00FC6831" w:rsidP="00E772C1">
      <w:pPr>
        <w:pStyle w:val="Heading2"/>
        <w:spacing w:line="360" w:lineRule="auto"/>
        <w:jc w:val="both"/>
        <w:rPr>
          <w:color w:val="000000" w:themeColor="text1"/>
        </w:rPr>
      </w:pPr>
      <w:r w:rsidRPr="00E772C1">
        <w:rPr>
          <w:color w:val="000000" w:themeColor="text1"/>
        </w:rPr>
        <w:t>2. Application: Stakeholder Engagement Strategies</w:t>
      </w:r>
    </w:p>
    <w:p w14:paraId="1446A793" w14:textId="77777777" w:rsidR="00FC6831" w:rsidRPr="00E772C1" w:rsidRDefault="00FC6831" w:rsidP="00E772C1">
      <w:pPr>
        <w:pStyle w:val="Heading3"/>
        <w:spacing w:line="360" w:lineRule="auto"/>
        <w:jc w:val="both"/>
        <w:rPr>
          <w:color w:val="000000" w:themeColor="text1"/>
        </w:rPr>
      </w:pPr>
      <w:r w:rsidRPr="00E772C1">
        <w:rPr>
          <w:color w:val="000000" w:themeColor="text1"/>
        </w:rPr>
        <w:t>2.1 Power, Interest and Influence Table</w:t>
      </w:r>
    </w:p>
    <w:tbl>
      <w:tblPr>
        <w:tblStyle w:val="TableGrid"/>
        <w:tblW w:w="0" w:type="auto"/>
        <w:tblLook w:val="04A0" w:firstRow="1" w:lastRow="0" w:firstColumn="1" w:lastColumn="0" w:noHBand="0" w:noVBand="1"/>
      </w:tblPr>
      <w:tblGrid>
        <w:gridCol w:w="2159"/>
        <w:gridCol w:w="2157"/>
        <w:gridCol w:w="2157"/>
        <w:gridCol w:w="2157"/>
      </w:tblGrid>
      <w:tr w:rsidR="00E772C1" w:rsidRPr="00E772C1" w14:paraId="0F7791B6" w14:textId="77777777" w:rsidTr="005311BA">
        <w:tc>
          <w:tcPr>
            <w:tcW w:w="2160" w:type="dxa"/>
          </w:tcPr>
          <w:p w14:paraId="75977ADB" w14:textId="77777777" w:rsidR="00FC6831" w:rsidRPr="00E772C1" w:rsidRDefault="00FC6831" w:rsidP="00E772C1">
            <w:pPr>
              <w:spacing w:line="360" w:lineRule="auto"/>
              <w:jc w:val="both"/>
              <w:rPr>
                <w:color w:val="000000" w:themeColor="text1"/>
              </w:rPr>
            </w:pPr>
            <w:r w:rsidRPr="00E772C1">
              <w:rPr>
                <w:color w:val="000000" w:themeColor="text1"/>
              </w:rPr>
              <w:t>Stakeholder</w:t>
            </w:r>
          </w:p>
        </w:tc>
        <w:tc>
          <w:tcPr>
            <w:tcW w:w="2160" w:type="dxa"/>
          </w:tcPr>
          <w:p w14:paraId="4F511633" w14:textId="77777777" w:rsidR="00FC6831" w:rsidRPr="00E772C1" w:rsidRDefault="00FC6831" w:rsidP="00E772C1">
            <w:pPr>
              <w:spacing w:line="360" w:lineRule="auto"/>
              <w:jc w:val="both"/>
              <w:rPr>
                <w:color w:val="000000" w:themeColor="text1"/>
              </w:rPr>
            </w:pPr>
            <w:r w:rsidRPr="00E772C1">
              <w:rPr>
                <w:color w:val="000000" w:themeColor="text1"/>
              </w:rPr>
              <w:t>Power</w:t>
            </w:r>
          </w:p>
        </w:tc>
        <w:tc>
          <w:tcPr>
            <w:tcW w:w="2160" w:type="dxa"/>
          </w:tcPr>
          <w:p w14:paraId="74CD78EB" w14:textId="77777777" w:rsidR="00FC6831" w:rsidRPr="00E772C1" w:rsidRDefault="00FC6831" w:rsidP="00E772C1">
            <w:pPr>
              <w:spacing w:line="360" w:lineRule="auto"/>
              <w:jc w:val="both"/>
              <w:rPr>
                <w:color w:val="000000" w:themeColor="text1"/>
              </w:rPr>
            </w:pPr>
            <w:r w:rsidRPr="00E772C1">
              <w:rPr>
                <w:color w:val="000000" w:themeColor="text1"/>
              </w:rPr>
              <w:t>Interest</w:t>
            </w:r>
          </w:p>
        </w:tc>
        <w:tc>
          <w:tcPr>
            <w:tcW w:w="2160" w:type="dxa"/>
          </w:tcPr>
          <w:p w14:paraId="09A4B9C6" w14:textId="77777777" w:rsidR="00FC6831" w:rsidRPr="00E772C1" w:rsidRDefault="00FC6831" w:rsidP="00E772C1">
            <w:pPr>
              <w:spacing w:line="360" w:lineRule="auto"/>
              <w:jc w:val="both"/>
              <w:rPr>
                <w:color w:val="000000" w:themeColor="text1"/>
              </w:rPr>
            </w:pPr>
            <w:r w:rsidRPr="00E772C1">
              <w:rPr>
                <w:color w:val="000000" w:themeColor="text1"/>
              </w:rPr>
              <w:t>Influence</w:t>
            </w:r>
          </w:p>
        </w:tc>
      </w:tr>
      <w:tr w:rsidR="00E772C1" w:rsidRPr="00E772C1" w14:paraId="06A1D18D" w14:textId="77777777" w:rsidTr="005311BA">
        <w:tc>
          <w:tcPr>
            <w:tcW w:w="2160" w:type="dxa"/>
          </w:tcPr>
          <w:p w14:paraId="791DB01B" w14:textId="77777777" w:rsidR="00FC6831" w:rsidRPr="00E772C1" w:rsidRDefault="00FC6831" w:rsidP="00E772C1">
            <w:pPr>
              <w:spacing w:line="360" w:lineRule="auto"/>
              <w:jc w:val="both"/>
              <w:rPr>
                <w:color w:val="000000" w:themeColor="text1"/>
              </w:rPr>
            </w:pPr>
            <w:proofErr w:type="spellStart"/>
            <w:r w:rsidRPr="00E772C1">
              <w:rPr>
                <w:color w:val="000000" w:themeColor="text1"/>
              </w:rPr>
              <w:t>Ploiești</w:t>
            </w:r>
            <w:proofErr w:type="spellEnd"/>
            <w:r w:rsidRPr="00E772C1">
              <w:rPr>
                <w:color w:val="000000" w:themeColor="text1"/>
              </w:rPr>
              <w:t xml:space="preserve"> City Council</w:t>
            </w:r>
          </w:p>
        </w:tc>
        <w:tc>
          <w:tcPr>
            <w:tcW w:w="2160" w:type="dxa"/>
          </w:tcPr>
          <w:p w14:paraId="02F9F678" w14:textId="77777777" w:rsidR="00FC6831" w:rsidRPr="00E772C1" w:rsidRDefault="00FC6831" w:rsidP="00E772C1">
            <w:pPr>
              <w:spacing w:line="360" w:lineRule="auto"/>
              <w:jc w:val="both"/>
              <w:rPr>
                <w:color w:val="000000" w:themeColor="text1"/>
              </w:rPr>
            </w:pPr>
            <w:r w:rsidRPr="00E772C1">
              <w:rPr>
                <w:color w:val="000000" w:themeColor="text1"/>
              </w:rPr>
              <w:t>High</w:t>
            </w:r>
          </w:p>
        </w:tc>
        <w:tc>
          <w:tcPr>
            <w:tcW w:w="2160" w:type="dxa"/>
          </w:tcPr>
          <w:p w14:paraId="4A711A68" w14:textId="77777777" w:rsidR="00FC6831" w:rsidRPr="00E772C1" w:rsidRDefault="00FC6831" w:rsidP="00E772C1">
            <w:pPr>
              <w:spacing w:line="360" w:lineRule="auto"/>
              <w:jc w:val="both"/>
              <w:rPr>
                <w:color w:val="000000" w:themeColor="text1"/>
              </w:rPr>
            </w:pPr>
            <w:r w:rsidRPr="00E772C1">
              <w:rPr>
                <w:color w:val="000000" w:themeColor="text1"/>
              </w:rPr>
              <w:t>High</w:t>
            </w:r>
          </w:p>
        </w:tc>
        <w:tc>
          <w:tcPr>
            <w:tcW w:w="2160" w:type="dxa"/>
          </w:tcPr>
          <w:p w14:paraId="700EE631" w14:textId="77777777" w:rsidR="00FC6831" w:rsidRPr="00E772C1" w:rsidRDefault="00FC6831" w:rsidP="00E772C1">
            <w:pPr>
              <w:spacing w:line="360" w:lineRule="auto"/>
              <w:jc w:val="both"/>
              <w:rPr>
                <w:color w:val="000000" w:themeColor="text1"/>
              </w:rPr>
            </w:pPr>
            <w:r w:rsidRPr="00E772C1">
              <w:rPr>
                <w:color w:val="000000" w:themeColor="text1"/>
              </w:rPr>
              <w:t>High</w:t>
            </w:r>
          </w:p>
        </w:tc>
      </w:tr>
      <w:tr w:rsidR="00E772C1" w:rsidRPr="00E772C1" w14:paraId="46C74679" w14:textId="77777777" w:rsidTr="005311BA">
        <w:tc>
          <w:tcPr>
            <w:tcW w:w="2160" w:type="dxa"/>
          </w:tcPr>
          <w:p w14:paraId="08F0C958" w14:textId="77777777" w:rsidR="00FC6831" w:rsidRPr="00E772C1" w:rsidRDefault="00FC6831" w:rsidP="00E772C1">
            <w:pPr>
              <w:spacing w:line="360" w:lineRule="auto"/>
              <w:jc w:val="both"/>
              <w:rPr>
                <w:color w:val="000000" w:themeColor="text1"/>
              </w:rPr>
            </w:pPr>
            <w:r w:rsidRPr="00E772C1">
              <w:rPr>
                <w:color w:val="000000" w:themeColor="text1"/>
              </w:rPr>
              <w:t>Funding Agency</w:t>
            </w:r>
          </w:p>
        </w:tc>
        <w:tc>
          <w:tcPr>
            <w:tcW w:w="2160" w:type="dxa"/>
          </w:tcPr>
          <w:p w14:paraId="1868F483" w14:textId="77777777" w:rsidR="00FC6831" w:rsidRPr="00E772C1" w:rsidRDefault="00FC6831" w:rsidP="00E772C1">
            <w:pPr>
              <w:spacing w:line="360" w:lineRule="auto"/>
              <w:jc w:val="both"/>
              <w:rPr>
                <w:color w:val="000000" w:themeColor="text1"/>
              </w:rPr>
            </w:pPr>
            <w:r w:rsidRPr="00E772C1">
              <w:rPr>
                <w:color w:val="000000" w:themeColor="text1"/>
              </w:rPr>
              <w:t>High</w:t>
            </w:r>
          </w:p>
        </w:tc>
        <w:tc>
          <w:tcPr>
            <w:tcW w:w="2160" w:type="dxa"/>
          </w:tcPr>
          <w:p w14:paraId="0D78FA45" w14:textId="77777777" w:rsidR="00FC6831" w:rsidRPr="00E772C1" w:rsidRDefault="00FC6831" w:rsidP="00E772C1">
            <w:pPr>
              <w:spacing w:line="360" w:lineRule="auto"/>
              <w:jc w:val="both"/>
              <w:rPr>
                <w:color w:val="000000" w:themeColor="text1"/>
              </w:rPr>
            </w:pPr>
            <w:r w:rsidRPr="00E772C1">
              <w:rPr>
                <w:color w:val="000000" w:themeColor="text1"/>
              </w:rPr>
              <w:t>Medium</w:t>
            </w:r>
          </w:p>
        </w:tc>
        <w:tc>
          <w:tcPr>
            <w:tcW w:w="2160" w:type="dxa"/>
          </w:tcPr>
          <w:p w14:paraId="7525D0C7" w14:textId="77777777" w:rsidR="00FC6831" w:rsidRPr="00E772C1" w:rsidRDefault="00FC6831" w:rsidP="00E772C1">
            <w:pPr>
              <w:spacing w:line="360" w:lineRule="auto"/>
              <w:jc w:val="both"/>
              <w:rPr>
                <w:color w:val="000000" w:themeColor="text1"/>
              </w:rPr>
            </w:pPr>
            <w:r w:rsidRPr="00E772C1">
              <w:rPr>
                <w:color w:val="000000" w:themeColor="text1"/>
              </w:rPr>
              <w:t>High</w:t>
            </w:r>
          </w:p>
        </w:tc>
      </w:tr>
      <w:tr w:rsidR="00E772C1" w:rsidRPr="00E772C1" w14:paraId="42D760CF" w14:textId="77777777" w:rsidTr="005311BA">
        <w:tc>
          <w:tcPr>
            <w:tcW w:w="2160" w:type="dxa"/>
          </w:tcPr>
          <w:p w14:paraId="65E76440" w14:textId="77777777" w:rsidR="00FC6831" w:rsidRPr="00E772C1" w:rsidRDefault="00FC6831" w:rsidP="00E772C1">
            <w:pPr>
              <w:spacing w:line="360" w:lineRule="auto"/>
              <w:jc w:val="both"/>
              <w:rPr>
                <w:color w:val="000000" w:themeColor="text1"/>
              </w:rPr>
            </w:pPr>
            <w:proofErr w:type="gramStart"/>
            <w:r w:rsidRPr="00E772C1">
              <w:rPr>
                <w:color w:val="000000" w:themeColor="text1"/>
              </w:rPr>
              <w:t>Local Residents</w:t>
            </w:r>
            <w:proofErr w:type="gramEnd"/>
            <w:r w:rsidRPr="00E772C1">
              <w:rPr>
                <w:color w:val="000000" w:themeColor="text1"/>
              </w:rPr>
              <w:t xml:space="preserve"> and Community Groups</w:t>
            </w:r>
          </w:p>
        </w:tc>
        <w:tc>
          <w:tcPr>
            <w:tcW w:w="2160" w:type="dxa"/>
          </w:tcPr>
          <w:p w14:paraId="78FDD259" w14:textId="77777777" w:rsidR="00FC6831" w:rsidRPr="00E772C1" w:rsidRDefault="00FC6831" w:rsidP="00E772C1">
            <w:pPr>
              <w:spacing w:line="360" w:lineRule="auto"/>
              <w:jc w:val="both"/>
              <w:rPr>
                <w:color w:val="000000" w:themeColor="text1"/>
              </w:rPr>
            </w:pPr>
            <w:r w:rsidRPr="00E772C1">
              <w:rPr>
                <w:color w:val="000000" w:themeColor="text1"/>
              </w:rPr>
              <w:t>Low</w:t>
            </w:r>
          </w:p>
        </w:tc>
        <w:tc>
          <w:tcPr>
            <w:tcW w:w="2160" w:type="dxa"/>
          </w:tcPr>
          <w:p w14:paraId="3C7B9E23" w14:textId="77777777" w:rsidR="00FC6831" w:rsidRPr="00E772C1" w:rsidRDefault="00FC6831" w:rsidP="00E772C1">
            <w:pPr>
              <w:spacing w:line="360" w:lineRule="auto"/>
              <w:jc w:val="both"/>
              <w:rPr>
                <w:color w:val="000000" w:themeColor="text1"/>
              </w:rPr>
            </w:pPr>
            <w:r w:rsidRPr="00E772C1">
              <w:rPr>
                <w:color w:val="000000" w:themeColor="text1"/>
              </w:rPr>
              <w:t>High</w:t>
            </w:r>
          </w:p>
        </w:tc>
        <w:tc>
          <w:tcPr>
            <w:tcW w:w="2160" w:type="dxa"/>
          </w:tcPr>
          <w:p w14:paraId="6D6E7DA7" w14:textId="77777777" w:rsidR="00FC6831" w:rsidRPr="00E772C1" w:rsidRDefault="00FC6831" w:rsidP="00E772C1">
            <w:pPr>
              <w:spacing w:line="360" w:lineRule="auto"/>
              <w:jc w:val="both"/>
              <w:rPr>
                <w:color w:val="000000" w:themeColor="text1"/>
              </w:rPr>
            </w:pPr>
            <w:r w:rsidRPr="00E772C1">
              <w:rPr>
                <w:color w:val="000000" w:themeColor="text1"/>
              </w:rPr>
              <w:t>Medium</w:t>
            </w:r>
          </w:p>
        </w:tc>
      </w:tr>
      <w:tr w:rsidR="00E772C1" w:rsidRPr="00E772C1" w14:paraId="453DC242" w14:textId="77777777" w:rsidTr="005311BA">
        <w:tc>
          <w:tcPr>
            <w:tcW w:w="2160" w:type="dxa"/>
          </w:tcPr>
          <w:p w14:paraId="5BA9C9AD" w14:textId="77777777" w:rsidR="00FC6831" w:rsidRPr="00E772C1" w:rsidRDefault="00FC6831" w:rsidP="00E772C1">
            <w:pPr>
              <w:spacing w:line="360" w:lineRule="auto"/>
              <w:jc w:val="both"/>
              <w:rPr>
                <w:color w:val="000000" w:themeColor="text1"/>
              </w:rPr>
            </w:pPr>
            <w:r w:rsidRPr="00E772C1">
              <w:rPr>
                <w:color w:val="000000" w:themeColor="text1"/>
              </w:rPr>
              <w:t>Environmental NGOs</w:t>
            </w:r>
          </w:p>
        </w:tc>
        <w:tc>
          <w:tcPr>
            <w:tcW w:w="2160" w:type="dxa"/>
          </w:tcPr>
          <w:p w14:paraId="1BAAE1F1" w14:textId="77777777" w:rsidR="00FC6831" w:rsidRPr="00E772C1" w:rsidRDefault="00FC6831" w:rsidP="00E772C1">
            <w:pPr>
              <w:spacing w:line="360" w:lineRule="auto"/>
              <w:jc w:val="both"/>
              <w:rPr>
                <w:color w:val="000000" w:themeColor="text1"/>
              </w:rPr>
            </w:pPr>
            <w:r w:rsidRPr="00E772C1">
              <w:rPr>
                <w:color w:val="000000" w:themeColor="text1"/>
              </w:rPr>
              <w:t>Medium</w:t>
            </w:r>
          </w:p>
        </w:tc>
        <w:tc>
          <w:tcPr>
            <w:tcW w:w="2160" w:type="dxa"/>
          </w:tcPr>
          <w:p w14:paraId="05AAAA34" w14:textId="77777777" w:rsidR="00FC6831" w:rsidRPr="00E772C1" w:rsidRDefault="00FC6831" w:rsidP="00E772C1">
            <w:pPr>
              <w:spacing w:line="360" w:lineRule="auto"/>
              <w:jc w:val="both"/>
              <w:rPr>
                <w:color w:val="000000" w:themeColor="text1"/>
              </w:rPr>
            </w:pPr>
            <w:r w:rsidRPr="00E772C1">
              <w:rPr>
                <w:color w:val="000000" w:themeColor="text1"/>
              </w:rPr>
              <w:t>High</w:t>
            </w:r>
          </w:p>
        </w:tc>
        <w:tc>
          <w:tcPr>
            <w:tcW w:w="2160" w:type="dxa"/>
          </w:tcPr>
          <w:p w14:paraId="7F504396" w14:textId="77777777" w:rsidR="00FC6831" w:rsidRPr="00E772C1" w:rsidRDefault="00FC6831" w:rsidP="00E772C1">
            <w:pPr>
              <w:spacing w:line="360" w:lineRule="auto"/>
              <w:jc w:val="both"/>
              <w:rPr>
                <w:color w:val="000000" w:themeColor="text1"/>
              </w:rPr>
            </w:pPr>
            <w:r w:rsidRPr="00E772C1">
              <w:rPr>
                <w:color w:val="000000" w:themeColor="text1"/>
              </w:rPr>
              <w:t>Medium</w:t>
            </w:r>
          </w:p>
        </w:tc>
      </w:tr>
      <w:tr w:rsidR="00E772C1" w:rsidRPr="00E772C1" w14:paraId="5AE8CF6F" w14:textId="77777777" w:rsidTr="005311BA">
        <w:tc>
          <w:tcPr>
            <w:tcW w:w="2160" w:type="dxa"/>
          </w:tcPr>
          <w:p w14:paraId="6D52460D" w14:textId="77777777" w:rsidR="00FC6831" w:rsidRPr="00E772C1" w:rsidRDefault="00FC6831" w:rsidP="00E772C1">
            <w:pPr>
              <w:spacing w:line="360" w:lineRule="auto"/>
              <w:jc w:val="both"/>
              <w:rPr>
                <w:color w:val="000000" w:themeColor="text1"/>
              </w:rPr>
            </w:pPr>
            <w:r w:rsidRPr="00E772C1">
              <w:rPr>
                <w:color w:val="000000" w:themeColor="text1"/>
              </w:rPr>
              <w:lastRenderedPageBreak/>
              <w:t>Local Businesses</w:t>
            </w:r>
          </w:p>
        </w:tc>
        <w:tc>
          <w:tcPr>
            <w:tcW w:w="2160" w:type="dxa"/>
          </w:tcPr>
          <w:p w14:paraId="08564608" w14:textId="77777777" w:rsidR="00FC6831" w:rsidRPr="00E772C1" w:rsidRDefault="00FC6831" w:rsidP="00E772C1">
            <w:pPr>
              <w:spacing w:line="360" w:lineRule="auto"/>
              <w:jc w:val="both"/>
              <w:rPr>
                <w:color w:val="000000" w:themeColor="text1"/>
              </w:rPr>
            </w:pPr>
            <w:r w:rsidRPr="00E772C1">
              <w:rPr>
                <w:color w:val="000000" w:themeColor="text1"/>
              </w:rPr>
              <w:t>Medium</w:t>
            </w:r>
          </w:p>
        </w:tc>
        <w:tc>
          <w:tcPr>
            <w:tcW w:w="2160" w:type="dxa"/>
          </w:tcPr>
          <w:p w14:paraId="70C94432" w14:textId="77777777" w:rsidR="00FC6831" w:rsidRPr="00E772C1" w:rsidRDefault="00FC6831" w:rsidP="00E772C1">
            <w:pPr>
              <w:spacing w:line="360" w:lineRule="auto"/>
              <w:jc w:val="both"/>
              <w:rPr>
                <w:color w:val="000000" w:themeColor="text1"/>
              </w:rPr>
            </w:pPr>
            <w:r w:rsidRPr="00E772C1">
              <w:rPr>
                <w:color w:val="000000" w:themeColor="text1"/>
              </w:rPr>
              <w:t>Medium</w:t>
            </w:r>
          </w:p>
        </w:tc>
        <w:tc>
          <w:tcPr>
            <w:tcW w:w="2160" w:type="dxa"/>
          </w:tcPr>
          <w:p w14:paraId="744A2134" w14:textId="77777777" w:rsidR="00FC6831" w:rsidRPr="00E772C1" w:rsidRDefault="00FC6831" w:rsidP="00E772C1">
            <w:pPr>
              <w:spacing w:line="360" w:lineRule="auto"/>
              <w:jc w:val="both"/>
              <w:rPr>
                <w:color w:val="000000" w:themeColor="text1"/>
              </w:rPr>
            </w:pPr>
            <w:r w:rsidRPr="00E772C1">
              <w:rPr>
                <w:color w:val="000000" w:themeColor="text1"/>
              </w:rPr>
              <w:t>Medium</w:t>
            </w:r>
          </w:p>
        </w:tc>
      </w:tr>
      <w:tr w:rsidR="00E772C1" w:rsidRPr="00E772C1" w14:paraId="4FE5476C" w14:textId="77777777" w:rsidTr="005311BA">
        <w:tc>
          <w:tcPr>
            <w:tcW w:w="2160" w:type="dxa"/>
          </w:tcPr>
          <w:p w14:paraId="306AC5CB" w14:textId="77777777" w:rsidR="00FC6831" w:rsidRPr="00E772C1" w:rsidRDefault="00FC6831" w:rsidP="00E772C1">
            <w:pPr>
              <w:spacing w:line="360" w:lineRule="auto"/>
              <w:jc w:val="both"/>
              <w:rPr>
                <w:color w:val="000000" w:themeColor="text1"/>
              </w:rPr>
            </w:pPr>
            <w:r w:rsidRPr="00E772C1">
              <w:rPr>
                <w:color w:val="000000" w:themeColor="text1"/>
              </w:rPr>
              <w:t>Parks and Recreation Department</w:t>
            </w:r>
          </w:p>
        </w:tc>
        <w:tc>
          <w:tcPr>
            <w:tcW w:w="2160" w:type="dxa"/>
          </w:tcPr>
          <w:p w14:paraId="0B32C8E0" w14:textId="77777777" w:rsidR="00FC6831" w:rsidRPr="00E772C1" w:rsidRDefault="00FC6831" w:rsidP="00E772C1">
            <w:pPr>
              <w:spacing w:line="360" w:lineRule="auto"/>
              <w:jc w:val="both"/>
              <w:rPr>
                <w:color w:val="000000" w:themeColor="text1"/>
              </w:rPr>
            </w:pPr>
            <w:r w:rsidRPr="00E772C1">
              <w:rPr>
                <w:color w:val="000000" w:themeColor="text1"/>
              </w:rPr>
              <w:t>High</w:t>
            </w:r>
          </w:p>
        </w:tc>
        <w:tc>
          <w:tcPr>
            <w:tcW w:w="2160" w:type="dxa"/>
          </w:tcPr>
          <w:p w14:paraId="365101D5" w14:textId="77777777" w:rsidR="00FC6831" w:rsidRPr="00E772C1" w:rsidRDefault="00FC6831" w:rsidP="00E772C1">
            <w:pPr>
              <w:spacing w:line="360" w:lineRule="auto"/>
              <w:jc w:val="both"/>
              <w:rPr>
                <w:color w:val="000000" w:themeColor="text1"/>
              </w:rPr>
            </w:pPr>
            <w:r w:rsidRPr="00E772C1">
              <w:rPr>
                <w:color w:val="000000" w:themeColor="text1"/>
              </w:rPr>
              <w:t>High</w:t>
            </w:r>
          </w:p>
        </w:tc>
        <w:tc>
          <w:tcPr>
            <w:tcW w:w="2160" w:type="dxa"/>
          </w:tcPr>
          <w:p w14:paraId="5CC014A8" w14:textId="77777777" w:rsidR="00FC6831" w:rsidRPr="00E772C1" w:rsidRDefault="00FC6831" w:rsidP="00E772C1">
            <w:pPr>
              <w:spacing w:line="360" w:lineRule="auto"/>
              <w:jc w:val="both"/>
              <w:rPr>
                <w:color w:val="000000" w:themeColor="text1"/>
              </w:rPr>
            </w:pPr>
            <w:r w:rsidRPr="00E772C1">
              <w:rPr>
                <w:color w:val="000000" w:themeColor="text1"/>
              </w:rPr>
              <w:t>High</w:t>
            </w:r>
          </w:p>
        </w:tc>
      </w:tr>
    </w:tbl>
    <w:p w14:paraId="29F1E4A2" w14:textId="77777777" w:rsidR="00FC6831" w:rsidRPr="00E772C1" w:rsidRDefault="00FC6831" w:rsidP="00E772C1">
      <w:pPr>
        <w:spacing w:line="360" w:lineRule="auto"/>
        <w:jc w:val="both"/>
        <w:rPr>
          <w:color w:val="000000" w:themeColor="text1"/>
        </w:rPr>
      </w:pPr>
      <w:r w:rsidRPr="00E772C1">
        <w:rPr>
          <w:color w:val="000000" w:themeColor="text1"/>
        </w:rPr>
        <w:br/>
        <w:t>The power/interest table summarizes stakeholder power, interest, and decision-making impact in the project. According to stakeholder theory, initiatives should recognise and engage stakeholders' different requirements and expectations (Cohen, 2006). Stakeholder categorization prioritizes communication and resource allocation.</w:t>
      </w:r>
    </w:p>
    <w:p w14:paraId="3FDCF1FE" w14:textId="77777777" w:rsidR="00FC6831" w:rsidRPr="00E772C1" w:rsidRDefault="00FC6831" w:rsidP="00E772C1">
      <w:pPr>
        <w:pStyle w:val="Heading3"/>
        <w:spacing w:line="360" w:lineRule="auto"/>
        <w:jc w:val="both"/>
        <w:rPr>
          <w:color w:val="000000" w:themeColor="text1"/>
        </w:rPr>
      </w:pPr>
      <w:r w:rsidRPr="00E772C1">
        <w:rPr>
          <w:color w:val="000000" w:themeColor="text1"/>
        </w:rPr>
        <w:t>2.2 Stakeholder Map</w:t>
      </w:r>
    </w:p>
    <w:p w14:paraId="1A3C80A2" w14:textId="77777777" w:rsidR="00FC6831" w:rsidRPr="00E772C1" w:rsidRDefault="00FC6831" w:rsidP="00E772C1">
      <w:pPr>
        <w:spacing w:line="360" w:lineRule="auto"/>
        <w:jc w:val="both"/>
        <w:rPr>
          <w:color w:val="000000" w:themeColor="text1"/>
        </w:rPr>
      </w:pPr>
      <w:r w:rsidRPr="00E772C1">
        <w:rPr>
          <w:color w:val="000000" w:themeColor="text1"/>
        </w:rPr>
        <w:t>The stakeholder map divides stakeholders by power/influence and interest into quadrants. High-power, high-interest stakeholders need tight management, while high-power, low-interest stakeholders should be satisfied, informed, and monitorable with minimal effort (UK Data Service, 2023).</w:t>
      </w:r>
    </w:p>
    <w:p w14:paraId="1E1F74C9" w14:textId="77777777" w:rsidR="00FC6831" w:rsidRPr="00E772C1" w:rsidRDefault="00FC6831" w:rsidP="00E772C1">
      <w:pPr>
        <w:spacing w:line="360" w:lineRule="auto"/>
        <w:jc w:val="both"/>
        <w:rPr>
          <w:color w:val="000000" w:themeColor="text1"/>
        </w:rPr>
      </w:pPr>
      <w:r w:rsidRPr="00E772C1">
        <w:rPr>
          <w:noProof/>
          <w:color w:val="000000" w:themeColor="text1"/>
        </w:rPr>
        <w:lastRenderedPageBreak/>
        <w:drawing>
          <wp:inline distT="0" distB="0" distL="0" distR="0" wp14:anchorId="5C25202B" wp14:editId="642A6C69">
            <wp:extent cx="5029200" cy="4317521"/>
            <wp:effectExtent l="0" t="0" r="0" b="0"/>
            <wp:docPr id="1536714599" name="Picture 1536714599" descr="A graph with red and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14599" name="Picture 1536714599" descr="A graph with red and blue dots&#10;&#10;AI-generated content may be incorrect."/>
                    <pic:cNvPicPr/>
                  </pic:nvPicPr>
                  <pic:blipFill>
                    <a:blip r:embed="rId9"/>
                    <a:stretch>
                      <a:fillRect/>
                    </a:stretch>
                  </pic:blipFill>
                  <pic:spPr>
                    <a:xfrm>
                      <a:off x="0" y="0"/>
                      <a:ext cx="5029200" cy="4317521"/>
                    </a:xfrm>
                    <a:prstGeom prst="rect">
                      <a:avLst/>
                    </a:prstGeom>
                  </pic:spPr>
                </pic:pic>
              </a:graphicData>
            </a:graphic>
          </wp:inline>
        </w:drawing>
      </w:r>
    </w:p>
    <w:p w14:paraId="37D003C2" w14:textId="77777777" w:rsidR="00FC6831" w:rsidRPr="00E772C1" w:rsidRDefault="00FC6831" w:rsidP="00E772C1">
      <w:pPr>
        <w:spacing w:line="360" w:lineRule="auto"/>
        <w:jc w:val="both"/>
        <w:rPr>
          <w:color w:val="000000" w:themeColor="text1"/>
        </w:rPr>
      </w:pPr>
      <w:r w:rsidRPr="00E772C1">
        <w:rPr>
          <w:color w:val="000000" w:themeColor="text1"/>
        </w:rPr>
        <w:t>See Figure 1 for a stakeholder map. One stakeholder group per point is ranked by power/influence and interest (Cheshire, 2025).</w:t>
      </w:r>
    </w:p>
    <w:p w14:paraId="422D00EB" w14:textId="77777777" w:rsidR="00FC6831" w:rsidRPr="00E772C1" w:rsidRDefault="00FC6831" w:rsidP="00E772C1">
      <w:pPr>
        <w:pStyle w:val="Heading3"/>
        <w:spacing w:line="360" w:lineRule="auto"/>
        <w:jc w:val="both"/>
        <w:rPr>
          <w:color w:val="000000" w:themeColor="text1"/>
        </w:rPr>
      </w:pPr>
      <w:r w:rsidRPr="00E772C1">
        <w:rPr>
          <w:color w:val="000000" w:themeColor="text1"/>
        </w:rPr>
        <w:t>2.3 Quadrant Distribution</w:t>
      </w:r>
    </w:p>
    <w:p w14:paraId="561D2DA8" w14:textId="6E94CCE3" w:rsidR="00E772C1" w:rsidRPr="00E772C1" w:rsidRDefault="00FC6831" w:rsidP="00E772C1">
      <w:pPr>
        <w:spacing w:line="360" w:lineRule="auto"/>
        <w:jc w:val="both"/>
        <w:rPr>
          <w:color w:val="000000" w:themeColor="text1"/>
          <w:lang w:val="en-KW"/>
        </w:rPr>
      </w:pPr>
      <w:r w:rsidRPr="00E772C1">
        <w:rPr>
          <w:color w:val="000000" w:themeColor="text1"/>
        </w:rPr>
        <w:t xml:space="preserve">This bar chart shows </w:t>
      </w:r>
      <w:proofErr w:type="gramStart"/>
      <w:r w:rsidRPr="00E772C1">
        <w:rPr>
          <w:color w:val="000000" w:themeColor="text1"/>
        </w:rPr>
        <w:t>the</w:t>
      </w:r>
      <w:r w:rsidR="00E772C1" w:rsidRPr="00E772C1">
        <w:rPr>
          <w:color w:val="000000" w:themeColor="text1"/>
        </w:rPr>
        <w:t xml:space="preserve"> when</w:t>
      </w:r>
      <w:proofErr w:type="gramEnd"/>
      <w:r w:rsidR="00E772C1" w:rsidRPr="00E772C1">
        <w:rPr>
          <w:color w:val="000000" w:themeColor="text1"/>
        </w:rPr>
        <w:t xml:space="preserve"> suggesting </w:t>
      </w:r>
      <w:r w:rsidRPr="00E772C1">
        <w:rPr>
          <w:color w:val="000000" w:themeColor="text1"/>
        </w:rPr>
        <w:t xml:space="preserve"> number of stakeholders in each power/interest quadrant. It shows </w:t>
      </w:r>
      <w:r w:rsidR="00E772C1" w:rsidRPr="00E772C1">
        <w:rPr>
          <w:color w:val="000000" w:themeColor="text1"/>
        </w:rPr>
        <w:t xml:space="preserve"> all of them related </w:t>
      </w:r>
      <w:r w:rsidRPr="00E772C1">
        <w:rPr>
          <w:color w:val="000000" w:themeColor="text1"/>
        </w:rPr>
        <w:t>where to focus communication and consultation resources (Trickett, 2012).</w:t>
      </w:r>
      <w:r w:rsidR="00E772C1" w:rsidRPr="00E772C1">
        <w:rPr>
          <w:rFonts w:eastAsia="Times New Roman" w:cs="Times New Roman"/>
          <w:color w:val="000000" w:themeColor="text1"/>
          <w:szCs w:val="24"/>
          <w:lang w:val="en-KW"/>
        </w:rPr>
        <w:t xml:space="preserve"> </w:t>
      </w:r>
      <w:r w:rsidR="00E772C1" w:rsidRPr="00E772C1">
        <w:rPr>
          <w:color w:val="000000" w:themeColor="text1"/>
          <w:lang w:val="en-KW"/>
        </w:rPr>
        <w:t xml:space="preserve">Shareholder power and interest are either high, medium or low rank in the table above. Local residents don't have the direct view—they can't approve or halt construction—but they can shape political backing and the use of the park once built. They are interested in the park because it affects their quality of life. Municipal objectives and the city council has power and interest in that it decides on financing &amp; permits. High concern because of regulatory approval and medium interest in ecological consequences is evident with Environmental agencies, which also wield much power. Local businesses often hold some informal power over the local economic health, but are lower interest due </w:t>
      </w:r>
      <w:r w:rsidR="00E772C1" w:rsidRPr="00E772C1">
        <w:rPr>
          <w:color w:val="000000" w:themeColor="text1"/>
          <w:lang w:val="en-KW"/>
        </w:rPr>
        <w:lastRenderedPageBreak/>
        <w:t>to the fact that they gain from increased customers. Schools and sports clubs enjoy a medium influence through organized advocacy, with very strong interests because of the rubric of program options. They are mostly visitor and the power and desire to see this kind of place is little.</w:t>
      </w:r>
    </w:p>
    <w:p w14:paraId="5389103C" w14:textId="41741C4D" w:rsidR="00FC6831" w:rsidRPr="00E772C1" w:rsidRDefault="00FC6831" w:rsidP="00E772C1">
      <w:pPr>
        <w:spacing w:line="360" w:lineRule="auto"/>
        <w:jc w:val="both"/>
        <w:rPr>
          <w:color w:val="000000" w:themeColor="text1"/>
        </w:rPr>
      </w:pPr>
    </w:p>
    <w:p w14:paraId="35402726" w14:textId="77777777" w:rsidR="00E772C1" w:rsidRPr="00E772C1" w:rsidRDefault="00E772C1" w:rsidP="00E772C1">
      <w:pPr>
        <w:spacing w:line="360" w:lineRule="auto"/>
        <w:jc w:val="both"/>
        <w:rPr>
          <w:color w:val="000000" w:themeColor="text1"/>
        </w:rPr>
      </w:pPr>
    </w:p>
    <w:p w14:paraId="4C40B7F8" w14:textId="77777777" w:rsidR="00FC6831" w:rsidRPr="00E772C1" w:rsidRDefault="00FC6831" w:rsidP="00E772C1">
      <w:pPr>
        <w:spacing w:line="360" w:lineRule="auto"/>
        <w:jc w:val="both"/>
        <w:rPr>
          <w:color w:val="000000" w:themeColor="text1"/>
        </w:rPr>
      </w:pPr>
      <w:r w:rsidRPr="00E772C1">
        <w:rPr>
          <w:noProof/>
          <w:color w:val="000000" w:themeColor="text1"/>
        </w:rPr>
        <w:drawing>
          <wp:inline distT="0" distB="0" distL="0" distR="0" wp14:anchorId="71F7494B" wp14:editId="4A8DE10B">
            <wp:extent cx="5029200" cy="3946627"/>
            <wp:effectExtent l="0" t="0" r="0" b="0"/>
            <wp:docPr id="2" name="Picture 2" descr="A graph of a distribution of stakeh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distribution of stakeholder&#10;&#10;AI-generated content may be incorrect."/>
                    <pic:cNvPicPr/>
                  </pic:nvPicPr>
                  <pic:blipFill>
                    <a:blip r:embed="rId10"/>
                    <a:stretch>
                      <a:fillRect/>
                    </a:stretch>
                  </pic:blipFill>
                  <pic:spPr>
                    <a:xfrm>
                      <a:off x="0" y="0"/>
                      <a:ext cx="5029200" cy="3946627"/>
                    </a:xfrm>
                    <a:prstGeom prst="rect">
                      <a:avLst/>
                    </a:prstGeom>
                  </pic:spPr>
                </pic:pic>
              </a:graphicData>
            </a:graphic>
          </wp:inline>
        </w:drawing>
      </w:r>
    </w:p>
    <w:p w14:paraId="69DE8DB1" w14:textId="77777777" w:rsidR="00FC6831" w:rsidRPr="00E772C1" w:rsidRDefault="00FC6831" w:rsidP="00E772C1">
      <w:pPr>
        <w:spacing w:line="360" w:lineRule="auto"/>
        <w:jc w:val="both"/>
        <w:rPr>
          <w:color w:val="000000" w:themeColor="text1"/>
        </w:rPr>
      </w:pPr>
      <w:r w:rsidRPr="00E772C1">
        <w:rPr>
          <w:color w:val="000000" w:themeColor="text1"/>
        </w:rPr>
        <w:t>Figure 2: Distribution of stakeholders across power/interest quadrants.</w:t>
      </w:r>
    </w:p>
    <w:p w14:paraId="19EEAF06" w14:textId="77777777" w:rsidR="00FC6831" w:rsidRPr="00E772C1" w:rsidRDefault="00FC6831" w:rsidP="00E772C1">
      <w:pPr>
        <w:pStyle w:val="Heading3"/>
        <w:spacing w:line="360" w:lineRule="auto"/>
        <w:jc w:val="both"/>
        <w:rPr>
          <w:color w:val="000000" w:themeColor="text1"/>
        </w:rPr>
      </w:pPr>
      <w:r w:rsidRPr="00E772C1">
        <w:rPr>
          <w:color w:val="000000" w:themeColor="text1"/>
        </w:rPr>
        <w:t>2.4 Communication and Consultation Plan</w:t>
      </w:r>
    </w:p>
    <w:p w14:paraId="74BD25FC" w14:textId="77777777" w:rsidR="00FC6831" w:rsidRPr="00E772C1" w:rsidRDefault="00FC6831" w:rsidP="00E772C1">
      <w:pPr>
        <w:spacing w:line="360" w:lineRule="auto"/>
        <w:jc w:val="both"/>
        <w:rPr>
          <w:color w:val="000000" w:themeColor="text1"/>
        </w:rPr>
      </w:pPr>
      <w:r w:rsidRPr="00E772C1">
        <w:rPr>
          <w:color w:val="000000" w:themeColor="text1"/>
        </w:rPr>
        <w:t>A structured communication plan gets project information to the right people, at the right time, through the correct channels. Effective communication enhances trust and decision-making. In Table 2, the suggested communication and consultation strategy outlines who will be contacted, what information will be delivered, when, and the chosen medium (Southern New Hampshire University, 2023).</w:t>
      </w:r>
    </w:p>
    <w:tbl>
      <w:tblPr>
        <w:tblStyle w:val="TableGrid"/>
        <w:tblW w:w="0" w:type="auto"/>
        <w:tblLook w:val="04A0" w:firstRow="1" w:lastRow="0" w:firstColumn="1" w:lastColumn="0" w:noHBand="0" w:noVBand="1"/>
      </w:tblPr>
      <w:tblGrid>
        <w:gridCol w:w="1663"/>
        <w:gridCol w:w="1663"/>
        <w:gridCol w:w="1632"/>
        <w:gridCol w:w="1882"/>
        <w:gridCol w:w="1790"/>
      </w:tblGrid>
      <w:tr w:rsidR="00E772C1" w:rsidRPr="00E772C1" w14:paraId="1649CE26" w14:textId="77777777" w:rsidTr="00E772C1">
        <w:tc>
          <w:tcPr>
            <w:tcW w:w="1663" w:type="dxa"/>
          </w:tcPr>
          <w:p w14:paraId="17672637" w14:textId="77777777" w:rsidR="00FC6831" w:rsidRPr="00E772C1" w:rsidRDefault="00FC6831" w:rsidP="00E772C1">
            <w:pPr>
              <w:spacing w:line="360" w:lineRule="auto"/>
              <w:jc w:val="both"/>
              <w:rPr>
                <w:color w:val="000000" w:themeColor="text1"/>
              </w:rPr>
            </w:pPr>
            <w:r w:rsidRPr="00E772C1">
              <w:rPr>
                <w:color w:val="000000" w:themeColor="text1"/>
              </w:rPr>
              <w:lastRenderedPageBreak/>
              <w:t>Stakeholder</w:t>
            </w:r>
          </w:p>
        </w:tc>
        <w:tc>
          <w:tcPr>
            <w:tcW w:w="1663" w:type="dxa"/>
          </w:tcPr>
          <w:p w14:paraId="6B31D495" w14:textId="77777777" w:rsidR="00FC6831" w:rsidRPr="00E772C1" w:rsidRDefault="00FC6831" w:rsidP="00E772C1">
            <w:pPr>
              <w:spacing w:line="360" w:lineRule="auto"/>
              <w:jc w:val="both"/>
              <w:rPr>
                <w:color w:val="000000" w:themeColor="text1"/>
              </w:rPr>
            </w:pPr>
            <w:r w:rsidRPr="00E772C1">
              <w:rPr>
                <w:color w:val="000000" w:themeColor="text1"/>
              </w:rPr>
              <w:t>Information Shared</w:t>
            </w:r>
          </w:p>
        </w:tc>
        <w:tc>
          <w:tcPr>
            <w:tcW w:w="1632" w:type="dxa"/>
          </w:tcPr>
          <w:p w14:paraId="71B558B4" w14:textId="77777777" w:rsidR="00FC6831" w:rsidRPr="00E772C1" w:rsidRDefault="00FC6831" w:rsidP="00E772C1">
            <w:pPr>
              <w:spacing w:line="360" w:lineRule="auto"/>
              <w:jc w:val="both"/>
              <w:rPr>
                <w:color w:val="000000" w:themeColor="text1"/>
              </w:rPr>
            </w:pPr>
            <w:r w:rsidRPr="00E772C1">
              <w:rPr>
                <w:color w:val="000000" w:themeColor="text1"/>
              </w:rPr>
              <w:t>Frequency</w:t>
            </w:r>
          </w:p>
        </w:tc>
        <w:tc>
          <w:tcPr>
            <w:tcW w:w="1882" w:type="dxa"/>
          </w:tcPr>
          <w:p w14:paraId="5518E5E7" w14:textId="77777777" w:rsidR="00FC6831" w:rsidRPr="00E772C1" w:rsidRDefault="00FC6831" w:rsidP="00E772C1">
            <w:pPr>
              <w:spacing w:line="360" w:lineRule="auto"/>
              <w:jc w:val="both"/>
              <w:rPr>
                <w:color w:val="000000" w:themeColor="text1"/>
              </w:rPr>
            </w:pPr>
            <w:r w:rsidRPr="00E772C1">
              <w:rPr>
                <w:color w:val="000000" w:themeColor="text1"/>
              </w:rPr>
              <w:t>Medium</w:t>
            </w:r>
          </w:p>
        </w:tc>
        <w:tc>
          <w:tcPr>
            <w:tcW w:w="1790" w:type="dxa"/>
          </w:tcPr>
          <w:p w14:paraId="3738BA24" w14:textId="77777777" w:rsidR="00FC6831" w:rsidRPr="00E772C1" w:rsidRDefault="00FC6831" w:rsidP="00E772C1">
            <w:pPr>
              <w:spacing w:line="360" w:lineRule="auto"/>
              <w:jc w:val="both"/>
              <w:rPr>
                <w:color w:val="000000" w:themeColor="text1"/>
              </w:rPr>
            </w:pPr>
            <w:r w:rsidRPr="00E772C1">
              <w:rPr>
                <w:color w:val="000000" w:themeColor="text1"/>
              </w:rPr>
              <w:t>Rationale</w:t>
            </w:r>
          </w:p>
        </w:tc>
      </w:tr>
      <w:tr w:rsidR="00E772C1" w:rsidRPr="00E772C1" w14:paraId="56DE997B" w14:textId="77777777" w:rsidTr="00E772C1">
        <w:tc>
          <w:tcPr>
            <w:tcW w:w="1663" w:type="dxa"/>
          </w:tcPr>
          <w:p w14:paraId="28763DD4" w14:textId="77777777" w:rsidR="00FC6831" w:rsidRPr="00E772C1" w:rsidRDefault="00FC6831" w:rsidP="00E772C1">
            <w:pPr>
              <w:spacing w:line="360" w:lineRule="auto"/>
              <w:jc w:val="both"/>
              <w:rPr>
                <w:color w:val="000000" w:themeColor="text1"/>
              </w:rPr>
            </w:pPr>
            <w:proofErr w:type="spellStart"/>
            <w:r w:rsidRPr="00E772C1">
              <w:rPr>
                <w:color w:val="000000" w:themeColor="text1"/>
              </w:rPr>
              <w:t>Ploiești</w:t>
            </w:r>
            <w:proofErr w:type="spellEnd"/>
            <w:r w:rsidRPr="00E772C1">
              <w:rPr>
                <w:color w:val="000000" w:themeColor="text1"/>
              </w:rPr>
              <w:t xml:space="preserve"> City Council</w:t>
            </w:r>
          </w:p>
        </w:tc>
        <w:tc>
          <w:tcPr>
            <w:tcW w:w="1663" w:type="dxa"/>
          </w:tcPr>
          <w:p w14:paraId="5B2EC66E" w14:textId="77777777" w:rsidR="00FC6831" w:rsidRPr="00E772C1" w:rsidRDefault="00FC6831" w:rsidP="00E772C1">
            <w:pPr>
              <w:spacing w:line="360" w:lineRule="auto"/>
              <w:jc w:val="both"/>
              <w:rPr>
                <w:color w:val="000000" w:themeColor="text1"/>
              </w:rPr>
            </w:pPr>
            <w:r w:rsidRPr="00E772C1">
              <w:rPr>
                <w:color w:val="000000" w:themeColor="text1"/>
              </w:rPr>
              <w:t>Strategic project updates, budget forecasts, risk registers and compliance reports.</w:t>
            </w:r>
          </w:p>
        </w:tc>
        <w:tc>
          <w:tcPr>
            <w:tcW w:w="1632" w:type="dxa"/>
          </w:tcPr>
          <w:p w14:paraId="2C7F50B0" w14:textId="77777777" w:rsidR="00FC6831" w:rsidRPr="00E772C1" w:rsidRDefault="00FC6831" w:rsidP="00E772C1">
            <w:pPr>
              <w:spacing w:line="360" w:lineRule="auto"/>
              <w:jc w:val="both"/>
              <w:rPr>
                <w:color w:val="000000" w:themeColor="text1"/>
              </w:rPr>
            </w:pPr>
            <w:r w:rsidRPr="00E772C1">
              <w:rPr>
                <w:color w:val="000000" w:themeColor="text1"/>
              </w:rPr>
              <w:t>Monthly and ad hoc</w:t>
            </w:r>
          </w:p>
        </w:tc>
        <w:tc>
          <w:tcPr>
            <w:tcW w:w="1882" w:type="dxa"/>
          </w:tcPr>
          <w:p w14:paraId="2B474AE7" w14:textId="77777777" w:rsidR="00FC6831" w:rsidRPr="00E772C1" w:rsidRDefault="00FC6831" w:rsidP="00E772C1">
            <w:pPr>
              <w:spacing w:line="360" w:lineRule="auto"/>
              <w:jc w:val="both"/>
              <w:rPr>
                <w:color w:val="000000" w:themeColor="text1"/>
              </w:rPr>
            </w:pPr>
            <w:r w:rsidRPr="00E772C1">
              <w:rPr>
                <w:color w:val="000000" w:themeColor="text1"/>
              </w:rPr>
              <w:t>Formal meetings, official memos, email summaries</w:t>
            </w:r>
          </w:p>
        </w:tc>
        <w:tc>
          <w:tcPr>
            <w:tcW w:w="1790" w:type="dxa"/>
          </w:tcPr>
          <w:p w14:paraId="69114706" w14:textId="77777777" w:rsidR="00FC6831" w:rsidRPr="00E772C1" w:rsidRDefault="00FC6831" w:rsidP="00E772C1">
            <w:pPr>
              <w:spacing w:line="360" w:lineRule="auto"/>
              <w:jc w:val="both"/>
              <w:rPr>
                <w:color w:val="000000" w:themeColor="text1"/>
              </w:rPr>
            </w:pPr>
            <w:r w:rsidRPr="00E772C1">
              <w:rPr>
                <w:color w:val="000000" w:themeColor="text1"/>
              </w:rPr>
              <w:t>High authority and accountability; regular detailed updates maintain alignment and enable timely approvals (Simply Stakeholders, 2023).</w:t>
            </w:r>
          </w:p>
        </w:tc>
      </w:tr>
      <w:tr w:rsidR="00E772C1" w:rsidRPr="00E772C1" w14:paraId="78C0899E" w14:textId="77777777" w:rsidTr="00E772C1">
        <w:tc>
          <w:tcPr>
            <w:tcW w:w="1663" w:type="dxa"/>
          </w:tcPr>
          <w:p w14:paraId="34B2D788" w14:textId="77777777" w:rsidR="00FC6831" w:rsidRPr="00E772C1" w:rsidRDefault="00FC6831" w:rsidP="00E772C1">
            <w:pPr>
              <w:spacing w:line="360" w:lineRule="auto"/>
              <w:jc w:val="both"/>
              <w:rPr>
                <w:color w:val="000000" w:themeColor="text1"/>
              </w:rPr>
            </w:pPr>
            <w:r w:rsidRPr="00E772C1">
              <w:rPr>
                <w:color w:val="000000" w:themeColor="text1"/>
              </w:rPr>
              <w:t>Funding Agency</w:t>
            </w:r>
          </w:p>
        </w:tc>
        <w:tc>
          <w:tcPr>
            <w:tcW w:w="1663" w:type="dxa"/>
          </w:tcPr>
          <w:p w14:paraId="4C0339B2" w14:textId="77777777" w:rsidR="00FC6831" w:rsidRPr="00E772C1" w:rsidRDefault="00FC6831" w:rsidP="00E772C1">
            <w:pPr>
              <w:spacing w:line="360" w:lineRule="auto"/>
              <w:jc w:val="both"/>
              <w:rPr>
                <w:color w:val="000000" w:themeColor="text1"/>
              </w:rPr>
            </w:pPr>
            <w:r w:rsidRPr="00E772C1">
              <w:rPr>
                <w:color w:val="000000" w:themeColor="text1"/>
              </w:rPr>
              <w:t>Financial performance, milestone achievements, compliance with grant conditions.</w:t>
            </w:r>
          </w:p>
        </w:tc>
        <w:tc>
          <w:tcPr>
            <w:tcW w:w="1632" w:type="dxa"/>
          </w:tcPr>
          <w:p w14:paraId="32C951D5" w14:textId="77777777" w:rsidR="00FC6831" w:rsidRPr="00E772C1" w:rsidRDefault="00FC6831" w:rsidP="00E772C1">
            <w:pPr>
              <w:spacing w:line="360" w:lineRule="auto"/>
              <w:jc w:val="both"/>
              <w:rPr>
                <w:color w:val="000000" w:themeColor="text1"/>
              </w:rPr>
            </w:pPr>
            <w:r w:rsidRPr="00E772C1">
              <w:rPr>
                <w:color w:val="000000" w:themeColor="text1"/>
              </w:rPr>
              <w:t>Quarterly</w:t>
            </w:r>
          </w:p>
        </w:tc>
        <w:tc>
          <w:tcPr>
            <w:tcW w:w="1882" w:type="dxa"/>
          </w:tcPr>
          <w:p w14:paraId="70552EFE" w14:textId="77777777" w:rsidR="00FC6831" w:rsidRPr="00E772C1" w:rsidRDefault="00FC6831" w:rsidP="00E772C1">
            <w:pPr>
              <w:spacing w:line="360" w:lineRule="auto"/>
              <w:jc w:val="both"/>
              <w:rPr>
                <w:color w:val="000000" w:themeColor="text1"/>
              </w:rPr>
            </w:pPr>
            <w:r w:rsidRPr="00E772C1">
              <w:rPr>
                <w:color w:val="000000" w:themeColor="text1"/>
              </w:rPr>
              <w:t>Progress reports, official letters, video‑conference briefings</w:t>
            </w:r>
          </w:p>
        </w:tc>
        <w:tc>
          <w:tcPr>
            <w:tcW w:w="1790" w:type="dxa"/>
          </w:tcPr>
          <w:p w14:paraId="0EF8C594" w14:textId="77777777" w:rsidR="00FC6831" w:rsidRPr="00E772C1" w:rsidRDefault="00FC6831" w:rsidP="00E772C1">
            <w:pPr>
              <w:spacing w:line="360" w:lineRule="auto"/>
              <w:jc w:val="both"/>
              <w:rPr>
                <w:color w:val="000000" w:themeColor="text1"/>
              </w:rPr>
            </w:pPr>
            <w:r w:rsidRPr="00E772C1">
              <w:rPr>
                <w:color w:val="000000" w:themeColor="text1"/>
              </w:rPr>
              <w:t>Ensures agency satisfaction without overwhelming them; ensures monies are spent properly (Trickett, 2011).</w:t>
            </w:r>
          </w:p>
        </w:tc>
      </w:tr>
      <w:tr w:rsidR="00E772C1" w:rsidRPr="00E772C1" w14:paraId="16F0C07E" w14:textId="77777777" w:rsidTr="00E772C1">
        <w:tc>
          <w:tcPr>
            <w:tcW w:w="1663" w:type="dxa"/>
          </w:tcPr>
          <w:p w14:paraId="0D6C5DD9" w14:textId="77777777" w:rsidR="00FC6831" w:rsidRPr="00E772C1" w:rsidRDefault="00FC6831" w:rsidP="00E772C1">
            <w:pPr>
              <w:spacing w:line="360" w:lineRule="auto"/>
              <w:jc w:val="both"/>
              <w:rPr>
                <w:color w:val="000000" w:themeColor="text1"/>
              </w:rPr>
            </w:pPr>
            <w:proofErr w:type="gramStart"/>
            <w:r w:rsidRPr="00E772C1">
              <w:rPr>
                <w:color w:val="000000" w:themeColor="text1"/>
              </w:rPr>
              <w:t>Local Residents</w:t>
            </w:r>
            <w:proofErr w:type="gramEnd"/>
            <w:r w:rsidRPr="00E772C1">
              <w:rPr>
                <w:color w:val="000000" w:themeColor="text1"/>
              </w:rPr>
              <w:t xml:space="preserve"> and Community Groups</w:t>
            </w:r>
          </w:p>
        </w:tc>
        <w:tc>
          <w:tcPr>
            <w:tcW w:w="1663" w:type="dxa"/>
          </w:tcPr>
          <w:p w14:paraId="11591372" w14:textId="77777777" w:rsidR="00FC6831" w:rsidRPr="00E772C1" w:rsidRDefault="00FC6831" w:rsidP="00E772C1">
            <w:pPr>
              <w:spacing w:line="360" w:lineRule="auto"/>
              <w:jc w:val="both"/>
              <w:rPr>
                <w:color w:val="000000" w:themeColor="text1"/>
              </w:rPr>
            </w:pPr>
            <w:r w:rsidRPr="00E772C1">
              <w:rPr>
                <w:color w:val="000000" w:themeColor="text1"/>
              </w:rPr>
              <w:t>Project vision, design options, construction schedule, community benefits.</w:t>
            </w:r>
          </w:p>
        </w:tc>
        <w:tc>
          <w:tcPr>
            <w:tcW w:w="1632" w:type="dxa"/>
          </w:tcPr>
          <w:p w14:paraId="214BA614" w14:textId="77777777" w:rsidR="00FC6831" w:rsidRPr="00E772C1" w:rsidRDefault="00FC6831" w:rsidP="00E772C1">
            <w:pPr>
              <w:spacing w:line="360" w:lineRule="auto"/>
              <w:jc w:val="both"/>
              <w:rPr>
                <w:color w:val="000000" w:themeColor="text1"/>
              </w:rPr>
            </w:pPr>
            <w:r w:rsidRPr="00E772C1">
              <w:rPr>
                <w:color w:val="000000" w:themeColor="text1"/>
              </w:rPr>
              <w:t>Every two months and key milestones</w:t>
            </w:r>
          </w:p>
        </w:tc>
        <w:tc>
          <w:tcPr>
            <w:tcW w:w="1882" w:type="dxa"/>
          </w:tcPr>
          <w:p w14:paraId="6E2F0070" w14:textId="77777777" w:rsidR="00FC6831" w:rsidRPr="00E772C1" w:rsidRDefault="00FC6831" w:rsidP="00E772C1">
            <w:pPr>
              <w:spacing w:line="360" w:lineRule="auto"/>
              <w:jc w:val="both"/>
              <w:rPr>
                <w:color w:val="000000" w:themeColor="text1"/>
              </w:rPr>
            </w:pPr>
            <w:r w:rsidRPr="00E772C1">
              <w:rPr>
                <w:color w:val="000000" w:themeColor="text1"/>
              </w:rPr>
              <w:t>Town hall meetings, social media, surveys, newsletters</w:t>
            </w:r>
          </w:p>
        </w:tc>
        <w:tc>
          <w:tcPr>
            <w:tcW w:w="1790" w:type="dxa"/>
          </w:tcPr>
          <w:p w14:paraId="1C30CB37" w14:textId="77777777" w:rsidR="00FC6831" w:rsidRPr="00E772C1" w:rsidRDefault="00FC6831" w:rsidP="00E772C1">
            <w:pPr>
              <w:spacing w:line="360" w:lineRule="auto"/>
              <w:jc w:val="both"/>
              <w:rPr>
                <w:color w:val="000000" w:themeColor="text1"/>
              </w:rPr>
            </w:pPr>
            <w:r w:rsidRPr="00E772C1">
              <w:rPr>
                <w:color w:val="000000" w:themeColor="text1"/>
              </w:rPr>
              <w:t xml:space="preserve">Active engagement builds ownership and captures local knowledge; varied media enhance accessibility </w:t>
            </w:r>
            <w:r w:rsidRPr="00E772C1">
              <w:rPr>
                <w:color w:val="000000" w:themeColor="text1"/>
              </w:rPr>
              <w:lastRenderedPageBreak/>
              <w:t>(Minkler, 2000).</w:t>
            </w:r>
          </w:p>
        </w:tc>
      </w:tr>
      <w:tr w:rsidR="00E772C1" w:rsidRPr="00E772C1" w14:paraId="44D50044" w14:textId="77777777" w:rsidTr="00E772C1">
        <w:tc>
          <w:tcPr>
            <w:tcW w:w="1663" w:type="dxa"/>
          </w:tcPr>
          <w:p w14:paraId="2D156E80" w14:textId="77777777" w:rsidR="00FC6831" w:rsidRPr="00E772C1" w:rsidRDefault="00FC6831" w:rsidP="00E772C1">
            <w:pPr>
              <w:spacing w:line="360" w:lineRule="auto"/>
              <w:jc w:val="both"/>
              <w:rPr>
                <w:color w:val="000000" w:themeColor="text1"/>
              </w:rPr>
            </w:pPr>
            <w:r w:rsidRPr="00E772C1">
              <w:rPr>
                <w:color w:val="000000" w:themeColor="text1"/>
              </w:rPr>
              <w:lastRenderedPageBreak/>
              <w:t>Environmental NGOs</w:t>
            </w:r>
          </w:p>
        </w:tc>
        <w:tc>
          <w:tcPr>
            <w:tcW w:w="1663" w:type="dxa"/>
          </w:tcPr>
          <w:p w14:paraId="2A3CFE57" w14:textId="77777777" w:rsidR="00FC6831" w:rsidRPr="00E772C1" w:rsidRDefault="00FC6831" w:rsidP="00E772C1">
            <w:pPr>
              <w:spacing w:line="360" w:lineRule="auto"/>
              <w:jc w:val="both"/>
              <w:rPr>
                <w:color w:val="000000" w:themeColor="text1"/>
              </w:rPr>
            </w:pPr>
            <w:r w:rsidRPr="00E772C1">
              <w:rPr>
                <w:color w:val="000000" w:themeColor="text1"/>
              </w:rPr>
              <w:t>Environmental impact assessments, biodiversity plans, sustainability initiatives.</w:t>
            </w:r>
          </w:p>
        </w:tc>
        <w:tc>
          <w:tcPr>
            <w:tcW w:w="1632" w:type="dxa"/>
          </w:tcPr>
          <w:p w14:paraId="00F62148" w14:textId="77777777" w:rsidR="00FC6831" w:rsidRPr="00E772C1" w:rsidRDefault="00FC6831" w:rsidP="00E772C1">
            <w:pPr>
              <w:spacing w:line="360" w:lineRule="auto"/>
              <w:jc w:val="both"/>
              <w:rPr>
                <w:color w:val="000000" w:themeColor="text1"/>
              </w:rPr>
            </w:pPr>
            <w:r w:rsidRPr="00E772C1">
              <w:rPr>
                <w:color w:val="000000" w:themeColor="text1"/>
              </w:rPr>
              <w:t>Bi‑monthly and at environmental review stages</w:t>
            </w:r>
          </w:p>
        </w:tc>
        <w:tc>
          <w:tcPr>
            <w:tcW w:w="1882" w:type="dxa"/>
          </w:tcPr>
          <w:p w14:paraId="7D677A2E" w14:textId="77777777" w:rsidR="00FC6831" w:rsidRPr="00E772C1" w:rsidRDefault="00FC6831" w:rsidP="00E772C1">
            <w:pPr>
              <w:spacing w:line="360" w:lineRule="auto"/>
              <w:jc w:val="both"/>
              <w:rPr>
                <w:color w:val="000000" w:themeColor="text1"/>
              </w:rPr>
            </w:pPr>
            <w:r w:rsidRPr="00E772C1">
              <w:rPr>
                <w:color w:val="000000" w:themeColor="text1"/>
              </w:rPr>
              <w:t>Workshops, consultation meetings, email bulletins</w:t>
            </w:r>
          </w:p>
        </w:tc>
        <w:tc>
          <w:tcPr>
            <w:tcW w:w="1790" w:type="dxa"/>
          </w:tcPr>
          <w:p w14:paraId="05C72B4E" w14:textId="77777777" w:rsidR="00FC6831" w:rsidRPr="00E772C1" w:rsidRDefault="00FC6831" w:rsidP="00E772C1">
            <w:pPr>
              <w:spacing w:line="360" w:lineRule="auto"/>
              <w:jc w:val="both"/>
              <w:rPr>
                <w:color w:val="000000" w:themeColor="text1"/>
              </w:rPr>
            </w:pPr>
            <w:r w:rsidRPr="00E772C1">
              <w:rPr>
                <w:color w:val="000000" w:themeColor="text1"/>
              </w:rPr>
              <w:t>Provides opportunities to co‑design eco‑friendly features and address potential concerns early (Council Fire, 2025).</w:t>
            </w:r>
          </w:p>
        </w:tc>
      </w:tr>
      <w:tr w:rsidR="00E772C1" w:rsidRPr="00E772C1" w14:paraId="5437C94E" w14:textId="77777777" w:rsidTr="00E772C1">
        <w:tc>
          <w:tcPr>
            <w:tcW w:w="1663" w:type="dxa"/>
          </w:tcPr>
          <w:p w14:paraId="3A77FBA2" w14:textId="77777777" w:rsidR="00FC6831" w:rsidRPr="00E772C1" w:rsidRDefault="00FC6831" w:rsidP="00E772C1">
            <w:pPr>
              <w:spacing w:line="360" w:lineRule="auto"/>
              <w:jc w:val="both"/>
              <w:rPr>
                <w:color w:val="000000" w:themeColor="text1"/>
              </w:rPr>
            </w:pPr>
            <w:r w:rsidRPr="00E772C1">
              <w:rPr>
                <w:color w:val="000000" w:themeColor="text1"/>
              </w:rPr>
              <w:t>Local Businesses</w:t>
            </w:r>
          </w:p>
        </w:tc>
        <w:tc>
          <w:tcPr>
            <w:tcW w:w="1663" w:type="dxa"/>
          </w:tcPr>
          <w:p w14:paraId="27FD41E8" w14:textId="77777777" w:rsidR="00FC6831" w:rsidRPr="00E772C1" w:rsidRDefault="00FC6831" w:rsidP="00E772C1">
            <w:pPr>
              <w:spacing w:line="360" w:lineRule="auto"/>
              <w:jc w:val="both"/>
              <w:rPr>
                <w:color w:val="000000" w:themeColor="text1"/>
              </w:rPr>
            </w:pPr>
            <w:r w:rsidRPr="00E772C1">
              <w:rPr>
                <w:color w:val="000000" w:themeColor="text1"/>
              </w:rPr>
              <w:t>Construction timelines, traffic management plans, opportunities for concession stands.</w:t>
            </w:r>
          </w:p>
        </w:tc>
        <w:tc>
          <w:tcPr>
            <w:tcW w:w="1632" w:type="dxa"/>
          </w:tcPr>
          <w:p w14:paraId="39D622C5" w14:textId="77777777" w:rsidR="00FC6831" w:rsidRPr="00E772C1" w:rsidRDefault="00FC6831" w:rsidP="00E772C1">
            <w:pPr>
              <w:spacing w:line="360" w:lineRule="auto"/>
              <w:jc w:val="both"/>
              <w:rPr>
                <w:color w:val="000000" w:themeColor="text1"/>
              </w:rPr>
            </w:pPr>
            <w:r w:rsidRPr="00E772C1">
              <w:rPr>
                <w:color w:val="000000" w:themeColor="text1"/>
              </w:rPr>
              <w:t>Every quarter</w:t>
            </w:r>
          </w:p>
        </w:tc>
        <w:tc>
          <w:tcPr>
            <w:tcW w:w="1882" w:type="dxa"/>
          </w:tcPr>
          <w:p w14:paraId="6700AFF6" w14:textId="77777777" w:rsidR="00FC6831" w:rsidRPr="00E772C1" w:rsidRDefault="00FC6831" w:rsidP="00E772C1">
            <w:pPr>
              <w:spacing w:line="360" w:lineRule="auto"/>
              <w:jc w:val="both"/>
              <w:rPr>
                <w:color w:val="000000" w:themeColor="text1"/>
              </w:rPr>
            </w:pPr>
            <w:r w:rsidRPr="00E772C1">
              <w:rPr>
                <w:color w:val="000000" w:themeColor="text1"/>
              </w:rPr>
              <w:t>Emails, local business forums, printed flyers</w:t>
            </w:r>
          </w:p>
        </w:tc>
        <w:tc>
          <w:tcPr>
            <w:tcW w:w="1790" w:type="dxa"/>
          </w:tcPr>
          <w:p w14:paraId="206B6CC0" w14:textId="77777777" w:rsidR="00FC6831" w:rsidRPr="00E772C1" w:rsidRDefault="00FC6831" w:rsidP="00E772C1">
            <w:pPr>
              <w:spacing w:line="360" w:lineRule="auto"/>
              <w:jc w:val="both"/>
              <w:rPr>
                <w:color w:val="000000" w:themeColor="text1"/>
              </w:rPr>
            </w:pPr>
            <w:r w:rsidRPr="00E772C1">
              <w:rPr>
                <w:color w:val="000000" w:themeColor="text1"/>
              </w:rPr>
              <w:t>Keeps businesses informed of disruptions and opportunities while respecting their limited capacity (Katz, 2011).</w:t>
            </w:r>
          </w:p>
        </w:tc>
      </w:tr>
      <w:tr w:rsidR="00E772C1" w:rsidRPr="00E772C1" w14:paraId="64AA5494" w14:textId="77777777" w:rsidTr="00E772C1">
        <w:tc>
          <w:tcPr>
            <w:tcW w:w="1663" w:type="dxa"/>
          </w:tcPr>
          <w:p w14:paraId="7B32A114" w14:textId="77777777" w:rsidR="00FC6831" w:rsidRPr="00E772C1" w:rsidRDefault="00FC6831" w:rsidP="00E772C1">
            <w:pPr>
              <w:spacing w:line="360" w:lineRule="auto"/>
              <w:jc w:val="both"/>
              <w:rPr>
                <w:color w:val="000000" w:themeColor="text1"/>
              </w:rPr>
            </w:pPr>
            <w:r w:rsidRPr="00E772C1">
              <w:rPr>
                <w:color w:val="000000" w:themeColor="text1"/>
              </w:rPr>
              <w:t>Parks and Recreation Department</w:t>
            </w:r>
          </w:p>
        </w:tc>
        <w:tc>
          <w:tcPr>
            <w:tcW w:w="1663" w:type="dxa"/>
          </w:tcPr>
          <w:p w14:paraId="605A841C" w14:textId="77777777" w:rsidR="00FC6831" w:rsidRPr="00E772C1" w:rsidRDefault="00FC6831" w:rsidP="00E772C1">
            <w:pPr>
              <w:spacing w:line="360" w:lineRule="auto"/>
              <w:jc w:val="both"/>
              <w:rPr>
                <w:color w:val="000000" w:themeColor="text1"/>
              </w:rPr>
            </w:pPr>
            <w:r w:rsidRPr="00E772C1">
              <w:rPr>
                <w:color w:val="000000" w:themeColor="text1"/>
              </w:rPr>
              <w:t>Technical designs, procurement schedules, safety protocols, community feedback summaries.</w:t>
            </w:r>
          </w:p>
        </w:tc>
        <w:tc>
          <w:tcPr>
            <w:tcW w:w="1632" w:type="dxa"/>
          </w:tcPr>
          <w:p w14:paraId="0B8B0C27" w14:textId="77777777" w:rsidR="00FC6831" w:rsidRPr="00E772C1" w:rsidRDefault="00FC6831" w:rsidP="00E772C1">
            <w:pPr>
              <w:spacing w:line="360" w:lineRule="auto"/>
              <w:jc w:val="both"/>
              <w:rPr>
                <w:color w:val="000000" w:themeColor="text1"/>
              </w:rPr>
            </w:pPr>
            <w:r w:rsidRPr="00E772C1">
              <w:rPr>
                <w:color w:val="000000" w:themeColor="text1"/>
              </w:rPr>
              <w:t>Bi‑weekly and as needed</w:t>
            </w:r>
          </w:p>
        </w:tc>
        <w:tc>
          <w:tcPr>
            <w:tcW w:w="1882" w:type="dxa"/>
          </w:tcPr>
          <w:p w14:paraId="705DEFCF" w14:textId="77777777" w:rsidR="00FC6831" w:rsidRPr="00E772C1" w:rsidRDefault="00FC6831" w:rsidP="00E772C1">
            <w:pPr>
              <w:spacing w:line="360" w:lineRule="auto"/>
              <w:jc w:val="both"/>
              <w:rPr>
                <w:color w:val="000000" w:themeColor="text1"/>
              </w:rPr>
            </w:pPr>
            <w:r w:rsidRPr="00E772C1">
              <w:rPr>
                <w:color w:val="000000" w:themeColor="text1"/>
              </w:rPr>
              <w:t>Internal meetings, collaborative platforms, site visits</w:t>
            </w:r>
          </w:p>
        </w:tc>
        <w:tc>
          <w:tcPr>
            <w:tcW w:w="1790" w:type="dxa"/>
          </w:tcPr>
          <w:p w14:paraId="5EC5C884" w14:textId="77777777" w:rsidR="00FC6831" w:rsidRPr="00E772C1" w:rsidRDefault="00FC6831" w:rsidP="00E772C1">
            <w:pPr>
              <w:spacing w:line="360" w:lineRule="auto"/>
              <w:jc w:val="both"/>
              <w:rPr>
                <w:color w:val="000000" w:themeColor="text1"/>
              </w:rPr>
            </w:pPr>
            <w:r w:rsidRPr="00E772C1">
              <w:rPr>
                <w:color w:val="000000" w:themeColor="text1"/>
              </w:rPr>
              <w:t xml:space="preserve">They oversee implementation; frequent communication enables coordination and rapid response to issues </w:t>
            </w:r>
            <w:r w:rsidRPr="00E772C1">
              <w:rPr>
                <w:color w:val="000000" w:themeColor="text1"/>
              </w:rPr>
              <w:lastRenderedPageBreak/>
              <w:t>(Musonda, 2022).</w:t>
            </w:r>
          </w:p>
        </w:tc>
      </w:tr>
    </w:tbl>
    <w:p w14:paraId="1E7C5DF4"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lastRenderedPageBreak/>
        <w:t>They keep track of implementation; regular communication allows for coordination and quick problem-solving (Musonda, 2022).</w:t>
      </w:r>
    </w:p>
    <w:p w14:paraId="242D295E"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As indicated in Table 2, senior managers at the city council and parks department (the high power, high interest quadrant) will receive regular, detailed briefings using meetings and formal memoranda. High-power, medium-interest stakeholders such as the funding agency are satisfied with periodic progress updates and financial reports. Communities, surveys and social media empower low-power but high-stake stakeholders (such as citizens or environmental NGOs) to express their views; Local firms are even lower down the pecking order and receive occasional newsletters and public consultation solicitations. Communication options are offered both through alternative formats for people that have trouble with language or the digital environment, and meetings are scheduled at many different times to encourage maximum participation indicating working towards inclusion.</w:t>
      </w:r>
    </w:p>
    <w:p w14:paraId="7398C450"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Consultation, Participation and Feedback A number of ethical considerations</w:t>
      </w:r>
    </w:p>
    <w:p w14:paraId="499944BA" w14:textId="00592374" w:rsidR="00E772C1" w:rsidRPr="00E772C1" w:rsidRDefault="00E772C1" w:rsidP="00E772C1">
      <w:pPr>
        <w:spacing w:line="360" w:lineRule="auto"/>
        <w:jc w:val="both"/>
        <w:rPr>
          <w:color w:val="000000" w:themeColor="text1"/>
        </w:rPr>
      </w:pPr>
      <w:r w:rsidRPr="00E772C1">
        <w:rPr>
          <w:color w:val="000000" w:themeColor="text1"/>
          <w:lang w:val="en-KW"/>
        </w:rPr>
        <w:t>Stakeholder engagement lies in ethical conduct. Researchers and project managers have a duty to respect participants; ensure fairness in participation and benefits; and minimize harm during the collection, use, and sharing of personal data. Informed consent, anonymisation and safe storage must characterize privacy (Godbey, 1992). As such, personal data should be de-identified where possible and the identities must never be published by a database inquiry without prior approval (Centers for Disease Control and Prevention, 2022). These ethical responsibilities come after GDPR and local laws (McKenzie, 2006).</w:t>
      </w:r>
      <w:r w:rsidRPr="00E772C1">
        <w:rPr>
          <w:rFonts w:eastAsia="Times New Roman" w:cs="Times New Roman"/>
          <w:color w:val="000000" w:themeColor="text1"/>
          <w:szCs w:val="24"/>
          <w:lang w:val="en-KW"/>
        </w:rPr>
        <w:t xml:space="preserve"> </w:t>
      </w:r>
      <w:r w:rsidRPr="00E772C1">
        <w:rPr>
          <w:color w:val="000000" w:themeColor="text1"/>
        </w:rPr>
        <w:t xml:space="preserve">Systematic stakeholder analysis prioritizes involvement. The power–interest matrix </w:t>
      </w:r>
      <w:proofErr w:type="gramStart"/>
      <w:r w:rsidRPr="00E772C1">
        <w:rPr>
          <w:color w:val="000000" w:themeColor="text1"/>
        </w:rPr>
        <w:t>sorts</w:t>
      </w:r>
      <w:proofErr w:type="gramEnd"/>
      <w:r w:rsidRPr="00E772C1">
        <w:rPr>
          <w:color w:val="000000" w:themeColor="text1"/>
        </w:rPr>
        <w:t xml:space="preserve"> stakeholders according to their ability to impact the project and their desired Project Outcome. Studies demonstrate that power/interest grids are among the most frequently used stakeholder grouping methods — they enable project holders to decide on what communication channels they should use for each category. Power is how much power someone can exercise to influence the choices of others, while interest refers to a stakeholder's concern for the impact of a project. High-power stakeholders must be </w:t>
      </w:r>
      <w:r w:rsidRPr="00E772C1">
        <w:rPr>
          <w:color w:val="000000" w:themeColor="text1"/>
        </w:rPr>
        <w:lastRenderedPageBreak/>
        <w:t>managed very closely while for low-interest, high power – there should be education about the infrastructure and constant monitoring to detect any changes in real interests.</w:t>
      </w:r>
    </w:p>
    <w:p w14:paraId="46B02C5B" w14:textId="17EE8085" w:rsidR="00E772C1" w:rsidRPr="00E772C1" w:rsidRDefault="00E772C1" w:rsidP="00E772C1">
      <w:pPr>
        <w:spacing w:line="360" w:lineRule="auto"/>
        <w:jc w:val="both"/>
        <w:rPr>
          <w:color w:val="000000" w:themeColor="text1"/>
          <w:lang w:val="en-KW"/>
        </w:rPr>
      </w:pPr>
    </w:p>
    <w:p w14:paraId="6FA287E1"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Diversity, equity and inclusion are all similarly important. Traditional consultations are likely to get rid of young individuals, people of color and persons with disabilities (Tester, 2009 ). An inclusive engagement plan should tackle language, literacy and digital gaps in this respect; Also, translation, clear language and physical accessibility and both paper and internet options can improve participation (Hawe, 2004). Also important is confidence building with marginalised or sceptical groups of public authority (Tinsley, 2002). Openness about the diversity of stakeholder perspectives, along with recognition of groups unlikely to be heard otherwise, help advance equity and credibility.</w:t>
      </w:r>
    </w:p>
    <w:p w14:paraId="4943C75C"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The reduction of bias is another ethical issue. Researchers and project managers should be mindful of their own subjective bias, and that tools for collecting data are not biased against specific groups. Surveys and feedback systems that are culturally aware and inclusive Informed decisions integrate systematic review of stakeholder feedback, response pattern analysis to summarize problems or ideas communicated back to participants (De las Nueces, 2012). Feedback loops demonstrate how stakeholder input shaped decisions and improve accountability(Atlassian, 2023). Stakeholder Inclusion is key as it gives ensuring Ethical Compliance multiple project advantages including improved outcomes and long-term sustainability.</w:t>
      </w:r>
    </w:p>
    <w:p w14:paraId="48440198"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Conclusion and Reflection</w:t>
      </w:r>
    </w:p>
    <w:p w14:paraId="73FDF0A5"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 xml:space="preserve">The research shows that project success and sustainability depends not on compliance but on stakeholder participation. In order to add agenda setting of multi stakeholder interests in decision-making at local level, we shall be looking up for social, environmental and economic effects of Ploiești public park project realization (Godbey, 2005) The power/interest grid identified that stakeholders help in different quadrants expect diverse engagement approaches. This analysis is realised through the communication strategy, which defines who receives what when and how. Such planning keeps high-power </w:t>
      </w:r>
      <w:r w:rsidRPr="00E772C1">
        <w:rPr>
          <w:color w:val="000000" w:themeColor="text1"/>
          <w:lang w:val="en-KW"/>
        </w:rPr>
        <w:lastRenderedPageBreak/>
        <w:t>stakeholders well informed and as supportive as possible, while getting more involved at low power level the low power stakeholders (FI4INN, 2024).</w:t>
      </w:r>
    </w:p>
    <w:p w14:paraId="7005CE45"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This rethink has produced a mix of insights into this stakeholder management plan. Step 1 — Stakeholder identification and mapping, which helps to clarify who can make changes with the results of a project and who it will impact most. Without clarity, resources may be wasted and key voices lost (Arredondo, 2013). Second great communication and early identification of stakeholders improve the performance of the projects (Pazoki, 2007) Spending time and effort on engagement activities is important (Hawe, 2004). The third aspect of engagement is ethics. Having laws on privacy, fairness and responsibility creates trust and legitimacy which ensures lasting success.</w:t>
      </w:r>
    </w:p>
    <w:p w14:paraId="29C70F4D"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Working on the plan deepened my respect for aligning organizations with communities. Understanding why some homeowners will choose playgrounds as opposed to vehicles parks or NGOs prefer native plants over ornamental landscaping (Trickett, 2011) required an awareness of human behaviour through empathy. There were also budgets and timetables, regulations etc. Stakeholder engagement is therefore both a science deploying analytical tools like the power/interest matrix and an art utilising interpersonal skills such as active listening, negotiation or cultural competence; (Musonda, 2022). Stakeholder engagement and stakeholder voice that honors and involves members of the community serve to build an infrastructure and sense of shared ownership that will ensure the park lives on after construction (Trickett, 2011).</w:t>
      </w:r>
    </w:p>
    <w:p w14:paraId="2E36D04F" w14:textId="77777777" w:rsidR="00E772C1" w:rsidRPr="00E772C1" w:rsidRDefault="00E772C1" w:rsidP="00E772C1">
      <w:pPr>
        <w:spacing w:line="360" w:lineRule="auto"/>
        <w:jc w:val="both"/>
        <w:rPr>
          <w:color w:val="000000" w:themeColor="text1"/>
          <w:lang w:val="en-KW"/>
        </w:rPr>
      </w:pPr>
    </w:p>
    <w:p w14:paraId="0DEF7E84" w14:textId="77777777" w:rsidR="00E772C1" w:rsidRPr="00E772C1" w:rsidRDefault="00E772C1" w:rsidP="00E772C1">
      <w:pPr>
        <w:spacing w:line="360" w:lineRule="auto"/>
        <w:jc w:val="both"/>
        <w:rPr>
          <w:color w:val="000000" w:themeColor="text1"/>
        </w:rPr>
      </w:pPr>
    </w:p>
    <w:p w14:paraId="0ABD7054" w14:textId="77777777" w:rsidR="00E772C1" w:rsidRPr="00E772C1" w:rsidRDefault="00E772C1" w:rsidP="00E772C1">
      <w:pPr>
        <w:spacing w:line="360" w:lineRule="auto"/>
        <w:jc w:val="both"/>
        <w:rPr>
          <w:color w:val="000000" w:themeColor="text1"/>
        </w:rPr>
      </w:pPr>
    </w:p>
    <w:p w14:paraId="0D01A9D5" w14:textId="77777777" w:rsidR="00E772C1" w:rsidRPr="00E772C1" w:rsidRDefault="00E772C1" w:rsidP="00E772C1">
      <w:pPr>
        <w:spacing w:line="360" w:lineRule="auto"/>
        <w:jc w:val="both"/>
        <w:rPr>
          <w:color w:val="000000" w:themeColor="text1"/>
        </w:rPr>
      </w:pPr>
    </w:p>
    <w:p w14:paraId="1000FDE9" w14:textId="77777777" w:rsidR="00FC6831" w:rsidRPr="00E772C1" w:rsidRDefault="00FC6831" w:rsidP="00E772C1">
      <w:pPr>
        <w:pStyle w:val="Heading2"/>
        <w:spacing w:line="360" w:lineRule="auto"/>
        <w:jc w:val="both"/>
        <w:rPr>
          <w:color w:val="000000" w:themeColor="text1"/>
        </w:rPr>
      </w:pPr>
      <w:r w:rsidRPr="00E772C1">
        <w:rPr>
          <w:color w:val="000000" w:themeColor="text1"/>
        </w:rPr>
        <w:t>5. References</w:t>
      </w:r>
    </w:p>
    <w:p w14:paraId="60AB8624"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 xml:space="preserve">Arredondo, E., Mueller, K., Mejia, E., Rovira-Oswalder, T., Richardson, D. and Hoos, T. (2013) 'Advocating for environmental changes to increase access to parks: Engaging </w:t>
      </w:r>
      <w:r w:rsidRPr="00E772C1">
        <w:rPr>
          <w:color w:val="000000" w:themeColor="text1"/>
          <w:lang w:val="en-KW"/>
        </w:rPr>
        <w:lastRenderedPageBreak/>
        <w:t>promotoras and youth leaders', </w:t>
      </w:r>
      <w:r w:rsidRPr="00E772C1">
        <w:rPr>
          <w:i/>
          <w:iCs/>
          <w:color w:val="000000" w:themeColor="text1"/>
          <w:lang w:val="en-KW"/>
        </w:rPr>
        <w:t>Health Promotion Practice</w:t>
      </w:r>
      <w:r w:rsidRPr="00E772C1">
        <w:rPr>
          <w:color w:val="000000" w:themeColor="text1"/>
          <w:lang w:val="en-KW"/>
        </w:rPr>
        <w:t>, 14(5), pp. 759–766. Available at: </w:t>
      </w:r>
      <w:hyperlink r:id="rId11" w:tgtFrame="_new" w:history="1">
        <w:r w:rsidRPr="00E772C1">
          <w:rPr>
            <w:rStyle w:val="Hyperlink"/>
            <w:color w:val="000000" w:themeColor="text1"/>
            <w:lang w:val="en-KW"/>
          </w:rPr>
          <w:t>https://doi.org/10.1177/1524839912473303</w:t>
        </w:r>
      </w:hyperlink>
    </w:p>
    <w:p w14:paraId="2F45F589"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Atlassian (2023) </w:t>
      </w:r>
      <w:r w:rsidRPr="00E772C1">
        <w:rPr>
          <w:i/>
          <w:iCs/>
          <w:color w:val="000000" w:themeColor="text1"/>
          <w:lang w:val="en-KW"/>
        </w:rPr>
        <w:t>Stakeholder theory: Why balancing stakeholder interests matters</w:t>
      </w:r>
      <w:r w:rsidRPr="00E772C1">
        <w:rPr>
          <w:color w:val="000000" w:themeColor="text1"/>
          <w:lang w:val="en-KW"/>
        </w:rPr>
        <w:t>. Available at: </w:t>
      </w:r>
      <w:hyperlink r:id="rId12" w:tgtFrame="_new" w:history="1">
        <w:r w:rsidRPr="00E772C1">
          <w:rPr>
            <w:rStyle w:val="Hyperlink"/>
            <w:color w:val="000000" w:themeColor="text1"/>
            <w:lang w:val="en-KW"/>
          </w:rPr>
          <w:t>https://www.atlassian.com/team-playbook/stories/stakeholder-theory</w:t>
        </w:r>
      </w:hyperlink>
      <w:r w:rsidRPr="00E772C1">
        <w:rPr>
          <w:color w:val="000000" w:themeColor="text1"/>
          <w:lang w:val="en-KW"/>
        </w:rPr>
        <w:t> (Accessed: 3 July 2026).</w:t>
      </w:r>
    </w:p>
    <w:p w14:paraId="29E9562C"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Centers for Disease Control and Prevention (2022) </w:t>
      </w:r>
      <w:r w:rsidRPr="00E772C1">
        <w:rPr>
          <w:i/>
          <w:iCs/>
          <w:color w:val="000000" w:themeColor="text1"/>
          <w:lang w:val="en-KW"/>
        </w:rPr>
        <w:t>Parks, recreation and green spaces</w:t>
      </w:r>
      <w:r w:rsidRPr="00E772C1">
        <w:rPr>
          <w:color w:val="000000" w:themeColor="text1"/>
          <w:lang w:val="en-KW"/>
        </w:rPr>
        <w:t>. Healthy Places. Available at: </w:t>
      </w:r>
      <w:hyperlink r:id="rId13" w:tgtFrame="_new" w:history="1">
        <w:r w:rsidRPr="00E772C1">
          <w:rPr>
            <w:rStyle w:val="Hyperlink"/>
            <w:color w:val="000000" w:themeColor="text1"/>
            <w:lang w:val="en-KW"/>
          </w:rPr>
          <w:t>https://www.cdc.gov/healthyplaces/parks/</w:t>
        </w:r>
      </w:hyperlink>
      <w:r w:rsidRPr="00E772C1">
        <w:rPr>
          <w:color w:val="000000" w:themeColor="text1"/>
          <w:lang w:val="en-KW"/>
        </w:rPr>
        <w:t> (Accessed: 3 July 2026).</w:t>
      </w:r>
    </w:p>
    <w:p w14:paraId="779BA1CF"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Cheshire, B. (2025) </w:t>
      </w:r>
      <w:r w:rsidRPr="00E772C1">
        <w:rPr>
          <w:i/>
          <w:iCs/>
          <w:color w:val="000000" w:themeColor="text1"/>
          <w:lang w:val="en-KW"/>
        </w:rPr>
        <w:t>Ensuring diversity, equity and inclusion in community engagement activities</w:t>
      </w:r>
      <w:r w:rsidRPr="00E772C1">
        <w:rPr>
          <w:color w:val="000000" w:themeColor="text1"/>
          <w:lang w:val="en-KW"/>
        </w:rPr>
        <w:t>. Delib Newsroom. Available at: </w:t>
      </w:r>
      <w:hyperlink r:id="rId14" w:tgtFrame="_new" w:history="1">
        <w:r w:rsidRPr="00E772C1">
          <w:rPr>
            <w:rStyle w:val="Hyperlink"/>
            <w:color w:val="000000" w:themeColor="text1"/>
            <w:lang w:val="en-KW"/>
          </w:rPr>
          <w:t>https://www.delib.net/newsroom/diversity-equity-and-inclusion-in-community-engagement-activities</w:t>
        </w:r>
      </w:hyperlink>
      <w:r w:rsidRPr="00E772C1">
        <w:rPr>
          <w:color w:val="000000" w:themeColor="text1"/>
          <w:lang w:val="en-KW"/>
        </w:rPr>
        <w:t>(Accessed: 3 July 2026).</w:t>
      </w:r>
    </w:p>
    <w:p w14:paraId="289B7B83"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Cohen, D.A., Han, B., Derose, K.P., Williamson, S., Marsh, T. and McKenzie, T.L. (2013) 'Physical activity in parks: A randomized controlled trial using community engagement', </w:t>
      </w:r>
      <w:r w:rsidRPr="00E772C1">
        <w:rPr>
          <w:i/>
          <w:iCs/>
          <w:color w:val="000000" w:themeColor="text1"/>
          <w:lang w:val="en-KW"/>
        </w:rPr>
        <w:t>American Journal of Preventive Medicine</w:t>
      </w:r>
      <w:r w:rsidRPr="00E772C1">
        <w:rPr>
          <w:color w:val="000000" w:themeColor="text1"/>
          <w:lang w:val="en-KW"/>
        </w:rPr>
        <w:t>, 45(5), pp. 590–597. Available at: </w:t>
      </w:r>
      <w:hyperlink r:id="rId15" w:tgtFrame="_new" w:history="1">
        <w:r w:rsidRPr="00E772C1">
          <w:rPr>
            <w:rStyle w:val="Hyperlink"/>
            <w:color w:val="000000" w:themeColor="text1"/>
            <w:lang w:val="en-KW"/>
          </w:rPr>
          <w:t>https://doi.org/10.1016/j.amepre.2013.06.015</w:t>
        </w:r>
      </w:hyperlink>
    </w:p>
    <w:p w14:paraId="6FDE070F"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Cohen, D.A., Sehgal, A., Williamson, S., Sturm, R., McKenzie, T.L., Lara, R. and Lurie, N. (2006) </w:t>
      </w:r>
      <w:r w:rsidRPr="00E772C1">
        <w:rPr>
          <w:i/>
          <w:iCs/>
          <w:color w:val="000000" w:themeColor="text1"/>
          <w:lang w:val="en-KW"/>
        </w:rPr>
        <w:t>Park use and physical activity in a sample of public parks in the city of Los Angeles</w:t>
      </w:r>
      <w:r w:rsidRPr="00E772C1">
        <w:rPr>
          <w:color w:val="000000" w:themeColor="text1"/>
          <w:lang w:val="en-KW"/>
        </w:rPr>
        <w:t>. Santa Monica, CA: RAND Corporation.</w:t>
      </w:r>
    </w:p>
    <w:p w14:paraId="33C1CCAD"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Council Fire (2025) </w:t>
      </w:r>
      <w:r w:rsidRPr="00E772C1">
        <w:rPr>
          <w:i/>
          <w:iCs/>
          <w:color w:val="000000" w:themeColor="text1"/>
          <w:lang w:val="en-KW"/>
        </w:rPr>
        <w:t>Why stakeholder trust drives long-term success</w:t>
      </w:r>
      <w:r w:rsidRPr="00E772C1">
        <w:rPr>
          <w:color w:val="000000" w:themeColor="text1"/>
          <w:lang w:val="en-KW"/>
        </w:rPr>
        <w:t>. Available at: </w:t>
      </w:r>
      <w:hyperlink r:id="rId16" w:tgtFrame="_new" w:history="1">
        <w:r w:rsidRPr="00E772C1">
          <w:rPr>
            <w:rStyle w:val="Hyperlink"/>
            <w:color w:val="000000" w:themeColor="text1"/>
            <w:lang w:val="en-KW"/>
          </w:rPr>
          <w:t>https://www.councilfire.org/guides/why-stakeholder-trust-drives-long-term-success/</w:t>
        </w:r>
      </w:hyperlink>
      <w:r w:rsidRPr="00E772C1">
        <w:rPr>
          <w:color w:val="000000" w:themeColor="text1"/>
          <w:lang w:val="en-KW"/>
        </w:rPr>
        <w:t> (Accessed: 3 July 2026).</w:t>
      </w:r>
    </w:p>
    <w:p w14:paraId="2CD5D6D9"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De las Nueces, D., Hacker, K., DiGirolamo, A. and Hicks, L.S. (2012) 'A systematic review of community-based participatory research to enhance clinical trials in racial and ethnic minority groups', </w:t>
      </w:r>
      <w:r w:rsidRPr="00E772C1">
        <w:rPr>
          <w:i/>
          <w:iCs/>
          <w:color w:val="000000" w:themeColor="text1"/>
          <w:lang w:val="en-KW"/>
        </w:rPr>
        <w:t>Health Services Research</w:t>
      </w:r>
      <w:r w:rsidRPr="00E772C1">
        <w:rPr>
          <w:color w:val="000000" w:themeColor="text1"/>
          <w:lang w:val="en-KW"/>
        </w:rPr>
        <w:t>, 47(3), pp. 1363–1386. Available at: </w:t>
      </w:r>
      <w:hyperlink r:id="rId17" w:tgtFrame="_new" w:history="1">
        <w:r w:rsidRPr="00E772C1">
          <w:rPr>
            <w:rStyle w:val="Hyperlink"/>
            <w:color w:val="000000" w:themeColor="text1"/>
            <w:lang w:val="en-KW"/>
          </w:rPr>
          <w:t>https://doi.org/10.1111/j.1475-6773.2012.01386.x</w:t>
        </w:r>
      </w:hyperlink>
    </w:p>
    <w:p w14:paraId="22A0200C"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lastRenderedPageBreak/>
        <w:t>FI4INN (2024) </w:t>
      </w:r>
      <w:r w:rsidRPr="00E772C1">
        <w:rPr>
          <w:i/>
          <w:iCs/>
          <w:color w:val="000000" w:themeColor="text1"/>
          <w:lang w:val="en-KW"/>
        </w:rPr>
        <w:t>Enhancing stakeholder engagement through the power/interest matrix</w:t>
      </w:r>
      <w:r w:rsidRPr="00E772C1">
        <w:rPr>
          <w:color w:val="000000" w:themeColor="text1"/>
          <w:lang w:val="en-KW"/>
        </w:rPr>
        <w:t>. Interreg Central Europe. Available at: </w:t>
      </w:r>
      <w:hyperlink r:id="rId18" w:tgtFrame="_new" w:history="1">
        <w:r w:rsidRPr="00E772C1">
          <w:rPr>
            <w:rStyle w:val="Hyperlink"/>
            <w:color w:val="000000" w:themeColor="text1"/>
            <w:lang w:val="en-KW"/>
          </w:rPr>
          <w:t>https://www.interreg-central.eu/news/enhancing-stakeholder-engagement-through-the-power-interest-matrix/</w:t>
        </w:r>
      </w:hyperlink>
      <w:r w:rsidRPr="00E772C1">
        <w:rPr>
          <w:color w:val="000000" w:themeColor="text1"/>
          <w:lang w:val="en-KW"/>
        </w:rPr>
        <w:t>(Accessed: 3 July 2026).</w:t>
      </w:r>
    </w:p>
    <w:p w14:paraId="73FA1E55"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Godbey, G.C., Caldwell, L.L., Floyd, M. and Payne, L.L. (2005) 'Contributions of leisure studies and recreation and park management research to the active living agenda', </w:t>
      </w:r>
      <w:r w:rsidRPr="00E772C1">
        <w:rPr>
          <w:i/>
          <w:iCs/>
          <w:color w:val="000000" w:themeColor="text1"/>
          <w:lang w:val="en-KW"/>
        </w:rPr>
        <w:t>American Journal of Preventive Medicine</w:t>
      </w:r>
      <w:r w:rsidRPr="00E772C1">
        <w:rPr>
          <w:color w:val="000000" w:themeColor="text1"/>
          <w:lang w:val="en-KW"/>
        </w:rPr>
        <w:t>, 28(2S2), pp. 150–158. Available at: </w:t>
      </w:r>
      <w:hyperlink r:id="rId19" w:tgtFrame="_new" w:history="1">
        <w:r w:rsidRPr="00E772C1">
          <w:rPr>
            <w:rStyle w:val="Hyperlink"/>
            <w:color w:val="000000" w:themeColor="text1"/>
            <w:lang w:val="en-KW"/>
          </w:rPr>
          <w:t>https://doi.org/10.1016/j.amepre.2004.10.027</w:t>
        </w:r>
      </w:hyperlink>
    </w:p>
    <w:p w14:paraId="5D6AA900"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Godbey, G.C., Graefe, A. and James, S.W. (1992) </w:t>
      </w:r>
      <w:r w:rsidRPr="00E772C1">
        <w:rPr>
          <w:i/>
          <w:iCs/>
          <w:color w:val="000000" w:themeColor="text1"/>
          <w:lang w:val="en-KW"/>
        </w:rPr>
        <w:t>The benefits of local recreation and park services: A nationwide study of the perceptions of the American public</w:t>
      </w:r>
      <w:r w:rsidRPr="00E772C1">
        <w:rPr>
          <w:color w:val="000000" w:themeColor="text1"/>
          <w:lang w:val="en-KW"/>
        </w:rPr>
        <w:t>. Ashburn, VA: National Recreation and Park Association.</w:t>
      </w:r>
    </w:p>
    <w:p w14:paraId="5FE24415"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Hawe, P., Shiell, A. and Riley, T. (2004) 'Complex interventions: How "out of control" can a randomised controlled trial be?', </w:t>
      </w:r>
      <w:r w:rsidRPr="00E772C1">
        <w:rPr>
          <w:i/>
          <w:iCs/>
          <w:color w:val="000000" w:themeColor="text1"/>
          <w:lang w:val="en-KW"/>
        </w:rPr>
        <w:t>BMJ</w:t>
      </w:r>
      <w:r w:rsidRPr="00E772C1">
        <w:rPr>
          <w:color w:val="000000" w:themeColor="text1"/>
          <w:lang w:val="en-KW"/>
        </w:rPr>
        <w:t>, 328(7455), pp. 1561–1563. Available at: </w:t>
      </w:r>
      <w:hyperlink r:id="rId20" w:tgtFrame="_new" w:history="1">
        <w:r w:rsidRPr="00E772C1">
          <w:rPr>
            <w:rStyle w:val="Hyperlink"/>
            <w:color w:val="000000" w:themeColor="text1"/>
            <w:lang w:val="en-KW"/>
          </w:rPr>
          <w:t>https://doi.org/10.1136/bmj.328.7455.1561</w:t>
        </w:r>
      </w:hyperlink>
    </w:p>
    <w:p w14:paraId="065AC6BA"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Katz, D.L., Murimi, M., Gonzalez, A., Njike, V. and Green, L.W. (2011) 'From controlled trial to community adoption: The multisite translational community trial', </w:t>
      </w:r>
      <w:r w:rsidRPr="00E772C1">
        <w:rPr>
          <w:i/>
          <w:iCs/>
          <w:color w:val="000000" w:themeColor="text1"/>
          <w:lang w:val="en-KW"/>
        </w:rPr>
        <w:t>American Journal of Public Health</w:t>
      </w:r>
      <w:r w:rsidRPr="00E772C1">
        <w:rPr>
          <w:color w:val="000000" w:themeColor="text1"/>
          <w:lang w:val="en-KW"/>
        </w:rPr>
        <w:t>, 101(8), pp. e17–e27. Available at: </w:t>
      </w:r>
      <w:hyperlink r:id="rId21" w:tgtFrame="_new" w:history="1">
        <w:r w:rsidRPr="00E772C1">
          <w:rPr>
            <w:rStyle w:val="Hyperlink"/>
            <w:color w:val="000000" w:themeColor="text1"/>
            <w:lang w:val="en-KW"/>
          </w:rPr>
          <w:t>https://doi.org/10.2105/AJPH.2010.300104</w:t>
        </w:r>
      </w:hyperlink>
    </w:p>
    <w:p w14:paraId="63869307"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Marsh, T., Derose, K.P. and Cohen, D.A. (2012) 'Exploring park director roles in promoting community physical activity', </w:t>
      </w:r>
      <w:r w:rsidRPr="00E772C1">
        <w:rPr>
          <w:i/>
          <w:iCs/>
          <w:color w:val="000000" w:themeColor="text1"/>
          <w:lang w:val="en-KW"/>
        </w:rPr>
        <w:t>Journal of Physical Activity and Health</w:t>
      </w:r>
      <w:r w:rsidRPr="00E772C1">
        <w:rPr>
          <w:color w:val="000000" w:themeColor="text1"/>
          <w:lang w:val="en-KW"/>
        </w:rPr>
        <w:t>, 9(5), pp. 731–738. Available at: </w:t>
      </w:r>
      <w:hyperlink r:id="rId22" w:tgtFrame="_new" w:history="1">
        <w:r w:rsidRPr="00E772C1">
          <w:rPr>
            <w:rStyle w:val="Hyperlink"/>
            <w:color w:val="000000" w:themeColor="text1"/>
            <w:lang w:val="en-KW"/>
          </w:rPr>
          <w:t>https://doi.org/10.1123/jpah.9.5.731</w:t>
        </w:r>
      </w:hyperlink>
    </w:p>
    <w:p w14:paraId="3CC35BFE"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McKenzie, T.L., Cohen, D.A., Sehgal, A., Williamson, S. and Golinelli, D. (2006) 'System for Observing Play and Recreation in Communities (SOPARC): Reliability and feasibility measures', </w:t>
      </w:r>
      <w:r w:rsidRPr="00E772C1">
        <w:rPr>
          <w:i/>
          <w:iCs/>
          <w:color w:val="000000" w:themeColor="text1"/>
          <w:lang w:val="en-KW"/>
        </w:rPr>
        <w:t>Journal of Physical Activity and Health</w:t>
      </w:r>
      <w:r w:rsidRPr="00E772C1">
        <w:rPr>
          <w:color w:val="000000" w:themeColor="text1"/>
          <w:lang w:val="en-KW"/>
        </w:rPr>
        <w:t>, 3(S1), pp. S208–S222. Available at: </w:t>
      </w:r>
      <w:hyperlink r:id="rId23" w:tgtFrame="_new" w:history="1">
        <w:r w:rsidRPr="00E772C1">
          <w:rPr>
            <w:rStyle w:val="Hyperlink"/>
            <w:color w:val="000000" w:themeColor="text1"/>
            <w:lang w:val="en-KW"/>
          </w:rPr>
          <w:t>https://doi.org/10.1123/jpah.3.s1.s208</w:t>
        </w:r>
      </w:hyperlink>
    </w:p>
    <w:p w14:paraId="2DAD010E"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Minkler, M. (2000) 'Using participatory action research to build healthy communities', </w:t>
      </w:r>
      <w:r w:rsidRPr="00E772C1">
        <w:rPr>
          <w:i/>
          <w:iCs/>
          <w:color w:val="000000" w:themeColor="text1"/>
          <w:lang w:val="en-KW"/>
        </w:rPr>
        <w:t>Public Health Reports</w:t>
      </w:r>
      <w:r w:rsidRPr="00E772C1">
        <w:rPr>
          <w:color w:val="000000" w:themeColor="text1"/>
          <w:lang w:val="en-KW"/>
        </w:rPr>
        <w:t>, 115(2–3), pp. 191–197. Available at: </w:t>
      </w:r>
      <w:hyperlink r:id="rId24" w:tgtFrame="_new" w:history="1">
        <w:r w:rsidRPr="00E772C1">
          <w:rPr>
            <w:rStyle w:val="Hyperlink"/>
            <w:color w:val="000000" w:themeColor="text1"/>
            <w:lang w:val="en-KW"/>
          </w:rPr>
          <w:t>https://doi.org/10.1093/phr/115.2.191</w:t>
        </w:r>
      </w:hyperlink>
    </w:p>
    <w:p w14:paraId="610E517F"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lastRenderedPageBreak/>
        <w:t>Minkler, M. (2010) 'Linking science and policy through community-based participatory research to study and address health disparities', </w:t>
      </w:r>
      <w:r w:rsidRPr="00E772C1">
        <w:rPr>
          <w:i/>
          <w:iCs/>
          <w:color w:val="000000" w:themeColor="text1"/>
          <w:lang w:val="en-KW"/>
        </w:rPr>
        <w:t>American Journal of Public Health</w:t>
      </w:r>
      <w:r w:rsidRPr="00E772C1">
        <w:rPr>
          <w:color w:val="000000" w:themeColor="text1"/>
          <w:lang w:val="en-KW"/>
        </w:rPr>
        <w:t>, 100(S1), pp. S81–S87. Available at: </w:t>
      </w:r>
      <w:hyperlink r:id="rId25" w:tgtFrame="_new" w:history="1">
        <w:r w:rsidRPr="00E772C1">
          <w:rPr>
            <w:rStyle w:val="Hyperlink"/>
            <w:color w:val="000000" w:themeColor="text1"/>
            <w:lang w:val="en-KW"/>
          </w:rPr>
          <w:t>https://doi.org/10.2105/AJPH.2009.165720</w:t>
        </w:r>
      </w:hyperlink>
    </w:p>
    <w:p w14:paraId="7D59660D"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Musonda, I. and Banja, M. (2022) 'Stakeholder engagement and project performance: An empirical study', </w:t>
      </w:r>
      <w:r w:rsidRPr="00E772C1">
        <w:rPr>
          <w:i/>
          <w:iCs/>
          <w:color w:val="000000" w:themeColor="text1"/>
          <w:lang w:val="en-KW"/>
        </w:rPr>
        <w:t>International Journal of Professional Business Review</w:t>
      </w:r>
      <w:r w:rsidRPr="00E772C1">
        <w:rPr>
          <w:color w:val="000000" w:themeColor="text1"/>
          <w:lang w:val="en-KW"/>
        </w:rPr>
        <w:t>, 7(1), pp. 1–20.</w:t>
      </w:r>
    </w:p>
    <w:p w14:paraId="69ACF6A8"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Oguz, A. (2020) </w:t>
      </w:r>
      <w:r w:rsidRPr="00E772C1">
        <w:rPr>
          <w:i/>
          <w:iCs/>
          <w:color w:val="000000" w:themeColor="text1"/>
          <w:lang w:val="en-KW"/>
        </w:rPr>
        <w:t>Project Management: Navigating the Complexity</w:t>
      </w:r>
      <w:r w:rsidRPr="00E772C1">
        <w:rPr>
          <w:color w:val="000000" w:themeColor="text1"/>
          <w:lang w:val="en-KW"/>
        </w:rPr>
        <w:t>. Chapter 5.2: Stakeholder Analysis. Pressbooks. Available at: </w:t>
      </w:r>
      <w:hyperlink r:id="rId26" w:tgtFrame="_new" w:history="1">
        <w:r w:rsidRPr="00E772C1">
          <w:rPr>
            <w:rStyle w:val="Hyperlink"/>
            <w:color w:val="000000" w:themeColor="text1"/>
            <w:lang w:val="en-KW"/>
          </w:rPr>
          <w:t>https://pressbooks.ulib.csuohio.edu/project-management-navigating-the-complexity/chapter/5-2-stakeholder-analysis/</w:t>
        </w:r>
      </w:hyperlink>
      <w:r w:rsidRPr="00E772C1">
        <w:rPr>
          <w:color w:val="000000" w:themeColor="text1"/>
          <w:lang w:val="en-KW"/>
        </w:rPr>
        <w:t> (Accessed: 3 July 2026).</w:t>
      </w:r>
    </w:p>
    <w:p w14:paraId="2B7F877D"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Pazoki, R., Nabipour, I., Seyednezami, N. and Imami, S.R. (2007) 'Effects of a community-based healthy heart program on increasing healthy women’s physical activity: A randomized controlled trial guided by community-based participatory research (CBPR)', </w:t>
      </w:r>
      <w:r w:rsidRPr="00E772C1">
        <w:rPr>
          <w:i/>
          <w:iCs/>
          <w:color w:val="000000" w:themeColor="text1"/>
          <w:lang w:val="en-KW"/>
        </w:rPr>
        <w:t>BMC Public Health</w:t>
      </w:r>
      <w:r w:rsidRPr="00E772C1">
        <w:rPr>
          <w:color w:val="000000" w:themeColor="text1"/>
          <w:lang w:val="en-KW"/>
        </w:rPr>
        <w:t>, 7, p. 216. Available at: </w:t>
      </w:r>
      <w:hyperlink r:id="rId27" w:tgtFrame="_new" w:history="1">
        <w:r w:rsidRPr="00E772C1">
          <w:rPr>
            <w:rStyle w:val="Hyperlink"/>
            <w:color w:val="000000" w:themeColor="text1"/>
            <w:lang w:val="en-KW"/>
          </w:rPr>
          <w:t>https://doi.org/10.1186/1471-2458-7-216</w:t>
        </w:r>
      </w:hyperlink>
    </w:p>
    <w:p w14:paraId="567D94EF"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Ryan, G.W. and Bernard, H.R. (2000) 'Data management and analysis methods', in Denzin, N.K. and Lincoln, Y.S. (eds.) </w:t>
      </w:r>
      <w:r w:rsidRPr="00E772C1">
        <w:rPr>
          <w:i/>
          <w:iCs/>
          <w:color w:val="000000" w:themeColor="text1"/>
          <w:lang w:val="en-KW"/>
        </w:rPr>
        <w:t>Handbook of Qualitative Research</w:t>
      </w:r>
      <w:r w:rsidRPr="00E772C1">
        <w:rPr>
          <w:color w:val="000000" w:themeColor="text1"/>
          <w:lang w:val="en-KW"/>
        </w:rPr>
        <w:t>. Thousand Oaks, CA: Sage Publications, pp. 769–802.</w:t>
      </w:r>
    </w:p>
    <w:p w14:paraId="2AC77C74"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Ryan, G.W. and Bernard, H.R. (2003) 'Techniques to identify themes', </w:t>
      </w:r>
      <w:r w:rsidRPr="00E772C1">
        <w:rPr>
          <w:i/>
          <w:iCs/>
          <w:color w:val="000000" w:themeColor="text1"/>
          <w:lang w:val="en-KW"/>
        </w:rPr>
        <w:t>Field Methods</w:t>
      </w:r>
      <w:r w:rsidRPr="00E772C1">
        <w:rPr>
          <w:color w:val="000000" w:themeColor="text1"/>
          <w:lang w:val="en-KW"/>
        </w:rPr>
        <w:t>, 15(1), pp. 85–109.</w:t>
      </w:r>
    </w:p>
    <w:p w14:paraId="41FE29A2"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Simply Stakeholders (2023) </w:t>
      </w:r>
      <w:r w:rsidRPr="00E772C1">
        <w:rPr>
          <w:i/>
          <w:iCs/>
          <w:color w:val="000000" w:themeColor="text1"/>
          <w:lang w:val="en-KW"/>
        </w:rPr>
        <w:t>Stakeholder communication: Methods and benefits</w:t>
      </w:r>
      <w:r w:rsidRPr="00E772C1">
        <w:rPr>
          <w:color w:val="000000" w:themeColor="text1"/>
          <w:lang w:val="en-KW"/>
        </w:rPr>
        <w:t>. Available at: </w:t>
      </w:r>
      <w:hyperlink r:id="rId28" w:tgtFrame="_new" w:history="1">
        <w:r w:rsidRPr="00E772C1">
          <w:rPr>
            <w:rStyle w:val="Hyperlink"/>
            <w:color w:val="000000" w:themeColor="text1"/>
            <w:lang w:val="en-KW"/>
          </w:rPr>
          <w:t>https://www.simplystakeholders.com/blog/stakeholder-communication-methods/</w:t>
        </w:r>
      </w:hyperlink>
      <w:r w:rsidRPr="00E772C1">
        <w:rPr>
          <w:color w:val="000000" w:themeColor="text1"/>
          <w:lang w:val="en-KW"/>
        </w:rPr>
        <w:t> (Accessed: 3 July 2026).</w:t>
      </w:r>
    </w:p>
    <w:p w14:paraId="4E900E3B"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Southern New Hampshire University (2023) </w:t>
      </w:r>
      <w:r w:rsidRPr="00E772C1">
        <w:rPr>
          <w:i/>
          <w:iCs/>
          <w:color w:val="000000" w:themeColor="text1"/>
          <w:lang w:val="en-KW"/>
        </w:rPr>
        <w:t>What is a project communication plan?</w:t>
      </w:r>
      <w:r w:rsidRPr="00E772C1">
        <w:rPr>
          <w:color w:val="000000" w:themeColor="text1"/>
          <w:lang w:val="en-KW"/>
        </w:rPr>
        <w:t> Available at: </w:t>
      </w:r>
      <w:hyperlink r:id="rId29" w:tgtFrame="_new" w:history="1">
        <w:r w:rsidRPr="00E772C1">
          <w:rPr>
            <w:rStyle w:val="Hyperlink"/>
            <w:color w:val="000000" w:themeColor="text1"/>
            <w:lang w:val="en-KW"/>
          </w:rPr>
          <w:t>https://www.snhu.edu/about-us/newsroom/stem/communication-plan</w:t>
        </w:r>
      </w:hyperlink>
      <w:r w:rsidRPr="00E772C1">
        <w:rPr>
          <w:color w:val="000000" w:themeColor="text1"/>
          <w:lang w:val="en-KW"/>
        </w:rPr>
        <w:t> (Accessed: 3 July 2026).</w:t>
      </w:r>
    </w:p>
    <w:p w14:paraId="077EDA3C"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 xml:space="preserve">Suminski, R.R., Petosa, R.L., Jones, L., Hall, L. and Poston, C.W. (2009) 'Neighborhoods on the move: A community-based participatory research approach to promoting physical </w:t>
      </w:r>
      <w:r w:rsidRPr="00E772C1">
        <w:rPr>
          <w:color w:val="000000" w:themeColor="text1"/>
          <w:lang w:val="en-KW"/>
        </w:rPr>
        <w:lastRenderedPageBreak/>
        <w:t>activity', </w:t>
      </w:r>
      <w:r w:rsidRPr="00E772C1">
        <w:rPr>
          <w:i/>
          <w:iCs/>
          <w:color w:val="000000" w:themeColor="text1"/>
          <w:lang w:val="en-KW"/>
        </w:rPr>
        <w:t>Progress in Community Health Partnerships</w:t>
      </w:r>
      <w:r w:rsidRPr="00E772C1">
        <w:rPr>
          <w:color w:val="000000" w:themeColor="text1"/>
          <w:lang w:val="en-KW"/>
        </w:rPr>
        <w:t>, 3(1), pp. 19–29. Available at: </w:t>
      </w:r>
      <w:hyperlink r:id="rId30" w:tgtFrame="_new" w:history="1">
        <w:r w:rsidRPr="00E772C1">
          <w:rPr>
            <w:rStyle w:val="Hyperlink"/>
            <w:color w:val="000000" w:themeColor="text1"/>
            <w:lang w:val="en-KW"/>
          </w:rPr>
          <w:t>https://doi.org/10.1353/cpr.0.0051</w:t>
        </w:r>
      </w:hyperlink>
    </w:p>
    <w:p w14:paraId="2886D962"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Tester, J. and Baker, R. (2009) 'Making the playfields even: Evaluating the impact of an environmental intervention on park use and physical activity', </w:t>
      </w:r>
      <w:r w:rsidRPr="00E772C1">
        <w:rPr>
          <w:i/>
          <w:iCs/>
          <w:color w:val="000000" w:themeColor="text1"/>
          <w:lang w:val="en-KW"/>
        </w:rPr>
        <w:t>Preventive Medicine</w:t>
      </w:r>
      <w:r w:rsidRPr="00E772C1">
        <w:rPr>
          <w:color w:val="000000" w:themeColor="text1"/>
          <w:lang w:val="en-KW"/>
        </w:rPr>
        <w:t>, 48(4), pp. 316–320. Available at: </w:t>
      </w:r>
      <w:hyperlink r:id="rId31" w:tgtFrame="_new" w:history="1">
        <w:r w:rsidRPr="00E772C1">
          <w:rPr>
            <w:rStyle w:val="Hyperlink"/>
            <w:color w:val="000000" w:themeColor="text1"/>
            <w:lang w:val="en-KW"/>
          </w:rPr>
          <w:t>https://doi.org/10.1016/j.ypmed.2009.01.010</w:t>
        </w:r>
      </w:hyperlink>
    </w:p>
    <w:p w14:paraId="584E572C"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Tinsley, H.E.A., Tinsley, D.J. and Croskeys, C.E. (2002) 'Park usage, social milieu, and psychosocial benefits of park use reported by older urban park users from four ethnic groups', </w:t>
      </w:r>
      <w:r w:rsidRPr="00E772C1">
        <w:rPr>
          <w:i/>
          <w:iCs/>
          <w:color w:val="000000" w:themeColor="text1"/>
          <w:lang w:val="en-KW"/>
        </w:rPr>
        <w:t>Leisure Sciences</w:t>
      </w:r>
      <w:r w:rsidRPr="00E772C1">
        <w:rPr>
          <w:color w:val="000000" w:themeColor="text1"/>
          <w:lang w:val="en-KW"/>
        </w:rPr>
        <w:t>, 24(2), pp. 199–218.</w:t>
      </w:r>
    </w:p>
    <w:p w14:paraId="50731344"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Trickett, E.J. (2011) 'Community-based participatory research as worldview or instrumental strategy: Is it lost in translation(al) research?', </w:t>
      </w:r>
      <w:r w:rsidRPr="00E772C1">
        <w:rPr>
          <w:i/>
          <w:iCs/>
          <w:color w:val="000000" w:themeColor="text1"/>
          <w:lang w:val="en-KW"/>
        </w:rPr>
        <w:t>American Journal of Public Health</w:t>
      </w:r>
      <w:r w:rsidRPr="00E772C1">
        <w:rPr>
          <w:color w:val="000000" w:themeColor="text1"/>
          <w:lang w:val="en-KW"/>
        </w:rPr>
        <w:t>, 101(8), pp. 1353–1355. Available at: </w:t>
      </w:r>
      <w:hyperlink r:id="rId32" w:tgtFrame="_new" w:history="1">
        <w:r w:rsidRPr="00E772C1">
          <w:rPr>
            <w:rStyle w:val="Hyperlink"/>
            <w:color w:val="000000" w:themeColor="text1"/>
            <w:lang w:val="en-KW"/>
          </w:rPr>
          <w:t>https://doi.org/10.2105/AJPH.2011.300124</w:t>
        </w:r>
      </w:hyperlink>
    </w:p>
    <w:p w14:paraId="69B70133"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Trickett, E.J. (2012) 'Trickett responds: Letter', </w:t>
      </w:r>
      <w:r w:rsidRPr="00E772C1">
        <w:rPr>
          <w:i/>
          <w:iCs/>
          <w:color w:val="000000" w:themeColor="text1"/>
          <w:lang w:val="en-KW"/>
        </w:rPr>
        <w:t>American Journal of Public Health</w:t>
      </w:r>
      <w:r w:rsidRPr="00E772C1">
        <w:rPr>
          <w:color w:val="000000" w:themeColor="text1"/>
          <w:lang w:val="en-KW"/>
        </w:rPr>
        <w:t>, 102(4), p. 582.</w:t>
      </w:r>
    </w:p>
    <w:p w14:paraId="2CB5F824"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Trickett, E.J., Beehler, S., Deutsch, C., Green, L.W., Hawe, P., McLeroy, K., Miller, R.L., Rapkin, B.D., Schensul, J.J. </w:t>
      </w:r>
      <w:r w:rsidRPr="00E772C1">
        <w:rPr>
          <w:i/>
          <w:iCs/>
          <w:color w:val="000000" w:themeColor="text1"/>
          <w:lang w:val="en-KW"/>
        </w:rPr>
        <w:t>et al.</w:t>
      </w:r>
      <w:r w:rsidRPr="00E772C1">
        <w:rPr>
          <w:color w:val="000000" w:themeColor="text1"/>
          <w:lang w:val="en-KW"/>
        </w:rPr>
        <w:t> (2011) 'Advancing the science of community-level interventions', </w:t>
      </w:r>
      <w:r w:rsidRPr="00E772C1">
        <w:rPr>
          <w:i/>
          <w:iCs/>
          <w:color w:val="000000" w:themeColor="text1"/>
          <w:lang w:val="en-KW"/>
        </w:rPr>
        <w:t>American Journal of Public Health</w:t>
      </w:r>
      <w:r w:rsidRPr="00E772C1">
        <w:rPr>
          <w:color w:val="000000" w:themeColor="text1"/>
          <w:lang w:val="en-KW"/>
        </w:rPr>
        <w:t>, 101(8), pp. 1410–1419. Available at: </w:t>
      </w:r>
      <w:hyperlink r:id="rId33" w:tgtFrame="_new" w:history="1">
        <w:r w:rsidRPr="00E772C1">
          <w:rPr>
            <w:rStyle w:val="Hyperlink"/>
            <w:color w:val="000000" w:themeColor="text1"/>
            <w:lang w:val="en-KW"/>
          </w:rPr>
          <w:t>https://doi.org/10.2105/AJPH.2010.300113</w:t>
        </w:r>
      </w:hyperlink>
    </w:p>
    <w:p w14:paraId="5BFD4528" w14:textId="77777777" w:rsidR="00E772C1" w:rsidRPr="00E772C1" w:rsidRDefault="00E772C1" w:rsidP="00E772C1">
      <w:pPr>
        <w:spacing w:line="360" w:lineRule="auto"/>
        <w:jc w:val="both"/>
        <w:rPr>
          <w:color w:val="000000" w:themeColor="text1"/>
          <w:lang w:val="en-KW"/>
        </w:rPr>
      </w:pPr>
      <w:r w:rsidRPr="00E772C1">
        <w:rPr>
          <w:color w:val="000000" w:themeColor="text1"/>
          <w:lang w:val="en-KW"/>
        </w:rPr>
        <w:t>UK Data Service (2023) </w:t>
      </w:r>
      <w:r w:rsidRPr="00E772C1">
        <w:rPr>
          <w:i/>
          <w:iCs/>
          <w:color w:val="000000" w:themeColor="text1"/>
          <w:lang w:val="en-KW"/>
        </w:rPr>
        <w:t>Research data management: Ethical issues</w:t>
      </w:r>
      <w:r w:rsidRPr="00E772C1">
        <w:rPr>
          <w:color w:val="000000" w:themeColor="text1"/>
          <w:lang w:val="en-KW"/>
        </w:rPr>
        <w:t>. Available at: </w:t>
      </w:r>
      <w:hyperlink r:id="rId34" w:tgtFrame="_new" w:history="1">
        <w:r w:rsidRPr="00E772C1">
          <w:rPr>
            <w:rStyle w:val="Hyperlink"/>
            <w:color w:val="000000" w:themeColor="text1"/>
            <w:lang w:val="en-KW"/>
          </w:rPr>
          <w:t>https://ukdataservice.ac.uk/learning-hub/research-data-management/</w:t>
        </w:r>
      </w:hyperlink>
      <w:r w:rsidRPr="00E772C1">
        <w:rPr>
          <w:color w:val="000000" w:themeColor="text1"/>
          <w:lang w:val="en-KW"/>
        </w:rPr>
        <w:t> (Accessed: 3 July 2026).</w:t>
      </w:r>
    </w:p>
    <w:p w14:paraId="7ED40DE4" w14:textId="77777777" w:rsidR="009F4CB6" w:rsidRPr="00E772C1" w:rsidRDefault="009F4CB6" w:rsidP="00E772C1">
      <w:pPr>
        <w:spacing w:line="360" w:lineRule="auto"/>
        <w:jc w:val="both"/>
        <w:rPr>
          <w:color w:val="000000" w:themeColor="text1"/>
        </w:rPr>
      </w:pPr>
    </w:p>
    <w:sectPr w:rsidR="009F4CB6" w:rsidRPr="00E772C1" w:rsidSect="00457659">
      <w:footerReference w:type="default" r:id="rId3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F4ABE" w14:textId="77777777" w:rsidR="008018D5" w:rsidRDefault="008018D5" w:rsidP="00457659">
      <w:pPr>
        <w:spacing w:after="0" w:line="240" w:lineRule="auto"/>
      </w:pPr>
      <w:r>
        <w:separator/>
      </w:r>
    </w:p>
  </w:endnote>
  <w:endnote w:type="continuationSeparator" w:id="0">
    <w:p w14:paraId="7AFD4B1A" w14:textId="77777777" w:rsidR="008018D5" w:rsidRDefault="008018D5" w:rsidP="00457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Liberation Mono">
    <w:altName w:val="Courier New"/>
    <w:panose1 w:val="020B0604020202020204"/>
    <w:charset w:val="01"/>
    <w:family w:val="modern"/>
    <w:pitch w:val="fixed"/>
  </w:font>
  <w:font w:name="Noto Sans Mono CJK SC">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FE96E5" w14:textId="18B53DEF" w:rsidR="00457659" w:rsidRDefault="00457659">
    <w:pPr>
      <w:pStyle w:val="Footer"/>
    </w:pPr>
    <w:r>
      <w:rPr>
        <w:noProof/>
        <w:color w:val="4F81BD" w:themeColor="accent1"/>
        <w:lang w:eastAsia="zh-CN"/>
      </w:rPr>
      <mc:AlternateContent>
        <mc:Choice Requires="wps">
          <w:drawing>
            <wp:anchor distT="0" distB="0" distL="114300" distR="114300" simplePos="0" relativeHeight="251659264" behindDoc="0" locked="0" layoutInCell="1" allowOverlap="1" wp14:anchorId="7C15C533" wp14:editId="6A3B2B63">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6CF27A"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hAnsiTheme="minorHAnsi"/>
        <w:color w:val="4F81BD" w:themeColor="accent1"/>
        <w:sz w:val="20"/>
        <w:szCs w:val="20"/>
      </w:rPr>
      <w:fldChar w:fldCharType="begin"/>
    </w:r>
    <w:r>
      <w:rPr>
        <w:color w:val="4F81BD" w:themeColor="accent1"/>
        <w:sz w:val="20"/>
        <w:szCs w:val="20"/>
      </w:rPr>
      <w:instrText xml:space="preserve"> PAGE    \* MERGEFORMAT </w:instrText>
    </w:r>
    <w:r>
      <w:rPr>
        <w:rFonts w:asciiTheme="minorHAnsi" w:hAnsiTheme="minorHAns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DC30E" w14:textId="77777777" w:rsidR="008018D5" w:rsidRDefault="008018D5" w:rsidP="00457659">
      <w:pPr>
        <w:spacing w:after="0" w:line="240" w:lineRule="auto"/>
      </w:pPr>
      <w:r>
        <w:separator/>
      </w:r>
    </w:p>
  </w:footnote>
  <w:footnote w:type="continuationSeparator" w:id="0">
    <w:p w14:paraId="240322D9" w14:textId="77777777" w:rsidR="008018D5" w:rsidRDefault="008018D5" w:rsidP="004576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04D75"/>
    <w:multiLevelType w:val="hybridMultilevel"/>
    <w:tmpl w:val="A9360BE6"/>
    <w:lvl w:ilvl="0" w:tplc="CD408ADC">
      <w:start w:val="1"/>
      <w:numFmt w:val="bullet"/>
      <w:lvlText w:val="•"/>
      <w:lvlJc w:val="left"/>
      <w:pPr>
        <w:tabs>
          <w:tab w:val="num" w:pos="720"/>
        </w:tabs>
        <w:ind w:left="720" w:hanging="360"/>
      </w:pPr>
      <w:rPr>
        <w:rFonts w:ascii="Arial" w:hAnsi="Arial" w:hint="default"/>
      </w:rPr>
    </w:lvl>
    <w:lvl w:ilvl="1" w:tplc="A3F6BB5C" w:tentative="1">
      <w:start w:val="1"/>
      <w:numFmt w:val="bullet"/>
      <w:lvlText w:val="•"/>
      <w:lvlJc w:val="left"/>
      <w:pPr>
        <w:tabs>
          <w:tab w:val="num" w:pos="1440"/>
        </w:tabs>
        <w:ind w:left="1440" w:hanging="360"/>
      </w:pPr>
      <w:rPr>
        <w:rFonts w:ascii="Arial" w:hAnsi="Arial" w:hint="default"/>
      </w:rPr>
    </w:lvl>
    <w:lvl w:ilvl="2" w:tplc="699E5242" w:tentative="1">
      <w:start w:val="1"/>
      <w:numFmt w:val="bullet"/>
      <w:lvlText w:val="•"/>
      <w:lvlJc w:val="left"/>
      <w:pPr>
        <w:tabs>
          <w:tab w:val="num" w:pos="2160"/>
        </w:tabs>
        <w:ind w:left="2160" w:hanging="360"/>
      </w:pPr>
      <w:rPr>
        <w:rFonts w:ascii="Arial" w:hAnsi="Arial" w:hint="default"/>
      </w:rPr>
    </w:lvl>
    <w:lvl w:ilvl="3" w:tplc="0DFE4FC8" w:tentative="1">
      <w:start w:val="1"/>
      <w:numFmt w:val="bullet"/>
      <w:lvlText w:val="•"/>
      <w:lvlJc w:val="left"/>
      <w:pPr>
        <w:tabs>
          <w:tab w:val="num" w:pos="2880"/>
        </w:tabs>
        <w:ind w:left="2880" w:hanging="360"/>
      </w:pPr>
      <w:rPr>
        <w:rFonts w:ascii="Arial" w:hAnsi="Arial" w:hint="default"/>
      </w:rPr>
    </w:lvl>
    <w:lvl w:ilvl="4" w:tplc="2BBAC83C" w:tentative="1">
      <w:start w:val="1"/>
      <w:numFmt w:val="bullet"/>
      <w:lvlText w:val="•"/>
      <w:lvlJc w:val="left"/>
      <w:pPr>
        <w:tabs>
          <w:tab w:val="num" w:pos="3600"/>
        </w:tabs>
        <w:ind w:left="3600" w:hanging="360"/>
      </w:pPr>
      <w:rPr>
        <w:rFonts w:ascii="Arial" w:hAnsi="Arial" w:hint="default"/>
      </w:rPr>
    </w:lvl>
    <w:lvl w:ilvl="5" w:tplc="417A3CD4" w:tentative="1">
      <w:start w:val="1"/>
      <w:numFmt w:val="bullet"/>
      <w:lvlText w:val="•"/>
      <w:lvlJc w:val="left"/>
      <w:pPr>
        <w:tabs>
          <w:tab w:val="num" w:pos="4320"/>
        </w:tabs>
        <w:ind w:left="4320" w:hanging="360"/>
      </w:pPr>
      <w:rPr>
        <w:rFonts w:ascii="Arial" w:hAnsi="Arial" w:hint="default"/>
      </w:rPr>
    </w:lvl>
    <w:lvl w:ilvl="6" w:tplc="1B247322" w:tentative="1">
      <w:start w:val="1"/>
      <w:numFmt w:val="bullet"/>
      <w:lvlText w:val="•"/>
      <w:lvlJc w:val="left"/>
      <w:pPr>
        <w:tabs>
          <w:tab w:val="num" w:pos="5040"/>
        </w:tabs>
        <w:ind w:left="5040" w:hanging="360"/>
      </w:pPr>
      <w:rPr>
        <w:rFonts w:ascii="Arial" w:hAnsi="Arial" w:hint="default"/>
      </w:rPr>
    </w:lvl>
    <w:lvl w:ilvl="7" w:tplc="4BAC80D2" w:tentative="1">
      <w:start w:val="1"/>
      <w:numFmt w:val="bullet"/>
      <w:lvlText w:val="•"/>
      <w:lvlJc w:val="left"/>
      <w:pPr>
        <w:tabs>
          <w:tab w:val="num" w:pos="5760"/>
        </w:tabs>
        <w:ind w:left="5760" w:hanging="360"/>
      </w:pPr>
      <w:rPr>
        <w:rFonts w:ascii="Arial" w:hAnsi="Arial" w:hint="default"/>
      </w:rPr>
    </w:lvl>
    <w:lvl w:ilvl="8" w:tplc="69AEA88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B21A3A"/>
    <w:multiLevelType w:val="multilevel"/>
    <w:tmpl w:val="A7A4A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EC121C"/>
    <w:multiLevelType w:val="hybridMultilevel"/>
    <w:tmpl w:val="D218805E"/>
    <w:lvl w:ilvl="0" w:tplc="1E18DF60">
      <w:start w:val="1"/>
      <w:numFmt w:val="bullet"/>
      <w:lvlText w:val="•"/>
      <w:lvlJc w:val="left"/>
      <w:pPr>
        <w:tabs>
          <w:tab w:val="num" w:pos="720"/>
        </w:tabs>
        <w:ind w:left="720" w:hanging="360"/>
      </w:pPr>
      <w:rPr>
        <w:rFonts w:ascii="Arial" w:hAnsi="Arial" w:hint="default"/>
      </w:rPr>
    </w:lvl>
    <w:lvl w:ilvl="1" w:tplc="05BC625E" w:tentative="1">
      <w:start w:val="1"/>
      <w:numFmt w:val="bullet"/>
      <w:lvlText w:val="•"/>
      <w:lvlJc w:val="left"/>
      <w:pPr>
        <w:tabs>
          <w:tab w:val="num" w:pos="1440"/>
        </w:tabs>
        <w:ind w:left="1440" w:hanging="360"/>
      </w:pPr>
      <w:rPr>
        <w:rFonts w:ascii="Arial" w:hAnsi="Arial" w:hint="default"/>
      </w:rPr>
    </w:lvl>
    <w:lvl w:ilvl="2" w:tplc="2064286E" w:tentative="1">
      <w:start w:val="1"/>
      <w:numFmt w:val="bullet"/>
      <w:lvlText w:val="•"/>
      <w:lvlJc w:val="left"/>
      <w:pPr>
        <w:tabs>
          <w:tab w:val="num" w:pos="2160"/>
        </w:tabs>
        <w:ind w:left="2160" w:hanging="360"/>
      </w:pPr>
      <w:rPr>
        <w:rFonts w:ascii="Arial" w:hAnsi="Arial" w:hint="default"/>
      </w:rPr>
    </w:lvl>
    <w:lvl w:ilvl="3" w:tplc="8988A4E6" w:tentative="1">
      <w:start w:val="1"/>
      <w:numFmt w:val="bullet"/>
      <w:lvlText w:val="•"/>
      <w:lvlJc w:val="left"/>
      <w:pPr>
        <w:tabs>
          <w:tab w:val="num" w:pos="2880"/>
        </w:tabs>
        <w:ind w:left="2880" w:hanging="360"/>
      </w:pPr>
      <w:rPr>
        <w:rFonts w:ascii="Arial" w:hAnsi="Arial" w:hint="default"/>
      </w:rPr>
    </w:lvl>
    <w:lvl w:ilvl="4" w:tplc="9AA414F0" w:tentative="1">
      <w:start w:val="1"/>
      <w:numFmt w:val="bullet"/>
      <w:lvlText w:val="•"/>
      <w:lvlJc w:val="left"/>
      <w:pPr>
        <w:tabs>
          <w:tab w:val="num" w:pos="3600"/>
        </w:tabs>
        <w:ind w:left="3600" w:hanging="360"/>
      </w:pPr>
      <w:rPr>
        <w:rFonts w:ascii="Arial" w:hAnsi="Arial" w:hint="default"/>
      </w:rPr>
    </w:lvl>
    <w:lvl w:ilvl="5" w:tplc="85DE1AA4" w:tentative="1">
      <w:start w:val="1"/>
      <w:numFmt w:val="bullet"/>
      <w:lvlText w:val="•"/>
      <w:lvlJc w:val="left"/>
      <w:pPr>
        <w:tabs>
          <w:tab w:val="num" w:pos="4320"/>
        </w:tabs>
        <w:ind w:left="4320" w:hanging="360"/>
      </w:pPr>
      <w:rPr>
        <w:rFonts w:ascii="Arial" w:hAnsi="Arial" w:hint="default"/>
      </w:rPr>
    </w:lvl>
    <w:lvl w:ilvl="6" w:tplc="8D7E8DFE" w:tentative="1">
      <w:start w:val="1"/>
      <w:numFmt w:val="bullet"/>
      <w:lvlText w:val="•"/>
      <w:lvlJc w:val="left"/>
      <w:pPr>
        <w:tabs>
          <w:tab w:val="num" w:pos="5040"/>
        </w:tabs>
        <w:ind w:left="5040" w:hanging="360"/>
      </w:pPr>
      <w:rPr>
        <w:rFonts w:ascii="Arial" w:hAnsi="Arial" w:hint="default"/>
      </w:rPr>
    </w:lvl>
    <w:lvl w:ilvl="7" w:tplc="C1BAA856" w:tentative="1">
      <w:start w:val="1"/>
      <w:numFmt w:val="bullet"/>
      <w:lvlText w:val="•"/>
      <w:lvlJc w:val="left"/>
      <w:pPr>
        <w:tabs>
          <w:tab w:val="num" w:pos="5760"/>
        </w:tabs>
        <w:ind w:left="5760" w:hanging="360"/>
      </w:pPr>
      <w:rPr>
        <w:rFonts w:ascii="Arial" w:hAnsi="Arial" w:hint="default"/>
      </w:rPr>
    </w:lvl>
    <w:lvl w:ilvl="8" w:tplc="74C8AAA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0203C64"/>
    <w:multiLevelType w:val="hybridMultilevel"/>
    <w:tmpl w:val="3118CAB0"/>
    <w:lvl w:ilvl="0" w:tplc="4788BED8">
      <w:start w:val="1"/>
      <w:numFmt w:val="bullet"/>
      <w:lvlText w:val="•"/>
      <w:lvlJc w:val="left"/>
      <w:pPr>
        <w:tabs>
          <w:tab w:val="num" w:pos="720"/>
        </w:tabs>
        <w:ind w:left="720" w:hanging="360"/>
      </w:pPr>
      <w:rPr>
        <w:rFonts w:ascii="Arial" w:hAnsi="Arial" w:hint="default"/>
      </w:rPr>
    </w:lvl>
    <w:lvl w:ilvl="1" w:tplc="FD041744" w:tentative="1">
      <w:start w:val="1"/>
      <w:numFmt w:val="bullet"/>
      <w:lvlText w:val="•"/>
      <w:lvlJc w:val="left"/>
      <w:pPr>
        <w:tabs>
          <w:tab w:val="num" w:pos="1440"/>
        </w:tabs>
        <w:ind w:left="1440" w:hanging="360"/>
      </w:pPr>
      <w:rPr>
        <w:rFonts w:ascii="Arial" w:hAnsi="Arial" w:hint="default"/>
      </w:rPr>
    </w:lvl>
    <w:lvl w:ilvl="2" w:tplc="F8AC756C" w:tentative="1">
      <w:start w:val="1"/>
      <w:numFmt w:val="bullet"/>
      <w:lvlText w:val="•"/>
      <w:lvlJc w:val="left"/>
      <w:pPr>
        <w:tabs>
          <w:tab w:val="num" w:pos="2160"/>
        </w:tabs>
        <w:ind w:left="2160" w:hanging="360"/>
      </w:pPr>
      <w:rPr>
        <w:rFonts w:ascii="Arial" w:hAnsi="Arial" w:hint="default"/>
      </w:rPr>
    </w:lvl>
    <w:lvl w:ilvl="3" w:tplc="3488C982" w:tentative="1">
      <w:start w:val="1"/>
      <w:numFmt w:val="bullet"/>
      <w:lvlText w:val="•"/>
      <w:lvlJc w:val="left"/>
      <w:pPr>
        <w:tabs>
          <w:tab w:val="num" w:pos="2880"/>
        </w:tabs>
        <w:ind w:left="2880" w:hanging="360"/>
      </w:pPr>
      <w:rPr>
        <w:rFonts w:ascii="Arial" w:hAnsi="Arial" w:hint="default"/>
      </w:rPr>
    </w:lvl>
    <w:lvl w:ilvl="4" w:tplc="1F821D56" w:tentative="1">
      <w:start w:val="1"/>
      <w:numFmt w:val="bullet"/>
      <w:lvlText w:val="•"/>
      <w:lvlJc w:val="left"/>
      <w:pPr>
        <w:tabs>
          <w:tab w:val="num" w:pos="3600"/>
        </w:tabs>
        <w:ind w:left="3600" w:hanging="360"/>
      </w:pPr>
      <w:rPr>
        <w:rFonts w:ascii="Arial" w:hAnsi="Arial" w:hint="default"/>
      </w:rPr>
    </w:lvl>
    <w:lvl w:ilvl="5" w:tplc="BE5ECD9A" w:tentative="1">
      <w:start w:val="1"/>
      <w:numFmt w:val="bullet"/>
      <w:lvlText w:val="•"/>
      <w:lvlJc w:val="left"/>
      <w:pPr>
        <w:tabs>
          <w:tab w:val="num" w:pos="4320"/>
        </w:tabs>
        <w:ind w:left="4320" w:hanging="360"/>
      </w:pPr>
      <w:rPr>
        <w:rFonts w:ascii="Arial" w:hAnsi="Arial" w:hint="default"/>
      </w:rPr>
    </w:lvl>
    <w:lvl w:ilvl="6" w:tplc="1E8C5F08" w:tentative="1">
      <w:start w:val="1"/>
      <w:numFmt w:val="bullet"/>
      <w:lvlText w:val="•"/>
      <w:lvlJc w:val="left"/>
      <w:pPr>
        <w:tabs>
          <w:tab w:val="num" w:pos="5040"/>
        </w:tabs>
        <w:ind w:left="5040" w:hanging="360"/>
      </w:pPr>
      <w:rPr>
        <w:rFonts w:ascii="Arial" w:hAnsi="Arial" w:hint="default"/>
      </w:rPr>
    </w:lvl>
    <w:lvl w:ilvl="7" w:tplc="0980D14E" w:tentative="1">
      <w:start w:val="1"/>
      <w:numFmt w:val="bullet"/>
      <w:lvlText w:val="•"/>
      <w:lvlJc w:val="left"/>
      <w:pPr>
        <w:tabs>
          <w:tab w:val="num" w:pos="5760"/>
        </w:tabs>
        <w:ind w:left="5760" w:hanging="360"/>
      </w:pPr>
      <w:rPr>
        <w:rFonts w:ascii="Arial" w:hAnsi="Arial" w:hint="default"/>
      </w:rPr>
    </w:lvl>
    <w:lvl w:ilvl="8" w:tplc="26DAF0B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31F456E"/>
    <w:multiLevelType w:val="multilevel"/>
    <w:tmpl w:val="8E7EE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7919703">
    <w:abstractNumId w:val="8"/>
  </w:num>
  <w:num w:numId="2" w16cid:durableId="865603525">
    <w:abstractNumId w:val="6"/>
  </w:num>
  <w:num w:numId="3" w16cid:durableId="209727650">
    <w:abstractNumId w:val="5"/>
  </w:num>
  <w:num w:numId="4" w16cid:durableId="1726491596">
    <w:abstractNumId w:val="4"/>
  </w:num>
  <w:num w:numId="5" w16cid:durableId="1834368034">
    <w:abstractNumId w:val="7"/>
  </w:num>
  <w:num w:numId="6" w16cid:durableId="1854345491">
    <w:abstractNumId w:val="3"/>
  </w:num>
  <w:num w:numId="7" w16cid:durableId="1116096614">
    <w:abstractNumId w:val="2"/>
  </w:num>
  <w:num w:numId="8" w16cid:durableId="1839081451">
    <w:abstractNumId w:val="1"/>
  </w:num>
  <w:num w:numId="9" w16cid:durableId="200477467">
    <w:abstractNumId w:val="0"/>
  </w:num>
  <w:num w:numId="10" w16cid:durableId="105927939">
    <w:abstractNumId w:val="13"/>
  </w:num>
  <w:num w:numId="11" w16cid:durableId="1617635070">
    <w:abstractNumId w:val="10"/>
  </w:num>
  <w:num w:numId="12" w16cid:durableId="1940871796">
    <w:abstractNumId w:val="9"/>
  </w:num>
  <w:num w:numId="13" w16cid:durableId="649986660">
    <w:abstractNumId w:val="12"/>
  </w:num>
  <w:num w:numId="14" w16cid:durableId="3711503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1072"/>
    <w:rsid w:val="0015074B"/>
    <w:rsid w:val="00167B70"/>
    <w:rsid w:val="001C58FE"/>
    <w:rsid w:val="0022202D"/>
    <w:rsid w:val="0029639D"/>
    <w:rsid w:val="0031126A"/>
    <w:rsid w:val="003210DF"/>
    <w:rsid w:val="00326F90"/>
    <w:rsid w:val="00457659"/>
    <w:rsid w:val="004625D8"/>
    <w:rsid w:val="004777EC"/>
    <w:rsid w:val="00521684"/>
    <w:rsid w:val="006026C8"/>
    <w:rsid w:val="006E55B8"/>
    <w:rsid w:val="0073758D"/>
    <w:rsid w:val="00775DFE"/>
    <w:rsid w:val="00796806"/>
    <w:rsid w:val="007D5637"/>
    <w:rsid w:val="008018D5"/>
    <w:rsid w:val="008944CE"/>
    <w:rsid w:val="008A7AD2"/>
    <w:rsid w:val="008B4AE6"/>
    <w:rsid w:val="00912DF1"/>
    <w:rsid w:val="00937C93"/>
    <w:rsid w:val="009D7C10"/>
    <w:rsid w:val="009F4CB6"/>
    <w:rsid w:val="00A42CC1"/>
    <w:rsid w:val="00AA1D8D"/>
    <w:rsid w:val="00B47730"/>
    <w:rsid w:val="00BE4B7D"/>
    <w:rsid w:val="00CB0664"/>
    <w:rsid w:val="00E12515"/>
    <w:rsid w:val="00E772C1"/>
    <w:rsid w:val="00EB6C6C"/>
    <w:rsid w:val="00FC1021"/>
    <w:rsid w:val="00FC683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045A91"/>
  <w14:defaultImageDpi w14:val="300"/>
  <w15:docId w15:val="{C4061214-7D50-2C43-A065-DF8EF617C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8B4AE6"/>
    <w:pPr>
      <w:spacing w:before="120" w:after="0"/>
    </w:pPr>
    <w:rPr>
      <w:rFonts w:asciiTheme="minorHAnsi" w:hAnsiTheme="minorHAnsi" w:cs="Times New Roman"/>
      <w:b/>
      <w:bCs/>
      <w:i/>
      <w:iCs/>
      <w:szCs w:val="28"/>
    </w:rPr>
  </w:style>
  <w:style w:type="paragraph" w:styleId="TOC2">
    <w:name w:val="toc 2"/>
    <w:basedOn w:val="Normal"/>
    <w:next w:val="Normal"/>
    <w:autoRedefine/>
    <w:uiPriority w:val="39"/>
    <w:unhideWhenUsed/>
    <w:rsid w:val="008B4AE6"/>
    <w:pPr>
      <w:spacing w:before="120" w:after="0"/>
      <w:ind w:left="240"/>
    </w:pPr>
    <w:rPr>
      <w:rFonts w:asciiTheme="minorHAnsi" w:hAnsiTheme="minorHAnsi" w:cs="Times New Roman"/>
      <w:b/>
      <w:bCs/>
      <w:sz w:val="22"/>
      <w:szCs w:val="26"/>
    </w:rPr>
  </w:style>
  <w:style w:type="paragraph" w:styleId="TOC3">
    <w:name w:val="toc 3"/>
    <w:basedOn w:val="Normal"/>
    <w:next w:val="Normal"/>
    <w:autoRedefine/>
    <w:uiPriority w:val="39"/>
    <w:unhideWhenUsed/>
    <w:rsid w:val="008B4AE6"/>
    <w:pPr>
      <w:spacing w:after="0"/>
      <w:ind w:left="480"/>
    </w:pPr>
    <w:rPr>
      <w:rFonts w:asciiTheme="minorHAnsi" w:hAnsiTheme="minorHAnsi" w:cs="Times New Roman"/>
      <w:sz w:val="20"/>
      <w:szCs w:val="24"/>
    </w:rPr>
  </w:style>
  <w:style w:type="character" w:styleId="Hyperlink">
    <w:name w:val="Hyperlink"/>
    <w:basedOn w:val="DefaultParagraphFont"/>
    <w:uiPriority w:val="99"/>
    <w:unhideWhenUsed/>
    <w:rsid w:val="008B4AE6"/>
    <w:rPr>
      <w:color w:val="0000FF" w:themeColor="hyperlink"/>
      <w:u w:val="single"/>
    </w:rPr>
  </w:style>
  <w:style w:type="paragraph" w:styleId="TOC4">
    <w:name w:val="toc 4"/>
    <w:basedOn w:val="Normal"/>
    <w:next w:val="Normal"/>
    <w:autoRedefine/>
    <w:uiPriority w:val="39"/>
    <w:semiHidden/>
    <w:unhideWhenUsed/>
    <w:rsid w:val="008B4AE6"/>
    <w:pPr>
      <w:spacing w:after="0"/>
      <w:ind w:left="72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8B4AE6"/>
    <w:pPr>
      <w:spacing w:after="0"/>
      <w:ind w:left="96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8B4AE6"/>
    <w:pPr>
      <w:spacing w:after="0"/>
      <w:ind w:left="12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8B4AE6"/>
    <w:pPr>
      <w:spacing w:after="0"/>
      <w:ind w:left="144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8B4AE6"/>
    <w:pPr>
      <w:spacing w:after="0"/>
      <w:ind w:left="168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8B4AE6"/>
    <w:pPr>
      <w:spacing w:after="0"/>
      <w:ind w:left="1920"/>
    </w:pPr>
    <w:rPr>
      <w:rFonts w:asciiTheme="minorHAnsi" w:hAnsiTheme="minorHAnsi" w:cs="Times New Roman"/>
      <w:sz w:val="20"/>
      <w:szCs w:val="24"/>
    </w:rPr>
  </w:style>
  <w:style w:type="paragraph" w:customStyle="1" w:styleId="PreformattedText">
    <w:name w:val="Preformatted Text"/>
    <w:basedOn w:val="Normal"/>
    <w:qFormat/>
    <w:rsid w:val="0022202D"/>
    <w:pPr>
      <w:widowControl w:val="0"/>
      <w:suppressAutoHyphens/>
      <w:spacing w:after="0" w:line="240" w:lineRule="auto"/>
    </w:pPr>
    <w:rPr>
      <w:rFonts w:ascii="Liberation Mono" w:eastAsia="Noto Sans Mono CJK SC" w:hAnsi="Liberation Mono" w:cs="Liberation Mono"/>
      <w:sz w:val="20"/>
      <w:szCs w:val="20"/>
      <w:lang w:eastAsia="zh-CN" w:bidi="hi-IN"/>
    </w:rPr>
  </w:style>
  <w:style w:type="character" w:styleId="UnresolvedMention">
    <w:name w:val="Unresolved Mention"/>
    <w:basedOn w:val="DefaultParagraphFont"/>
    <w:uiPriority w:val="99"/>
    <w:semiHidden/>
    <w:unhideWhenUsed/>
    <w:rsid w:val="0022202D"/>
    <w:rPr>
      <w:color w:val="605E5C"/>
      <w:shd w:val="clear" w:color="auto" w:fill="E1DFDD"/>
    </w:rPr>
  </w:style>
  <w:style w:type="table" w:customStyle="1" w:styleId="TableGrid0">
    <w:name w:val="TableGrid"/>
    <w:rsid w:val="00A42CC1"/>
    <w:pPr>
      <w:spacing w:after="0" w:line="240" w:lineRule="auto"/>
    </w:pPr>
    <w:rPr>
      <w:kern w:val="2"/>
      <w:sz w:val="24"/>
      <w:szCs w:val="24"/>
      <w:lang w:val="en-KW"/>
      <w14:ligatures w14:val="standardContextual"/>
    </w:rPr>
    <w:tblPr>
      <w:tblCellMar>
        <w:top w:w="0" w:type="dxa"/>
        <w:left w:w="0" w:type="dxa"/>
        <w:bottom w:w="0" w:type="dxa"/>
        <w:right w:w="0" w:type="dxa"/>
      </w:tblCellMar>
    </w:tblPr>
  </w:style>
  <w:style w:type="paragraph" w:styleId="NormalWeb">
    <w:name w:val="Normal (Web)"/>
    <w:basedOn w:val="Normal"/>
    <w:uiPriority w:val="99"/>
    <w:semiHidden/>
    <w:unhideWhenUsed/>
    <w:rsid w:val="008A7AD2"/>
    <w:pPr>
      <w:spacing w:before="100" w:beforeAutospacing="1" w:after="100" w:afterAutospacing="1" w:line="240" w:lineRule="auto"/>
    </w:pPr>
    <w:rPr>
      <w:rFonts w:eastAsia="Times New Roman" w:cs="Times New Roman"/>
      <w:szCs w:val="24"/>
      <w:lang w:val="en-KW"/>
    </w:rPr>
  </w:style>
  <w:style w:type="paragraph" w:customStyle="1" w:styleId="pdq2pgselectionanchorcontainer">
    <w:name w:val="pdq2pg_selectionanchorcontainer"/>
    <w:basedOn w:val="Normal"/>
    <w:rsid w:val="00167B70"/>
    <w:pPr>
      <w:spacing w:before="100" w:beforeAutospacing="1" w:after="100" w:afterAutospacing="1" w:line="240" w:lineRule="auto"/>
    </w:pPr>
    <w:rPr>
      <w:rFonts w:eastAsia="Times New Roman" w:cs="Times New Roman"/>
      <w:szCs w:val="24"/>
      <w:lang w:val="en-K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212805">
      <w:bodyDiv w:val="1"/>
      <w:marLeft w:val="0"/>
      <w:marRight w:val="0"/>
      <w:marTop w:val="0"/>
      <w:marBottom w:val="0"/>
      <w:divBdr>
        <w:top w:val="none" w:sz="0" w:space="0" w:color="auto"/>
        <w:left w:val="none" w:sz="0" w:space="0" w:color="auto"/>
        <w:bottom w:val="none" w:sz="0" w:space="0" w:color="auto"/>
        <w:right w:val="none" w:sz="0" w:space="0" w:color="auto"/>
      </w:divBdr>
    </w:div>
    <w:div w:id="95906961">
      <w:bodyDiv w:val="1"/>
      <w:marLeft w:val="0"/>
      <w:marRight w:val="0"/>
      <w:marTop w:val="0"/>
      <w:marBottom w:val="0"/>
      <w:divBdr>
        <w:top w:val="none" w:sz="0" w:space="0" w:color="auto"/>
        <w:left w:val="none" w:sz="0" w:space="0" w:color="auto"/>
        <w:bottom w:val="none" w:sz="0" w:space="0" w:color="auto"/>
        <w:right w:val="none" w:sz="0" w:space="0" w:color="auto"/>
      </w:divBdr>
    </w:div>
    <w:div w:id="109975330">
      <w:bodyDiv w:val="1"/>
      <w:marLeft w:val="0"/>
      <w:marRight w:val="0"/>
      <w:marTop w:val="0"/>
      <w:marBottom w:val="0"/>
      <w:divBdr>
        <w:top w:val="none" w:sz="0" w:space="0" w:color="auto"/>
        <w:left w:val="none" w:sz="0" w:space="0" w:color="auto"/>
        <w:bottom w:val="none" w:sz="0" w:space="0" w:color="auto"/>
        <w:right w:val="none" w:sz="0" w:space="0" w:color="auto"/>
      </w:divBdr>
    </w:div>
    <w:div w:id="119764265">
      <w:bodyDiv w:val="1"/>
      <w:marLeft w:val="0"/>
      <w:marRight w:val="0"/>
      <w:marTop w:val="0"/>
      <w:marBottom w:val="0"/>
      <w:divBdr>
        <w:top w:val="none" w:sz="0" w:space="0" w:color="auto"/>
        <w:left w:val="none" w:sz="0" w:space="0" w:color="auto"/>
        <w:bottom w:val="none" w:sz="0" w:space="0" w:color="auto"/>
        <w:right w:val="none" w:sz="0" w:space="0" w:color="auto"/>
      </w:divBdr>
      <w:divsChild>
        <w:div w:id="129323479">
          <w:marLeft w:val="360"/>
          <w:marRight w:val="0"/>
          <w:marTop w:val="200"/>
          <w:marBottom w:val="0"/>
          <w:divBdr>
            <w:top w:val="none" w:sz="0" w:space="0" w:color="auto"/>
            <w:left w:val="none" w:sz="0" w:space="0" w:color="auto"/>
            <w:bottom w:val="none" w:sz="0" w:space="0" w:color="auto"/>
            <w:right w:val="none" w:sz="0" w:space="0" w:color="auto"/>
          </w:divBdr>
        </w:div>
        <w:div w:id="436172345">
          <w:marLeft w:val="360"/>
          <w:marRight w:val="0"/>
          <w:marTop w:val="200"/>
          <w:marBottom w:val="0"/>
          <w:divBdr>
            <w:top w:val="none" w:sz="0" w:space="0" w:color="auto"/>
            <w:left w:val="none" w:sz="0" w:space="0" w:color="auto"/>
            <w:bottom w:val="none" w:sz="0" w:space="0" w:color="auto"/>
            <w:right w:val="none" w:sz="0" w:space="0" w:color="auto"/>
          </w:divBdr>
        </w:div>
        <w:div w:id="516623158">
          <w:marLeft w:val="360"/>
          <w:marRight w:val="0"/>
          <w:marTop w:val="200"/>
          <w:marBottom w:val="0"/>
          <w:divBdr>
            <w:top w:val="none" w:sz="0" w:space="0" w:color="auto"/>
            <w:left w:val="none" w:sz="0" w:space="0" w:color="auto"/>
            <w:bottom w:val="none" w:sz="0" w:space="0" w:color="auto"/>
            <w:right w:val="none" w:sz="0" w:space="0" w:color="auto"/>
          </w:divBdr>
        </w:div>
        <w:div w:id="532305131">
          <w:marLeft w:val="360"/>
          <w:marRight w:val="0"/>
          <w:marTop w:val="200"/>
          <w:marBottom w:val="0"/>
          <w:divBdr>
            <w:top w:val="none" w:sz="0" w:space="0" w:color="auto"/>
            <w:left w:val="none" w:sz="0" w:space="0" w:color="auto"/>
            <w:bottom w:val="none" w:sz="0" w:space="0" w:color="auto"/>
            <w:right w:val="none" w:sz="0" w:space="0" w:color="auto"/>
          </w:divBdr>
        </w:div>
        <w:div w:id="1023479717">
          <w:marLeft w:val="360"/>
          <w:marRight w:val="0"/>
          <w:marTop w:val="200"/>
          <w:marBottom w:val="0"/>
          <w:divBdr>
            <w:top w:val="none" w:sz="0" w:space="0" w:color="auto"/>
            <w:left w:val="none" w:sz="0" w:space="0" w:color="auto"/>
            <w:bottom w:val="none" w:sz="0" w:space="0" w:color="auto"/>
            <w:right w:val="none" w:sz="0" w:space="0" w:color="auto"/>
          </w:divBdr>
        </w:div>
      </w:divsChild>
    </w:div>
    <w:div w:id="275213370">
      <w:bodyDiv w:val="1"/>
      <w:marLeft w:val="0"/>
      <w:marRight w:val="0"/>
      <w:marTop w:val="0"/>
      <w:marBottom w:val="0"/>
      <w:divBdr>
        <w:top w:val="none" w:sz="0" w:space="0" w:color="auto"/>
        <w:left w:val="none" w:sz="0" w:space="0" w:color="auto"/>
        <w:bottom w:val="none" w:sz="0" w:space="0" w:color="auto"/>
        <w:right w:val="none" w:sz="0" w:space="0" w:color="auto"/>
      </w:divBdr>
    </w:div>
    <w:div w:id="280915178">
      <w:bodyDiv w:val="1"/>
      <w:marLeft w:val="0"/>
      <w:marRight w:val="0"/>
      <w:marTop w:val="0"/>
      <w:marBottom w:val="0"/>
      <w:divBdr>
        <w:top w:val="none" w:sz="0" w:space="0" w:color="auto"/>
        <w:left w:val="none" w:sz="0" w:space="0" w:color="auto"/>
        <w:bottom w:val="none" w:sz="0" w:space="0" w:color="auto"/>
        <w:right w:val="none" w:sz="0" w:space="0" w:color="auto"/>
      </w:divBdr>
    </w:div>
    <w:div w:id="415829835">
      <w:bodyDiv w:val="1"/>
      <w:marLeft w:val="0"/>
      <w:marRight w:val="0"/>
      <w:marTop w:val="0"/>
      <w:marBottom w:val="0"/>
      <w:divBdr>
        <w:top w:val="none" w:sz="0" w:space="0" w:color="auto"/>
        <w:left w:val="none" w:sz="0" w:space="0" w:color="auto"/>
        <w:bottom w:val="none" w:sz="0" w:space="0" w:color="auto"/>
        <w:right w:val="none" w:sz="0" w:space="0" w:color="auto"/>
      </w:divBdr>
    </w:div>
    <w:div w:id="528643592">
      <w:bodyDiv w:val="1"/>
      <w:marLeft w:val="0"/>
      <w:marRight w:val="0"/>
      <w:marTop w:val="0"/>
      <w:marBottom w:val="0"/>
      <w:divBdr>
        <w:top w:val="none" w:sz="0" w:space="0" w:color="auto"/>
        <w:left w:val="none" w:sz="0" w:space="0" w:color="auto"/>
        <w:bottom w:val="none" w:sz="0" w:space="0" w:color="auto"/>
        <w:right w:val="none" w:sz="0" w:space="0" w:color="auto"/>
      </w:divBdr>
    </w:div>
    <w:div w:id="575015285">
      <w:bodyDiv w:val="1"/>
      <w:marLeft w:val="0"/>
      <w:marRight w:val="0"/>
      <w:marTop w:val="0"/>
      <w:marBottom w:val="0"/>
      <w:divBdr>
        <w:top w:val="none" w:sz="0" w:space="0" w:color="auto"/>
        <w:left w:val="none" w:sz="0" w:space="0" w:color="auto"/>
        <w:bottom w:val="none" w:sz="0" w:space="0" w:color="auto"/>
        <w:right w:val="none" w:sz="0" w:space="0" w:color="auto"/>
      </w:divBdr>
      <w:divsChild>
        <w:div w:id="252130777">
          <w:marLeft w:val="360"/>
          <w:marRight w:val="0"/>
          <w:marTop w:val="200"/>
          <w:marBottom w:val="0"/>
          <w:divBdr>
            <w:top w:val="none" w:sz="0" w:space="0" w:color="auto"/>
            <w:left w:val="none" w:sz="0" w:space="0" w:color="auto"/>
            <w:bottom w:val="none" w:sz="0" w:space="0" w:color="auto"/>
            <w:right w:val="none" w:sz="0" w:space="0" w:color="auto"/>
          </w:divBdr>
        </w:div>
        <w:div w:id="529998925">
          <w:marLeft w:val="360"/>
          <w:marRight w:val="0"/>
          <w:marTop w:val="200"/>
          <w:marBottom w:val="0"/>
          <w:divBdr>
            <w:top w:val="none" w:sz="0" w:space="0" w:color="auto"/>
            <w:left w:val="none" w:sz="0" w:space="0" w:color="auto"/>
            <w:bottom w:val="none" w:sz="0" w:space="0" w:color="auto"/>
            <w:right w:val="none" w:sz="0" w:space="0" w:color="auto"/>
          </w:divBdr>
        </w:div>
        <w:div w:id="1003437378">
          <w:marLeft w:val="360"/>
          <w:marRight w:val="0"/>
          <w:marTop w:val="200"/>
          <w:marBottom w:val="0"/>
          <w:divBdr>
            <w:top w:val="none" w:sz="0" w:space="0" w:color="auto"/>
            <w:left w:val="none" w:sz="0" w:space="0" w:color="auto"/>
            <w:bottom w:val="none" w:sz="0" w:space="0" w:color="auto"/>
            <w:right w:val="none" w:sz="0" w:space="0" w:color="auto"/>
          </w:divBdr>
        </w:div>
        <w:div w:id="1161383293">
          <w:marLeft w:val="360"/>
          <w:marRight w:val="0"/>
          <w:marTop w:val="200"/>
          <w:marBottom w:val="0"/>
          <w:divBdr>
            <w:top w:val="none" w:sz="0" w:space="0" w:color="auto"/>
            <w:left w:val="none" w:sz="0" w:space="0" w:color="auto"/>
            <w:bottom w:val="none" w:sz="0" w:space="0" w:color="auto"/>
            <w:right w:val="none" w:sz="0" w:space="0" w:color="auto"/>
          </w:divBdr>
        </w:div>
        <w:div w:id="1220172268">
          <w:marLeft w:val="360"/>
          <w:marRight w:val="0"/>
          <w:marTop w:val="200"/>
          <w:marBottom w:val="0"/>
          <w:divBdr>
            <w:top w:val="none" w:sz="0" w:space="0" w:color="auto"/>
            <w:left w:val="none" w:sz="0" w:space="0" w:color="auto"/>
            <w:bottom w:val="none" w:sz="0" w:space="0" w:color="auto"/>
            <w:right w:val="none" w:sz="0" w:space="0" w:color="auto"/>
          </w:divBdr>
        </w:div>
        <w:div w:id="1403061505">
          <w:marLeft w:val="360"/>
          <w:marRight w:val="0"/>
          <w:marTop w:val="200"/>
          <w:marBottom w:val="0"/>
          <w:divBdr>
            <w:top w:val="none" w:sz="0" w:space="0" w:color="auto"/>
            <w:left w:val="none" w:sz="0" w:space="0" w:color="auto"/>
            <w:bottom w:val="none" w:sz="0" w:space="0" w:color="auto"/>
            <w:right w:val="none" w:sz="0" w:space="0" w:color="auto"/>
          </w:divBdr>
        </w:div>
      </w:divsChild>
    </w:div>
    <w:div w:id="760179740">
      <w:bodyDiv w:val="1"/>
      <w:marLeft w:val="0"/>
      <w:marRight w:val="0"/>
      <w:marTop w:val="0"/>
      <w:marBottom w:val="0"/>
      <w:divBdr>
        <w:top w:val="none" w:sz="0" w:space="0" w:color="auto"/>
        <w:left w:val="none" w:sz="0" w:space="0" w:color="auto"/>
        <w:bottom w:val="none" w:sz="0" w:space="0" w:color="auto"/>
        <w:right w:val="none" w:sz="0" w:space="0" w:color="auto"/>
      </w:divBdr>
    </w:div>
    <w:div w:id="838613800">
      <w:bodyDiv w:val="1"/>
      <w:marLeft w:val="0"/>
      <w:marRight w:val="0"/>
      <w:marTop w:val="0"/>
      <w:marBottom w:val="0"/>
      <w:divBdr>
        <w:top w:val="none" w:sz="0" w:space="0" w:color="auto"/>
        <w:left w:val="none" w:sz="0" w:space="0" w:color="auto"/>
        <w:bottom w:val="none" w:sz="0" w:space="0" w:color="auto"/>
        <w:right w:val="none" w:sz="0" w:space="0" w:color="auto"/>
      </w:divBdr>
    </w:div>
    <w:div w:id="946738833">
      <w:bodyDiv w:val="1"/>
      <w:marLeft w:val="0"/>
      <w:marRight w:val="0"/>
      <w:marTop w:val="0"/>
      <w:marBottom w:val="0"/>
      <w:divBdr>
        <w:top w:val="none" w:sz="0" w:space="0" w:color="auto"/>
        <w:left w:val="none" w:sz="0" w:space="0" w:color="auto"/>
        <w:bottom w:val="none" w:sz="0" w:space="0" w:color="auto"/>
        <w:right w:val="none" w:sz="0" w:space="0" w:color="auto"/>
      </w:divBdr>
    </w:div>
    <w:div w:id="1078672096">
      <w:bodyDiv w:val="1"/>
      <w:marLeft w:val="0"/>
      <w:marRight w:val="0"/>
      <w:marTop w:val="0"/>
      <w:marBottom w:val="0"/>
      <w:divBdr>
        <w:top w:val="none" w:sz="0" w:space="0" w:color="auto"/>
        <w:left w:val="none" w:sz="0" w:space="0" w:color="auto"/>
        <w:bottom w:val="none" w:sz="0" w:space="0" w:color="auto"/>
        <w:right w:val="none" w:sz="0" w:space="0" w:color="auto"/>
      </w:divBdr>
    </w:div>
    <w:div w:id="1088772558">
      <w:bodyDiv w:val="1"/>
      <w:marLeft w:val="0"/>
      <w:marRight w:val="0"/>
      <w:marTop w:val="0"/>
      <w:marBottom w:val="0"/>
      <w:divBdr>
        <w:top w:val="none" w:sz="0" w:space="0" w:color="auto"/>
        <w:left w:val="none" w:sz="0" w:space="0" w:color="auto"/>
        <w:bottom w:val="none" w:sz="0" w:space="0" w:color="auto"/>
        <w:right w:val="none" w:sz="0" w:space="0" w:color="auto"/>
      </w:divBdr>
      <w:divsChild>
        <w:div w:id="86930862">
          <w:marLeft w:val="360"/>
          <w:marRight w:val="0"/>
          <w:marTop w:val="200"/>
          <w:marBottom w:val="0"/>
          <w:divBdr>
            <w:top w:val="none" w:sz="0" w:space="0" w:color="auto"/>
            <w:left w:val="none" w:sz="0" w:space="0" w:color="auto"/>
            <w:bottom w:val="none" w:sz="0" w:space="0" w:color="auto"/>
            <w:right w:val="none" w:sz="0" w:space="0" w:color="auto"/>
          </w:divBdr>
        </w:div>
        <w:div w:id="618072680">
          <w:marLeft w:val="360"/>
          <w:marRight w:val="0"/>
          <w:marTop w:val="200"/>
          <w:marBottom w:val="0"/>
          <w:divBdr>
            <w:top w:val="none" w:sz="0" w:space="0" w:color="auto"/>
            <w:left w:val="none" w:sz="0" w:space="0" w:color="auto"/>
            <w:bottom w:val="none" w:sz="0" w:space="0" w:color="auto"/>
            <w:right w:val="none" w:sz="0" w:space="0" w:color="auto"/>
          </w:divBdr>
        </w:div>
        <w:div w:id="952901859">
          <w:marLeft w:val="360"/>
          <w:marRight w:val="0"/>
          <w:marTop w:val="200"/>
          <w:marBottom w:val="0"/>
          <w:divBdr>
            <w:top w:val="none" w:sz="0" w:space="0" w:color="auto"/>
            <w:left w:val="none" w:sz="0" w:space="0" w:color="auto"/>
            <w:bottom w:val="none" w:sz="0" w:space="0" w:color="auto"/>
            <w:right w:val="none" w:sz="0" w:space="0" w:color="auto"/>
          </w:divBdr>
        </w:div>
        <w:div w:id="1058669011">
          <w:marLeft w:val="360"/>
          <w:marRight w:val="0"/>
          <w:marTop w:val="200"/>
          <w:marBottom w:val="0"/>
          <w:divBdr>
            <w:top w:val="none" w:sz="0" w:space="0" w:color="auto"/>
            <w:left w:val="none" w:sz="0" w:space="0" w:color="auto"/>
            <w:bottom w:val="none" w:sz="0" w:space="0" w:color="auto"/>
            <w:right w:val="none" w:sz="0" w:space="0" w:color="auto"/>
          </w:divBdr>
        </w:div>
        <w:div w:id="1779057189">
          <w:marLeft w:val="360"/>
          <w:marRight w:val="0"/>
          <w:marTop w:val="200"/>
          <w:marBottom w:val="0"/>
          <w:divBdr>
            <w:top w:val="none" w:sz="0" w:space="0" w:color="auto"/>
            <w:left w:val="none" w:sz="0" w:space="0" w:color="auto"/>
            <w:bottom w:val="none" w:sz="0" w:space="0" w:color="auto"/>
            <w:right w:val="none" w:sz="0" w:space="0" w:color="auto"/>
          </w:divBdr>
        </w:div>
        <w:div w:id="1969972758">
          <w:marLeft w:val="360"/>
          <w:marRight w:val="0"/>
          <w:marTop w:val="200"/>
          <w:marBottom w:val="0"/>
          <w:divBdr>
            <w:top w:val="none" w:sz="0" w:space="0" w:color="auto"/>
            <w:left w:val="none" w:sz="0" w:space="0" w:color="auto"/>
            <w:bottom w:val="none" w:sz="0" w:space="0" w:color="auto"/>
            <w:right w:val="none" w:sz="0" w:space="0" w:color="auto"/>
          </w:divBdr>
        </w:div>
      </w:divsChild>
    </w:div>
    <w:div w:id="1133795139">
      <w:bodyDiv w:val="1"/>
      <w:marLeft w:val="0"/>
      <w:marRight w:val="0"/>
      <w:marTop w:val="0"/>
      <w:marBottom w:val="0"/>
      <w:divBdr>
        <w:top w:val="none" w:sz="0" w:space="0" w:color="auto"/>
        <w:left w:val="none" w:sz="0" w:space="0" w:color="auto"/>
        <w:bottom w:val="none" w:sz="0" w:space="0" w:color="auto"/>
        <w:right w:val="none" w:sz="0" w:space="0" w:color="auto"/>
      </w:divBdr>
    </w:div>
    <w:div w:id="1585644359">
      <w:bodyDiv w:val="1"/>
      <w:marLeft w:val="0"/>
      <w:marRight w:val="0"/>
      <w:marTop w:val="0"/>
      <w:marBottom w:val="0"/>
      <w:divBdr>
        <w:top w:val="none" w:sz="0" w:space="0" w:color="auto"/>
        <w:left w:val="none" w:sz="0" w:space="0" w:color="auto"/>
        <w:bottom w:val="none" w:sz="0" w:space="0" w:color="auto"/>
        <w:right w:val="none" w:sz="0" w:space="0" w:color="auto"/>
      </w:divBdr>
    </w:div>
    <w:div w:id="1622229772">
      <w:bodyDiv w:val="1"/>
      <w:marLeft w:val="0"/>
      <w:marRight w:val="0"/>
      <w:marTop w:val="0"/>
      <w:marBottom w:val="0"/>
      <w:divBdr>
        <w:top w:val="none" w:sz="0" w:space="0" w:color="auto"/>
        <w:left w:val="none" w:sz="0" w:space="0" w:color="auto"/>
        <w:bottom w:val="none" w:sz="0" w:space="0" w:color="auto"/>
        <w:right w:val="none" w:sz="0" w:space="0" w:color="auto"/>
      </w:divBdr>
    </w:div>
    <w:div w:id="1736316189">
      <w:bodyDiv w:val="1"/>
      <w:marLeft w:val="0"/>
      <w:marRight w:val="0"/>
      <w:marTop w:val="0"/>
      <w:marBottom w:val="0"/>
      <w:divBdr>
        <w:top w:val="none" w:sz="0" w:space="0" w:color="auto"/>
        <w:left w:val="none" w:sz="0" w:space="0" w:color="auto"/>
        <w:bottom w:val="none" w:sz="0" w:space="0" w:color="auto"/>
        <w:right w:val="none" w:sz="0" w:space="0" w:color="auto"/>
      </w:divBdr>
    </w:div>
    <w:div w:id="1766998480">
      <w:bodyDiv w:val="1"/>
      <w:marLeft w:val="0"/>
      <w:marRight w:val="0"/>
      <w:marTop w:val="0"/>
      <w:marBottom w:val="0"/>
      <w:divBdr>
        <w:top w:val="none" w:sz="0" w:space="0" w:color="auto"/>
        <w:left w:val="none" w:sz="0" w:space="0" w:color="auto"/>
        <w:bottom w:val="none" w:sz="0" w:space="0" w:color="auto"/>
        <w:right w:val="none" w:sz="0" w:space="0" w:color="auto"/>
      </w:divBdr>
    </w:div>
    <w:div w:id="21105436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healthyplaces/parks/" TargetMode="External"/><Relationship Id="rId18" Type="http://schemas.openxmlformats.org/officeDocument/2006/relationships/hyperlink" Target="https://www.interreg-central.eu/news/enhancing-stakeholder-engagement-through-the-power-interest-matrix/" TargetMode="External"/><Relationship Id="rId26" Type="http://schemas.openxmlformats.org/officeDocument/2006/relationships/hyperlink" Target="https://pressbooks.ulib.csuohio.edu/project-management-navigating-the-complexity/chapter/5-2-stakeholder-analysis/" TargetMode="External"/><Relationship Id="rId21" Type="http://schemas.openxmlformats.org/officeDocument/2006/relationships/hyperlink" Target="https://doi.org/10.2105/AJPH.2010.300104" TargetMode="External"/><Relationship Id="rId34" Type="http://schemas.openxmlformats.org/officeDocument/2006/relationships/hyperlink" Target="https://ukdataservice.ac.uk/learning-hub/research-data-management/" TargetMode="External"/><Relationship Id="rId7" Type="http://schemas.openxmlformats.org/officeDocument/2006/relationships/endnotes" Target="endnotes.xml"/><Relationship Id="rId12" Type="http://schemas.openxmlformats.org/officeDocument/2006/relationships/hyperlink" Target="https://www.atlassian.com/team-playbook/stories/stakeholder-theory" TargetMode="External"/><Relationship Id="rId17" Type="http://schemas.openxmlformats.org/officeDocument/2006/relationships/hyperlink" Target="https://doi.org/10.1111/j.1475-6773.2012.01386.x" TargetMode="External"/><Relationship Id="rId25" Type="http://schemas.openxmlformats.org/officeDocument/2006/relationships/hyperlink" Target="https://doi.org/10.2105/AJPH.2009.165720" TargetMode="External"/><Relationship Id="rId33" Type="http://schemas.openxmlformats.org/officeDocument/2006/relationships/hyperlink" Target="https://doi.org/10.2105/AJPH.2010.300113" TargetMode="External"/><Relationship Id="rId2" Type="http://schemas.openxmlformats.org/officeDocument/2006/relationships/numbering" Target="numbering.xml"/><Relationship Id="rId16" Type="http://schemas.openxmlformats.org/officeDocument/2006/relationships/hyperlink" Target="https://www.councilfire.org/guides/why-stakeholder-trust-drives-long-term-success/" TargetMode="External"/><Relationship Id="rId20" Type="http://schemas.openxmlformats.org/officeDocument/2006/relationships/hyperlink" Target="https://doi.org/10.1136/bmj.328.7455.1561" TargetMode="External"/><Relationship Id="rId29" Type="http://schemas.openxmlformats.org/officeDocument/2006/relationships/hyperlink" Target="https://www.snhu.edu/about-us/newsroom/stem/communication-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524839912473303" TargetMode="External"/><Relationship Id="rId24" Type="http://schemas.openxmlformats.org/officeDocument/2006/relationships/hyperlink" Target="https://doi.org/10.1093/phr/115.2.191" TargetMode="External"/><Relationship Id="rId32" Type="http://schemas.openxmlformats.org/officeDocument/2006/relationships/hyperlink" Target="https://doi.org/10.2105/AJPH.2011.300124"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amepre.2013.06.015" TargetMode="External"/><Relationship Id="rId23" Type="http://schemas.openxmlformats.org/officeDocument/2006/relationships/hyperlink" Target="https://doi.org/10.1123/jpah.3.s1.s208" TargetMode="External"/><Relationship Id="rId28" Type="http://schemas.openxmlformats.org/officeDocument/2006/relationships/hyperlink" Target="https://www.simplystakeholders.com/blog/stakeholder-communication-methods/"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amepre.2004.10.027" TargetMode="External"/><Relationship Id="rId31" Type="http://schemas.openxmlformats.org/officeDocument/2006/relationships/hyperlink" Target="https://doi.org/10.1016/j.ypmed.2009.01.0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ib.net/newsroom/diversity-equity-and-inclusion-in-community-engagement-activities" TargetMode="External"/><Relationship Id="rId22" Type="http://schemas.openxmlformats.org/officeDocument/2006/relationships/hyperlink" Target="https://doi.org/10.1123/jpah.9.5.731" TargetMode="External"/><Relationship Id="rId27" Type="http://schemas.openxmlformats.org/officeDocument/2006/relationships/hyperlink" Target="https://doi.org/10.1186/1471-2458-7-216" TargetMode="External"/><Relationship Id="rId30" Type="http://schemas.openxmlformats.org/officeDocument/2006/relationships/hyperlink" Target="https://doi.org/10.1353/cpr.0.0051"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C0B1B92-B315-9044-A980-D528AC292515}">
  <we:reference id="9bb7a975-b568-4b2d-9683-39fd2900118f"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3460</Words>
  <Characters>22978</Characters>
  <Application>Microsoft Office Word</Application>
  <DocSecurity>0</DocSecurity>
  <Lines>342</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26360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Butica</dc:creator>
  <cp:keywords/>
  <dc:description/>
  <cp:lastModifiedBy>Iulian Butica</cp:lastModifiedBy>
  <cp:revision>2</cp:revision>
  <dcterms:created xsi:type="dcterms:W3CDTF">2026-07-04T07:30:00Z</dcterms:created>
  <dcterms:modified xsi:type="dcterms:W3CDTF">2026-07-04T07:30:00Z</dcterms:modified>
  <cp:category/>
</cp:coreProperties>
</file>