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03B5E8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12322">
              <w:rPr>
                <w:rFonts w:ascii="Times New Roman" w:hAnsi="Times New Roman" w:cs="Times New Roman"/>
                <w:b/>
                <w:color w:val="auto"/>
                <w:sz w:val="48"/>
              </w:rPr>
              <w:t>Lloyd Pugh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894562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12322">
              <w:rPr>
                <w:rFonts w:ascii="Times New Roman" w:hAnsi="Times New Roman" w:cs="Times New Roman"/>
                <w:b/>
                <w:color w:val="auto"/>
                <w:sz w:val="48"/>
              </w:rPr>
              <w:t xml:space="preserve"> lloyd.pugh@powys.gov.uk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2181F70" w:rsidR="0085230E" w:rsidRDefault="00912322" w:rsidP="005D3F07">
            <w:pPr>
              <w:overflowPunct/>
              <w:autoSpaceDE/>
              <w:autoSpaceDN/>
              <w:adjustRightInd/>
              <w:ind w:right="-957"/>
              <w:textAlignment w:val="auto"/>
              <w:rPr>
                <w:rFonts w:ascii="Times New Roman" w:hAnsi="Times New Roman" w:cs="Times New Roman"/>
                <w:b/>
                <w:color w:val="auto"/>
                <w:sz w:val="48"/>
              </w:rPr>
            </w:pPr>
            <w:r w:rsidRPr="00912322">
              <w:rPr>
                <w:rFonts w:ascii="Times New Roman" w:hAnsi="Times New Roman" w:cs="Times New Roman"/>
                <w:b/>
                <w:color w:val="auto"/>
                <w:sz w:val="48"/>
              </w:rPr>
              <w:t>2417951</w:t>
            </w:r>
          </w:p>
          <w:p w14:paraId="3F77E11E" w14:textId="77777777" w:rsidR="00652FCA" w:rsidRPr="005D3F07" w:rsidRDefault="00652FCA"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Pr="008779B8" w:rsidRDefault="00BB7FD2" w:rsidP="00FF7EBB">
            <w:pPr>
              <w:jc w:val="both"/>
              <w:rPr>
                <w:rFonts w:asciiTheme="minorHAnsi" w:hAnsiTheme="minorHAnsi" w:cstheme="minorHAnsi"/>
                <w:sz w:val="24"/>
                <w:szCs w:val="24"/>
              </w:rPr>
            </w:pPr>
            <w:r w:rsidRPr="00B96994">
              <w:rPr>
                <w:rFonts w:asciiTheme="minorHAnsi" w:hAnsiTheme="minorHAnsi" w:cstheme="minorHAnsi"/>
                <w:sz w:val="24"/>
                <w:szCs w:val="24"/>
              </w:rPr>
              <w:t xml:space="preserve">In an area </w:t>
            </w:r>
            <w:r w:rsidRPr="00B96994">
              <w:rPr>
                <w:rFonts w:asciiTheme="minorHAnsi" w:hAnsiTheme="minorHAnsi" w:cstheme="minorHAnsi"/>
                <w:b/>
                <w:sz w:val="24"/>
                <w:szCs w:val="24"/>
              </w:rPr>
              <w:t xml:space="preserve">that is not your main focus of work </w:t>
            </w:r>
            <w:r w:rsidRPr="00B96994">
              <w:rPr>
                <w:rFonts w:asciiTheme="minorHAnsi" w:hAnsiTheme="minorHAnsi" w:cstheme="minorHAnsi"/>
                <w:sz w:val="24"/>
                <w:szCs w:val="24"/>
              </w:rPr>
              <w:t xml:space="preserve">(see guidance above), </w:t>
            </w:r>
            <w:r w:rsidR="0002440E" w:rsidRPr="00B96994">
              <w:rPr>
                <w:rFonts w:asciiTheme="minorHAnsi" w:hAnsiTheme="minorHAnsi" w:cstheme="minorHAnsi"/>
                <w:sz w:val="24"/>
                <w:szCs w:val="24"/>
              </w:rPr>
              <w:t>explain</w:t>
            </w:r>
            <w:r w:rsidR="008340BA" w:rsidRPr="00B96994">
              <w:rPr>
                <w:rFonts w:asciiTheme="minorHAnsi" w:hAnsiTheme="minorHAnsi" w:cstheme="minorHAnsi"/>
                <w:sz w:val="24"/>
                <w:szCs w:val="24"/>
              </w:rPr>
              <w:t xml:space="preserve"> </w:t>
            </w:r>
            <w:r w:rsidR="00DA22EC" w:rsidRPr="00B96994">
              <w:rPr>
                <w:rFonts w:asciiTheme="minorHAnsi" w:hAnsiTheme="minorHAnsi" w:cstheme="minorHAnsi"/>
                <w:sz w:val="24"/>
                <w:szCs w:val="24"/>
              </w:rPr>
              <w:t>the</w:t>
            </w:r>
            <w:r w:rsidR="005A545C" w:rsidRPr="00B96994">
              <w:rPr>
                <w:rFonts w:asciiTheme="minorHAnsi" w:hAnsiTheme="minorHAnsi" w:cstheme="minorHAnsi"/>
                <w:sz w:val="24"/>
                <w:szCs w:val="24"/>
              </w:rPr>
              <w:t xml:space="preserve"> relevant </w:t>
            </w:r>
            <w:r w:rsidRPr="00B96994">
              <w:rPr>
                <w:rFonts w:asciiTheme="minorHAnsi" w:hAnsiTheme="minorHAnsi" w:cstheme="minorHAnsi"/>
                <w:sz w:val="24"/>
                <w:szCs w:val="24"/>
              </w:rPr>
              <w:t xml:space="preserve">legislation, </w:t>
            </w:r>
            <w:r w:rsidR="0002440E" w:rsidRPr="008779B8">
              <w:rPr>
                <w:rFonts w:asciiTheme="minorHAnsi" w:hAnsiTheme="minorHAnsi" w:cstheme="minorHAnsi"/>
                <w:sz w:val="24"/>
                <w:szCs w:val="24"/>
              </w:rPr>
              <w:t>and</w:t>
            </w:r>
            <w:r w:rsidR="008340BA" w:rsidRPr="008779B8">
              <w:rPr>
                <w:rFonts w:asciiTheme="minorHAnsi" w:hAnsiTheme="minorHAnsi" w:cstheme="minorHAnsi"/>
                <w:sz w:val="24"/>
                <w:szCs w:val="24"/>
              </w:rPr>
              <w:t xml:space="preserve"> the </w:t>
            </w:r>
            <w:r w:rsidR="005A545C" w:rsidRPr="008779B8">
              <w:rPr>
                <w:rFonts w:asciiTheme="minorHAnsi" w:hAnsiTheme="minorHAnsi" w:cstheme="minorHAnsi"/>
                <w:sz w:val="24"/>
                <w:szCs w:val="24"/>
              </w:rPr>
              <w:t>national, local and organisational policies and procedures</w:t>
            </w:r>
            <w:r w:rsidRPr="008779B8">
              <w:rPr>
                <w:rFonts w:asciiTheme="minorHAnsi" w:hAnsiTheme="minorHAnsi" w:cstheme="minorHAnsi"/>
                <w:sz w:val="24"/>
                <w:szCs w:val="24"/>
              </w:rPr>
              <w:t xml:space="preserve"> for safeguarding. </w:t>
            </w:r>
          </w:p>
          <w:p w14:paraId="243F5BF8" w14:textId="77777777" w:rsidR="00814776" w:rsidRPr="008779B8" w:rsidRDefault="00814776" w:rsidP="00FF7EBB">
            <w:pPr>
              <w:jc w:val="both"/>
              <w:rPr>
                <w:rFonts w:asciiTheme="minorHAnsi" w:hAnsiTheme="minorHAnsi" w:cstheme="minorHAnsi"/>
                <w:sz w:val="24"/>
                <w:szCs w:val="24"/>
              </w:rPr>
            </w:pPr>
          </w:p>
          <w:p w14:paraId="4FF8EBF3" w14:textId="77777777" w:rsidR="005A545C" w:rsidRPr="008779B8" w:rsidRDefault="005414F4" w:rsidP="00FF7EBB">
            <w:pPr>
              <w:jc w:val="both"/>
              <w:rPr>
                <w:rFonts w:asciiTheme="minorHAnsi" w:hAnsiTheme="minorHAnsi" w:cstheme="minorHAnsi"/>
                <w:sz w:val="24"/>
                <w:szCs w:val="24"/>
              </w:rPr>
            </w:pPr>
            <w:r w:rsidRPr="008779B8">
              <w:rPr>
                <w:rFonts w:asciiTheme="minorHAnsi" w:hAnsiTheme="minorHAnsi" w:cstheme="minorHAnsi"/>
                <w:i/>
                <w:sz w:val="24"/>
                <w:szCs w:val="24"/>
              </w:rPr>
              <w:t>5</w:t>
            </w:r>
            <w:r w:rsidR="00DA22EC" w:rsidRPr="008779B8">
              <w:rPr>
                <w:rFonts w:asciiTheme="minorHAnsi" w:hAnsiTheme="minorHAnsi" w:cstheme="minorHAnsi"/>
                <w:i/>
                <w:sz w:val="24"/>
                <w:szCs w:val="24"/>
              </w:rPr>
              <w:t>00 words</w:t>
            </w:r>
            <w:r w:rsidR="00DA22EC" w:rsidRPr="008779B8">
              <w:rPr>
                <w:rFonts w:asciiTheme="minorHAnsi" w:hAnsiTheme="minorHAnsi" w:cstheme="minorHAnsi"/>
                <w:sz w:val="24"/>
                <w:szCs w:val="24"/>
              </w:rPr>
              <w:t xml:space="preserve"> </w:t>
            </w:r>
            <w:r w:rsidR="008B28E7" w:rsidRPr="008779B8">
              <w:rPr>
                <w:rFonts w:asciiTheme="minorHAnsi" w:hAnsiTheme="minorHAnsi" w:cstheme="minorHAnsi"/>
                <w:sz w:val="24"/>
                <w:szCs w:val="24"/>
              </w:rPr>
              <w:t>(+/- 10%: include your actual word count at the end of each section)</w:t>
            </w:r>
            <w:r w:rsidR="007A628F" w:rsidRPr="008779B8">
              <w:rPr>
                <w:rFonts w:asciiTheme="minorHAnsi" w:hAnsiTheme="minorHAnsi" w:cstheme="minorHAnsi"/>
                <w:sz w:val="24"/>
                <w:szCs w:val="24"/>
              </w:rPr>
              <w:t>.</w:t>
            </w:r>
          </w:p>
          <w:p w14:paraId="14F12F85" w14:textId="77777777" w:rsidR="007A628F" w:rsidRPr="008779B8" w:rsidRDefault="007A628F" w:rsidP="00FF7EBB">
            <w:pPr>
              <w:jc w:val="both"/>
              <w:rPr>
                <w:rFonts w:asciiTheme="minorHAnsi" w:hAnsiTheme="minorHAnsi" w:cstheme="minorHAnsi"/>
                <w:sz w:val="24"/>
                <w:szCs w:val="24"/>
              </w:rPr>
            </w:pPr>
          </w:p>
          <w:p w14:paraId="535125F8" w14:textId="77777777" w:rsidR="002245FE" w:rsidRDefault="002245FE" w:rsidP="002245FE">
            <w:pPr>
              <w:jc w:val="both"/>
              <w:rPr>
                <w:rFonts w:asciiTheme="minorHAnsi" w:hAnsiTheme="minorHAnsi" w:cstheme="minorHAnsi"/>
                <w:sz w:val="24"/>
                <w:szCs w:val="24"/>
              </w:rPr>
            </w:pPr>
            <w:r w:rsidRPr="008779B8">
              <w:rPr>
                <w:rFonts w:asciiTheme="minorHAnsi" w:hAnsiTheme="minorHAnsi" w:cstheme="minorHAnsi"/>
                <w:sz w:val="24"/>
                <w:szCs w:val="24"/>
              </w:rPr>
              <w:t>The Social Services and Wellbeing (Wales) Act 2014 (SSWA 2014) provides the legal framework to improve the well-being of adults and children who are in need of care and support in Wales (Social Care Wales, 2025g).</w:t>
            </w:r>
          </w:p>
          <w:p w14:paraId="07C4C1EB" w14:textId="77777777" w:rsidR="008779B8" w:rsidRPr="008779B8" w:rsidRDefault="008779B8" w:rsidP="002245FE">
            <w:pPr>
              <w:jc w:val="both"/>
              <w:rPr>
                <w:rFonts w:asciiTheme="minorHAnsi" w:hAnsiTheme="minorHAnsi" w:cstheme="minorHAnsi"/>
                <w:sz w:val="24"/>
                <w:szCs w:val="24"/>
              </w:rPr>
            </w:pPr>
          </w:p>
          <w:p w14:paraId="6B2A7D3F" w14:textId="77777777" w:rsidR="002245FE" w:rsidRDefault="002245FE" w:rsidP="002245FE">
            <w:pPr>
              <w:jc w:val="both"/>
              <w:rPr>
                <w:rFonts w:asciiTheme="minorHAnsi" w:hAnsiTheme="minorHAnsi" w:cstheme="minorHAnsi"/>
                <w:sz w:val="24"/>
                <w:szCs w:val="24"/>
              </w:rPr>
            </w:pPr>
            <w:r w:rsidRPr="008779B8">
              <w:rPr>
                <w:rFonts w:asciiTheme="minorHAnsi" w:hAnsiTheme="minorHAnsi" w:cstheme="minorHAnsi"/>
                <w:sz w:val="24"/>
                <w:szCs w:val="24"/>
              </w:rPr>
              <w:t>The responsibility of safeguarding children in Wales primarily lies with local authorities. Section 28 of the Children Act 2004 enforces a duty on local authorities and related bodies such as the police, NHS Trusts and youth offending teams to consider the safeguarding of children. Part 7 of the SSWA 2014 states that local authorities must establish Safeguarding Children Boards comprised of the local authority and related bodies. Section 47 of the Children Act 1989 requires a local authority to make enquiries it considers necessary, to decide whether it should take action to safeguard or promote a child’s welfare (Welsh Government, 2021). The Children Act 1989 applies to both England and Wales, although the SSWA 2014 introduced Wales specific changes, primarily relating to children in need and looked after children (Cardiff University, 2026).</w:t>
            </w:r>
          </w:p>
          <w:p w14:paraId="72B74819" w14:textId="77777777" w:rsidR="008779B8" w:rsidRPr="008779B8" w:rsidRDefault="008779B8" w:rsidP="002245FE">
            <w:pPr>
              <w:jc w:val="both"/>
              <w:rPr>
                <w:rFonts w:asciiTheme="minorHAnsi" w:hAnsiTheme="minorHAnsi" w:cstheme="minorHAnsi"/>
                <w:sz w:val="24"/>
                <w:szCs w:val="24"/>
              </w:rPr>
            </w:pPr>
          </w:p>
          <w:p w14:paraId="5813D824" w14:textId="77777777" w:rsidR="002245FE" w:rsidRDefault="002245FE" w:rsidP="002245FE">
            <w:pPr>
              <w:jc w:val="both"/>
              <w:rPr>
                <w:rFonts w:asciiTheme="minorHAnsi" w:hAnsiTheme="minorHAnsi" w:cstheme="minorHAnsi"/>
                <w:sz w:val="24"/>
                <w:szCs w:val="24"/>
              </w:rPr>
            </w:pPr>
            <w:r w:rsidRPr="008779B8">
              <w:rPr>
                <w:rFonts w:asciiTheme="minorHAnsi" w:hAnsiTheme="minorHAnsi" w:cstheme="minorHAnsi"/>
                <w:sz w:val="24"/>
                <w:szCs w:val="24"/>
              </w:rPr>
              <w:t>The Safeguarding Boards (General) Regulations 2015 identify the lead partner for a Safeguarding Children Board. Safeguarding Boards publish annual plans detailing proposed work for the forthcoming year and a report from the previous year. Section 135 of the SSWA 2014 sets out the objectives of a Safeguarding Children Board, which are to protect and prevent children in its area who are experiencing, or are at risk of, abuse, neglect or other harm (Welsh Government, 2021).</w:t>
            </w:r>
          </w:p>
          <w:p w14:paraId="0385F0A7" w14:textId="77777777" w:rsidR="008779B8" w:rsidRPr="008779B8" w:rsidRDefault="008779B8" w:rsidP="002245FE">
            <w:pPr>
              <w:jc w:val="both"/>
              <w:rPr>
                <w:rFonts w:asciiTheme="minorHAnsi" w:hAnsiTheme="minorHAnsi" w:cstheme="minorHAnsi"/>
                <w:sz w:val="24"/>
                <w:szCs w:val="24"/>
              </w:rPr>
            </w:pPr>
          </w:p>
          <w:p w14:paraId="0C57B978" w14:textId="77777777" w:rsidR="002245FE" w:rsidRDefault="002245FE" w:rsidP="002245FE">
            <w:pPr>
              <w:jc w:val="both"/>
              <w:rPr>
                <w:rFonts w:asciiTheme="minorHAnsi" w:hAnsiTheme="minorHAnsi" w:cstheme="minorHAnsi"/>
                <w:sz w:val="24"/>
                <w:szCs w:val="24"/>
              </w:rPr>
            </w:pPr>
            <w:r w:rsidRPr="008779B8">
              <w:rPr>
                <w:rFonts w:asciiTheme="minorHAnsi" w:hAnsiTheme="minorHAnsi" w:cstheme="minorHAnsi"/>
                <w:sz w:val="24"/>
                <w:szCs w:val="24"/>
              </w:rPr>
              <w:t>The United Nations Convention on the Rights of the Child (UNCRC) is a legally binding international agreement setting out the rights of every child (Children in Wales, 2026). The Rights of Children and Young Persons (Wales) Measure 2011 places a duty on Welsh Ministers to have regard for the UNCRC when making strategic decisions. Wales became the first country in the UK to integrate the UNCRC into domestic law (Welsh Government, 2024).</w:t>
            </w:r>
          </w:p>
          <w:p w14:paraId="45E4F453" w14:textId="77777777" w:rsidR="008779B8" w:rsidRPr="008779B8" w:rsidRDefault="008779B8" w:rsidP="002245FE">
            <w:pPr>
              <w:jc w:val="both"/>
              <w:rPr>
                <w:rFonts w:asciiTheme="minorHAnsi" w:hAnsiTheme="minorHAnsi" w:cstheme="minorHAnsi"/>
                <w:sz w:val="24"/>
                <w:szCs w:val="24"/>
              </w:rPr>
            </w:pPr>
          </w:p>
          <w:p w14:paraId="1C72E2A6" w14:textId="77777777" w:rsidR="002245FE" w:rsidRDefault="002245FE" w:rsidP="002245FE">
            <w:pPr>
              <w:jc w:val="both"/>
              <w:rPr>
                <w:rFonts w:asciiTheme="minorHAnsi" w:hAnsiTheme="minorHAnsi" w:cstheme="minorHAnsi"/>
                <w:sz w:val="24"/>
                <w:szCs w:val="24"/>
              </w:rPr>
            </w:pPr>
            <w:r w:rsidRPr="008779B8">
              <w:rPr>
                <w:rFonts w:asciiTheme="minorHAnsi" w:hAnsiTheme="minorHAnsi" w:cstheme="minorHAnsi"/>
                <w:sz w:val="24"/>
                <w:szCs w:val="24"/>
              </w:rPr>
              <w:t>The Wales Safeguarding Procedures provide the national framework for protecting children from abuse, neglect and harm across Wales and provide guidance how practitioners should act upon these concerns. The procedures give further guidance to the duties contained within Part 7 of the SSWA 2014 (Wales Safeguarding Procedures, 2019).</w:t>
            </w:r>
          </w:p>
          <w:p w14:paraId="26DB5512" w14:textId="77777777" w:rsidR="008779B8" w:rsidRPr="008779B8" w:rsidRDefault="008779B8" w:rsidP="002245FE">
            <w:pPr>
              <w:jc w:val="both"/>
              <w:rPr>
                <w:rFonts w:asciiTheme="minorHAnsi" w:hAnsiTheme="minorHAnsi" w:cstheme="minorHAnsi"/>
                <w:sz w:val="24"/>
                <w:szCs w:val="24"/>
              </w:rPr>
            </w:pPr>
          </w:p>
          <w:p w14:paraId="7E6DBAAA" w14:textId="77777777" w:rsidR="002245FE" w:rsidRDefault="002245FE" w:rsidP="002245FE">
            <w:pPr>
              <w:jc w:val="both"/>
              <w:rPr>
                <w:rFonts w:asciiTheme="minorHAnsi" w:hAnsiTheme="minorHAnsi" w:cstheme="minorHAnsi"/>
                <w:sz w:val="24"/>
                <w:szCs w:val="24"/>
              </w:rPr>
            </w:pPr>
            <w:r w:rsidRPr="008779B8">
              <w:rPr>
                <w:rFonts w:asciiTheme="minorHAnsi" w:hAnsiTheme="minorHAnsi" w:cstheme="minorHAnsi"/>
                <w:sz w:val="24"/>
                <w:szCs w:val="24"/>
              </w:rPr>
              <w:t>At a national level, safeguarding children is informed by Working Together to Safeguard People: Code of Safeguarding Practice, which defines the safeguarding responsibilities for groups and organisations offering services to children in Wales. This guidance also provides a framework to ensure organisations understand their safeguarding responsibilities and maintain consistent safeguarding standards across Wales (Welsh Government, 2022).</w:t>
            </w:r>
          </w:p>
          <w:p w14:paraId="17B4089B" w14:textId="77777777" w:rsidR="008779B8" w:rsidRPr="008779B8" w:rsidRDefault="008779B8" w:rsidP="002245FE">
            <w:pPr>
              <w:jc w:val="both"/>
              <w:rPr>
                <w:rFonts w:asciiTheme="minorHAnsi" w:hAnsiTheme="minorHAnsi" w:cstheme="minorHAnsi"/>
                <w:sz w:val="24"/>
                <w:szCs w:val="24"/>
              </w:rPr>
            </w:pPr>
          </w:p>
          <w:p w14:paraId="529F0D15" w14:textId="77777777" w:rsidR="002245FE" w:rsidRDefault="002245FE" w:rsidP="002245FE">
            <w:pPr>
              <w:jc w:val="both"/>
              <w:rPr>
                <w:rFonts w:asciiTheme="minorHAnsi" w:hAnsiTheme="minorHAnsi" w:cstheme="minorHAnsi"/>
                <w:sz w:val="24"/>
                <w:szCs w:val="24"/>
              </w:rPr>
            </w:pPr>
            <w:r w:rsidRPr="008779B8">
              <w:rPr>
                <w:rFonts w:asciiTheme="minorHAnsi" w:hAnsiTheme="minorHAnsi" w:cstheme="minorHAnsi"/>
                <w:sz w:val="24"/>
                <w:szCs w:val="24"/>
              </w:rPr>
              <w:t xml:space="preserve">At a local level, Safeguarding Children Boards develop safeguarding policies and procedures. For example, The Mid and West Wales Regional Safeguarding Children Board has developed regional policies and procedures, and several multi-agency safeguarding policies that provide guidance to staff on safeguarding practice (CYSUR, 2026). </w:t>
            </w:r>
          </w:p>
          <w:p w14:paraId="4BAB060D" w14:textId="77777777" w:rsidR="008779B8" w:rsidRPr="008779B8" w:rsidRDefault="008779B8" w:rsidP="002245FE">
            <w:pPr>
              <w:jc w:val="both"/>
              <w:rPr>
                <w:rFonts w:asciiTheme="minorHAnsi" w:hAnsiTheme="minorHAnsi" w:cstheme="minorHAnsi"/>
                <w:sz w:val="24"/>
                <w:szCs w:val="24"/>
              </w:rPr>
            </w:pPr>
          </w:p>
          <w:p w14:paraId="64975588" w14:textId="77777777" w:rsidR="008779B8" w:rsidRDefault="002245FE" w:rsidP="002245FE">
            <w:pPr>
              <w:jc w:val="both"/>
              <w:rPr>
                <w:rFonts w:asciiTheme="minorHAnsi" w:hAnsiTheme="minorHAnsi" w:cstheme="minorHAnsi"/>
                <w:sz w:val="24"/>
                <w:szCs w:val="24"/>
              </w:rPr>
            </w:pPr>
            <w:r w:rsidRPr="008779B8">
              <w:rPr>
                <w:rFonts w:asciiTheme="minorHAnsi" w:hAnsiTheme="minorHAnsi" w:cstheme="minorHAnsi"/>
                <w:sz w:val="24"/>
                <w:szCs w:val="24"/>
              </w:rPr>
              <w:t>At an organisational level, Working Together to Safeguard People: Code of Safeguarding Practice reinforces that organisations must ensure that reasonable steps must be taken to ensure children are protected from harm, which includes taking actions where there are concerns that a child is being harmed at home or in the community. (Welsh Government, 2022). Together these policies and procedures ensure that safeguarding applies to all children, and that practitioners understand their responsibilities.</w:t>
            </w:r>
          </w:p>
          <w:p w14:paraId="07EA271E" w14:textId="77777777" w:rsidR="008779B8" w:rsidRDefault="008779B8" w:rsidP="002245FE">
            <w:pPr>
              <w:jc w:val="both"/>
              <w:rPr>
                <w:rFonts w:asciiTheme="minorHAnsi" w:hAnsiTheme="minorHAnsi" w:cstheme="minorHAnsi"/>
                <w:sz w:val="24"/>
                <w:szCs w:val="24"/>
              </w:rPr>
            </w:pPr>
          </w:p>
          <w:p w14:paraId="03BD6D93" w14:textId="19C7BD7F" w:rsidR="008779B8" w:rsidRPr="008779B8" w:rsidRDefault="008779B8" w:rsidP="002245FE">
            <w:pPr>
              <w:jc w:val="both"/>
              <w:rPr>
                <w:rFonts w:asciiTheme="minorHAnsi" w:hAnsiTheme="minorHAnsi" w:cstheme="minorHAnsi"/>
                <w:sz w:val="24"/>
                <w:szCs w:val="24"/>
              </w:rPr>
            </w:pPr>
            <w:r>
              <w:rPr>
                <w:rFonts w:asciiTheme="minorHAnsi" w:hAnsiTheme="minorHAnsi" w:cstheme="minorHAnsi"/>
                <w:sz w:val="24"/>
                <w:szCs w:val="24"/>
              </w:rPr>
              <w:t xml:space="preserve">Word count: </w:t>
            </w:r>
            <w:r w:rsidR="00666E4F">
              <w:rPr>
                <w:rFonts w:asciiTheme="minorHAnsi" w:hAnsiTheme="minorHAnsi" w:cstheme="minorHAnsi"/>
                <w:sz w:val="24"/>
                <w:szCs w:val="24"/>
              </w:rPr>
              <w:t>53</w:t>
            </w:r>
            <w:r w:rsidR="00724F0F">
              <w:rPr>
                <w:rFonts w:asciiTheme="minorHAnsi" w:hAnsiTheme="minorHAnsi" w:cstheme="minorHAnsi"/>
                <w:sz w:val="24"/>
                <w:szCs w:val="24"/>
              </w:rPr>
              <w:t>5</w:t>
            </w: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Pr="00F75723" w:rsidRDefault="00FC0334" w:rsidP="00FC0334">
            <w:pPr>
              <w:jc w:val="both"/>
              <w:rPr>
                <w:rFonts w:asciiTheme="minorHAnsi" w:hAnsiTheme="minorHAnsi" w:cstheme="minorHAnsi"/>
                <w:sz w:val="24"/>
                <w:szCs w:val="24"/>
              </w:rPr>
            </w:pPr>
            <w:r w:rsidRPr="00F75723">
              <w:rPr>
                <w:rFonts w:asciiTheme="minorHAnsi" w:hAnsiTheme="minorHAnsi" w:cstheme="minorHAnsi"/>
                <w:sz w:val="24"/>
                <w:szCs w:val="24"/>
              </w:rPr>
              <w:t>Reflect on the difference between safeguarding in adult</w:t>
            </w:r>
            <w:r w:rsidR="00C63CAB" w:rsidRPr="00F75723">
              <w:rPr>
                <w:rFonts w:asciiTheme="minorHAnsi" w:hAnsiTheme="minorHAnsi" w:cstheme="minorHAnsi"/>
                <w:sz w:val="24"/>
                <w:szCs w:val="24"/>
              </w:rPr>
              <w:t>s’</w:t>
            </w:r>
            <w:r w:rsidRPr="00F75723">
              <w:rPr>
                <w:rFonts w:asciiTheme="minorHAnsi" w:hAnsiTheme="minorHAnsi" w:cstheme="minorHAnsi"/>
                <w:sz w:val="24"/>
                <w:szCs w:val="24"/>
              </w:rPr>
              <w:t xml:space="preserve"> and children</w:t>
            </w:r>
            <w:r w:rsidR="007A628F" w:rsidRPr="00F75723">
              <w:rPr>
                <w:rFonts w:asciiTheme="minorHAnsi" w:hAnsiTheme="minorHAnsi" w:cstheme="minorHAnsi"/>
                <w:sz w:val="24"/>
                <w:szCs w:val="24"/>
              </w:rPr>
              <w:t>’s</w:t>
            </w:r>
            <w:r w:rsidRPr="00F75723">
              <w:rPr>
                <w:rFonts w:asciiTheme="minorHAnsi" w:hAnsiTheme="minorHAnsi" w:cstheme="minorHAnsi"/>
                <w:sz w:val="24"/>
                <w:szCs w:val="24"/>
              </w:rPr>
              <w:t xml:space="preserve"> work</w:t>
            </w:r>
          </w:p>
          <w:p w14:paraId="2A218546" w14:textId="77777777" w:rsidR="00866D48" w:rsidRPr="00F75723" w:rsidRDefault="00866D48" w:rsidP="00FC0334">
            <w:pPr>
              <w:jc w:val="both"/>
              <w:rPr>
                <w:rFonts w:asciiTheme="minorHAnsi" w:hAnsiTheme="minorHAnsi" w:cstheme="minorHAnsi"/>
                <w:sz w:val="24"/>
                <w:szCs w:val="24"/>
              </w:rPr>
            </w:pPr>
          </w:p>
          <w:p w14:paraId="6B8F25EB" w14:textId="35202008" w:rsidR="00A17BF9" w:rsidRDefault="00FC0334" w:rsidP="00A17BF9">
            <w:pPr>
              <w:jc w:val="both"/>
              <w:rPr>
                <w:rFonts w:asciiTheme="minorHAnsi" w:hAnsiTheme="minorHAnsi" w:cstheme="minorHAnsi"/>
                <w:i/>
                <w:sz w:val="24"/>
                <w:szCs w:val="24"/>
              </w:rPr>
            </w:pPr>
            <w:r w:rsidRPr="00F75723">
              <w:rPr>
                <w:rFonts w:asciiTheme="minorHAnsi" w:hAnsiTheme="minorHAnsi" w:cstheme="minorHAnsi"/>
                <w:i/>
                <w:sz w:val="24"/>
                <w:szCs w:val="24"/>
              </w:rPr>
              <w:t>400 words</w:t>
            </w:r>
            <w:r w:rsidRPr="00F75723">
              <w:rPr>
                <w:rFonts w:asciiTheme="minorHAnsi" w:hAnsiTheme="minorHAnsi" w:cstheme="minorHAnsi"/>
                <w:sz w:val="24"/>
                <w:szCs w:val="24"/>
              </w:rPr>
              <w:t xml:space="preserve"> </w:t>
            </w:r>
            <w:r w:rsidRPr="00F75723">
              <w:rPr>
                <w:rFonts w:asciiTheme="minorHAnsi" w:hAnsiTheme="minorHAnsi" w:cstheme="minorHAnsi"/>
                <w:i/>
                <w:sz w:val="24"/>
                <w:szCs w:val="24"/>
              </w:rPr>
              <w:t>(+/- 10%: include your actual word count at the end of each section)</w:t>
            </w:r>
            <w:r w:rsidR="007A628F" w:rsidRPr="00F75723">
              <w:rPr>
                <w:rFonts w:asciiTheme="minorHAnsi" w:hAnsiTheme="minorHAnsi" w:cstheme="minorHAnsi"/>
                <w:i/>
                <w:sz w:val="24"/>
                <w:szCs w:val="24"/>
              </w:rPr>
              <w:t>.</w:t>
            </w:r>
          </w:p>
          <w:p w14:paraId="51C859DC" w14:textId="77777777" w:rsidR="00D52592" w:rsidRDefault="00D52592" w:rsidP="00A17BF9">
            <w:pPr>
              <w:jc w:val="both"/>
              <w:rPr>
                <w:rFonts w:asciiTheme="minorHAnsi" w:hAnsiTheme="minorHAnsi" w:cstheme="minorHAnsi"/>
                <w:iCs/>
                <w:sz w:val="24"/>
                <w:szCs w:val="24"/>
              </w:rPr>
            </w:pPr>
          </w:p>
          <w:p w14:paraId="6FA409A5" w14:textId="77777777" w:rsidR="00390376" w:rsidRDefault="00390376" w:rsidP="00390376">
            <w:pPr>
              <w:jc w:val="both"/>
              <w:rPr>
                <w:rFonts w:asciiTheme="minorHAnsi" w:hAnsiTheme="minorHAnsi" w:cstheme="minorHAnsi"/>
                <w:iCs/>
                <w:sz w:val="24"/>
                <w:szCs w:val="24"/>
              </w:rPr>
            </w:pPr>
            <w:r w:rsidRPr="00390376">
              <w:rPr>
                <w:rFonts w:asciiTheme="minorHAnsi" w:hAnsiTheme="minorHAnsi" w:cstheme="minorHAnsi"/>
                <w:iCs/>
                <w:sz w:val="24"/>
                <w:szCs w:val="24"/>
              </w:rPr>
              <w:t>The Social Services and Wellbeing (Wales) Act 2014 (SSWA 2014) defines an adult at risk as someone experiencing or at risk of abuse or neglect, who has care and support needs, and is unable to protect themselves due to those needs (Legislation.gov.uk, 2026b). In contrast, the SSWA 2014 defines a child at risk as a child experiencing, or at risk of, abuse, neglect, or other harm, and who has needs for care and support, regardless of whether these needs are being met (Legislation.gov.uk, 2026a).</w:t>
            </w:r>
          </w:p>
          <w:p w14:paraId="59BBA9D6" w14:textId="77777777" w:rsidR="00390376" w:rsidRPr="00390376" w:rsidRDefault="00390376" w:rsidP="00390376">
            <w:pPr>
              <w:jc w:val="both"/>
              <w:rPr>
                <w:rFonts w:asciiTheme="minorHAnsi" w:hAnsiTheme="minorHAnsi" w:cstheme="minorHAnsi"/>
                <w:iCs/>
                <w:sz w:val="24"/>
                <w:szCs w:val="24"/>
              </w:rPr>
            </w:pPr>
          </w:p>
          <w:p w14:paraId="0312F52F" w14:textId="5817AD9D" w:rsidR="00390376" w:rsidRDefault="00390376" w:rsidP="00390376">
            <w:pPr>
              <w:jc w:val="both"/>
              <w:rPr>
                <w:rFonts w:asciiTheme="minorHAnsi" w:hAnsiTheme="minorHAnsi" w:cstheme="minorHAnsi"/>
                <w:iCs/>
                <w:sz w:val="24"/>
                <w:szCs w:val="24"/>
              </w:rPr>
            </w:pPr>
            <w:r w:rsidRPr="00390376">
              <w:rPr>
                <w:rFonts w:asciiTheme="minorHAnsi" w:hAnsiTheme="minorHAnsi" w:cstheme="minorHAnsi"/>
                <w:iCs/>
                <w:sz w:val="24"/>
                <w:szCs w:val="24"/>
              </w:rPr>
              <w:t xml:space="preserve">Adults retain a stronger legal right to autonomy. SSWA 2014 emphasises placing the individual at the centre of decisions, promoting voice and control (Care Council for Wales, 2017). Article 8 of the Human Rights Act 1998 protects the right to private and family life, though exceptions exist to protect public safety (Equality and Human Rights Commission, 2021). The Mental Capacity Act 2005 presumes capacity unless proven otherwise and upholds the right to make unwise decisions (Social Care Institute </w:t>
            </w:r>
            <w:r w:rsidRPr="00390376">
              <w:rPr>
                <w:rFonts w:asciiTheme="minorHAnsi" w:hAnsiTheme="minorHAnsi" w:cstheme="minorHAnsi"/>
                <w:iCs/>
                <w:sz w:val="24"/>
                <w:szCs w:val="24"/>
              </w:rPr>
              <w:lastRenderedPageBreak/>
              <w:t>for Excellence, 2022). When individuals lack capacity for a specific decision, actions can be taken in their best interests.</w:t>
            </w:r>
          </w:p>
          <w:p w14:paraId="3CFD2F98" w14:textId="77777777" w:rsidR="00390376" w:rsidRPr="00390376" w:rsidRDefault="00390376" w:rsidP="00390376">
            <w:pPr>
              <w:jc w:val="both"/>
              <w:rPr>
                <w:rFonts w:asciiTheme="minorHAnsi" w:hAnsiTheme="minorHAnsi" w:cstheme="minorHAnsi"/>
                <w:iCs/>
                <w:sz w:val="24"/>
                <w:szCs w:val="24"/>
              </w:rPr>
            </w:pPr>
          </w:p>
          <w:p w14:paraId="0954B178" w14:textId="77777777" w:rsidR="00390376" w:rsidRDefault="00390376" w:rsidP="00390376">
            <w:pPr>
              <w:jc w:val="both"/>
              <w:rPr>
                <w:rFonts w:asciiTheme="minorHAnsi" w:hAnsiTheme="minorHAnsi" w:cstheme="minorHAnsi"/>
                <w:iCs/>
                <w:sz w:val="24"/>
                <w:szCs w:val="24"/>
              </w:rPr>
            </w:pPr>
            <w:r w:rsidRPr="00390376">
              <w:rPr>
                <w:rFonts w:asciiTheme="minorHAnsi" w:hAnsiTheme="minorHAnsi" w:cstheme="minorHAnsi"/>
                <w:iCs/>
                <w:sz w:val="24"/>
                <w:szCs w:val="24"/>
              </w:rPr>
              <w:t>Adults with capacity can decline safeguarding involvement, however there are situations where overriding refused consent is justified, including when it is in the public interest, coercion is present, or there is serious risk to others (Social Care Wales, 2026a). For children, the primary factor is the interests of the child at risk of harm when deciding whether to seek parental or child consent prior reporting (Wales Safeguarding Procedures, 2026f).</w:t>
            </w:r>
          </w:p>
          <w:p w14:paraId="16E96D0F" w14:textId="77777777" w:rsidR="00390376" w:rsidRPr="00390376" w:rsidRDefault="00390376" w:rsidP="00390376">
            <w:pPr>
              <w:jc w:val="both"/>
              <w:rPr>
                <w:rFonts w:asciiTheme="minorHAnsi" w:hAnsiTheme="minorHAnsi" w:cstheme="minorHAnsi"/>
                <w:iCs/>
                <w:sz w:val="24"/>
                <w:szCs w:val="24"/>
              </w:rPr>
            </w:pPr>
          </w:p>
          <w:p w14:paraId="1128EE37" w14:textId="4C77FE36" w:rsidR="00390376" w:rsidRDefault="00390376" w:rsidP="00390376">
            <w:pPr>
              <w:jc w:val="both"/>
              <w:rPr>
                <w:rFonts w:asciiTheme="minorHAnsi" w:hAnsiTheme="minorHAnsi" w:cstheme="minorHAnsi"/>
                <w:iCs/>
                <w:sz w:val="24"/>
                <w:szCs w:val="24"/>
              </w:rPr>
            </w:pPr>
            <w:r w:rsidRPr="00390376">
              <w:rPr>
                <w:rFonts w:asciiTheme="minorHAnsi" w:hAnsiTheme="minorHAnsi" w:cstheme="minorHAnsi"/>
                <w:iCs/>
                <w:sz w:val="24"/>
                <w:szCs w:val="24"/>
              </w:rPr>
              <w:t xml:space="preserve">Consistent with section 47 of the Children Act 1989 and the SSWA 2014, local authorities have a duty to safeguard and promote the welfare of children, meaning the child’s safety takes priority over autonomy when significant harm is suspected (Cardiff University, 2026). The Mental Capacity Act 2005 does not apply to children under 16. ‘Gillick competence’ assesses a child’s ability to consent to treatment, though it does not grant full </w:t>
            </w:r>
            <w:r w:rsidRPr="00390376">
              <w:rPr>
                <w:rFonts w:asciiTheme="minorHAnsi" w:hAnsiTheme="minorHAnsi" w:cstheme="minorHAnsi"/>
                <w:iCs/>
                <w:sz w:val="24"/>
                <w:szCs w:val="24"/>
              </w:rPr>
              <w:t>decision-making</w:t>
            </w:r>
            <w:r w:rsidRPr="00390376">
              <w:rPr>
                <w:rFonts w:asciiTheme="minorHAnsi" w:hAnsiTheme="minorHAnsi" w:cstheme="minorHAnsi"/>
                <w:iCs/>
                <w:sz w:val="24"/>
                <w:szCs w:val="24"/>
              </w:rPr>
              <w:t xml:space="preserve"> autonomy (Care Quality Commission, 2020).</w:t>
            </w:r>
          </w:p>
          <w:p w14:paraId="2F42406E" w14:textId="77777777" w:rsidR="00390376" w:rsidRPr="00390376" w:rsidRDefault="00390376" w:rsidP="00390376">
            <w:pPr>
              <w:jc w:val="both"/>
              <w:rPr>
                <w:rFonts w:asciiTheme="minorHAnsi" w:hAnsiTheme="minorHAnsi" w:cstheme="minorHAnsi"/>
                <w:iCs/>
                <w:sz w:val="24"/>
                <w:szCs w:val="24"/>
              </w:rPr>
            </w:pPr>
          </w:p>
          <w:p w14:paraId="7E6217A5" w14:textId="74EE7B75" w:rsidR="00D8358C" w:rsidRPr="00D8358C" w:rsidRDefault="00390376" w:rsidP="00390376">
            <w:pPr>
              <w:jc w:val="both"/>
              <w:rPr>
                <w:rFonts w:asciiTheme="minorHAnsi" w:hAnsiTheme="minorHAnsi" w:cstheme="minorHAnsi"/>
                <w:iCs/>
                <w:sz w:val="24"/>
                <w:szCs w:val="24"/>
              </w:rPr>
            </w:pPr>
            <w:r w:rsidRPr="00390376">
              <w:rPr>
                <w:rFonts w:asciiTheme="minorHAnsi" w:hAnsiTheme="minorHAnsi" w:cstheme="minorHAnsi"/>
                <w:iCs/>
                <w:sz w:val="24"/>
                <w:szCs w:val="24"/>
              </w:rPr>
              <w:t xml:space="preserve">Abuse can appear differently between children and adults. Children experiencing neglect often face inadequate supervision, failure to meet basic physical needs, and deficits in medical or emotional care, which can have serious impacts on development (NSPCC, 2024). In adults, neglect often takes the form of </w:t>
            </w:r>
            <w:r w:rsidRPr="00390376">
              <w:rPr>
                <w:rFonts w:asciiTheme="minorHAnsi" w:hAnsiTheme="minorHAnsi" w:cstheme="minorHAnsi"/>
                <w:iCs/>
                <w:sz w:val="24"/>
                <w:szCs w:val="24"/>
              </w:rPr>
              <w:t>self-neglect</w:t>
            </w:r>
            <w:r w:rsidRPr="00390376">
              <w:rPr>
                <w:rFonts w:asciiTheme="minorHAnsi" w:hAnsiTheme="minorHAnsi" w:cstheme="minorHAnsi"/>
                <w:iCs/>
                <w:sz w:val="24"/>
                <w:szCs w:val="24"/>
              </w:rPr>
              <w:t xml:space="preserve">, including unsanitary living conditions, untreated illness, malnutrition or hoarding. </w:t>
            </w:r>
            <w:r w:rsidRPr="00390376">
              <w:rPr>
                <w:rFonts w:asciiTheme="minorHAnsi" w:hAnsiTheme="minorHAnsi" w:cstheme="minorHAnsi"/>
                <w:iCs/>
                <w:sz w:val="24"/>
                <w:szCs w:val="24"/>
              </w:rPr>
              <w:t>Self-neglect</w:t>
            </w:r>
            <w:r w:rsidRPr="00390376">
              <w:rPr>
                <w:rFonts w:asciiTheme="minorHAnsi" w:hAnsiTheme="minorHAnsi" w:cstheme="minorHAnsi"/>
                <w:iCs/>
                <w:sz w:val="24"/>
                <w:szCs w:val="24"/>
              </w:rPr>
              <w:t xml:space="preserve"> in adults is likely to promptly cause physical, mental and emotional harm (North Wales Safeguarding Board, 2026). Financial abuse is more prevalent among adults due to accumulated savings and property. Older adults and those with cognitive impairment are more at risk, and financial abuse is recognised as a significant safeguarding concern (Davidson, Rossall and Hart, 2015).</w:t>
            </w:r>
          </w:p>
          <w:p w14:paraId="526CCF42" w14:textId="77777777" w:rsidR="00D52592" w:rsidRPr="00D8358C" w:rsidRDefault="00D52592" w:rsidP="00A17BF9">
            <w:pPr>
              <w:jc w:val="both"/>
              <w:rPr>
                <w:rFonts w:asciiTheme="minorHAnsi" w:hAnsiTheme="minorHAnsi" w:cstheme="minorHAnsi"/>
                <w:iCs/>
                <w:sz w:val="24"/>
                <w:szCs w:val="24"/>
              </w:rPr>
            </w:pPr>
          </w:p>
          <w:p w14:paraId="3CCA2D59" w14:textId="483C377A" w:rsidR="00F75723" w:rsidRPr="00F75723" w:rsidRDefault="00A17BF9" w:rsidP="00A17BF9">
            <w:pPr>
              <w:jc w:val="both"/>
              <w:rPr>
                <w:rFonts w:asciiTheme="minorHAnsi" w:hAnsiTheme="minorHAnsi" w:cstheme="minorHAnsi"/>
                <w:iCs/>
                <w:sz w:val="24"/>
                <w:szCs w:val="24"/>
              </w:rPr>
            </w:pPr>
            <w:r w:rsidRPr="00A17BF9">
              <w:rPr>
                <w:rFonts w:asciiTheme="minorHAnsi" w:hAnsiTheme="minorHAnsi" w:cstheme="minorHAnsi"/>
                <w:iCs/>
                <w:sz w:val="24"/>
                <w:szCs w:val="24"/>
              </w:rPr>
              <w:t xml:space="preserve">Word </w:t>
            </w:r>
            <w:r>
              <w:rPr>
                <w:rFonts w:asciiTheme="minorHAnsi" w:hAnsiTheme="minorHAnsi" w:cstheme="minorHAnsi"/>
                <w:iCs/>
                <w:sz w:val="24"/>
                <w:szCs w:val="24"/>
              </w:rPr>
              <w:t>c</w:t>
            </w:r>
            <w:r w:rsidRPr="00A17BF9">
              <w:rPr>
                <w:rFonts w:asciiTheme="minorHAnsi" w:hAnsiTheme="minorHAnsi" w:cstheme="minorHAnsi"/>
                <w:iCs/>
                <w:sz w:val="24"/>
                <w:szCs w:val="24"/>
              </w:rPr>
              <w:t>ount:</w:t>
            </w:r>
            <w:r w:rsidR="00D52592">
              <w:rPr>
                <w:rFonts w:asciiTheme="minorHAnsi" w:hAnsiTheme="minorHAnsi" w:cstheme="minorHAnsi"/>
                <w:iCs/>
                <w:sz w:val="24"/>
                <w:szCs w:val="24"/>
              </w:rPr>
              <w:t xml:space="preserve"> </w:t>
            </w:r>
            <w:r w:rsidR="007E00CE">
              <w:rPr>
                <w:rFonts w:asciiTheme="minorHAnsi" w:hAnsiTheme="minorHAnsi" w:cstheme="minorHAnsi"/>
                <w:iCs/>
                <w:sz w:val="24"/>
                <w:szCs w:val="24"/>
              </w:rPr>
              <w:t>438</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A1CF18" w14:textId="77777777" w:rsidR="000E4D20" w:rsidRDefault="000E4D20">
      <w:r>
        <w:separator/>
      </w:r>
    </w:p>
  </w:endnote>
  <w:endnote w:type="continuationSeparator" w:id="0">
    <w:p w14:paraId="0380BBAD" w14:textId="77777777" w:rsidR="000E4D20" w:rsidRDefault="000E4D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16187" w14:textId="77777777" w:rsidR="000E4D20" w:rsidRDefault="000E4D20">
      <w:r>
        <w:separator/>
      </w:r>
    </w:p>
  </w:footnote>
  <w:footnote w:type="continuationSeparator" w:id="0">
    <w:p w14:paraId="291394F6" w14:textId="77777777" w:rsidR="000E4D20" w:rsidRDefault="000E4D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4D20"/>
    <w:rsid w:val="000F1599"/>
    <w:rsid w:val="000F1769"/>
    <w:rsid w:val="000F1A97"/>
    <w:rsid w:val="000F42AE"/>
    <w:rsid w:val="000F6196"/>
    <w:rsid w:val="000F6BC3"/>
    <w:rsid w:val="0010312C"/>
    <w:rsid w:val="00105026"/>
    <w:rsid w:val="0010662B"/>
    <w:rsid w:val="00106DC7"/>
    <w:rsid w:val="00112391"/>
    <w:rsid w:val="00114F52"/>
    <w:rsid w:val="00130119"/>
    <w:rsid w:val="0013236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5FE"/>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0376"/>
    <w:rsid w:val="00392F73"/>
    <w:rsid w:val="00393600"/>
    <w:rsid w:val="0039762B"/>
    <w:rsid w:val="003A0C37"/>
    <w:rsid w:val="003A1B6B"/>
    <w:rsid w:val="003A46C0"/>
    <w:rsid w:val="003A600E"/>
    <w:rsid w:val="003A6513"/>
    <w:rsid w:val="003B16C7"/>
    <w:rsid w:val="003B3115"/>
    <w:rsid w:val="003B4576"/>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4D4D"/>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23E"/>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355C"/>
    <w:rsid w:val="00540EEC"/>
    <w:rsid w:val="005414F4"/>
    <w:rsid w:val="00546187"/>
    <w:rsid w:val="00547B11"/>
    <w:rsid w:val="00557D77"/>
    <w:rsid w:val="00562EAA"/>
    <w:rsid w:val="00563B58"/>
    <w:rsid w:val="005640C4"/>
    <w:rsid w:val="0056684C"/>
    <w:rsid w:val="00574A0C"/>
    <w:rsid w:val="005768AB"/>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2FCA"/>
    <w:rsid w:val="00654329"/>
    <w:rsid w:val="00654CEC"/>
    <w:rsid w:val="00655507"/>
    <w:rsid w:val="006579FD"/>
    <w:rsid w:val="006635E3"/>
    <w:rsid w:val="006669F3"/>
    <w:rsid w:val="00666E4F"/>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4F0F"/>
    <w:rsid w:val="0072678F"/>
    <w:rsid w:val="007276E5"/>
    <w:rsid w:val="00727C4C"/>
    <w:rsid w:val="00734809"/>
    <w:rsid w:val="00736B28"/>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00CE"/>
    <w:rsid w:val="007F10BD"/>
    <w:rsid w:val="007F312E"/>
    <w:rsid w:val="007F3F7E"/>
    <w:rsid w:val="007F4BA4"/>
    <w:rsid w:val="00813CEC"/>
    <w:rsid w:val="00814776"/>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6D48"/>
    <w:rsid w:val="00867A63"/>
    <w:rsid w:val="008708F1"/>
    <w:rsid w:val="00871960"/>
    <w:rsid w:val="0087369F"/>
    <w:rsid w:val="008779B8"/>
    <w:rsid w:val="00880539"/>
    <w:rsid w:val="008859E8"/>
    <w:rsid w:val="0088737B"/>
    <w:rsid w:val="00891078"/>
    <w:rsid w:val="00892716"/>
    <w:rsid w:val="00893067"/>
    <w:rsid w:val="008933DE"/>
    <w:rsid w:val="00895FCE"/>
    <w:rsid w:val="00897793"/>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322"/>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17BF9"/>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6994"/>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64DB"/>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2592"/>
    <w:rsid w:val="00D55DE0"/>
    <w:rsid w:val="00D604CF"/>
    <w:rsid w:val="00D607EF"/>
    <w:rsid w:val="00D60F88"/>
    <w:rsid w:val="00D646BD"/>
    <w:rsid w:val="00D65558"/>
    <w:rsid w:val="00D71201"/>
    <w:rsid w:val="00D720C7"/>
    <w:rsid w:val="00D8358C"/>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8B7"/>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5723"/>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Pages>
  <Words>1169</Words>
  <Characters>6665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 Pugh</cp:lastModifiedBy>
  <cp:revision>24</cp:revision>
  <cp:lastPrinted>2020-02-11T19:20:00Z</cp:lastPrinted>
  <dcterms:created xsi:type="dcterms:W3CDTF">2022-09-29T11:35:00Z</dcterms:created>
  <dcterms:modified xsi:type="dcterms:W3CDTF">2026-02-24T12:04:00Z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