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F7B20" w:rsidP="70C75828" w:rsidRDefault="00EF7B20" w14:paraId="0BD61AEC" w14:textId="2A35836E">
      <w:pPr>
        <w:pStyle w:val="Normal"/>
        <w:spacing w:line="360" w:lineRule="auto"/>
        <w:rPr>
          <w:rFonts w:ascii="Arial" w:hAnsi="Arial"/>
        </w:rPr>
      </w:pPr>
    </w:p>
    <w:p w:rsidR="00EF7B20" w:rsidP="70C75828" w:rsidRDefault="00EF7B20" w14:paraId="7EF4F34C" w14:textId="77777777">
      <w:pPr>
        <w:spacing w:line="360" w:lineRule="auto"/>
        <w:jc w:val="center"/>
        <w:rPr>
          <w:rFonts w:ascii="Arial" w:hAnsi="Arial" w:eastAsia="Arial" w:cs="Arial"/>
          <w:sz w:val="22"/>
          <w:szCs w:val="22"/>
        </w:rPr>
      </w:pPr>
      <w:r w:rsidRPr="70C75828" w:rsidR="00EF7B20">
        <w:rPr>
          <w:rFonts w:ascii="Arial" w:hAnsi="Arial" w:eastAsia="Arial" w:cs="Arial"/>
          <w:sz w:val="22"/>
          <w:szCs w:val="22"/>
        </w:rPr>
        <w:t>Administrative Practice and Collaborative Working in Health and Social Care: Effective Communication, Administrative Practice and Collaborative Working: The Case of Mr Ahmed.</w:t>
      </w:r>
    </w:p>
    <w:p w:rsidR="00EF7B20" w:rsidP="70C75828" w:rsidRDefault="00EF7B20" w14:paraId="63A7BA65" w14:textId="77777777">
      <w:pPr>
        <w:jc w:val="center"/>
        <w:rPr>
          <w:rFonts w:ascii="Arial" w:hAnsi="Arial" w:eastAsia="Arial" w:cs="Arial"/>
          <w:sz w:val="22"/>
          <w:szCs w:val="22"/>
        </w:rPr>
      </w:pPr>
    </w:p>
    <w:p w:rsidRPr="00453AB8" w:rsidR="00EF7B20" w:rsidP="70C75828" w:rsidRDefault="00EF7B20" w14:paraId="34A6A23D" w14:textId="39562792">
      <w:pPr>
        <w:jc w:val="center"/>
        <w:rPr>
          <w:rFonts w:ascii="Arial" w:hAnsi="Arial" w:eastAsia="Arial" w:cs="Arial"/>
          <w:b w:val="1"/>
          <w:bCs w:val="1"/>
          <w:sz w:val="22"/>
          <w:szCs w:val="22"/>
        </w:rPr>
      </w:pPr>
      <w:r w:rsidRPr="70C75828" w:rsidR="00EF7B20">
        <w:rPr>
          <w:rFonts w:ascii="Arial" w:hAnsi="Arial" w:eastAsia="Arial" w:cs="Arial"/>
          <w:b w:val="1"/>
          <w:bCs w:val="1"/>
          <w:sz w:val="22"/>
          <w:szCs w:val="22"/>
        </w:rPr>
        <w:t>Student’s Name:</w:t>
      </w:r>
      <w:r w:rsidRPr="70C75828" w:rsidR="00EF7B20">
        <w:rPr>
          <w:rFonts w:ascii="Arial" w:hAnsi="Arial" w:eastAsia="Arial" w:cs="Arial"/>
          <w:sz w:val="22"/>
          <w:szCs w:val="22"/>
        </w:rPr>
        <w:t xml:space="preserve"> M</w:t>
      </w:r>
      <w:r w:rsidRPr="70C75828" w:rsidR="41B2F7EB">
        <w:rPr>
          <w:rFonts w:ascii="Arial" w:hAnsi="Arial" w:eastAsia="Arial" w:cs="Arial"/>
          <w:sz w:val="22"/>
          <w:szCs w:val="22"/>
        </w:rPr>
        <w:t>o</w:t>
      </w:r>
      <w:r w:rsidRPr="70C75828" w:rsidR="00EF7B20">
        <w:rPr>
          <w:rFonts w:ascii="Arial" w:hAnsi="Arial" w:eastAsia="Arial" w:cs="Arial"/>
          <w:sz w:val="22"/>
          <w:szCs w:val="22"/>
        </w:rPr>
        <w:t>hammed A Miah</w:t>
      </w:r>
    </w:p>
    <w:p w:rsidRPr="00453AB8" w:rsidR="00EF7B20" w:rsidP="70C75828" w:rsidRDefault="00EF7B20" w14:paraId="77AAC710" w14:textId="52071BA7">
      <w:pPr>
        <w:jc w:val="center"/>
        <w:rPr>
          <w:rFonts w:ascii="Arial" w:hAnsi="Arial" w:eastAsia="Arial" w:cs="Arial"/>
          <w:b w:val="1"/>
          <w:bCs w:val="1"/>
          <w:sz w:val="22"/>
          <w:szCs w:val="22"/>
        </w:rPr>
      </w:pPr>
      <w:r w:rsidRPr="70C75828" w:rsidR="00EF7B20">
        <w:rPr>
          <w:rFonts w:ascii="Arial" w:hAnsi="Arial" w:eastAsia="Arial" w:cs="Arial"/>
          <w:b w:val="1"/>
          <w:bCs w:val="1"/>
          <w:sz w:val="22"/>
          <w:szCs w:val="22"/>
        </w:rPr>
        <w:t>Student’s ID: 250755</w:t>
      </w:r>
      <w:r w:rsidRPr="70C75828" w:rsidR="6784BF7B">
        <w:rPr>
          <w:rFonts w:ascii="Arial" w:hAnsi="Arial" w:eastAsia="Arial" w:cs="Arial"/>
          <w:b w:val="1"/>
          <w:bCs w:val="1"/>
          <w:sz w:val="22"/>
          <w:szCs w:val="22"/>
        </w:rPr>
        <w:t>9</w:t>
      </w:r>
    </w:p>
    <w:p w:rsidR="6784BF7B" w:rsidP="70C75828" w:rsidRDefault="6784BF7B" w14:paraId="25542136" w14:textId="4318577F">
      <w:pPr>
        <w:jc w:val="center"/>
        <w:rPr>
          <w:rFonts w:ascii="Arial" w:hAnsi="Arial" w:eastAsia="Arial" w:cs="Arial"/>
          <w:b w:val="1"/>
          <w:bCs w:val="1"/>
          <w:sz w:val="22"/>
          <w:szCs w:val="22"/>
        </w:rPr>
      </w:pPr>
      <w:r w:rsidRPr="70C75828" w:rsidR="6784BF7B">
        <w:rPr>
          <w:rFonts w:ascii="Arial" w:hAnsi="Arial" w:eastAsia="Arial" w:cs="Arial"/>
          <w:b w:val="1"/>
          <w:bCs w:val="1"/>
          <w:sz w:val="22"/>
          <w:szCs w:val="22"/>
        </w:rPr>
        <w:t>Module: LCH4003</w:t>
      </w:r>
    </w:p>
    <w:p w:rsidRPr="00453AB8" w:rsidR="00EF7B20" w:rsidP="70C75828" w:rsidRDefault="00EF7B20" w14:paraId="6DA3A6E6" w14:textId="77777777">
      <w:pPr>
        <w:jc w:val="center"/>
        <w:rPr>
          <w:rFonts w:ascii="Arial" w:hAnsi="Arial" w:eastAsia="Arial" w:cs="Arial"/>
          <w:b w:val="1"/>
          <w:bCs w:val="1"/>
          <w:sz w:val="22"/>
          <w:szCs w:val="22"/>
        </w:rPr>
      </w:pPr>
      <w:r w:rsidRPr="70C75828" w:rsidR="00EF7B20">
        <w:rPr>
          <w:rFonts w:ascii="Arial" w:hAnsi="Arial" w:eastAsia="Arial" w:cs="Arial"/>
          <w:b w:val="1"/>
          <w:bCs w:val="1"/>
          <w:sz w:val="22"/>
          <w:szCs w:val="22"/>
        </w:rPr>
        <w:t>Lecturer’s name: Daniel Haruna</w:t>
      </w:r>
    </w:p>
    <w:p w:rsidRPr="00453AB8" w:rsidR="00EF7B20" w:rsidP="70C75828" w:rsidRDefault="00EF7B20" w14:paraId="3A46A996" w14:textId="18BD6452">
      <w:pPr>
        <w:jc w:val="center"/>
        <w:rPr>
          <w:rFonts w:ascii="Arial" w:hAnsi="Arial" w:eastAsia="Arial" w:cs="Arial"/>
          <w:b w:val="1"/>
          <w:bCs w:val="1"/>
          <w:sz w:val="22"/>
          <w:szCs w:val="22"/>
        </w:rPr>
      </w:pPr>
      <w:r w:rsidRPr="70C75828" w:rsidR="00EF7B20">
        <w:rPr>
          <w:rFonts w:ascii="Arial" w:hAnsi="Arial" w:eastAsia="Arial" w:cs="Arial"/>
          <w:b w:val="1"/>
          <w:bCs w:val="1"/>
          <w:sz w:val="22"/>
          <w:szCs w:val="22"/>
        </w:rPr>
        <w:t>Date :</w:t>
      </w:r>
      <w:r w:rsidRPr="70C75828" w:rsidR="00EF7B20">
        <w:rPr>
          <w:rFonts w:ascii="Arial" w:hAnsi="Arial" w:eastAsia="Arial" w:cs="Arial"/>
          <w:b w:val="1"/>
          <w:bCs w:val="1"/>
          <w:sz w:val="22"/>
          <w:szCs w:val="22"/>
        </w:rPr>
        <w:t>27</w:t>
      </w:r>
      <w:r w:rsidRPr="70C75828" w:rsidR="00EF7B20">
        <w:rPr>
          <w:rFonts w:ascii="Arial" w:hAnsi="Arial" w:eastAsia="Arial" w:cs="Arial"/>
          <w:b w:val="1"/>
          <w:bCs w:val="1"/>
          <w:sz w:val="22"/>
          <w:szCs w:val="22"/>
        </w:rPr>
        <w:t>/0</w:t>
      </w:r>
      <w:r w:rsidRPr="70C75828" w:rsidR="00EF7B20">
        <w:rPr>
          <w:rFonts w:ascii="Arial" w:hAnsi="Arial" w:eastAsia="Arial" w:cs="Arial"/>
          <w:b w:val="1"/>
          <w:bCs w:val="1"/>
          <w:sz w:val="22"/>
          <w:szCs w:val="22"/>
        </w:rPr>
        <w:t>3</w:t>
      </w:r>
      <w:r w:rsidRPr="70C75828" w:rsidR="00EF7B20">
        <w:rPr>
          <w:rFonts w:ascii="Arial" w:hAnsi="Arial" w:eastAsia="Arial" w:cs="Arial"/>
          <w:b w:val="1"/>
          <w:bCs w:val="1"/>
          <w:sz w:val="22"/>
          <w:szCs w:val="22"/>
        </w:rPr>
        <w:t>/2026</w:t>
      </w:r>
    </w:p>
    <w:p w:rsidR="00EF7B20" w:rsidP="70C75828" w:rsidRDefault="00EF7B20" w14:paraId="0C78FC60" w14:textId="77777777">
      <w:pPr>
        <w:pStyle w:val="Normal"/>
        <w:jc w:val="both"/>
        <w:rPr>
          <w:rFonts w:ascii="" w:hAnsi="" w:asciiTheme="minorBidi" w:hAnsiTheme="minorBidi"/>
          <w:sz w:val="28"/>
          <w:szCs w:val="28"/>
        </w:rPr>
      </w:pPr>
      <w:r w:rsidRPr="70C75828" w:rsidR="00EF7B20">
        <w:rPr>
          <w:rFonts w:ascii="" w:hAnsi="" w:asciiTheme="minorBidi" w:hAnsiTheme="minorBidi"/>
          <w:sz w:val="28"/>
          <w:szCs w:val="28"/>
        </w:rPr>
        <w:t xml:space="preserve">    </w:t>
      </w:r>
    </w:p>
    <w:p w:rsidR="00EF7B20" w:rsidP="00EF7B20" w:rsidRDefault="00EF7B20" w14:paraId="1876A773" w14:textId="77777777">
      <w:pPr>
        <w:jc w:val="both"/>
        <w:rPr>
          <w:rFonts w:asciiTheme="minorBidi" w:hAnsiTheme="minorBidi"/>
          <w:sz w:val="28"/>
          <w:szCs w:val="28"/>
        </w:rPr>
      </w:pPr>
    </w:p>
    <w:p w:rsidR="00EF7B20" w:rsidP="00EF7B20" w:rsidRDefault="00EF7B20" w14:paraId="1B029F93" w14:textId="77777777">
      <w:pPr>
        <w:jc w:val="both"/>
        <w:rPr>
          <w:rFonts w:asciiTheme="minorBidi" w:hAnsiTheme="minorBidi"/>
          <w:sz w:val="28"/>
          <w:szCs w:val="28"/>
        </w:rPr>
      </w:pPr>
    </w:p>
    <w:p w:rsidR="007B3F50" w:rsidP="007B3F50" w:rsidRDefault="007B3F50" w14:paraId="1AA1A7EE" w14:textId="77777777">
      <w:pPr>
        <w:spacing w:line="360" w:lineRule="auto"/>
        <w:rPr>
          <w:rFonts w:ascii="Arial" w:hAnsi="Arial"/>
        </w:rPr>
      </w:pPr>
    </w:p>
    <w:p w:rsidR="007B3F50" w:rsidP="007B3F50" w:rsidRDefault="007B3F50" w14:paraId="0351D62A" w14:textId="77777777">
      <w:pPr>
        <w:spacing w:line="360" w:lineRule="auto"/>
        <w:rPr>
          <w:rFonts w:ascii="Arial" w:hAnsi="Arial"/>
        </w:rPr>
      </w:pPr>
    </w:p>
    <w:p w:rsidR="007B3F50" w:rsidP="007B3F50" w:rsidRDefault="007B3F50" w14:paraId="75440FF9" w14:textId="77777777">
      <w:pPr>
        <w:spacing w:line="360" w:lineRule="auto"/>
        <w:rPr>
          <w:rFonts w:ascii="Arial" w:hAnsi="Arial"/>
        </w:rPr>
      </w:pPr>
    </w:p>
    <w:p w:rsidR="007B3F50" w:rsidP="007B3F50" w:rsidRDefault="007B3F50" w14:paraId="76CA3C66" w14:textId="77777777">
      <w:pPr>
        <w:spacing w:line="360" w:lineRule="auto"/>
        <w:rPr>
          <w:rFonts w:ascii="Arial" w:hAnsi="Arial"/>
        </w:rPr>
      </w:pPr>
    </w:p>
    <w:p w:rsidR="007B3F50" w:rsidP="007B3F50" w:rsidRDefault="007B3F50" w14:paraId="7ABEDF62" w14:textId="77777777">
      <w:pPr>
        <w:spacing w:line="360" w:lineRule="auto"/>
        <w:rPr>
          <w:rFonts w:ascii="Arial" w:hAnsi="Arial"/>
        </w:rPr>
      </w:pPr>
    </w:p>
    <w:p w:rsidR="007B3F50" w:rsidP="007B3F50" w:rsidRDefault="007B3F50" w14:paraId="3AB4862B" w14:textId="77777777">
      <w:pPr>
        <w:spacing w:line="360" w:lineRule="auto"/>
        <w:rPr>
          <w:rFonts w:ascii="Arial" w:hAnsi="Arial"/>
        </w:rPr>
      </w:pPr>
    </w:p>
    <w:p w:rsidR="007B3F50" w:rsidP="007B3F50" w:rsidRDefault="007B3F50" w14:paraId="266C9B5C" w14:textId="77777777">
      <w:pPr>
        <w:spacing w:line="360" w:lineRule="auto"/>
        <w:rPr>
          <w:rFonts w:ascii="Arial" w:hAnsi="Arial"/>
        </w:rPr>
      </w:pPr>
    </w:p>
    <w:p w:rsidR="007B3F50" w:rsidP="007B3F50" w:rsidRDefault="007B3F50" w14:paraId="65A531C7" w14:textId="77777777">
      <w:pPr>
        <w:spacing w:line="360" w:lineRule="auto"/>
        <w:rPr>
          <w:rFonts w:ascii="Arial" w:hAnsi="Arial"/>
        </w:rPr>
      </w:pPr>
    </w:p>
    <w:p w:rsidR="007B3F50" w:rsidP="007B3F50" w:rsidRDefault="007B3F50" w14:paraId="265ECC75" w14:textId="77777777">
      <w:pPr>
        <w:spacing w:line="360" w:lineRule="auto"/>
        <w:rPr>
          <w:rFonts w:ascii="Arial" w:hAnsi="Arial"/>
        </w:rPr>
      </w:pPr>
    </w:p>
    <w:p w:rsidR="007B3F50" w:rsidP="007B3F50" w:rsidRDefault="007B3F50" w14:paraId="48A5A88C" w14:textId="77777777">
      <w:pPr>
        <w:spacing w:line="360" w:lineRule="auto"/>
        <w:rPr>
          <w:rFonts w:ascii="Arial" w:hAnsi="Arial"/>
        </w:rPr>
      </w:pPr>
    </w:p>
    <w:p w:rsidR="007B3F50" w:rsidP="007B3F50" w:rsidRDefault="007B3F50" w14:paraId="298441E7" w14:textId="77777777">
      <w:pPr>
        <w:spacing w:line="360" w:lineRule="auto"/>
        <w:rPr>
          <w:rFonts w:ascii="Arial" w:hAnsi="Arial"/>
        </w:rPr>
      </w:pPr>
    </w:p>
    <w:p w:rsidR="007B3F50" w:rsidP="007B3F50" w:rsidRDefault="007B3F50" w14:paraId="3EBBB821" w14:textId="77777777">
      <w:pPr>
        <w:spacing w:line="360" w:lineRule="auto"/>
        <w:rPr>
          <w:rFonts w:ascii="Arial" w:hAnsi="Arial"/>
        </w:rPr>
      </w:pPr>
    </w:p>
    <w:p w:rsidR="007B3F50" w:rsidP="007B3F50" w:rsidRDefault="007B3F50" w14:paraId="3417F82A" w14:textId="77777777">
      <w:pPr>
        <w:spacing w:line="360" w:lineRule="auto"/>
        <w:rPr>
          <w:rFonts w:ascii="Arial" w:hAnsi="Arial"/>
        </w:rPr>
      </w:pPr>
    </w:p>
    <w:p w:rsidR="007B3F50" w:rsidP="007B3F50" w:rsidRDefault="007B3F50" w14:paraId="67A3AE51" w14:textId="77777777">
      <w:pPr>
        <w:spacing w:line="360" w:lineRule="auto"/>
        <w:rPr>
          <w:rFonts w:ascii="Arial" w:hAnsi="Arial"/>
        </w:rPr>
      </w:pPr>
    </w:p>
    <w:p w:rsidR="007B3F50" w:rsidP="007B3F50" w:rsidRDefault="007B3F50" w14:paraId="321724DA" w14:textId="77777777">
      <w:pPr>
        <w:spacing w:line="360" w:lineRule="auto"/>
        <w:rPr>
          <w:rFonts w:ascii="Arial" w:hAnsi="Arial"/>
        </w:rPr>
      </w:pPr>
    </w:p>
    <w:p w:rsidR="007B3F50" w:rsidP="007B3F50" w:rsidRDefault="007B3F50" w14:paraId="7DA55306" w14:textId="77777777">
      <w:pPr>
        <w:spacing w:line="360" w:lineRule="auto"/>
        <w:rPr>
          <w:rFonts w:ascii="Arial" w:hAnsi="Arial"/>
        </w:rPr>
      </w:pPr>
    </w:p>
    <w:p w:rsidR="007B3F50" w:rsidP="007B3F50" w:rsidRDefault="007B3F50" w14:paraId="1E0B80D6" w14:textId="77777777">
      <w:pPr>
        <w:spacing w:line="360" w:lineRule="auto"/>
        <w:rPr>
          <w:rFonts w:ascii="Arial" w:hAnsi="Arial"/>
        </w:rPr>
      </w:pPr>
    </w:p>
    <w:p w:rsidR="007B3F50" w:rsidP="007B3F50" w:rsidRDefault="007B3F50" w14:paraId="3596D613" w14:textId="77777777">
      <w:pPr>
        <w:spacing w:line="360" w:lineRule="auto"/>
        <w:rPr>
          <w:rFonts w:ascii="Arial" w:hAnsi="Arial"/>
        </w:rPr>
      </w:pPr>
    </w:p>
    <w:p w:rsidR="007B3F50" w:rsidP="007B3F50" w:rsidRDefault="007B3F50" w14:paraId="5D396041" w14:textId="77777777">
      <w:pPr>
        <w:spacing w:line="360" w:lineRule="auto"/>
        <w:rPr>
          <w:rFonts w:ascii="Arial" w:hAnsi="Arial"/>
        </w:rPr>
      </w:pPr>
    </w:p>
    <w:p w:rsidR="007B3F50" w:rsidP="007B3F50" w:rsidRDefault="007B3F50" w14:paraId="7E2A4676" w14:textId="77777777">
      <w:pPr>
        <w:spacing w:line="360" w:lineRule="auto"/>
        <w:rPr>
          <w:rFonts w:ascii="Arial" w:hAnsi="Arial"/>
        </w:rPr>
      </w:pPr>
    </w:p>
    <w:p w:rsidR="007B3F50" w:rsidP="007B3F50" w:rsidRDefault="007B3F50" w14:paraId="7F0BAFF1" w14:textId="77777777">
      <w:pPr>
        <w:spacing w:line="360" w:lineRule="auto"/>
        <w:rPr>
          <w:rFonts w:ascii="Arial" w:hAnsi="Arial"/>
        </w:rPr>
      </w:pPr>
    </w:p>
    <w:sdt>
      <w:sdtPr>
        <w:id w:val="1157413588"/>
        <w:docPartObj>
          <w:docPartGallery w:val="Table of Contents"/>
          <w:docPartUnique/>
        </w:docPartObj>
        <w:rPr>
          <w:rFonts w:ascii="Arial" w:hAnsi="Arial" w:eastAsia="Arial" w:cs="Arial"/>
          <w:color w:val="auto"/>
          <w:kern w:val="2"/>
          <w:sz w:val="22"/>
          <w:szCs w:val="22"/>
          <w:lang w:val="en-GB"/>
          <w14:ligatures w14:val="standardContextual"/>
        </w:rPr>
      </w:sdtPr>
      <w:sdtEndPr>
        <w:rPr>
          <w:rFonts w:ascii="Times New Roman" w:hAnsi="Times New Roman" w:eastAsia="Calibri" w:cs="" w:eastAsiaTheme="minorAscii" w:cstheme="minorBidi"/>
          <w:b w:val="1"/>
          <w:bCs w:val="1"/>
          <w:noProof/>
          <w:color w:val="auto"/>
          <w:sz w:val="24"/>
          <w:szCs w:val="24"/>
          <w:lang w:val="en-GB"/>
        </w:rPr>
      </w:sdtEndPr>
      <w:sdtContent>
        <w:p w:rsidR="007B3F50" w:rsidP="70C75828" w:rsidRDefault="007B3F50" w14:paraId="51CF78B9" w14:textId="41B6F267">
          <w:pPr>
            <w:pStyle w:val="TOCHeading"/>
            <w:rPr>
              <w:rFonts w:ascii="Arial" w:hAnsi="Arial" w:eastAsia="Arial" w:cs="Arial"/>
              <w:sz w:val="22"/>
              <w:szCs w:val="22"/>
            </w:rPr>
          </w:pPr>
          <w:r w:rsidR="007B3F50">
            <w:rPr/>
            <w:t>Table of Contents</w:t>
          </w:r>
        </w:p>
        <w:p w:rsidR="007B3F50" w:rsidP="70C75828" w:rsidRDefault="007B3F50" w14:paraId="2FD76E52" w14:textId="68E20F0C">
          <w:pPr>
            <w:pStyle w:val="TOC2"/>
            <w:tabs>
              <w:tab w:val="right" w:leader="dot" w:pos="9016"/>
            </w:tabs>
            <w:rPr>
              <w:rFonts w:ascii="Arial" w:hAnsi="Arial" w:eastAsia="Arial" w:cs="Arial"/>
              <w:noProof/>
              <w:sz w:val="22"/>
              <w:szCs w:val="22"/>
            </w:rPr>
          </w:pPr>
          <w:r>
            <w:fldChar w:fldCharType="begin"/>
          </w:r>
          <w:r>
            <w:instrText xml:space="preserve"> TOC \o "1-3" \h \z \u </w:instrText>
          </w:r>
          <w:r>
            <w:fldChar w:fldCharType="separate"/>
          </w:r>
          <w:hyperlink w:history="1" w:anchor="_Toc224048529">
            <w:r w:rsidRPr="00925DAE" w:rsidR="007B3F50">
              <w:rPr>
                <w:rStyle w:val="Hyperlink"/>
                <w:noProof/>
              </w:rPr>
              <w:t>Introduction</w:t>
            </w:r>
            <w:r>
              <w:rPr>
                <w:noProof/>
                <w:webHidden/>
              </w:rPr>
              <w:tab/>
            </w:r>
            <w:r>
              <w:rPr>
                <w:noProof/>
                <w:webHidden/>
              </w:rPr>
              <w:fldChar w:fldCharType="begin"/>
            </w:r>
            <w:r>
              <w:rPr>
                <w:noProof/>
                <w:webHidden/>
              </w:rPr>
              <w:instrText xml:space="preserve"> PAGEREF _Toc224048529 \h </w:instrText>
            </w:r>
            <w:r>
              <w:rPr>
                <w:noProof/>
                <w:webHidden/>
              </w:rPr>
            </w:r>
            <w:r>
              <w:rPr>
                <w:noProof/>
                <w:webHidden/>
              </w:rPr>
              <w:fldChar w:fldCharType="separate"/>
            </w:r>
            <w:r w:rsidR="007B3F50">
              <w:rPr>
                <w:noProof/>
                <w:webHidden/>
              </w:rPr>
              <w:t>2</w:t>
            </w:r>
            <w:r>
              <w:rPr>
                <w:noProof/>
                <w:webHidden/>
              </w:rPr>
              <w:fldChar w:fldCharType="end"/>
            </w:r>
          </w:hyperlink>
        </w:p>
        <w:p w:rsidR="007B3F50" w:rsidP="70C75828" w:rsidRDefault="007B3F50" w14:paraId="76AFFBE1" w14:textId="0C31047A">
          <w:pPr>
            <w:pStyle w:val="TOC2"/>
            <w:tabs>
              <w:tab w:val="right" w:leader="dot" w:pos="9016"/>
            </w:tabs>
            <w:rPr>
              <w:rFonts w:ascii="Arial" w:hAnsi="Arial" w:eastAsia="Arial" w:cs="Arial"/>
              <w:noProof/>
              <w:sz w:val="22"/>
              <w:szCs w:val="22"/>
            </w:rPr>
          </w:pPr>
          <w:hyperlink w:history="1" w:anchor="_Toc224048530">
            <w:r w:rsidRPr="00925DAE" w:rsidR="007B3F50">
              <w:rPr>
                <w:rStyle w:val="Hyperlink"/>
                <w:rFonts w:ascii="Arial" w:hAnsi="Arial"/>
                <w:noProof/>
              </w:rPr>
              <w:t>Communication Effectiveness in the Care of Mr Ahmed</w:t>
            </w:r>
            <w:r>
              <w:rPr>
                <w:noProof/>
                <w:webHidden/>
              </w:rPr>
              <w:tab/>
            </w:r>
            <w:r>
              <w:rPr>
                <w:noProof/>
                <w:webHidden/>
              </w:rPr>
              <w:fldChar w:fldCharType="begin"/>
            </w:r>
            <w:r>
              <w:rPr>
                <w:noProof/>
                <w:webHidden/>
              </w:rPr>
              <w:instrText xml:space="preserve"> PAGEREF _Toc224048530 \h </w:instrText>
            </w:r>
            <w:r>
              <w:rPr>
                <w:noProof/>
                <w:webHidden/>
              </w:rPr>
            </w:r>
            <w:r>
              <w:rPr>
                <w:noProof/>
                <w:webHidden/>
              </w:rPr>
              <w:fldChar w:fldCharType="separate"/>
            </w:r>
            <w:r w:rsidR="007B3F50">
              <w:rPr>
                <w:noProof/>
                <w:webHidden/>
              </w:rPr>
              <w:t>2</w:t>
            </w:r>
            <w:r>
              <w:rPr>
                <w:noProof/>
                <w:webHidden/>
              </w:rPr>
              <w:fldChar w:fldCharType="end"/>
            </w:r>
          </w:hyperlink>
        </w:p>
        <w:p w:rsidR="007B3F50" w:rsidP="70C75828" w:rsidRDefault="007B3F50" w14:paraId="585EDA80" w14:textId="4F6EDC24">
          <w:pPr>
            <w:pStyle w:val="TOC2"/>
            <w:tabs>
              <w:tab w:val="right" w:leader="dot" w:pos="9016"/>
            </w:tabs>
            <w:rPr>
              <w:rFonts w:ascii="Arial" w:hAnsi="Arial" w:eastAsia="Arial" w:cs="Arial"/>
              <w:noProof/>
              <w:sz w:val="22"/>
              <w:szCs w:val="22"/>
            </w:rPr>
          </w:pPr>
          <w:hyperlink w:history="1" w:anchor="_Toc224048531">
            <w:r w:rsidRPr="00925DAE" w:rsidR="007B3F50">
              <w:rPr>
                <w:rStyle w:val="Hyperlink"/>
                <w:rFonts w:ascii="Arial" w:hAnsi="Arial"/>
                <w:noProof/>
              </w:rPr>
              <w:t>Administrative skills and record keeping in professional practice</w:t>
            </w:r>
            <w:r>
              <w:rPr>
                <w:noProof/>
                <w:webHidden/>
              </w:rPr>
              <w:tab/>
            </w:r>
            <w:r>
              <w:rPr>
                <w:noProof/>
                <w:webHidden/>
              </w:rPr>
              <w:fldChar w:fldCharType="begin"/>
            </w:r>
            <w:r>
              <w:rPr>
                <w:noProof/>
                <w:webHidden/>
              </w:rPr>
              <w:instrText xml:space="preserve"> PAGEREF _Toc224048531 \h </w:instrText>
            </w:r>
            <w:r>
              <w:rPr>
                <w:noProof/>
                <w:webHidden/>
              </w:rPr>
            </w:r>
            <w:r>
              <w:rPr>
                <w:noProof/>
                <w:webHidden/>
              </w:rPr>
              <w:fldChar w:fldCharType="separate"/>
            </w:r>
            <w:r w:rsidR="007B3F50">
              <w:rPr>
                <w:noProof/>
                <w:webHidden/>
              </w:rPr>
              <w:t>4</w:t>
            </w:r>
            <w:r>
              <w:rPr>
                <w:noProof/>
                <w:webHidden/>
              </w:rPr>
              <w:fldChar w:fldCharType="end"/>
            </w:r>
          </w:hyperlink>
        </w:p>
        <w:p w:rsidR="007B3F50" w:rsidP="70C75828" w:rsidRDefault="007B3F50" w14:paraId="49F152C4" w14:textId="7FAC545A">
          <w:pPr>
            <w:pStyle w:val="TOC2"/>
            <w:tabs>
              <w:tab w:val="right" w:leader="dot" w:pos="9016"/>
            </w:tabs>
            <w:rPr>
              <w:rFonts w:ascii="Arial" w:hAnsi="Arial" w:eastAsia="Arial" w:cs="Arial"/>
              <w:noProof/>
              <w:sz w:val="22"/>
              <w:szCs w:val="22"/>
            </w:rPr>
          </w:pPr>
          <w:hyperlink w:history="1" w:anchor="_Toc224048532">
            <w:r w:rsidRPr="00925DAE" w:rsidR="007B3F50">
              <w:rPr>
                <w:rStyle w:val="Hyperlink"/>
                <w:rFonts w:ascii="Arial" w:hAnsi="Arial"/>
                <w:noProof/>
              </w:rPr>
              <w:t>Teamwork in the Practice of Mr Ahmed</w:t>
            </w:r>
            <w:r>
              <w:rPr>
                <w:noProof/>
                <w:webHidden/>
              </w:rPr>
              <w:tab/>
            </w:r>
            <w:r>
              <w:rPr>
                <w:noProof/>
                <w:webHidden/>
              </w:rPr>
              <w:fldChar w:fldCharType="begin"/>
            </w:r>
            <w:r>
              <w:rPr>
                <w:noProof/>
                <w:webHidden/>
              </w:rPr>
              <w:instrText xml:space="preserve"> PAGEREF _Toc224048532 \h </w:instrText>
            </w:r>
            <w:r>
              <w:rPr>
                <w:noProof/>
                <w:webHidden/>
              </w:rPr>
            </w:r>
            <w:r>
              <w:rPr>
                <w:noProof/>
                <w:webHidden/>
              </w:rPr>
              <w:fldChar w:fldCharType="separate"/>
            </w:r>
            <w:r w:rsidR="007B3F50">
              <w:rPr>
                <w:noProof/>
                <w:webHidden/>
              </w:rPr>
              <w:t>5</w:t>
            </w:r>
            <w:r>
              <w:rPr>
                <w:noProof/>
                <w:webHidden/>
              </w:rPr>
              <w:fldChar w:fldCharType="end"/>
            </w:r>
          </w:hyperlink>
        </w:p>
        <w:p w:rsidR="007B3F50" w:rsidP="70C75828" w:rsidRDefault="007B3F50" w14:paraId="4A01031E" w14:textId="04F5DB69">
          <w:pPr>
            <w:pStyle w:val="TOC1"/>
            <w:tabs>
              <w:tab w:val="right" w:leader="dot" w:pos="9016"/>
            </w:tabs>
            <w:rPr>
              <w:rFonts w:ascii="Arial" w:hAnsi="Arial" w:eastAsia="Arial" w:cs="Arial"/>
              <w:noProof/>
              <w:sz w:val="22"/>
              <w:szCs w:val="22"/>
            </w:rPr>
          </w:pPr>
          <w:hyperlink w:history="1" w:anchor="_Toc224048533">
            <w:r w:rsidRPr="00925DAE" w:rsidR="007B3F50">
              <w:rPr>
                <w:rStyle w:val="Hyperlink"/>
                <w:rFonts w:ascii="Arial" w:hAnsi="Arial"/>
                <w:noProof/>
              </w:rPr>
              <w:t>Conclusion</w:t>
            </w:r>
            <w:r>
              <w:rPr>
                <w:noProof/>
                <w:webHidden/>
              </w:rPr>
              <w:tab/>
            </w:r>
            <w:r>
              <w:rPr>
                <w:noProof/>
                <w:webHidden/>
              </w:rPr>
              <w:fldChar w:fldCharType="begin"/>
            </w:r>
            <w:r>
              <w:rPr>
                <w:noProof/>
                <w:webHidden/>
              </w:rPr>
              <w:instrText xml:space="preserve"> PAGEREF _Toc224048533 \h </w:instrText>
            </w:r>
            <w:r>
              <w:rPr>
                <w:noProof/>
                <w:webHidden/>
              </w:rPr>
            </w:r>
            <w:r>
              <w:rPr>
                <w:noProof/>
                <w:webHidden/>
              </w:rPr>
              <w:fldChar w:fldCharType="separate"/>
            </w:r>
            <w:r w:rsidR="007B3F50">
              <w:rPr>
                <w:noProof/>
                <w:webHidden/>
              </w:rPr>
              <w:t>6</w:t>
            </w:r>
            <w:r>
              <w:rPr>
                <w:noProof/>
                <w:webHidden/>
              </w:rPr>
              <w:fldChar w:fldCharType="end"/>
            </w:r>
          </w:hyperlink>
        </w:p>
        <w:p w:rsidR="007B3F50" w:rsidP="70C75828" w:rsidRDefault="007B3F50" w14:paraId="23E16E8A" w14:textId="7ADE7D98">
          <w:pPr>
            <w:pStyle w:val="TOC1"/>
            <w:tabs>
              <w:tab w:val="right" w:leader="dot" w:pos="9016"/>
            </w:tabs>
            <w:rPr>
              <w:rFonts w:ascii="Arial" w:hAnsi="Arial" w:eastAsia="Arial" w:cs="Arial"/>
              <w:noProof/>
              <w:sz w:val="22"/>
              <w:szCs w:val="22"/>
            </w:rPr>
          </w:pPr>
          <w:hyperlink w:history="1" w:anchor="_Toc224048534">
            <w:r w:rsidRPr="00925DAE" w:rsidR="007B3F50">
              <w:rPr>
                <w:rStyle w:val="Hyperlink"/>
                <w:rFonts w:ascii="Arial" w:hAnsi="Arial"/>
                <w:noProof/>
              </w:rPr>
              <w:t>References</w:t>
            </w:r>
            <w:r>
              <w:rPr>
                <w:noProof/>
                <w:webHidden/>
              </w:rPr>
              <w:tab/>
            </w:r>
            <w:r>
              <w:rPr>
                <w:noProof/>
                <w:webHidden/>
              </w:rPr>
              <w:fldChar w:fldCharType="begin"/>
            </w:r>
            <w:r>
              <w:rPr>
                <w:noProof/>
                <w:webHidden/>
              </w:rPr>
              <w:instrText xml:space="preserve"> PAGEREF _Toc224048534 \h </w:instrText>
            </w:r>
            <w:r>
              <w:rPr>
                <w:noProof/>
                <w:webHidden/>
              </w:rPr>
            </w:r>
            <w:r>
              <w:rPr>
                <w:noProof/>
                <w:webHidden/>
              </w:rPr>
              <w:fldChar w:fldCharType="separate"/>
            </w:r>
            <w:r w:rsidR="007B3F50">
              <w:rPr>
                <w:noProof/>
                <w:webHidden/>
              </w:rPr>
              <w:t>7</w:t>
            </w:r>
            <w:r>
              <w:rPr>
                <w:noProof/>
                <w:webHidden/>
              </w:rPr>
              <w:fldChar w:fldCharType="end"/>
            </w:r>
          </w:hyperlink>
        </w:p>
        <w:p w:rsidR="007B3F50" w:rsidP="70C75828" w:rsidRDefault="007B3F50" w14:paraId="1F574439" w14:textId="44851D04">
          <w:pPr>
            <w:rPr>
              <w:rFonts w:ascii="Arial" w:hAnsi="Arial" w:eastAsia="Arial" w:cs="Arial"/>
              <w:sz w:val="22"/>
              <w:szCs w:val="22"/>
            </w:rPr>
          </w:pPr>
          <w:r w:rsidRPr="70C75828">
            <w:rPr>
              <w:b w:val="1"/>
              <w:bCs w:val="1"/>
              <w:noProof/>
            </w:rPr>
            <w:fldChar w:fldCharType="end"/>
          </w:r>
        </w:p>
      </w:sdtContent>
    </w:sdt>
    <w:p w:rsidR="007B3F50" w:rsidP="70C75828" w:rsidRDefault="007B3F50" w14:paraId="475AD596" w14:textId="77777777">
      <w:pPr>
        <w:spacing w:line="360" w:lineRule="auto"/>
        <w:rPr>
          <w:rFonts w:ascii="Arial" w:hAnsi="Arial" w:eastAsia="Arial" w:cs="Arial"/>
          <w:sz w:val="22"/>
          <w:szCs w:val="22"/>
        </w:rPr>
      </w:pPr>
    </w:p>
    <w:p w:rsidR="007B3F50" w:rsidP="70C75828" w:rsidRDefault="007B3F50" w14:paraId="322B6839" w14:textId="77777777">
      <w:pPr>
        <w:spacing w:line="360" w:lineRule="auto"/>
        <w:rPr>
          <w:rFonts w:ascii="Arial" w:hAnsi="Arial" w:eastAsia="Arial" w:cs="Arial"/>
          <w:sz w:val="22"/>
          <w:szCs w:val="22"/>
        </w:rPr>
      </w:pPr>
    </w:p>
    <w:p w:rsidR="007B3F50" w:rsidP="70C75828" w:rsidRDefault="007B3F50" w14:paraId="23F2872F" w14:textId="77777777">
      <w:pPr>
        <w:spacing w:line="360" w:lineRule="auto"/>
        <w:rPr>
          <w:rFonts w:ascii="Arial" w:hAnsi="Arial" w:eastAsia="Arial" w:cs="Arial"/>
          <w:sz w:val="22"/>
          <w:szCs w:val="22"/>
        </w:rPr>
      </w:pPr>
    </w:p>
    <w:p w:rsidR="007B3F50" w:rsidP="70C75828" w:rsidRDefault="007B3F50" w14:paraId="5750E85D" w14:textId="77777777">
      <w:pPr>
        <w:spacing w:line="360" w:lineRule="auto"/>
        <w:rPr>
          <w:rFonts w:ascii="Arial" w:hAnsi="Arial" w:eastAsia="Arial" w:cs="Arial"/>
          <w:sz w:val="22"/>
          <w:szCs w:val="22"/>
        </w:rPr>
      </w:pPr>
    </w:p>
    <w:p w:rsidR="007B3F50" w:rsidP="70C75828" w:rsidRDefault="007B3F50" w14:paraId="28DD8C74" w14:textId="77777777">
      <w:pPr>
        <w:spacing w:line="360" w:lineRule="auto"/>
        <w:rPr>
          <w:rFonts w:ascii="Arial" w:hAnsi="Arial" w:eastAsia="Arial" w:cs="Arial"/>
          <w:sz w:val="22"/>
          <w:szCs w:val="22"/>
        </w:rPr>
      </w:pPr>
    </w:p>
    <w:p w:rsidR="007B3F50" w:rsidP="70C75828" w:rsidRDefault="007B3F50" w14:paraId="39F33E2B" w14:textId="77777777">
      <w:pPr>
        <w:spacing w:line="360" w:lineRule="auto"/>
        <w:rPr>
          <w:rFonts w:ascii="Arial" w:hAnsi="Arial" w:eastAsia="Arial" w:cs="Arial"/>
          <w:sz w:val="22"/>
          <w:szCs w:val="22"/>
        </w:rPr>
      </w:pPr>
    </w:p>
    <w:p w:rsidR="007B3F50" w:rsidP="70C75828" w:rsidRDefault="007B3F50" w14:paraId="37280E15" w14:textId="77777777">
      <w:pPr>
        <w:spacing w:line="360" w:lineRule="auto"/>
        <w:rPr>
          <w:rFonts w:ascii="Arial" w:hAnsi="Arial" w:eastAsia="Arial" w:cs="Arial"/>
          <w:sz w:val="22"/>
          <w:szCs w:val="22"/>
        </w:rPr>
      </w:pPr>
    </w:p>
    <w:p w:rsidR="007B3F50" w:rsidP="70C75828" w:rsidRDefault="007B3F50" w14:paraId="19AE0A18" w14:textId="77777777">
      <w:pPr>
        <w:spacing w:line="360" w:lineRule="auto"/>
        <w:rPr>
          <w:rFonts w:ascii="Arial" w:hAnsi="Arial" w:eastAsia="Arial" w:cs="Arial"/>
          <w:sz w:val="22"/>
          <w:szCs w:val="22"/>
        </w:rPr>
      </w:pPr>
    </w:p>
    <w:p w:rsidR="007B3F50" w:rsidP="70C75828" w:rsidRDefault="007B3F50" w14:paraId="0ABB9C40" w14:textId="77777777">
      <w:pPr>
        <w:spacing w:line="360" w:lineRule="auto"/>
        <w:rPr>
          <w:rFonts w:ascii="Arial" w:hAnsi="Arial" w:eastAsia="Arial" w:cs="Arial"/>
          <w:sz w:val="22"/>
          <w:szCs w:val="22"/>
        </w:rPr>
      </w:pPr>
    </w:p>
    <w:p w:rsidR="007B3F50" w:rsidP="70C75828" w:rsidRDefault="007B3F50" w14:paraId="0470B76F" w14:textId="77777777">
      <w:pPr>
        <w:spacing w:line="360" w:lineRule="auto"/>
        <w:rPr>
          <w:rFonts w:ascii="Arial" w:hAnsi="Arial" w:eastAsia="Arial" w:cs="Arial"/>
          <w:sz w:val="22"/>
          <w:szCs w:val="22"/>
        </w:rPr>
      </w:pPr>
    </w:p>
    <w:p w:rsidR="007B3F50" w:rsidP="70C75828" w:rsidRDefault="007B3F50" w14:paraId="1523B79A" w14:textId="77777777">
      <w:pPr>
        <w:spacing w:line="360" w:lineRule="auto"/>
        <w:rPr>
          <w:rFonts w:ascii="Arial" w:hAnsi="Arial" w:eastAsia="Arial" w:cs="Arial"/>
          <w:sz w:val="22"/>
          <w:szCs w:val="22"/>
        </w:rPr>
      </w:pPr>
    </w:p>
    <w:p w:rsidR="007B3F50" w:rsidP="70C75828" w:rsidRDefault="007B3F50" w14:paraId="48D84D5F" w14:textId="77777777">
      <w:pPr>
        <w:spacing w:line="360" w:lineRule="auto"/>
        <w:rPr>
          <w:rFonts w:ascii="Arial" w:hAnsi="Arial" w:eastAsia="Arial" w:cs="Arial"/>
          <w:sz w:val="22"/>
          <w:szCs w:val="22"/>
        </w:rPr>
      </w:pPr>
    </w:p>
    <w:p w:rsidR="007B3F50" w:rsidP="70C75828" w:rsidRDefault="007B3F50" w14:paraId="0DC6521A" w14:textId="77777777">
      <w:pPr>
        <w:spacing w:line="360" w:lineRule="auto"/>
        <w:rPr>
          <w:rFonts w:ascii="Arial" w:hAnsi="Arial" w:eastAsia="Arial" w:cs="Arial"/>
          <w:sz w:val="22"/>
          <w:szCs w:val="22"/>
        </w:rPr>
      </w:pPr>
    </w:p>
    <w:p w:rsidR="007B3F50" w:rsidP="70C75828" w:rsidRDefault="007B3F50" w14:paraId="5C917277" w14:textId="77777777">
      <w:pPr>
        <w:spacing w:line="360" w:lineRule="auto"/>
        <w:rPr>
          <w:rFonts w:ascii="Arial" w:hAnsi="Arial" w:eastAsia="Arial" w:cs="Arial"/>
          <w:sz w:val="22"/>
          <w:szCs w:val="22"/>
        </w:rPr>
      </w:pPr>
    </w:p>
    <w:p w:rsidR="007B3F50" w:rsidP="70C75828" w:rsidRDefault="007B3F50" w14:paraId="75391D63" w14:textId="77777777">
      <w:pPr>
        <w:spacing w:line="360" w:lineRule="auto"/>
        <w:rPr>
          <w:rFonts w:ascii="Arial" w:hAnsi="Arial" w:eastAsia="Arial" w:cs="Arial"/>
          <w:sz w:val="22"/>
          <w:szCs w:val="22"/>
        </w:rPr>
      </w:pPr>
    </w:p>
    <w:p w:rsidR="007B3F50" w:rsidP="70C75828" w:rsidRDefault="007B3F50" w14:paraId="7D82B0FE" w14:textId="77777777">
      <w:pPr>
        <w:spacing w:line="360" w:lineRule="auto"/>
        <w:rPr>
          <w:rFonts w:ascii="Arial" w:hAnsi="Arial" w:eastAsia="Arial" w:cs="Arial"/>
          <w:sz w:val="22"/>
          <w:szCs w:val="22"/>
        </w:rPr>
      </w:pPr>
    </w:p>
    <w:p w:rsidR="007B3F50" w:rsidP="70C75828" w:rsidRDefault="007B3F50" w14:paraId="00335B65" w14:textId="77777777">
      <w:pPr>
        <w:spacing w:line="360" w:lineRule="auto"/>
        <w:rPr>
          <w:rFonts w:ascii="Arial" w:hAnsi="Arial" w:eastAsia="Arial" w:cs="Arial"/>
          <w:sz w:val="22"/>
          <w:szCs w:val="22"/>
        </w:rPr>
      </w:pPr>
    </w:p>
    <w:p w:rsidR="007B3F50" w:rsidP="70C75828" w:rsidRDefault="007B3F50" w14:paraId="690BFB51" w14:textId="77777777">
      <w:pPr>
        <w:spacing w:line="360" w:lineRule="auto"/>
        <w:rPr>
          <w:rFonts w:ascii="Arial" w:hAnsi="Arial" w:eastAsia="Arial" w:cs="Arial"/>
          <w:sz w:val="22"/>
          <w:szCs w:val="22"/>
        </w:rPr>
      </w:pPr>
    </w:p>
    <w:p w:rsidRPr="007B3F50" w:rsidR="007B3F50" w:rsidP="70C75828" w:rsidRDefault="007B3F50" w14:paraId="257222FD" w14:textId="77777777">
      <w:pPr>
        <w:spacing w:line="360" w:lineRule="auto"/>
        <w:rPr>
          <w:rFonts w:ascii="Arial" w:hAnsi="Arial" w:eastAsia="Arial" w:cs="Arial"/>
          <w:sz w:val="22"/>
          <w:szCs w:val="22"/>
        </w:rPr>
      </w:pPr>
    </w:p>
    <w:p w:rsidRPr="007B3F50" w:rsidR="007B3F50" w:rsidP="70C75828" w:rsidRDefault="007B3F50" w14:paraId="4ED4B978" w14:textId="47C436DD">
      <w:pPr>
        <w:pStyle w:val="Heading2"/>
        <w:rPr>
          <w:rFonts w:ascii="Arial" w:hAnsi="Arial" w:eastAsia="Arial" w:cs="Arial"/>
          <w:sz w:val="22"/>
          <w:szCs w:val="22"/>
        </w:rPr>
      </w:pPr>
      <w:bookmarkStart w:name="_Toc224048529" w:id="0"/>
      <w:r w:rsidRPr="70C75828" w:rsidR="007B3F50">
        <w:rPr>
          <w:rFonts w:ascii="Arial" w:hAnsi="Arial" w:eastAsia="Arial" w:cs="Arial"/>
          <w:sz w:val="22"/>
          <w:szCs w:val="22"/>
        </w:rPr>
        <w:t>Introduction</w:t>
      </w:r>
      <w:bookmarkEnd w:id="0"/>
      <w:r w:rsidRPr="70C75828" w:rsidR="007B3F50">
        <w:rPr>
          <w:rFonts w:ascii="Arial" w:hAnsi="Arial" w:eastAsia="Arial" w:cs="Arial"/>
          <w:sz w:val="22"/>
          <w:szCs w:val="22"/>
        </w:rPr>
        <w:t xml:space="preserve"> </w:t>
      </w:r>
    </w:p>
    <w:p w:rsidRPr="007B3F50" w:rsidR="007B3F50" w:rsidP="70C75828" w:rsidRDefault="007B3F50" w14:paraId="51DC16F2" w14:textId="004DE7DA">
      <w:pPr>
        <w:spacing w:line="360" w:lineRule="auto"/>
        <w:rPr>
          <w:rFonts w:ascii="Arial" w:hAnsi="Arial" w:eastAsia="Arial" w:cs="Arial"/>
          <w:sz w:val="22"/>
          <w:szCs w:val="22"/>
        </w:rPr>
      </w:pPr>
      <w:r w:rsidRPr="70C75828" w:rsidR="007B3F50">
        <w:rPr>
          <w:rFonts w:ascii="Arial" w:hAnsi="Arial" w:eastAsia="Arial" w:cs="Arial"/>
          <w:sz w:val="22"/>
          <w:szCs w:val="22"/>
        </w:rPr>
        <w:t xml:space="preserve">Person-centred care is safe and based on interdisciplinary teamwork and effective administration. The use of integrated professional teams is essential in supporting the complex needs in the UK, especially among stroke survivors that are aged. The communication disabilities, cognitive issues, and service dependency </w:t>
      </w:r>
      <w:r w:rsidRPr="70C75828" w:rsidR="007B3F50">
        <w:rPr>
          <w:rFonts w:ascii="Arial" w:hAnsi="Arial" w:eastAsia="Arial" w:cs="Arial"/>
          <w:sz w:val="22"/>
          <w:szCs w:val="22"/>
        </w:rPr>
        <w:t>necessitate</w:t>
      </w:r>
      <w:r w:rsidRPr="70C75828" w:rsidR="007B3F50">
        <w:rPr>
          <w:rFonts w:ascii="Arial" w:hAnsi="Arial" w:eastAsia="Arial" w:cs="Arial"/>
          <w:sz w:val="22"/>
          <w:szCs w:val="22"/>
        </w:rPr>
        <w:t xml:space="preserve"> the Gilmanian, nurse, and therapist cooperation (Langhorne et al., 2020). This need is </w:t>
      </w:r>
      <w:r w:rsidRPr="70C75828" w:rsidR="007B3F50">
        <w:rPr>
          <w:rFonts w:ascii="Arial" w:hAnsi="Arial" w:eastAsia="Arial" w:cs="Arial"/>
          <w:sz w:val="22"/>
          <w:szCs w:val="22"/>
        </w:rPr>
        <w:t>demonstrated</w:t>
      </w:r>
      <w:r w:rsidRPr="70C75828" w:rsidR="007B3F50">
        <w:rPr>
          <w:rFonts w:ascii="Arial" w:hAnsi="Arial" w:eastAsia="Arial" w:cs="Arial"/>
          <w:sz w:val="22"/>
          <w:szCs w:val="22"/>
        </w:rPr>
        <w:t xml:space="preserve"> in the case of Mr Ahmed, a 68-year-old stroke survivor who is on domiciliary care. Poor communication, record-keeping, and collaboration are some of the risks noted based on his limited English and a missed medication incident. This report is the critical analysis of the significance of communication, administrative competence, and multidisciplinary working through the legislation and theory and modern scholarship </w:t>
      </w:r>
      <w:r w:rsidRPr="70C75828" w:rsidR="007B3F50">
        <w:rPr>
          <w:rFonts w:ascii="Arial" w:hAnsi="Arial" w:eastAsia="Arial" w:cs="Arial"/>
          <w:sz w:val="22"/>
          <w:szCs w:val="22"/>
        </w:rPr>
        <w:t>in order to</w:t>
      </w:r>
      <w:r w:rsidRPr="70C75828" w:rsidR="007B3F50">
        <w:rPr>
          <w:rFonts w:ascii="Arial" w:hAnsi="Arial" w:eastAsia="Arial" w:cs="Arial"/>
          <w:sz w:val="22"/>
          <w:szCs w:val="22"/>
        </w:rPr>
        <w:t xml:space="preserve"> provide safe and effective care.</w:t>
      </w:r>
    </w:p>
    <w:p w:rsidRPr="007B3F50" w:rsidR="007B3F50" w:rsidP="70C75828" w:rsidRDefault="007B3F50" w14:paraId="3D77FB04" w14:textId="0E2D2CAE">
      <w:pPr>
        <w:pStyle w:val="Heading2"/>
        <w:spacing w:line="360" w:lineRule="auto"/>
        <w:rPr>
          <w:rFonts w:ascii="Arial" w:hAnsi="Arial" w:eastAsia="Arial" w:cs="Arial"/>
          <w:sz w:val="22"/>
          <w:szCs w:val="22"/>
        </w:rPr>
      </w:pPr>
      <w:bookmarkStart w:name="_Toc224048530" w:id="1"/>
      <w:r w:rsidRPr="70C75828" w:rsidR="007B3F50">
        <w:rPr>
          <w:rFonts w:ascii="Arial" w:hAnsi="Arial" w:eastAsia="Arial" w:cs="Arial"/>
          <w:sz w:val="22"/>
          <w:szCs w:val="22"/>
        </w:rPr>
        <w:t>Communication Effectiveness in the Care of Mr Ahmed</w:t>
      </w:r>
      <w:bookmarkEnd w:id="1"/>
      <w:r w:rsidRPr="70C75828" w:rsidR="007B3F50">
        <w:rPr>
          <w:rFonts w:ascii="Arial" w:hAnsi="Arial" w:eastAsia="Arial" w:cs="Arial"/>
          <w:sz w:val="22"/>
          <w:szCs w:val="22"/>
        </w:rPr>
        <w:t xml:space="preserve"> </w:t>
      </w:r>
    </w:p>
    <w:p w:rsidRPr="007B3F50" w:rsidR="007B3F50" w:rsidP="007B3F50" w:rsidRDefault="007B3F50" w14:paraId="0B4500C6" w14:textId="17E93D38">
      <w:pPr>
        <w:spacing w:line="360" w:lineRule="auto"/>
        <w:rPr>
          <w:rFonts w:ascii="Arial" w:hAnsi="Arial"/>
        </w:rPr>
      </w:pPr>
      <w:r w:rsidRPr="70C75828" w:rsidR="007B3F50">
        <w:rPr>
          <w:rFonts w:ascii="Arial" w:hAnsi="Arial" w:eastAsia="Arial" w:cs="Arial"/>
          <w:sz w:val="22"/>
          <w:szCs w:val="22"/>
        </w:rPr>
        <w:t xml:space="preserve">Communication is critical in health and social care since it </w:t>
      </w:r>
      <w:r w:rsidRPr="70C75828" w:rsidR="007B3F50">
        <w:rPr>
          <w:rFonts w:ascii="Arial" w:hAnsi="Arial" w:eastAsia="Arial" w:cs="Arial"/>
          <w:sz w:val="22"/>
          <w:szCs w:val="22"/>
        </w:rPr>
        <w:t>facilitates</w:t>
      </w:r>
      <w:r w:rsidRPr="70C75828" w:rsidR="007B3F50">
        <w:rPr>
          <w:rFonts w:ascii="Arial" w:hAnsi="Arial" w:eastAsia="Arial" w:cs="Arial"/>
          <w:sz w:val="22"/>
          <w:szCs w:val="22"/>
        </w:rPr>
        <w:t xml:space="preserve"> patient knowledge, allows </w:t>
      </w:r>
      <w:r w:rsidRPr="70C75828" w:rsidR="007B3F50">
        <w:rPr>
          <w:rFonts w:ascii="Arial" w:hAnsi="Arial" w:eastAsia="Arial" w:cs="Arial"/>
          <w:sz w:val="22"/>
          <w:szCs w:val="22"/>
        </w:rPr>
        <w:t>decision-making</w:t>
      </w:r>
      <w:r w:rsidRPr="70C75828" w:rsidR="007B3F50">
        <w:rPr>
          <w:rFonts w:ascii="Arial" w:hAnsi="Arial" w:eastAsia="Arial" w:cs="Arial"/>
          <w:sz w:val="22"/>
          <w:szCs w:val="22"/>
        </w:rPr>
        <w:t xml:space="preserve"> and </w:t>
      </w:r>
      <w:r w:rsidRPr="70C75828" w:rsidR="007B3F50">
        <w:rPr>
          <w:rFonts w:ascii="Arial" w:hAnsi="Arial" w:eastAsia="Arial" w:cs="Arial"/>
          <w:sz w:val="22"/>
          <w:szCs w:val="22"/>
        </w:rPr>
        <w:t>facilitates</w:t>
      </w:r>
      <w:r w:rsidRPr="70C75828" w:rsidR="007B3F50">
        <w:rPr>
          <w:rFonts w:ascii="Arial" w:hAnsi="Arial" w:eastAsia="Arial" w:cs="Arial"/>
          <w:sz w:val="22"/>
          <w:szCs w:val="22"/>
        </w:rPr>
        <w:t xml:space="preserve"> safe practice in clinical settings.</w:t>
      </w:r>
      <w:r w:rsidRPr="70C75828" w:rsidR="007B3F50">
        <w:rPr>
          <w:rFonts w:ascii="Arial" w:hAnsi="Arial"/>
        </w:rPr>
        <w:t xml:space="preserve"> The issue of communication failure is universally acknowledged as one of the primary causes of incidences of patient safety in healthcare systems (O'Daniel and Rosenstein, 2018). Communication is a problem in the case of Mr Ahmed because he is not fluent in English and has speech problems, which are related to a stroke. Stroke survivors also often have experienced aphasia and cognitive limitations that would potentially </w:t>
      </w:r>
      <w:r w:rsidRPr="70C75828" w:rsidR="007B3F50">
        <w:rPr>
          <w:rFonts w:ascii="Arial" w:hAnsi="Arial"/>
        </w:rPr>
        <w:t>impact</w:t>
      </w:r>
      <w:r w:rsidRPr="70C75828" w:rsidR="007B3F50">
        <w:rPr>
          <w:rFonts w:ascii="Arial" w:hAnsi="Arial"/>
        </w:rPr>
        <w:t xml:space="preserve"> their interest in decisions </w:t>
      </w:r>
      <w:r w:rsidRPr="70C75828" w:rsidR="007B3F50">
        <w:rPr>
          <w:rFonts w:ascii="Arial" w:hAnsi="Arial"/>
        </w:rPr>
        <w:t>regarding</w:t>
      </w:r>
      <w:r w:rsidRPr="70C75828" w:rsidR="007B3F50">
        <w:rPr>
          <w:rFonts w:ascii="Arial" w:hAnsi="Arial"/>
        </w:rPr>
        <w:t xml:space="preserve"> their care (Intercollegiate Stroke Working Party, 2023).</w:t>
      </w:r>
    </w:p>
    <w:p w:rsidRPr="007B3F50" w:rsidR="007B3F50" w:rsidP="007B3F50" w:rsidRDefault="007B3F50" w14:paraId="0F0CBBD8" w14:textId="4E7FCD06">
      <w:pPr>
        <w:spacing w:line="360" w:lineRule="auto"/>
        <w:rPr>
          <w:rFonts w:ascii="Arial" w:hAnsi="Arial"/>
        </w:rPr>
      </w:pPr>
      <w:r w:rsidRPr="007B3F50">
        <w:rPr>
          <w:rFonts w:ascii="Arial" w:hAnsi="Arial"/>
        </w:rPr>
        <w:t>The Equality Act 2010 mandates health and social care providers to make sure that people are not discriminated because of language obstacles, disability or cultural heritage. This act stresses on the responsibility of organisations to implement reasonable modifications that facilitate fair accessibility to services. In the case of Mr Ahmed, it can include a professional interpreter or communication assistants so that he is fully involved in the discussion on his treatment and rehabilitation. Even though his wife now liaises with the professionals on his behalf, asking the family members to entirely interpret may affect the accuracy, the confidentiality and patient autonomy (Kaihlanen et al., 2019). As such, the application of trained interpreters or culturally suitable communication tools would be more up to date with the principles of equality and patient-centred care.</w:t>
      </w:r>
    </w:p>
    <w:p w:rsidRPr="007B3F50" w:rsidR="007B3F50" w:rsidP="007B3F50" w:rsidRDefault="007B3F50" w14:paraId="66499F6A" w14:textId="791FA813">
      <w:pPr>
        <w:spacing w:line="360" w:lineRule="auto"/>
        <w:rPr>
          <w:rFonts w:ascii="Arial" w:hAnsi="Arial"/>
        </w:rPr>
      </w:pPr>
      <w:r w:rsidRPr="007B3F50">
        <w:rPr>
          <w:rFonts w:ascii="Arial" w:hAnsi="Arial"/>
        </w:rPr>
        <w:t>The theoretical framework that may be beneficial in interpreting communication in healthcare is a Theory of Communication called the Transactional Model, which highlights the idea of a two-way dynamic communication as being dependent on the situation, resulting feedback, and personal interpretation (West and Turner, 2021). In this model, effective communication implies active listening, clear feedback and responsiveness to the needs of a particular patient. In this case of Mr Ahmed, the healthcare professionals must, therefore, use such strategies like use of simplified language, visual aids and non-verbal communication means to facilitate understanding. It has been demonstrated that the use of the teach-back technique, when a patient repeats information in his/her own words, enhances patient understanding and medication-taking compliance (Tamura-Lis, 2021). This strategy would be beneficial to use in the process of explaining his medication schedules to make sure that Mr Ahmed has a clear understanding of his treatment plan.</w:t>
      </w:r>
    </w:p>
    <w:p w:rsidRPr="007B3F50" w:rsidR="007B3F50" w:rsidP="007B3F50" w:rsidRDefault="007B3F50" w14:paraId="048940A9" w14:textId="779A64F3">
      <w:pPr>
        <w:spacing w:line="360" w:lineRule="auto"/>
        <w:rPr>
          <w:rFonts w:ascii="Arial" w:hAnsi="Arial"/>
        </w:rPr>
      </w:pPr>
      <w:r w:rsidRPr="007B3F50">
        <w:rPr>
          <w:rFonts w:ascii="Arial" w:hAnsi="Arial"/>
        </w:rPr>
        <w:t>Nonetheless, health and social care communication is not only concerned with the transfer of information. Modern healthcare policy is becoming more and more person-centred, with patients and their families being actively involved in the process of decision-making (NHS England, 2023). According to shared decision-making models, effective communication must enable patients instead of making them passive recipients of care (Elwyn et al., 2020). This would entail the active participation of Mr Ahmed in discussions of the rehabilitation goals besides acknowledging that his wife is a supportive caregiver in this situation.</w:t>
      </w:r>
    </w:p>
    <w:p w:rsidRPr="007B3F50" w:rsidR="007B3F50" w:rsidP="007B3F50" w:rsidRDefault="007B3F50" w14:paraId="381B1EEA" w14:textId="56EA5A63">
      <w:pPr>
        <w:spacing w:line="360" w:lineRule="auto"/>
        <w:rPr>
          <w:rFonts w:ascii="Arial" w:hAnsi="Arial"/>
        </w:rPr>
      </w:pPr>
      <w:r w:rsidRPr="007B3F50">
        <w:rPr>
          <w:rFonts w:ascii="Arial" w:hAnsi="Arial"/>
        </w:rPr>
        <w:t>Even with these strategies, effective communication might still be barred by a number of barriers. The cultural disparities, a shortage of time, and a lack of interpreters tend to limit the ways of communication in a healthcare facility (Al Shamsi et al., 2020). It has been proposed in research that medical workers often underrate the influence of language barriers on the results of the treatment process, which can cause a deviation in quality of care. As a result, healthcare organisations are to offer training to staff to be culturally competent in communication and make sure that sufficient resources are available to cater to diverse patient groups.</w:t>
      </w:r>
    </w:p>
    <w:p w:rsidRPr="007B3F50" w:rsidR="007B3F50" w:rsidP="007B3F50" w:rsidRDefault="007B3F50" w14:paraId="0D46208F" w14:textId="1FBDFEF2">
      <w:pPr>
        <w:pStyle w:val="Heading2"/>
        <w:spacing w:line="360" w:lineRule="auto"/>
        <w:rPr>
          <w:rFonts w:ascii="Arial" w:hAnsi="Arial"/>
          <w:sz w:val="24"/>
        </w:rPr>
      </w:pPr>
      <w:bookmarkStart w:name="_Toc224048531" w:id="2"/>
      <w:r w:rsidRPr="007B3F50">
        <w:rPr>
          <w:rFonts w:ascii="Arial" w:hAnsi="Arial"/>
          <w:sz w:val="24"/>
        </w:rPr>
        <w:t>Administrative skills and record keeping in professional practice</w:t>
      </w:r>
      <w:bookmarkEnd w:id="2"/>
      <w:r w:rsidRPr="007B3F50">
        <w:rPr>
          <w:rFonts w:ascii="Arial" w:hAnsi="Arial"/>
          <w:sz w:val="24"/>
        </w:rPr>
        <w:t xml:space="preserve"> </w:t>
      </w:r>
    </w:p>
    <w:p w:rsidRPr="007B3F50" w:rsidR="007B3F50" w:rsidP="007B3F50" w:rsidRDefault="007B3F50" w14:paraId="02C15887" w14:textId="77777777">
      <w:pPr>
        <w:spacing w:line="360" w:lineRule="auto"/>
        <w:rPr>
          <w:rFonts w:ascii="Arial" w:hAnsi="Arial"/>
        </w:rPr>
      </w:pPr>
      <w:r w:rsidRPr="007B3F50">
        <w:rPr>
          <w:rFonts w:ascii="Arial" w:hAnsi="Arial"/>
        </w:rPr>
        <w:t>Administrative competence and proper record-keeping is essential in the field of professional practice in health and social care. The documentation facilitates continuity of care, aids professional communication and enhances accountability. The case of Mr Ahmed, in which the patient missed a domiciliary visit and consequently did not take medicine on time, demonstrates how patient safety can be jeopardized by the administrative mistakes since stroke survivors rely on blood pressure control and secondary prevention (Langhorne et al., 2020). Nursing organizations, including the Nursing and Midwifery Council (NMC) stress the importance of clear and timely documentation that will help to make safe decisions (NMC, 2018). To allow timely identification of problems, the records are to contain the history of medication and therapy progress, as well as absenteeism during appointments.</w:t>
      </w:r>
    </w:p>
    <w:p w:rsidRPr="007B3F50" w:rsidR="007B3F50" w:rsidP="007B3F50" w:rsidRDefault="007B3F50" w14:paraId="4E6DF727" w14:textId="77777777">
      <w:pPr>
        <w:spacing w:line="360" w:lineRule="auto"/>
        <w:rPr>
          <w:rFonts w:ascii="Arial" w:hAnsi="Arial"/>
        </w:rPr>
      </w:pPr>
      <w:r w:rsidRPr="007B3F50">
        <w:rPr>
          <w:rFonts w:ascii="Arial" w:hAnsi="Arial"/>
        </w:rPr>
        <w:t>Laws such as the UK GDPR under the Data Protection Act 2018 provide stringent safeguards on sensitive health information to the extent that only qualified individuals, GPs, nurses, therapists, can access the data of patients (ICO, 2023). Multidisciplinary care involves a challenge in balancing confidentiality with timely information sharing but the Caldicott Principles (DHSC, 2021) give good advice, meaning that patient data is only shared at the point of need and in the best interest of the patient.</w:t>
      </w:r>
    </w:p>
    <w:p w:rsidRPr="007B3F50" w:rsidR="007B3F50" w:rsidP="007B3F50" w:rsidRDefault="007B3F50" w14:paraId="6BAF7147" w14:textId="77777777">
      <w:pPr>
        <w:spacing w:line="360" w:lineRule="auto"/>
        <w:rPr>
          <w:rFonts w:ascii="Arial" w:hAnsi="Arial"/>
        </w:rPr>
      </w:pPr>
      <w:r w:rsidRPr="007B3F50">
        <w:rPr>
          <w:rFonts w:ascii="Arial" w:hAnsi="Arial"/>
        </w:rPr>
        <w:t>Safety is also promoted by the administrative systems as the incident reporting can lead to the creation of a learning culture when mistakes are not directed at individuals and are processed correctly (Vincent and Amalberti, 2019). Nevertheless, the systemic issues, including understaffing, disjointed digital systems, and work overloads, predispose risks of documentation errors (Robertson et al., 2022). These problems point out that failures are more of an organizational aspect than a personal one. To enhance safety and efficiency, it is important that the health and social care organizations invest in integrated electronic health records and staff training to achieve good documentation, communication, and collaboration.</w:t>
      </w:r>
    </w:p>
    <w:p w:rsidRPr="007B3F50" w:rsidR="007B3F50" w:rsidP="007B3F50" w:rsidRDefault="007B3F50" w14:paraId="516B4F90" w14:textId="55A9A9A8">
      <w:pPr>
        <w:spacing w:line="360" w:lineRule="auto"/>
        <w:rPr>
          <w:rFonts w:ascii="Arial" w:hAnsi="Arial"/>
        </w:rPr>
      </w:pPr>
      <w:r w:rsidRPr="007B3F50">
        <w:rPr>
          <w:rFonts w:ascii="Arial" w:hAnsi="Arial"/>
        </w:rPr>
        <w:t>Overall, the case of Mr Ahmed shows that administrative performance, safe information handling and multidisciplinary collaboration are fundamental principles of safe and person-centered care. Systemic barriers and professional standards can be greatly enhanced to improve the outcomes of patients and the quality of healthcare.</w:t>
      </w:r>
    </w:p>
    <w:p w:rsidRPr="007B3F50" w:rsidR="007B3F50" w:rsidP="007B3F50" w:rsidRDefault="007B3F50" w14:paraId="6F75A23E" w14:textId="53B6EEB7">
      <w:pPr>
        <w:pStyle w:val="Heading2"/>
        <w:spacing w:line="360" w:lineRule="auto"/>
        <w:rPr>
          <w:rFonts w:ascii="Arial" w:hAnsi="Arial"/>
          <w:sz w:val="24"/>
        </w:rPr>
      </w:pPr>
      <w:bookmarkStart w:name="_Toc224048532" w:id="3"/>
      <w:r w:rsidRPr="007B3F50">
        <w:rPr>
          <w:rFonts w:ascii="Arial" w:hAnsi="Arial"/>
          <w:sz w:val="24"/>
        </w:rPr>
        <w:t>Teamwork in the Practice of Mr Ahmed</w:t>
      </w:r>
      <w:bookmarkEnd w:id="3"/>
    </w:p>
    <w:p w:rsidRPr="007B3F50" w:rsidR="007B3F50" w:rsidP="007B3F50" w:rsidRDefault="007B3F50" w14:paraId="7BC93E97" w14:textId="77777777">
      <w:pPr>
        <w:spacing w:line="360" w:lineRule="auto"/>
        <w:rPr>
          <w:rFonts w:ascii="Arial" w:hAnsi="Arial"/>
        </w:rPr>
      </w:pPr>
      <w:r w:rsidRPr="007B3F50">
        <w:rPr>
          <w:rFonts w:ascii="Arial" w:hAnsi="Arial"/>
        </w:rPr>
        <w:t>Multidisciplinary working needs to be done in collaboration to provide individuals with complex health needs with holistic and effective care. The stroke rehabilitation process usually involves the contribution of a number of specialists, such as doctors, nurses, therapists and social care providers. There is evidence that multidisciplinary team (MDT) proves to be particularly effective to enhance functional recovery and minimize hospital readmissions in stroke patients (Langhorne et al., 2020).</w:t>
      </w:r>
    </w:p>
    <w:p w:rsidRPr="007B3F50" w:rsidR="007B3F50" w:rsidP="007B3F50" w:rsidRDefault="007B3F50" w14:paraId="4449F7D1" w14:textId="77777777">
      <w:pPr>
        <w:spacing w:line="360" w:lineRule="auto"/>
        <w:rPr>
          <w:rFonts w:ascii="Arial" w:hAnsi="Arial"/>
        </w:rPr>
      </w:pPr>
      <w:r w:rsidRPr="007B3F50">
        <w:rPr>
          <w:rFonts w:ascii="Arial" w:hAnsi="Arial"/>
        </w:rPr>
        <w:t>Collaborative working in the case of Mr Ahmed would include the work of his GP, district nurse, domiciliary care workers and speech and language therapist. Every professional will provide his expertise, which is specialised and facilitates various elements of his recovery. The GP is in charge of medical control, the district nurse is engaged in the control of blood pressure and wound care, the speech and language therapist is involved in communicative and swallowing difficulties, and domiciliary care providers assist in everyday life.</w:t>
      </w:r>
    </w:p>
    <w:p w:rsidRPr="007B3F50" w:rsidR="007B3F50" w:rsidP="007B3F50" w:rsidRDefault="007B3F50" w14:paraId="0C5EAF5C" w14:textId="77777777">
      <w:pPr>
        <w:spacing w:line="360" w:lineRule="auto"/>
        <w:rPr>
          <w:rFonts w:ascii="Arial" w:hAnsi="Arial"/>
        </w:rPr>
      </w:pPr>
      <w:r w:rsidRPr="007B3F50">
        <w:rPr>
          <w:rFonts w:ascii="Arial" w:hAnsi="Arial"/>
        </w:rPr>
        <w:t>Among the key measures to facilitate collaboration, multidisciplinary team meetings should be mentioned where specialists speak about the progress of patients and arrange the course of treatment. Meetings with the MDT would enable the care providers of Mr Ahmed to recognize the problems, like visits missed or medication-related issues and take the necessary steps in a timely manner. Shared digital records also contribute to the implementation of integrated care planning that helps make sure that all professionals involved into the care could receive consistent information (NHS England, 2023).</w:t>
      </w:r>
    </w:p>
    <w:p w:rsidRPr="007B3F50" w:rsidR="007B3F50" w:rsidP="007B3F50" w:rsidRDefault="007B3F50" w14:paraId="115075C3" w14:textId="77777777">
      <w:pPr>
        <w:spacing w:line="360" w:lineRule="auto"/>
        <w:rPr>
          <w:rFonts w:ascii="Arial" w:hAnsi="Arial"/>
        </w:rPr>
      </w:pPr>
      <w:r w:rsidRPr="007B3F50">
        <w:rPr>
          <w:rFonts w:ascii="Arial" w:hAnsi="Arial"/>
        </w:rPr>
        <w:t>Nevertheless, in reality, multi-agency collaboration is not always easy. The communication systems and professional roles might serve as obstacles to effective teamwork due to the differences between organisational cultures (Reeves et al., 2021). To elaborate, domiciliary care workers might not be able to access clinical information as readily as those in healthcare, and hence cause communication gaps. Also, there can be pressure over workload, which can decrease the chances of interprofessional communication.</w:t>
      </w:r>
    </w:p>
    <w:p w:rsidRPr="007B3F50" w:rsidR="007B3F50" w:rsidP="007B3F50" w:rsidRDefault="007B3F50" w14:paraId="7F74E53A" w14:textId="77777777">
      <w:pPr>
        <w:spacing w:line="360" w:lineRule="auto"/>
        <w:rPr>
          <w:rFonts w:ascii="Arial" w:hAnsi="Arial"/>
        </w:rPr>
      </w:pPr>
      <w:r w:rsidRPr="007B3F50">
        <w:rPr>
          <w:rFonts w:ascii="Arial" w:hAnsi="Arial"/>
        </w:rPr>
        <w:t>An example of structured communication tools is SBAR (Situation, Background, Assessment, Recommendation), which have been actively implemented in the healthcare facility environment to enhance a better exchange of information and minimize misunderstandings (Muller et al., 2018). Such tools might help to enhance communication between the professionals engaged in the care of Mr Ahmed and assist them in ensuring that the essential information is exchanged in a timely manner.</w:t>
      </w:r>
    </w:p>
    <w:p w:rsidRPr="007B3F50" w:rsidR="007B3F50" w:rsidP="007B3F50" w:rsidRDefault="007B3F50" w14:paraId="2231A552" w14:textId="34B1A2A1">
      <w:pPr>
        <w:pStyle w:val="Heading1"/>
        <w:spacing w:line="360" w:lineRule="auto"/>
        <w:rPr>
          <w:rFonts w:ascii="Arial" w:hAnsi="Arial"/>
          <w:sz w:val="24"/>
        </w:rPr>
      </w:pPr>
      <w:bookmarkStart w:name="_Toc224048533" w:id="4"/>
      <w:r w:rsidRPr="007B3F50">
        <w:rPr>
          <w:rFonts w:ascii="Arial" w:hAnsi="Arial"/>
          <w:sz w:val="24"/>
        </w:rPr>
        <w:t>Conclusion</w:t>
      </w:r>
      <w:bookmarkEnd w:id="4"/>
      <w:r w:rsidRPr="007B3F50">
        <w:rPr>
          <w:rFonts w:ascii="Arial" w:hAnsi="Arial"/>
          <w:sz w:val="24"/>
        </w:rPr>
        <w:t xml:space="preserve"> </w:t>
      </w:r>
    </w:p>
    <w:p w:rsidRPr="007B3F50" w:rsidR="007B3F50" w:rsidP="007B3F50" w:rsidRDefault="007B3F50" w14:paraId="65A0062A" w14:textId="0FB1D7D4">
      <w:pPr>
        <w:spacing w:line="360" w:lineRule="auto"/>
        <w:rPr>
          <w:rFonts w:ascii="Arial" w:hAnsi="Arial"/>
        </w:rPr>
      </w:pPr>
      <w:r w:rsidRPr="007B3F50">
        <w:rPr>
          <w:rFonts w:ascii="Arial" w:hAnsi="Arial"/>
        </w:rPr>
        <w:t>In this report, the significance of communication, administrative competence, and teamwork during the post-stroke care of Mr Ahmed is mentioned. Efficient communication guarantees patient comprehension, equality, and empowerment, yet language barriers and impairments of stroke require culturally competent care and assistance of interpreters. The delivery of safe care requires proper administration and record keeping as evidenced by an incident of a missed medication. Laws such as Data Protection Act 2018 strengthen the management of information and responsibility. Complex rehabilitation needs are harmonised by multidisciplinary teamwork overcoming organisational challenges. These practices, in combination, promote safer, more effective, and person-centred care, which results in better recovery outcomes and quality of life amongst patients.</w:t>
      </w:r>
    </w:p>
    <w:p w:rsidRPr="007B3F50" w:rsidR="007B3F50" w:rsidP="007B3F50" w:rsidRDefault="007B3F50" w14:paraId="3B891165" w14:textId="77777777">
      <w:pPr>
        <w:spacing w:line="360" w:lineRule="auto"/>
        <w:rPr>
          <w:rFonts w:ascii="Arial" w:hAnsi="Arial"/>
        </w:rPr>
      </w:pPr>
    </w:p>
    <w:p w:rsidRPr="007B3F50" w:rsidR="007B3F50" w:rsidP="007B3F50" w:rsidRDefault="007B3F50" w14:paraId="3A130143" w14:textId="77777777">
      <w:pPr>
        <w:spacing w:line="360" w:lineRule="auto"/>
        <w:rPr>
          <w:rFonts w:ascii="Arial" w:hAnsi="Arial"/>
        </w:rPr>
      </w:pPr>
    </w:p>
    <w:p w:rsidRPr="007B3F50" w:rsidR="007B3F50" w:rsidP="007B3F50" w:rsidRDefault="007B3F50" w14:paraId="35AF0CDC" w14:textId="77777777">
      <w:pPr>
        <w:spacing w:line="360" w:lineRule="auto"/>
        <w:rPr>
          <w:rFonts w:ascii="Arial" w:hAnsi="Arial"/>
        </w:rPr>
      </w:pPr>
    </w:p>
    <w:p w:rsidRPr="007B3F50" w:rsidR="007B3F50" w:rsidP="007B3F50" w:rsidRDefault="007B3F50" w14:paraId="1EFEB98E" w14:textId="77777777">
      <w:pPr>
        <w:spacing w:line="360" w:lineRule="auto"/>
        <w:rPr>
          <w:rFonts w:ascii="Arial" w:hAnsi="Arial"/>
        </w:rPr>
      </w:pPr>
    </w:p>
    <w:p w:rsidRPr="007B3F50" w:rsidR="007B3F50" w:rsidP="007B3F50" w:rsidRDefault="007B3F50" w14:paraId="715C9805" w14:textId="77777777">
      <w:pPr>
        <w:spacing w:line="360" w:lineRule="auto"/>
        <w:rPr>
          <w:rFonts w:ascii="Arial" w:hAnsi="Arial"/>
        </w:rPr>
      </w:pPr>
    </w:p>
    <w:p w:rsidRPr="007B3F50" w:rsidR="007B3F50" w:rsidP="007B3F50" w:rsidRDefault="007B3F50" w14:paraId="3CF6A654" w14:textId="77777777">
      <w:pPr>
        <w:spacing w:line="360" w:lineRule="auto"/>
        <w:rPr>
          <w:rFonts w:ascii="Arial" w:hAnsi="Arial"/>
        </w:rPr>
      </w:pPr>
    </w:p>
    <w:p w:rsidRPr="007B3F50" w:rsidR="007B3F50" w:rsidP="007B3F50" w:rsidRDefault="007B3F50" w14:paraId="72423B26" w14:textId="77777777">
      <w:pPr>
        <w:spacing w:line="360" w:lineRule="auto"/>
        <w:rPr>
          <w:rFonts w:ascii="Arial" w:hAnsi="Arial"/>
        </w:rPr>
      </w:pPr>
    </w:p>
    <w:p w:rsidRPr="007B3F50" w:rsidR="007B3F50" w:rsidP="007B3F50" w:rsidRDefault="007B3F50" w14:paraId="01AEA21C" w14:textId="433C1B5D">
      <w:pPr>
        <w:pStyle w:val="Heading1"/>
        <w:spacing w:line="360" w:lineRule="auto"/>
        <w:rPr>
          <w:rFonts w:ascii="Arial" w:hAnsi="Arial"/>
          <w:sz w:val="24"/>
        </w:rPr>
      </w:pPr>
      <w:bookmarkStart w:name="_Toc224048534" w:id="5"/>
      <w:r w:rsidRPr="007B3F50">
        <w:rPr>
          <w:rFonts w:ascii="Arial" w:hAnsi="Arial"/>
          <w:sz w:val="24"/>
        </w:rPr>
        <w:t>References</w:t>
      </w:r>
      <w:bookmarkEnd w:id="5"/>
    </w:p>
    <w:p w:rsidRPr="007B3F50" w:rsidR="007B3F50" w:rsidP="007B3F50" w:rsidRDefault="007B3F50" w14:paraId="4544920C" w14:textId="77777777">
      <w:pPr>
        <w:spacing w:line="360" w:lineRule="auto"/>
        <w:rPr>
          <w:rFonts w:ascii="Arial" w:hAnsi="Arial"/>
        </w:rPr>
      </w:pPr>
      <w:r w:rsidRPr="007B3F50">
        <w:rPr>
          <w:rFonts w:ascii="Arial" w:hAnsi="Arial"/>
        </w:rPr>
        <w:t xml:space="preserve">Al Shamsi, H., Almutairi, A., Al Mashrafi, S. and Al Kalbani, T., 2020. Implications of language barriers for healthcare. </w:t>
      </w:r>
      <w:r w:rsidRPr="007B3F50">
        <w:rPr>
          <w:rFonts w:ascii="Arial" w:hAnsi="Arial"/>
          <w:i/>
          <w:iCs/>
        </w:rPr>
        <w:t>Journal of Multidisciplinary Healthcare</w:t>
      </w:r>
      <w:r w:rsidRPr="007B3F50">
        <w:rPr>
          <w:rFonts w:ascii="Arial" w:hAnsi="Arial"/>
        </w:rPr>
        <w:t>, 13, pp.519–526.</w:t>
      </w:r>
    </w:p>
    <w:p w:rsidRPr="007B3F50" w:rsidR="007B3F50" w:rsidP="007B3F50" w:rsidRDefault="007B3F50" w14:paraId="72A3B404" w14:textId="77777777">
      <w:pPr>
        <w:spacing w:line="360" w:lineRule="auto"/>
        <w:rPr>
          <w:rFonts w:ascii="Arial" w:hAnsi="Arial"/>
        </w:rPr>
      </w:pPr>
      <w:r w:rsidRPr="007B3F50">
        <w:rPr>
          <w:rFonts w:ascii="Arial" w:hAnsi="Arial"/>
        </w:rPr>
        <w:t xml:space="preserve">Department of Health and Social Care, 2021. </w:t>
      </w:r>
      <w:r w:rsidRPr="007B3F50">
        <w:rPr>
          <w:rFonts w:ascii="Arial" w:hAnsi="Arial"/>
          <w:i/>
          <w:iCs/>
        </w:rPr>
        <w:t>The Caldicott Principles: Information governance in health and care</w:t>
      </w:r>
      <w:r w:rsidRPr="007B3F50">
        <w:rPr>
          <w:rFonts w:ascii="Arial" w:hAnsi="Arial"/>
        </w:rPr>
        <w:t>. London: DHSC.</w:t>
      </w:r>
    </w:p>
    <w:p w:rsidRPr="007B3F50" w:rsidR="007B3F50" w:rsidP="007B3F50" w:rsidRDefault="007B3F50" w14:paraId="0D3DFF9B" w14:textId="77777777">
      <w:pPr>
        <w:spacing w:line="360" w:lineRule="auto"/>
        <w:rPr>
          <w:rFonts w:ascii="Arial" w:hAnsi="Arial"/>
        </w:rPr>
      </w:pPr>
      <w:r w:rsidRPr="007B3F50">
        <w:rPr>
          <w:rFonts w:ascii="Arial" w:hAnsi="Arial"/>
        </w:rPr>
        <w:t xml:space="preserve">Elwyn, G., Frosch, D. and Kobrin, S., 2020. Implementing shared decision-making. </w:t>
      </w:r>
      <w:r w:rsidRPr="007B3F50">
        <w:rPr>
          <w:rFonts w:ascii="Arial" w:hAnsi="Arial"/>
          <w:i/>
          <w:iCs/>
        </w:rPr>
        <w:t>Health Affairs</w:t>
      </w:r>
      <w:r w:rsidRPr="007B3F50">
        <w:rPr>
          <w:rFonts w:ascii="Arial" w:hAnsi="Arial"/>
        </w:rPr>
        <w:t>, 35(9), pp.1609-1615.</w:t>
      </w:r>
    </w:p>
    <w:p w:rsidRPr="007B3F50" w:rsidR="007B3F50" w:rsidP="007B3F50" w:rsidRDefault="007B3F50" w14:paraId="1E83A46B" w14:textId="77777777">
      <w:pPr>
        <w:spacing w:line="360" w:lineRule="auto"/>
        <w:rPr>
          <w:rFonts w:ascii="Arial" w:hAnsi="Arial"/>
        </w:rPr>
      </w:pPr>
      <w:r w:rsidRPr="007B3F50">
        <w:rPr>
          <w:rFonts w:ascii="Arial" w:hAnsi="Arial"/>
        </w:rPr>
        <w:t xml:space="preserve">Information Commissioner’s Office, 2023. </w:t>
      </w:r>
      <w:r w:rsidRPr="007B3F50">
        <w:rPr>
          <w:rFonts w:ascii="Arial" w:hAnsi="Arial"/>
          <w:i/>
          <w:iCs/>
        </w:rPr>
        <w:t>Guide to the UK GDPR and Data Protection Act 2018</w:t>
      </w:r>
      <w:r w:rsidRPr="007B3F50">
        <w:rPr>
          <w:rFonts w:ascii="Arial" w:hAnsi="Arial"/>
        </w:rPr>
        <w:t xml:space="preserve">. Available at: </w:t>
      </w:r>
      <w:hyperlink w:tgtFrame="_new" w:history="1" r:id="rId6">
        <w:r w:rsidRPr="007B3F50">
          <w:rPr>
            <w:rStyle w:val="Hyperlink"/>
            <w:rFonts w:ascii="Arial" w:hAnsi="Arial"/>
          </w:rPr>
          <w:t>https://ico.org.uk</w:t>
        </w:r>
      </w:hyperlink>
    </w:p>
    <w:p w:rsidRPr="007B3F50" w:rsidR="007B3F50" w:rsidP="007B3F50" w:rsidRDefault="007B3F50" w14:paraId="3B475ECF" w14:textId="77777777">
      <w:pPr>
        <w:spacing w:line="360" w:lineRule="auto"/>
        <w:rPr>
          <w:rFonts w:ascii="Arial" w:hAnsi="Arial"/>
        </w:rPr>
      </w:pPr>
      <w:r w:rsidRPr="007B3F50">
        <w:rPr>
          <w:rFonts w:ascii="Arial" w:hAnsi="Arial"/>
        </w:rPr>
        <w:t xml:space="preserve">Intercollegiate Stroke Working Party, 2023. </w:t>
      </w:r>
      <w:r w:rsidRPr="007B3F50">
        <w:rPr>
          <w:rFonts w:ascii="Arial" w:hAnsi="Arial"/>
          <w:i/>
          <w:iCs/>
        </w:rPr>
        <w:t>National Clinical Guideline for Stroke</w:t>
      </w:r>
      <w:r w:rsidRPr="007B3F50">
        <w:rPr>
          <w:rFonts w:ascii="Arial" w:hAnsi="Arial"/>
        </w:rPr>
        <w:t>. London: Royal College of Physicians.</w:t>
      </w:r>
    </w:p>
    <w:p w:rsidRPr="007B3F50" w:rsidR="007B3F50" w:rsidP="007B3F50" w:rsidRDefault="007B3F50" w14:paraId="3C0CFF0B" w14:textId="77777777">
      <w:pPr>
        <w:spacing w:line="360" w:lineRule="auto"/>
        <w:rPr>
          <w:rFonts w:ascii="Arial" w:hAnsi="Arial"/>
        </w:rPr>
      </w:pPr>
      <w:r w:rsidRPr="007B3F50">
        <w:rPr>
          <w:rFonts w:ascii="Arial" w:hAnsi="Arial"/>
        </w:rPr>
        <w:t xml:space="preserve">Kaihlanen, A., Hietapakka, L. and Heponiemi, T., 2019. Increasing cultural awareness in healthcare professionals. </w:t>
      </w:r>
      <w:r w:rsidRPr="007B3F50">
        <w:rPr>
          <w:rFonts w:ascii="Arial" w:hAnsi="Arial"/>
          <w:i/>
          <w:iCs/>
        </w:rPr>
        <w:t>BMC Health Services Research</w:t>
      </w:r>
      <w:r w:rsidRPr="007B3F50">
        <w:rPr>
          <w:rFonts w:ascii="Arial" w:hAnsi="Arial"/>
        </w:rPr>
        <w:t>, 19, p.70.</w:t>
      </w:r>
    </w:p>
    <w:p w:rsidRPr="007B3F50" w:rsidR="007B3F50" w:rsidP="007B3F50" w:rsidRDefault="007B3F50" w14:paraId="59A12CA6" w14:textId="77777777">
      <w:pPr>
        <w:spacing w:line="360" w:lineRule="auto"/>
        <w:rPr>
          <w:rFonts w:ascii="Arial" w:hAnsi="Arial"/>
        </w:rPr>
      </w:pPr>
      <w:r w:rsidRPr="007B3F50">
        <w:rPr>
          <w:rFonts w:ascii="Arial" w:hAnsi="Arial"/>
        </w:rPr>
        <w:t xml:space="preserve">Langhorne, P., Bernhardt, J. and Kwakkel, G., 2020. Stroke rehabilitation. </w:t>
      </w:r>
      <w:r w:rsidRPr="007B3F50">
        <w:rPr>
          <w:rFonts w:ascii="Arial" w:hAnsi="Arial"/>
          <w:i/>
          <w:iCs/>
        </w:rPr>
        <w:t>The Lancet</w:t>
      </w:r>
      <w:r w:rsidRPr="007B3F50">
        <w:rPr>
          <w:rFonts w:ascii="Arial" w:hAnsi="Arial"/>
        </w:rPr>
        <w:t>, 396(10267), pp.1693-1702.</w:t>
      </w:r>
    </w:p>
    <w:p w:rsidRPr="007B3F50" w:rsidR="007B3F50" w:rsidP="007B3F50" w:rsidRDefault="007B3F50" w14:paraId="173ACC7A" w14:textId="77777777">
      <w:pPr>
        <w:spacing w:line="360" w:lineRule="auto"/>
        <w:rPr>
          <w:rFonts w:ascii="Arial" w:hAnsi="Arial"/>
        </w:rPr>
      </w:pPr>
      <w:r w:rsidRPr="007B3F50">
        <w:rPr>
          <w:rFonts w:ascii="Arial" w:hAnsi="Arial"/>
        </w:rPr>
        <w:t xml:space="preserve">Müller, M. et al., 2018. Impact of the SBAR communication tool. </w:t>
      </w:r>
      <w:r w:rsidRPr="007B3F50">
        <w:rPr>
          <w:rFonts w:ascii="Arial" w:hAnsi="Arial"/>
          <w:i/>
          <w:iCs/>
        </w:rPr>
        <w:t>BMJ Open</w:t>
      </w:r>
      <w:r w:rsidRPr="007B3F50">
        <w:rPr>
          <w:rFonts w:ascii="Arial" w:hAnsi="Arial"/>
        </w:rPr>
        <w:t>, 8(8).</w:t>
      </w:r>
    </w:p>
    <w:p w:rsidRPr="007B3F50" w:rsidR="007B3F50" w:rsidP="007B3F50" w:rsidRDefault="007B3F50" w14:paraId="45C31493" w14:textId="77777777">
      <w:pPr>
        <w:spacing w:line="360" w:lineRule="auto"/>
        <w:rPr>
          <w:rFonts w:ascii="Arial" w:hAnsi="Arial"/>
        </w:rPr>
      </w:pPr>
      <w:r w:rsidRPr="007B3F50">
        <w:rPr>
          <w:rFonts w:ascii="Arial" w:hAnsi="Arial"/>
        </w:rPr>
        <w:t xml:space="preserve">NHS England, 2023. </w:t>
      </w:r>
      <w:r w:rsidRPr="007B3F50">
        <w:rPr>
          <w:rFonts w:ascii="Arial" w:hAnsi="Arial"/>
          <w:i/>
          <w:iCs/>
        </w:rPr>
        <w:t>Integrated Care Systems: Design framework</w:t>
      </w:r>
      <w:r w:rsidRPr="007B3F50">
        <w:rPr>
          <w:rFonts w:ascii="Arial" w:hAnsi="Arial"/>
        </w:rPr>
        <w:t>. London: NHS England.</w:t>
      </w:r>
    </w:p>
    <w:p w:rsidRPr="007B3F50" w:rsidR="007B3F50" w:rsidP="007B3F50" w:rsidRDefault="007B3F50" w14:paraId="67F92457" w14:textId="77777777">
      <w:pPr>
        <w:spacing w:line="360" w:lineRule="auto"/>
        <w:rPr>
          <w:rFonts w:ascii="Arial" w:hAnsi="Arial"/>
        </w:rPr>
      </w:pPr>
      <w:r w:rsidRPr="007B3F50">
        <w:rPr>
          <w:rFonts w:ascii="Arial" w:hAnsi="Arial"/>
        </w:rPr>
        <w:t xml:space="preserve">Nursing and Midwifery Council, 2018. </w:t>
      </w:r>
      <w:r w:rsidRPr="007B3F50">
        <w:rPr>
          <w:rFonts w:ascii="Arial" w:hAnsi="Arial"/>
          <w:i/>
          <w:iCs/>
        </w:rPr>
        <w:t>The Code: Professional standards of practice and behaviour</w:t>
      </w:r>
      <w:r w:rsidRPr="007B3F50">
        <w:rPr>
          <w:rFonts w:ascii="Arial" w:hAnsi="Arial"/>
        </w:rPr>
        <w:t>. London: NMC.</w:t>
      </w:r>
    </w:p>
    <w:p w:rsidRPr="007B3F50" w:rsidR="007B3F50" w:rsidP="007B3F50" w:rsidRDefault="007B3F50" w14:paraId="5BF40EBF" w14:textId="77777777">
      <w:pPr>
        <w:spacing w:line="360" w:lineRule="auto"/>
        <w:rPr>
          <w:rFonts w:ascii="Arial" w:hAnsi="Arial"/>
        </w:rPr>
      </w:pPr>
      <w:r w:rsidRPr="007B3F50">
        <w:rPr>
          <w:rFonts w:ascii="Arial" w:hAnsi="Arial"/>
        </w:rPr>
        <w:t xml:space="preserve">O’Daniel, M. and Rosenstein, A., 2018. Professional communication and team collaboration. </w:t>
      </w:r>
      <w:r w:rsidRPr="007B3F50">
        <w:rPr>
          <w:rFonts w:ascii="Arial" w:hAnsi="Arial"/>
          <w:i/>
          <w:iCs/>
        </w:rPr>
        <w:t>Patient Safety and Quality</w:t>
      </w:r>
      <w:r w:rsidRPr="007B3F50">
        <w:rPr>
          <w:rFonts w:ascii="Arial" w:hAnsi="Arial"/>
        </w:rPr>
        <w:t>, pp.271-284.</w:t>
      </w:r>
    </w:p>
    <w:p w:rsidRPr="007B3F50" w:rsidR="007B3F50" w:rsidP="007B3F50" w:rsidRDefault="007B3F50" w14:paraId="3CE699DE" w14:textId="77777777">
      <w:pPr>
        <w:spacing w:line="360" w:lineRule="auto"/>
        <w:rPr>
          <w:rFonts w:ascii="Arial" w:hAnsi="Arial"/>
        </w:rPr>
      </w:pPr>
      <w:r w:rsidRPr="007B3F50">
        <w:rPr>
          <w:rFonts w:ascii="Arial" w:hAnsi="Arial"/>
        </w:rPr>
        <w:t xml:space="preserve">Reeves, S. et al., 2021. Interprofessional collaboration to improve professional practice. </w:t>
      </w:r>
      <w:r w:rsidRPr="007B3F50">
        <w:rPr>
          <w:rFonts w:ascii="Arial" w:hAnsi="Arial"/>
          <w:i/>
          <w:iCs/>
        </w:rPr>
        <w:t>Cochrane Database of Systematic Reviews</w:t>
      </w:r>
      <w:r w:rsidRPr="007B3F50">
        <w:rPr>
          <w:rFonts w:ascii="Arial" w:hAnsi="Arial"/>
        </w:rPr>
        <w:t>.</w:t>
      </w:r>
    </w:p>
    <w:p w:rsidRPr="007B3F50" w:rsidR="007B3F50" w:rsidP="007B3F50" w:rsidRDefault="007B3F50" w14:paraId="75A9A360" w14:textId="77777777">
      <w:pPr>
        <w:spacing w:line="360" w:lineRule="auto"/>
        <w:rPr>
          <w:rFonts w:ascii="Arial" w:hAnsi="Arial"/>
        </w:rPr>
      </w:pPr>
      <w:r w:rsidRPr="007B3F50">
        <w:rPr>
          <w:rFonts w:ascii="Arial" w:hAnsi="Arial"/>
        </w:rPr>
        <w:t xml:space="preserve">Robertson, R. et al., 2022. </w:t>
      </w:r>
      <w:r w:rsidRPr="007B3F50">
        <w:rPr>
          <w:rFonts w:ascii="Arial" w:hAnsi="Arial"/>
          <w:i/>
          <w:iCs/>
        </w:rPr>
        <w:t>Understanding NHS pressures</w:t>
      </w:r>
      <w:r w:rsidRPr="007B3F50">
        <w:rPr>
          <w:rFonts w:ascii="Arial" w:hAnsi="Arial"/>
        </w:rPr>
        <w:t>. London: The King’s Fund.</w:t>
      </w:r>
    </w:p>
    <w:p w:rsidRPr="007B3F50" w:rsidR="007B3F50" w:rsidP="007B3F50" w:rsidRDefault="007B3F50" w14:paraId="07ED8FE4" w14:textId="77777777">
      <w:pPr>
        <w:spacing w:line="360" w:lineRule="auto"/>
        <w:rPr>
          <w:rFonts w:ascii="Arial" w:hAnsi="Arial"/>
        </w:rPr>
      </w:pPr>
      <w:r w:rsidRPr="007B3F50">
        <w:rPr>
          <w:rFonts w:ascii="Arial" w:hAnsi="Arial"/>
        </w:rPr>
        <w:t xml:space="preserve">Tamura-Lis, W., 2021. Teach-back for patient safety. </w:t>
      </w:r>
      <w:r w:rsidRPr="007B3F50">
        <w:rPr>
          <w:rFonts w:ascii="Arial" w:hAnsi="Arial"/>
          <w:i/>
          <w:iCs/>
        </w:rPr>
        <w:t>Urologic Nursing</w:t>
      </w:r>
      <w:r w:rsidRPr="007B3F50">
        <w:rPr>
          <w:rFonts w:ascii="Arial" w:hAnsi="Arial"/>
        </w:rPr>
        <w:t>, 33(6), pp.267-271.</w:t>
      </w:r>
    </w:p>
    <w:p w:rsidRPr="007B3F50" w:rsidR="007B3F50" w:rsidP="007B3F50" w:rsidRDefault="007B3F50" w14:paraId="3FB5D49A" w14:textId="77777777">
      <w:pPr>
        <w:spacing w:line="360" w:lineRule="auto"/>
        <w:rPr>
          <w:rFonts w:ascii="Arial" w:hAnsi="Arial"/>
        </w:rPr>
      </w:pPr>
      <w:r w:rsidRPr="007B3F50">
        <w:rPr>
          <w:rFonts w:ascii="Arial" w:hAnsi="Arial"/>
        </w:rPr>
        <w:t xml:space="preserve">West, R. and Turner, L., 2021. </w:t>
      </w:r>
      <w:r w:rsidRPr="007B3F50">
        <w:rPr>
          <w:rFonts w:ascii="Arial" w:hAnsi="Arial"/>
          <w:i/>
          <w:iCs/>
        </w:rPr>
        <w:t>Introducing Communication Theory</w:t>
      </w:r>
      <w:r w:rsidRPr="007B3F50">
        <w:rPr>
          <w:rFonts w:ascii="Arial" w:hAnsi="Arial"/>
        </w:rPr>
        <w:t>. 7th ed. New York: McGraw-Hill.</w:t>
      </w:r>
    </w:p>
    <w:p w:rsidRPr="007B3F50" w:rsidR="007B3F50" w:rsidP="007B3F50" w:rsidRDefault="007B3F50" w14:paraId="320DFAD5" w14:textId="77777777">
      <w:pPr>
        <w:spacing w:line="360" w:lineRule="auto"/>
        <w:rPr>
          <w:rFonts w:ascii="Arial" w:hAnsi="Arial"/>
        </w:rPr>
      </w:pPr>
    </w:p>
    <w:sectPr w:rsidRPr="007B3F50" w:rsidR="007B3F50">
      <w:pgSz w:w="11906" w:h="16838" w:orient="portrait"/>
      <w:pgMar w:top="850" w:right="850" w:bottom="850" w:left="85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45"/>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F50"/>
    <w:rsid w:val="001869BD"/>
    <w:rsid w:val="00222632"/>
    <w:rsid w:val="003D231E"/>
    <w:rsid w:val="0054731E"/>
    <w:rsid w:val="005E4FE9"/>
    <w:rsid w:val="007B3F50"/>
    <w:rsid w:val="00EF7B20"/>
    <w:rsid w:val="00FB2398"/>
    <w:rsid w:val="10A4D7F6"/>
    <w:rsid w:val="22186E8B"/>
    <w:rsid w:val="41B2F7EB"/>
    <w:rsid w:val="58F38395"/>
    <w:rsid w:val="6784BF7B"/>
    <w:rsid w:val="70C75828"/>
    <w:rsid w:val="782FA459"/>
    <w:rsid w:val="790DC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03553"/>
  <w15:chartTrackingRefBased/>
  <w15:docId w15:val="{9F1611BB-A597-435D-B8FC-55C5BB0C96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heme="minorHAnsi"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B3F50"/>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B3F50"/>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B3F50"/>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B3F50"/>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B3F50"/>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B3F50"/>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3F50"/>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3F50"/>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3F50"/>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B3F50"/>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7B3F50"/>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7B3F50"/>
    <w:rPr>
      <w:rFonts w:asciiTheme="minorHAnsi" w:hAnsiTheme="minorHAnsi"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7B3F50"/>
    <w:rPr>
      <w:rFonts w:asciiTheme="minorHAnsi" w:hAnsiTheme="minorHAnsi"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7B3F50"/>
    <w:rPr>
      <w:rFonts w:asciiTheme="minorHAnsi" w:hAnsiTheme="minorHAnsi"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7B3F50"/>
    <w:rPr>
      <w:rFonts w:asciiTheme="minorHAnsi" w:hAnsiTheme="minorHAnsi"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B3F50"/>
    <w:rPr>
      <w:rFonts w:asciiTheme="minorHAnsi" w:hAnsiTheme="minorHAnsi"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B3F50"/>
    <w:rPr>
      <w:rFonts w:asciiTheme="minorHAnsi" w:hAnsiTheme="minorHAnsi"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B3F50"/>
    <w:rPr>
      <w:rFonts w:asciiTheme="minorHAnsi" w:hAnsiTheme="minorHAnsi" w:eastAsiaTheme="majorEastAsia" w:cstheme="majorBidi"/>
      <w:color w:val="272727" w:themeColor="text1" w:themeTint="D8"/>
    </w:rPr>
  </w:style>
  <w:style w:type="paragraph" w:styleId="Title">
    <w:name w:val="Title"/>
    <w:basedOn w:val="Normal"/>
    <w:next w:val="Normal"/>
    <w:link w:val="TitleChar"/>
    <w:uiPriority w:val="10"/>
    <w:qFormat/>
    <w:rsid w:val="007B3F5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B3F5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B3F50"/>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B3F50"/>
    <w:rPr>
      <w:rFonts w:asciiTheme="minorHAnsi" w:hAnsiTheme="minorHAnsi"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3F50"/>
    <w:pPr>
      <w:spacing w:before="160"/>
      <w:jc w:val="center"/>
    </w:pPr>
    <w:rPr>
      <w:i/>
      <w:iCs/>
      <w:color w:val="404040" w:themeColor="text1" w:themeTint="BF"/>
    </w:rPr>
  </w:style>
  <w:style w:type="character" w:styleId="QuoteChar" w:customStyle="1">
    <w:name w:val="Quote Char"/>
    <w:basedOn w:val="DefaultParagraphFont"/>
    <w:link w:val="Quote"/>
    <w:uiPriority w:val="29"/>
    <w:rsid w:val="007B3F50"/>
    <w:rPr>
      <w:i/>
      <w:iCs/>
      <w:color w:val="404040" w:themeColor="text1" w:themeTint="BF"/>
    </w:rPr>
  </w:style>
  <w:style w:type="paragraph" w:styleId="ListParagraph">
    <w:name w:val="List Paragraph"/>
    <w:basedOn w:val="Normal"/>
    <w:uiPriority w:val="34"/>
    <w:qFormat/>
    <w:rsid w:val="007B3F50"/>
    <w:pPr>
      <w:ind w:left="720"/>
      <w:contextualSpacing/>
    </w:pPr>
  </w:style>
  <w:style w:type="character" w:styleId="IntenseEmphasis">
    <w:name w:val="Intense Emphasis"/>
    <w:basedOn w:val="DefaultParagraphFont"/>
    <w:uiPriority w:val="21"/>
    <w:qFormat/>
    <w:rsid w:val="007B3F50"/>
    <w:rPr>
      <w:i/>
      <w:iCs/>
      <w:color w:val="2F5496" w:themeColor="accent1" w:themeShade="BF"/>
    </w:rPr>
  </w:style>
  <w:style w:type="paragraph" w:styleId="IntenseQuote">
    <w:name w:val="Intense Quote"/>
    <w:basedOn w:val="Normal"/>
    <w:next w:val="Normal"/>
    <w:link w:val="IntenseQuoteChar"/>
    <w:uiPriority w:val="30"/>
    <w:qFormat/>
    <w:rsid w:val="007B3F50"/>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7B3F50"/>
    <w:rPr>
      <w:i/>
      <w:iCs/>
      <w:color w:val="2F5496" w:themeColor="accent1" w:themeShade="BF"/>
    </w:rPr>
  </w:style>
  <w:style w:type="character" w:styleId="IntenseReference">
    <w:name w:val="Intense Reference"/>
    <w:basedOn w:val="DefaultParagraphFont"/>
    <w:uiPriority w:val="32"/>
    <w:qFormat/>
    <w:rsid w:val="007B3F50"/>
    <w:rPr>
      <w:b/>
      <w:bCs/>
      <w:smallCaps/>
      <w:color w:val="2F5496" w:themeColor="accent1" w:themeShade="BF"/>
      <w:spacing w:val="5"/>
    </w:rPr>
  </w:style>
  <w:style w:type="character" w:styleId="Hyperlink">
    <w:name w:val="Hyperlink"/>
    <w:basedOn w:val="DefaultParagraphFont"/>
    <w:uiPriority w:val="99"/>
    <w:unhideWhenUsed/>
    <w:rsid w:val="007B3F50"/>
    <w:rPr>
      <w:color w:val="0563C1" w:themeColor="hyperlink"/>
      <w:u w:val="single"/>
    </w:rPr>
  </w:style>
  <w:style w:type="character" w:styleId="UnresolvedMention">
    <w:name w:val="Unresolved Mention"/>
    <w:basedOn w:val="DefaultParagraphFont"/>
    <w:uiPriority w:val="99"/>
    <w:semiHidden/>
    <w:unhideWhenUsed/>
    <w:rsid w:val="007B3F50"/>
    <w:rPr>
      <w:color w:val="605E5C"/>
      <w:shd w:val="clear" w:color="auto" w:fill="E1DFDD"/>
    </w:rPr>
  </w:style>
  <w:style w:type="paragraph" w:styleId="TOCHeading">
    <w:name w:val="TOC Heading"/>
    <w:basedOn w:val="Heading1"/>
    <w:next w:val="Normal"/>
    <w:uiPriority w:val="39"/>
    <w:unhideWhenUsed/>
    <w:qFormat/>
    <w:rsid w:val="007B3F50"/>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7B3F50"/>
    <w:pPr>
      <w:spacing w:after="100"/>
      <w:ind w:left="240"/>
    </w:pPr>
  </w:style>
  <w:style w:type="paragraph" w:styleId="TOC1">
    <w:name w:val="toc 1"/>
    <w:basedOn w:val="Normal"/>
    <w:next w:val="Normal"/>
    <w:autoRedefine/>
    <w:uiPriority w:val="39"/>
    <w:unhideWhenUsed/>
    <w:rsid w:val="007B3F5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hyperlink" Target="https://ico.org.uk" TargetMode="External" Id="rId6"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55BBCF-9E82-49BD-B635-E1E25A9EEBFD}">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thumbi</dc:creator>
  <keywords/>
  <dc:description/>
  <lastModifiedBy>Mohammed Alal Miah</lastModifiedBy>
  <revision>3</revision>
  <dcterms:created xsi:type="dcterms:W3CDTF">2026-03-22T23:07:00.0000000Z</dcterms:created>
  <dcterms:modified xsi:type="dcterms:W3CDTF">2026-03-22T23:16:33.9559896Z</dcterms:modified>
</coreProperties>
</file>