
<file path=[Content_Types].xml><?xml version="1.0" encoding="utf-8"?>
<Types xmlns="http://schemas.openxmlformats.org/package/2006/content-types">
  <Default Extension="xml" ContentType="application/xml"/>
  <Default Extension="png" ContentType="image/png"/>
  <Default Extension="emf" ContentType="image/x-emf"/>
  <Default Extension="jpeg" ContentType="image/jpeg"/>
  <Default Extension="gif" ContentType="image/gi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9"/>
        <w:spacing w:before="1540" w:after="240"/>
        <w:jc w:val="both"/>
        <w:rPr>
          <w:rFonts w:eastAsiaTheme="minorHAnsi"/>
          <w:color w:val="5B9BD5" w:themeColor="accent1"/>
          <w:lang w:val="en-GB"/>
          <w14:textFill>
            <w14:solidFill>
              <w14:schemeClr w14:val="accent1"/>
            </w14:solidFill>
          </w14:textFill>
        </w:rPr>
      </w:pPr>
    </w:p>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9"/>
            <w:spacing w:before="1540" w:after="240"/>
            <w:ind w:left="-440" w:leftChars="-200" w:right="-433" w:rightChars="-197" w:firstLine="220" w:firstLineChars="10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9"/>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lang w:val="en-GB"/>
                  <w14:textFill>
                    <w14:solidFill>
                      <w14:schemeClr w14:val="accent1"/>
                    </w14:solidFill>
                  </w14:textFill>
                </w:rPr>
                <w:t>Professional Career Development</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9"/>
                <w:jc w:val="center"/>
                <w:rPr>
                  <w:color w:val="5B9BD5" w:themeColor="accent1"/>
                  <w:sz w:val="28"/>
                  <w:szCs w:val="28"/>
                  <w14:textFill>
                    <w14:solidFill>
                      <w14:schemeClr w14:val="accent1"/>
                    </w14:solidFill>
                  </w14:textFill>
                </w:rPr>
              </w:pPr>
              <w:r>
                <w:rPr>
                  <w:color w:val="5B9BD5" w:themeColor="accent1"/>
                  <w:sz w:val="28"/>
                  <w:szCs w:val="28"/>
                  <w:lang w:val="en-GB"/>
                  <w14:textFill>
                    <w14:solidFill>
                      <w14:schemeClr w14:val="accent1"/>
                    </w14:solidFill>
                  </w14:textFill>
                </w:rPr>
                <w:t>Shahida Miah 1710331</w:t>
              </w:r>
            </w:p>
          </w:sdtContent>
        </w:sdt>
        <w:p>
          <w:pPr>
            <w:pStyle w:val="19"/>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9"/>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29, 2018</w:t>
                                    </w:r>
                                  </w:p>
                                </w:sdtContent>
                              </w:sdt>
                              <w:p>
                                <w:pPr>
                                  <w:pStyle w:val="19"/>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9"/>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9"/>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29, 2018</w:t>
                              </w:r>
                            </w:p>
                          </w:sdtContent>
                        </w:sdt>
                        <w:p>
                          <w:pPr>
                            <w:pStyle w:val="19"/>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9"/>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bookmarkStart w:id="0" w:name="_Toc497811407"/>
        </w:p>
        <w:p>
          <w:pPr>
            <w:pStyle w:val="2"/>
          </w:pPr>
        </w:p>
        <w:p>
          <w:pPr>
            <w:pStyle w:val="2"/>
          </w:pPr>
        </w:p>
        <w:p>
          <w:pPr>
            <w:pStyle w:val="2"/>
          </w:pPr>
        </w:p>
        <w:p>
          <w:pPr>
            <w:pStyle w:val="2"/>
          </w:pPr>
        </w:p>
        <w:p>
          <w:pPr>
            <w:pStyle w:val="2"/>
          </w:pPr>
        </w:p>
        <w:p>
          <w:pPr>
            <w:pStyle w:val="2"/>
          </w:pPr>
        </w:p>
        <w:p>
          <w:pPr>
            <w:pStyle w:val="2"/>
          </w:pPr>
          <w:r>
            <w:t>Executive Summary</w:t>
          </w:r>
          <w:bookmarkEnd w:id="0"/>
        </w:p>
        <w:p/>
        <w:p>
          <w:pPr>
            <w:rPr>
              <w:lang w:val="en-GB"/>
            </w:rPr>
          </w:pPr>
          <w:r>
            <w:rPr>
              <w:lang w:val="en-GB"/>
            </w:rPr>
            <w:t>This report will help recognise what learning style is suitable for the researcher, what techniques can be used to improve the weaknesses, as well as set goals and plans of reaching the main aim which is a profession as a Dental Hygienist. The following piece will also cover the importance of the recruitment process of hiring a Dental Hygienist for a practice.</w:t>
          </w:r>
        </w:p>
        <w:p>
          <w:pPr>
            <w:rPr>
              <w:lang w:val="en-GB"/>
            </w:rPr>
          </w:pPr>
        </w:p>
        <w:p>
          <w:pPr>
            <w:rPr>
              <w:lang w:val="en-GB"/>
            </w:rPr>
          </w:pPr>
          <w:r>
            <w:rPr>
              <w:lang w:val="en-GB"/>
            </w:rPr>
            <w:t>The report concluded what category of learning styles suit best for the researcher and strategies of how to improve skills, define and reach goals, by using different techniques. The report also concluded that each process of recruitment is vital to be able to pick out the most suitable applicant for a role within an organisation.</w:t>
          </w:r>
        </w:p>
        <w:p>
          <w:pPr>
            <w:rPr>
              <w:lang w:val="en-GB"/>
            </w:rPr>
          </w:pPr>
        </w:p>
        <w:p>
          <w:pPr>
            <w:rPr>
              <w:lang w:val="en-GB"/>
            </w:rPr>
          </w:pPr>
        </w:p>
        <w:p/>
        <w:p/>
        <w:p/>
        <w:p/>
        <w:p/>
        <w:p/>
        <w:p/>
        <w:p/>
        <w:p/>
        <w:p/>
        <w:p>
          <w:bookmarkStart w:id="8" w:name="_GoBack"/>
          <w:bookmarkEnd w:id="8"/>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22"/>
              </w:pPr>
              <w:r>
                <w:t>Table of Contents</w:t>
              </w:r>
            </w:p>
            <w:p>
              <w:pPr>
                <w:pStyle w:val="11"/>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15"/>
                </w:rPr>
                <w:t>Executive Summary</w:t>
              </w:r>
              <w:r>
                <w:tab/>
              </w:r>
              <w:r>
                <w:fldChar w:fldCharType="begin"/>
              </w:r>
              <w:r>
                <w:instrText xml:space="preserve"> PAGEREF _Toc497811407 \h </w:instrText>
              </w:r>
              <w:r>
                <w:fldChar w:fldCharType="separate"/>
              </w:r>
              <w:r>
                <w:t>1</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"_Toc497811410" </w:instrText>
              </w:r>
              <w:r>
                <w:fldChar w:fldCharType="separate"/>
              </w:r>
              <w:r>
                <w:rPr>
                  <w:rStyle w:val="15"/>
                </w:rPr>
                <w:t>Introduction</w:t>
              </w:r>
              <w:r>
                <w:tab/>
              </w:r>
              <w:r>
                <w:rPr>
                  <w:lang w:val="en-GB"/>
                </w:rPr>
                <w:t>3</w:t>
              </w:r>
              <w:r>
                <w:fldChar w:fldCharType="end"/>
              </w:r>
            </w:p>
            <w:p>
              <w:pPr>
                <w:pStyle w:val="11"/>
                <w:tabs>
                  <w:tab w:val="right" w:leader="dot" w:pos="9016"/>
                </w:tabs>
              </w:pPr>
              <w:r>
                <w:fldChar w:fldCharType="begin"/>
              </w:r>
              <w:r>
                <w:instrText xml:space="preserve"> HYPERLINK \l "_Toc497811411" </w:instrText>
              </w:r>
              <w:r>
                <w:fldChar w:fldCharType="separate"/>
              </w:r>
              <w:r>
                <w:rPr>
                  <w:rStyle w:val="15"/>
                </w:rPr>
                <w:t>Findings</w:t>
              </w:r>
              <w:r>
                <w:rPr>
                  <w:rStyle w:val="15"/>
                  <w:lang w:val="en-GB"/>
                </w:rPr>
                <w:t xml:space="preserve"> Part 1........................................................................................................................................</w:t>
              </w:r>
              <w:r>
                <w:rPr>
                  <w:lang w:val="en-GB"/>
                </w:rPr>
                <w:t>4</w:t>
              </w:r>
              <w:r>
                <w:fldChar w:fldCharType="end"/>
              </w:r>
            </w:p>
            <w:p>
              <w:pPr>
                <w:rPr>
                  <w:lang w:val="en-GB"/>
                </w:rPr>
              </w:pPr>
              <w:r>
                <w:rPr>
                  <w:lang w:val="en-GB"/>
                </w:rPr>
                <w:t xml:space="preserve">             4.1  VARK Learning Style.............................................................................................................4 </w:t>
              </w:r>
            </w:p>
            <w:p>
              <w:pPr>
                <w:rPr>
                  <w:lang w:val="en-GB"/>
                </w:rPr>
              </w:pPr>
              <w:r>
                <w:rPr>
                  <w:lang w:val="en-GB"/>
                </w:rPr>
                <w:t xml:space="preserve">             4.1.1  Peter Alan and Honey Mumford Learning Style............................................................4/5</w:t>
              </w:r>
            </w:p>
            <w:p>
              <w:pPr>
                <w:rPr>
                  <w:lang w:val="en-GB"/>
                </w:rPr>
              </w:pPr>
              <w:r>
                <w:rPr>
                  <w:lang w:val="en-GB"/>
                </w:rPr>
                <w:t xml:space="preserve">             4.1.2  Go MAD .........................................................................................................................5/6</w:t>
              </w:r>
            </w:p>
            <w:p>
              <w:pPr>
                <w:rPr>
                  <w:lang w:val="en-GB"/>
                </w:rPr>
              </w:pPr>
              <w:r>
                <w:rPr>
                  <w:lang w:val="en-GB"/>
                </w:rPr>
                <w:t xml:space="preserve">             4.1.3  Skill Audit...........................................................................................................................6</w:t>
              </w:r>
            </w:p>
            <w:p>
              <w:pPr>
                <w:rPr>
                  <w:lang w:val="en-GB"/>
                </w:rPr>
              </w:pPr>
              <w:r>
                <w:rPr>
                  <w:lang w:val="en-GB"/>
                </w:rPr>
                <w:t xml:space="preserve">             4.1.4  SWOT Analysis...............................................................................................................7/8</w:t>
              </w:r>
            </w:p>
            <w:p>
              <w:pPr>
                <w:rPr>
                  <w:lang w:val="en-GB"/>
                </w:rPr>
              </w:pPr>
              <w:r>
                <w:rPr>
                  <w:lang w:val="en-GB"/>
                </w:rPr>
                <w:t xml:space="preserve">             4.2  Personal Development Plan............................................................................................9/10</w:t>
              </w:r>
            </w:p>
            <w:p>
              <w:pPr>
                <w:rPr>
                  <w:lang w:val="en-GB"/>
                </w:rPr>
              </w:pPr>
              <w:r>
                <w:rPr>
                  <w:lang w:val="en-GB"/>
                </w:rPr>
                <w:t xml:space="preserve">             4.2.1  Part 2...............................................................................................................................11</w:t>
              </w:r>
            </w:p>
            <w:p>
              <w:pPr>
                <w:rPr>
                  <w:lang w:val="en-GB"/>
                </w:rPr>
              </w:pPr>
              <w:r>
                <w:rPr>
                  <w:lang w:val="en-GB"/>
                </w:rPr>
                <w:t xml:space="preserve">             4.2.2  Job Description................................................................................................................11</w:t>
              </w:r>
            </w:p>
            <w:p>
              <w:pPr>
                <w:rPr>
                  <w:lang w:val="en-GB"/>
                </w:rPr>
              </w:pPr>
              <w:r>
                <w:rPr>
                  <w:lang w:val="en-GB"/>
                </w:rPr>
                <w:t xml:space="preserve">             4.2.3  Personal Specification.....................................................................................................11</w:t>
              </w:r>
            </w:p>
            <w:p>
              <w:pPr>
                <w:rPr>
                  <w:lang w:val="en-GB"/>
                </w:rPr>
              </w:pPr>
              <w:r>
                <w:rPr>
                  <w:lang w:val="en-GB"/>
                </w:rPr>
                <w:t xml:space="preserve">             4.2.4  Job Advertisement..........................................................................................................11</w:t>
              </w:r>
            </w:p>
            <w:p>
              <w:pPr>
                <w:rPr>
                  <w:lang w:val="en-GB"/>
                </w:rPr>
              </w:pPr>
              <w:r>
                <w:rPr>
                  <w:lang w:val="en-GB"/>
                </w:rPr>
                <w:t xml:space="preserve">             4.3  CV and Cover Letter...........................................................................................................12</w:t>
              </w:r>
            </w:p>
            <w:p>
              <w:pPr>
                <w:rPr>
                  <w:lang w:val="en-GB"/>
                </w:rPr>
              </w:pPr>
              <w:r>
                <w:rPr>
                  <w:lang w:val="en-GB"/>
                </w:rPr>
                <w:t xml:space="preserve">             4.3.1  Application Process.........................................................................................................12</w:t>
              </w:r>
            </w:p>
            <w:p>
              <w:pPr>
                <w:rPr>
                  <w:lang w:val="en-GB"/>
                </w:rPr>
              </w:pPr>
              <w:r>
                <w:rPr>
                  <w:lang w:val="en-GB"/>
                </w:rPr>
                <w:t xml:space="preserve">             4.3.2  How to Shortlist...............................................................................................................12</w:t>
              </w:r>
            </w:p>
            <w:p>
              <w:pPr>
                <w:rPr>
                  <w:lang w:val="en-GB"/>
                </w:rPr>
              </w:pPr>
              <w:r>
                <w:rPr>
                  <w:lang w:val="en-GB"/>
                </w:rPr>
                <w:t xml:space="preserve">             4.3.3  Aptitude Test and Psychometric Test..............................................................................13</w:t>
              </w:r>
            </w:p>
            <w:p>
              <w:pPr>
                <w:rPr>
                  <w:lang w:val="en-GB"/>
                </w:rPr>
              </w:pPr>
              <w:r>
                <w:rPr>
                  <w:lang w:val="en-GB"/>
                </w:rPr>
                <w:t xml:space="preserve">             4.3.4  Assessment Centre..........................................................................................................13</w:t>
              </w:r>
            </w:p>
            <w:p>
              <w:pPr>
                <w:rPr>
                  <w:lang w:val="en-GB"/>
                </w:rPr>
              </w:pPr>
              <w:r>
                <w:rPr>
                  <w:lang w:val="en-GB"/>
                </w:rPr>
                <w:t xml:space="preserve">             4.4  Interview............................................................................................................................13</w:t>
              </w:r>
            </w:p>
            <w:p>
              <w:pPr>
                <w:rPr>
                  <w:lang w:val="en-GB"/>
                </w:rPr>
              </w:pPr>
              <w:r>
                <w:rPr>
                  <w:lang w:val="en-GB"/>
                </w:rPr>
                <w:t xml:space="preserve">             4.4.1  Offering a Job..................................................................................................................14</w:t>
              </w:r>
            </w:p>
            <w:p>
              <w:pPr>
                <w:rPr>
                  <w:lang w:val="en-GB"/>
                </w:rPr>
              </w:pPr>
              <w:r>
                <w:rPr>
                  <w:lang w:val="en-GB"/>
                </w:rPr>
                <w:t xml:space="preserve">             4.4.2  Induction and Probational Period...................................................................................14</w:t>
              </w:r>
            </w:p>
            <w:p>
              <w:pPr>
                <w:pStyle w:val="11"/>
                <w:tabs>
                  <w:tab w:val="right" w:leader="dot" w:pos="9016"/>
                </w:tabs>
                <w:rPr>
                  <w:rFonts w:eastAsiaTheme="minorEastAsia"/>
                  <w:lang w:eastAsia="en-GB"/>
                </w:rPr>
              </w:pPr>
              <w:r>
                <w:fldChar w:fldCharType="begin"/>
              </w:r>
              <w:r>
                <w:instrText xml:space="preserve"> HYPERLINK \l "_Toc497811412" </w:instrText>
              </w:r>
              <w:r>
                <w:fldChar w:fldCharType="separate"/>
              </w:r>
              <w:r>
                <w:rPr>
                  <w:rStyle w:val="15"/>
                </w:rPr>
                <w:t>Conclusion</w:t>
              </w:r>
              <w:r>
                <w:rPr>
                  <w:rStyle w:val="15"/>
                  <w:lang w:val="en-GB"/>
                </w:rPr>
                <w:t>.</w:t>
              </w:r>
              <w:r>
                <w:fldChar w:fldCharType="end"/>
              </w:r>
              <w:r>
                <w:rPr>
                  <w:lang w:val="en-GB"/>
                </w:rPr>
                <w:t>...........................................................................................................................................15</w:t>
              </w:r>
            </w:p>
            <w:p>
              <w:pPr>
                <w:pStyle w:val="11"/>
                <w:tabs>
                  <w:tab w:val="right" w:leader="dot" w:pos="9016"/>
                </w:tabs>
                <w:rPr>
                  <w:rFonts w:eastAsiaTheme="minorEastAsia"/>
                  <w:lang w:eastAsia="en-GB"/>
                </w:rPr>
              </w:pPr>
              <w:r>
                <w:fldChar w:fldCharType="begin"/>
              </w:r>
              <w:r>
                <w:instrText xml:space="preserve"> HYPERLINK \l "_Toc497811413" </w:instrText>
              </w:r>
              <w:r>
                <w:fldChar w:fldCharType="separate"/>
              </w:r>
              <w:r>
                <w:rPr>
                  <w:rStyle w:val="15"/>
                </w:rPr>
                <w:t>Recommendations</w:t>
              </w:r>
              <w:r>
                <w:rPr>
                  <w:rStyle w:val="15"/>
                  <w:lang w:val="en-GB"/>
                </w:rPr>
                <w:t>.</w:t>
              </w:r>
              <w:r>
                <w:fldChar w:fldCharType="end"/>
              </w:r>
              <w:r>
                <w:rPr>
                  <w:lang w:val="en-GB"/>
                </w:rPr>
                <w:t>...............................................................................................................................16</w:t>
              </w:r>
            </w:p>
            <w:p>
              <w:pPr>
                <w:pStyle w:val="11"/>
                <w:tabs>
                  <w:tab w:val="right" w:leader="dot" w:pos="9016"/>
                </w:tabs>
                <w:rPr>
                  <w:rFonts w:eastAsiaTheme="minorEastAsia"/>
                  <w:lang w:eastAsia="en-GB"/>
                </w:rPr>
              </w:pPr>
              <w:r>
                <w:fldChar w:fldCharType="begin"/>
              </w:r>
              <w:r>
                <w:instrText xml:space="preserve"> HYPERLINK \l "_Toc497811414" </w:instrText>
              </w:r>
              <w:r>
                <w:fldChar w:fldCharType="separate"/>
              </w:r>
              <w:r>
                <w:rPr>
                  <w:rStyle w:val="15"/>
                </w:rPr>
                <w:t>Bibliography</w:t>
              </w:r>
              <w:r>
                <w:rPr>
                  <w:rStyle w:val="15"/>
                  <w:lang w:val="en-GB"/>
                </w:rPr>
                <w:t>.</w:t>
              </w:r>
              <w:r>
                <w:fldChar w:fldCharType="end"/>
              </w:r>
              <w:r>
                <w:rPr>
                  <w:lang w:val="en-GB"/>
                </w:rPr>
                <w:t>................................................................................................................................17 to 21</w:t>
              </w:r>
            </w:p>
            <w:p>
              <w:pPr>
                <w:pStyle w:val="11"/>
                <w:tabs>
                  <w:tab w:val="right" w:leader="dot" w:pos="9016"/>
                </w:tabs>
                <w:rPr>
                  <w:rFonts w:eastAsiaTheme="minorEastAsia"/>
                  <w:lang w:eastAsia="en-GB"/>
                </w:rPr>
              </w:pPr>
              <w:r>
                <w:fldChar w:fldCharType="begin"/>
              </w:r>
              <w:r>
                <w:instrText xml:space="preserve"> HYPERLINK \l "_Toc497811415" </w:instrText>
              </w:r>
              <w:r>
                <w:fldChar w:fldCharType="separate"/>
              </w:r>
              <w:r>
                <w:rPr>
                  <w:rStyle w:val="15"/>
                </w:rPr>
                <w:t>Appendices</w:t>
              </w:r>
              <w:r>
                <w:rPr>
                  <w:rStyle w:val="15"/>
                  <w:lang w:val="en-GB"/>
                </w:rPr>
                <w:t>.</w:t>
              </w:r>
              <w:r>
                <w:fldChar w:fldCharType="end"/>
              </w:r>
              <w:r>
                <w:rPr>
                  <w:lang w:val="en-GB"/>
                </w:rPr>
                <w:t>.................................................................................................................................22 to 38</w:t>
              </w:r>
            </w:p>
            <w:p>
              <w:pPr>
                <w:pStyle w:val="11"/>
                <w:tabs>
                  <w:tab w:val="right" w:leader="dot" w:pos="9016"/>
                </w:tabs>
                <w:rPr>
                  <w:rFonts w:eastAsiaTheme="minorEastAsia"/>
                  <w:lang w:eastAsia="en-GB"/>
                </w:rPr>
              </w:pPr>
              <w:r>
                <w:fldChar w:fldCharType="begin"/>
              </w:r>
              <w:r>
                <w:instrText xml:space="preserve"> HYPERLINK \l "_Toc497811416" </w:instrText>
              </w:r>
              <w:r>
                <w:fldChar w:fldCharType="separate"/>
              </w:r>
              <w:r>
                <w:fldChar w:fldCharType="end"/>
              </w:r>
            </w:p>
            <w:p>
              <w:r>
                <w:rPr>
                  <w:b/>
                  <w:bCs/>
                </w:rPr>
                <w:fldChar w:fldCharType="end"/>
              </w:r>
            </w:p>
          </w:sdtContent>
        </w:sdt>
        <w:p/>
        <w:p/>
        <w:p/>
        <w:p/>
        <w:p/>
        <w:p/>
        <w:p/>
        <w:p/>
        <w:p/>
        <w:p/>
        <w:p/>
        <w:p>
          <w:pPr>
            <w:pStyle w:val="2"/>
            <w:jc w:val="both"/>
          </w:pPr>
          <w:bookmarkStart w:id="1" w:name="_Toc497811410"/>
          <w:r>
            <w:t>Introduction</w:t>
          </w:r>
          <w:bookmarkEnd w:id="1"/>
        </w:p>
        <w:p>
          <w:pPr>
            <w:jc w:val="both"/>
          </w:pPr>
        </w:p>
        <w:p>
          <w:pPr>
            <w:jc w:val="both"/>
            <w:rPr>
              <w:lang w:val="en-GB"/>
            </w:rPr>
          </w:pPr>
          <w:r>
            <w:rPr>
              <w:lang w:val="en-GB"/>
            </w:rPr>
            <w:t>The report looks into career development which is a lifelong process of human development,  this is important to reach goals (McKay 2018). The Open University (2018), research has shown that knowing the preferred learning styles can help study effectively also develop new skills. Recognising which learning styles suit best helps an individual to understand how to approach it. Mind Tool (2018) explained, once the learning style is determined this can be expanded by using learning techniques, which this report goes further into. The two learning styles that were chosen to discuss are the VARK and the Honey and Mumford learning style, which consist of question</w:t>
          </w:r>
          <w:r>
            <w:rPr>
              <w:rFonts w:hint="default"/>
              <w:lang w:val="en-GB"/>
            </w:rPr>
            <w:t xml:space="preserve">’s </w:t>
          </w:r>
          <w:r>
            <w:rPr>
              <w:lang w:val="en-GB"/>
            </w:rPr>
            <w:t>to determine which learning style suits best.</w:t>
          </w:r>
        </w:p>
        <w:p>
          <w:pPr>
            <w:jc w:val="both"/>
            <w:rPr>
              <w:lang w:val="en-GB"/>
            </w:rPr>
          </w:pPr>
        </w:p>
        <w:p>
          <w:pPr>
            <w:jc w:val="both"/>
            <w:rPr>
              <w:lang w:val="en-GB"/>
            </w:rPr>
          </w:pPr>
          <w:r>
            <w:rPr>
              <w:lang w:val="en-GB"/>
            </w:rPr>
            <w:t>The second part of the report looks into the recruitment process of the researchers desired profession of a Dental Hygienist. Premiere people (2018) stated, the importance of the recruitment process, is to have the right skilled applicant in the correct profession. The recruitment team need to have the right knowledge and be deeply involved as this is a critical activity. According to Bhatia (2013), recruitment and selection process is more vital then reconstituting an organisation, this is why a recruiter must have good judgement skills, business acumen and knowledge of organisation growth requirements.</w:t>
          </w:r>
        </w:p>
        <w:p>
          <w:pPr>
            <w:jc w:val="both"/>
          </w:pPr>
        </w:p>
        <w:p>
          <w:pPr>
            <w:jc w:val="both"/>
          </w:pPr>
        </w:p>
        <w:p>
          <w:pPr>
            <w:jc w:val="both"/>
          </w:pPr>
        </w:p>
        <w:p>
          <w:pPr>
            <w:pStyle w:val="2"/>
            <w:jc w:val="both"/>
          </w:pPr>
          <w:bookmarkStart w:id="2" w:name="_Toc497811411"/>
        </w:p>
        <w:bookmarkEnd w:id="2"/>
        <w:p>
          <w:pPr>
            <w:pStyle w:val="2"/>
            <w:jc w:val="both"/>
          </w:pPr>
        </w:p>
        <w:p/>
        <w:p/>
        <w:p/>
        <w:p>
          <w:pPr>
            <w:pStyle w:val="2"/>
            <w:jc w:val="both"/>
          </w:pPr>
          <w:r>
            <w:t>Findings</w:t>
          </w:r>
        </w:p>
        <w:p>
          <w:pPr>
            <w:jc w:val="both"/>
            <w:rPr>
              <w:b/>
              <w:bCs/>
              <w:u w:val="none"/>
              <w:lang w:val="en-GB"/>
            </w:rPr>
          </w:pPr>
        </w:p>
        <w:p>
          <w:pPr>
            <w:jc w:val="both"/>
            <w:rPr>
              <w:b/>
              <w:bCs/>
              <w:u w:val="none"/>
              <w:lang w:val="en-GB"/>
            </w:rPr>
          </w:pPr>
          <w:r>
            <w:rPr>
              <w:b/>
              <w:bCs/>
              <w:u w:val="none"/>
              <w:lang w:val="en-GB"/>
            </w:rPr>
            <w:t xml:space="preserve">4.  </w:t>
          </w:r>
          <w:r>
            <w:rPr>
              <w:b/>
              <w:bCs/>
              <w:u w:val="none"/>
            </w:rPr>
            <w:t>PART 1</w:t>
          </w:r>
          <w:r>
            <w:rPr>
              <w:b/>
              <w:bCs/>
              <w:u w:val="none"/>
              <w:lang w:val="en-GB"/>
            </w:rPr>
            <w:t>:</w:t>
          </w:r>
        </w:p>
        <w:p>
          <w:pPr>
            <w:jc w:val="both"/>
            <w:rPr>
              <w:b w:val="0"/>
              <w:bCs w:val="0"/>
              <w:u w:val="none"/>
              <w:lang w:val="en-GB"/>
            </w:rPr>
          </w:pPr>
          <w:r>
            <w:rPr>
              <w:b w:val="0"/>
              <w:bCs w:val="0"/>
              <w:u w:val="none"/>
              <w:lang w:val="en-GB"/>
            </w:rPr>
            <w:t>I have chosen VARK and Honey Mumford Learning style to discuss the background and my results with questionnaires.</w:t>
          </w:r>
        </w:p>
        <w:p>
          <w:pPr>
            <w:jc w:val="both"/>
            <w:rPr>
              <w:b/>
              <w:bCs/>
              <w:lang w:val="en-GB"/>
            </w:rPr>
          </w:pPr>
          <w:r>
            <w:rPr>
              <w:b/>
              <w:bCs/>
              <w:lang w:val="en-GB"/>
            </w:rPr>
            <w:t xml:space="preserve"> </w:t>
          </w:r>
        </w:p>
        <w:p>
          <w:pPr>
            <w:jc w:val="both"/>
            <w:rPr>
              <w:b/>
              <w:bCs/>
            </w:rPr>
          </w:pPr>
          <w:r>
            <w:rPr>
              <w:b/>
              <w:bCs/>
              <w:lang w:val="en-GB"/>
            </w:rPr>
            <w:t xml:space="preserve">4.1. </w:t>
          </w:r>
          <w:r>
            <w:rPr>
              <w:b/>
              <w:bCs/>
            </w:rPr>
            <w:t>VARK LEARNING STYLE:</w:t>
          </w:r>
        </w:p>
        <w:p>
          <w:pPr>
            <w:jc w:val="both"/>
          </w:pPr>
          <w:r>
            <w:t>VARK was developed in the 1990’s, th</w:t>
          </w:r>
          <w:r>
            <w:rPr>
              <w:lang w:val="en-GB"/>
            </w:rPr>
            <w:t>e</w:t>
          </w:r>
          <w:r>
            <w:t xml:space="preserve"> questionnaire help</w:t>
          </w:r>
          <w:r>
            <w:rPr>
              <w:lang w:val="en-GB"/>
            </w:rPr>
            <w:t>s</w:t>
          </w:r>
          <w:r>
            <w:t xml:space="preserve"> recognise the learning preferences</w:t>
          </w:r>
          <w:r>
            <w:rPr>
              <w:lang w:val="en-GB"/>
            </w:rPr>
            <w:t>,</w:t>
          </w:r>
          <w:r>
            <w:t xml:space="preserve"> how we like to give out information. VARK stands for Visual/Verbal, Aural, Read/Write and Kinaesthetic, stated by Fleming and Mills (1992) cited by Morgan (2017). Neil Fleming the designer of VARK had said in a</w:t>
          </w:r>
          <w:r>
            <w:rPr>
              <w:lang w:val="en-GB"/>
            </w:rPr>
            <w:t>n</w:t>
          </w:r>
          <w:r>
            <w:t xml:space="preserve"> interview that 16 questions were designed as there were people not learning with the best of teachers and some were learning more with average teachers and this was down to the</w:t>
          </w:r>
          <w:r>
            <w:rPr>
              <w:lang w:val="en-GB"/>
            </w:rPr>
            <w:t xml:space="preserve"> preferred</w:t>
          </w:r>
          <w:r>
            <w:t xml:space="preserve"> learning style. For some, more than one method applies, these people are </w:t>
          </w:r>
          <w:r>
            <w:rPr>
              <w:lang w:val="en-GB"/>
            </w:rPr>
            <w:t xml:space="preserve">a </w:t>
          </w:r>
          <w:r>
            <w:t xml:space="preserve">multi-modal learner. The VARK questionnaire can only help teachers to understand how their student can learn the best way </w:t>
          </w:r>
          <w:r>
            <w:rPr>
              <w:lang w:val="en-GB"/>
            </w:rPr>
            <w:t>not how</w:t>
          </w:r>
          <w:r>
            <w:t xml:space="preserve"> to teach using any particular method (VARK 2018).</w:t>
          </w:r>
          <w:r>
            <w:rPr>
              <w:lang w:val="en-GB"/>
            </w:rPr>
            <w:t xml:space="preserve"> </w:t>
          </w:r>
          <w:r>
            <w:t>According to Fleming and Baume (2006) cited by Morgan (2017), this is more a communication questionnaire as those four models highlight how a student engages the way they are taught.</w:t>
          </w:r>
        </w:p>
        <w:p>
          <w:pPr>
            <w:jc w:val="both"/>
            <w:rPr>
              <w:b/>
              <w:bCs/>
            </w:rPr>
          </w:pPr>
          <w:r>
            <w:t xml:space="preserve">After completing a VARK questionnaire the results are shown </w:t>
          </w:r>
          <w:r>
            <w:rPr>
              <w:lang w:val="en-GB"/>
            </w:rPr>
            <w:t>in the appendices along with the model.</w:t>
          </w:r>
          <w:r>
            <w:t xml:space="preserve"> This result highlights the best strategy I would learn is visually/verbally</w:t>
          </w:r>
          <w:r>
            <w:rPr>
              <w:lang w:val="en-GB"/>
            </w:rPr>
            <w:t xml:space="preserve">. </w:t>
          </w:r>
          <w:r>
            <w:t>Personally</w:t>
          </w:r>
          <w:r>
            <w:rPr>
              <w:lang w:val="en-GB"/>
            </w:rPr>
            <w:t>,</w:t>
          </w:r>
          <w:r>
            <w:t xml:space="preserve"> I do agree with these results, I do find visually/verbally</w:t>
          </w:r>
          <w:r>
            <w:rPr>
              <w:lang w:val="en-GB"/>
            </w:rPr>
            <w:t xml:space="preserve"> learn</w:t>
          </w:r>
          <w:r>
            <w:t xml:space="preserve"> clearer and easier way to understand and take information better. In my previous years of education, I always found watching videos more helpful way of digesting</w:t>
          </w:r>
          <w:r>
            <w:rPr>
              <w:lang w:val="en-GB"/>
            </w:rPr>
            <w:t xml:space="preserve"> the</w:t>
          </w:r>
          <w:r>
            <w:t xml:space="preserve"> information</w:t>
          </w:r>
          <w:r>
            <w:rPr>
              <w:lang w:val="en-GB"/>
            </w:rPr>
            <w:t xml:space="preserve"> I used to find drawing diagrams more informative</w:t>
          </w:r>
          <w:r>
            <w:t xml:space="preserve">. I always found charts </w:t>
          </w:r>
          <w:r>
            <w:rPr>
              <w:lang w:val="en-GB"/>
            </w:rPr>
            <w:t>fun way to learn</w:t>
          </w:r>
          <w:r>
            <w:t xml:space="preserve"> VARK (2018) explained the different format of learning visually these are; charts, graphs, diagrams, flowcharts and videos. Fonts emphasised with colour and symbolic formats.</w:t>
          </w:r>
        </w:p>
        <w:p>
          <w:pPr>
            <w:jc w:val="both"/>
            <w:rPr>
              <w:b/>
              <w:bCs/>
              <w:lang w:val="en-GB"/>
            </w:rPr>
          </w:pPr>
        </w:p>
        <w:p>
          <w:pPr>
            <w:jc w:val="both"/>
            <w:rPr>
              <w:b/>
              <w:bCs/>
            </w:rPr>
          </w:pPr>
          <w:r>
            <w:rPr>
              <w:b/>
              <w:bCs/>
              <w:lang w:val="en-GB"/>
            </w:rPr>
            <w:t>4</w:t>
          </w:r>
          <w:r>
            <w:rPr>
              <w:b/>
              <w:bCs/>
            </w:rPr>
            <w:t>.</w:t>
          </w:r>
          <w:r>
            <w:rPr>
              <w:b/>
              <w:bCs/>
              <w:lang w:val="en-GB"/>
            </w:rPr>
            <w:t>1.1</w:t>
          </w:r>
          <w:r>
            <w:rPr>
              <w:b/>
              <w:bCs/>
            </w:rPr>
            <w:t xml:space="preserve"> PETER HONEY AND ALAN MUMFORD LEARNING STYLE:</w:t>
          </w:r>
        </w:p>
        <w:p>
          <w:pPr>
            <w:jc w:val="both"/>
          </w:pPr>
          <w:r>
            <w:t xml:space="preserve">Honey and Mumford (1992) cited by Morgan (2017) </w:t>
          </w:r>
          <w:r>
            <w:rPr>
              <w:lang w:val="en-GB"/>
            </w:rPr>
            <w:t xml:space="preserve">stated </w:t>
          </w:r>
          <w:r>
            <w:t xml:space="preserve">Peter Honey and Alan Mumford researched and found four different learning types which are a, </w:t>
          </w:r>
          <w:r>
            <w:rPr>
              <w:b/>
              <w:bCs/>
              <w:lang w:val="en-GB"/>
            </w:rPr>
            <w:t>(</w:t>
          </w:r>
          <w:r>
            <w:rPr>
              <w:b/>
              <w:bCs/>
            </w:rPr>
            <w:t>1)</w:t>
          </w:r>
          <w:r>
            <w:t xml:space="preserve"> Activist, these are people who do less thinking and want to react immediately. </w:t>
          </w:r>
          <w:r>
            <w:rPr>
              <w:b/>
              <w:bCs/>
              <w:lang w:val="en-GB"/>
            </w:rPr>
            <w:t>(</w:t>
          </w:r>
          <w:r>
            <w:rPr>
              <w:b/>
              <w:bCs/>
            </w:rPr>
            <w:t>2)</w:t>
          </w:r>
          <w:r>
            <w:t xml:space="preserve"> Reflectors, take more time thinking and being careful, they like to gather information, stand back to observe and listen rather than talk in a group discussion. </w:t>
          </w:r>
          <w:r>
            <w:rPr>
              <w:b/>
              <w:bCs/>
              <w:lang w:val="en-GB"/>
            </w:rPr>
            <w:t>(</w:t>
          </w:r>
          <w:r>
            <w:rPr>
              <w:b/>
              <w:bCs/>
            </w:rPr>
            <w:t xml:space="preserve">3) </w:t>
          </w:r>
          <w:r>
            <w:t xml:space="preserve">A Theorist </w:t>
          </w:r>
          <w:r>
            <w:rPr>
              <w:lang w:val="en-GB"/>
            </w:rPr>
            <w:t>is</w:t>
          </w:r>
          <w:r>
            <w:t xml:space="preserve"> very logical and want to see the theory and analyse situations, they are a perfectionist and like to use concepts and facts. </w:t>
          </w:r>
          <w:r>
            <w:rPr>
              <w:b/>
              <w:bCs/>
              <w:lang w:val="en-GB"/>
            </w:rPr>
            <w:t>(</w:t>
          </w:r>
          <w:r>
            <w:rPr>
              <w:b/>
              <w:bCs/>
            </w:rPr>
            <w:t>4)</w:t>
          </w:r>
          <w:r>
            <w:t xml:space="preserve"> Pragmatist </w:t>
          </w:r>
          <w:r>
            <w:rPr>
              <w:lang w:val="en-GB"/>
            </w:rPr>
            <w:t>is</w:t>
          </w:r>
          <w:r>
            <w:t xml:space="preserve"> similar to </w:t>
          </w:r>
          <w:r>
            <w:rPr>
              <w:lang w:val="en-GB"/>
            </w:rPr>
            <w:t xml:space="preserve">an </w:t>
          </w:r>
          <w:r>
            <w:t>activist in the sense of energy and are very experimental, they love trying new ideas and techniques</w:t>
          </w:r>
          <w:r>
            <w:rPr>
              <w:lang w:val="en-GB"/>
            </w:rPr>
            <w:t>.</w:t>
          </w:r>
          <w:r>
            <w:t xml:space="preserve"> Cockerton et al explained, the questionnaire has 80 questions related to behaviour, intentions and attitude.</w:t>
          </w:r>
          <w:r>
            <w:rPr>
              <w:lang w:val="en-GB"/>
            </w:rPr>
            <w:t xml:space="preserve"> This learning style was inspired by David Kolb (1984) cited by Morgan (2017) described four different learning styles, these are Concrete Experience, Reflection Observation, Abstract Conceptualisation, Active Experimentation. This cycle has been used for many development and training programme as this model helps to learn new skills. This model is available in the appendices.</w:t>
          </w:r>
          <w:r>
            <w:t xml:space="preserve"> At the end of the questionnaire there will be a result of four separate scores for each learning style.</w:t>
          </w:r>
        </w:p>
        <w:p>
          <w:pPr>
            <w:jc w:val="both"/>
          </w:pPr>
          <w:r>
            <w:t xml:space="preserve">I filled in the questionnaire </w:t>
          </w:r>
          <w:r>
            <w:rPr>
              <w:lang w:val="en-GB"/>
            </w:rPr>
            <w:t>which is available in the appendices along with the model,</w:t>
          </w:r>
          <w:r>
            <w:t xml:space="preserve"> my preferable learning style resulted as a Pragmatist.</w:t>
          </w:r>
          <w:r>
            <w:rPr>
              <w:lang w:val="en-GB"/>
            </w:rPr>
            <w:t xml:space="preserve"> A</w:t>
          </w:r>
          <w:r>
            <w:t xml:space="preserve"> Pragmatist like practical work, realistic</w:t>
          </w:r>
          <w:r>
            <w:rPr>
              <w:lang w:val="en-GB"/>
            </w:rPr>
            <w:t xml:space="preserve"> as theories don’t produce results</w:t>
          </w:r>
          <w:r>
            <w:t>, pragmatist are not people orientated and tend to waffle. Pragmatist learn more with techniques connected to their career and like to draw up action plans for practical content. Pragmatist dislike activities involving no practical gain, no guidelines, no reward and when people go too slow. I do agree with these results, most problems are challenges for me, I am confident and in do like practical activities. I am impatient and get decisive. People do say to me that I am down to earth</w:t>
          </w:r>
          <w:r>
            <w:rPr>
              <w:lang w:val="en-GB"/>
            </w:rPr>
            <w:t>, I work well in group discussion and enjoy projects. I would like to now look at my Go MAD goals and how I can implement these learning styles along with other styles and techniques to reach my goal.</w:t>
          </w:r>
        </w:p>
        <w:p>
          <w:pPr>
            <w:jc w:val="both"/>
            <w:rPr>
              <w:b/>
              <w:bCs/>
            </w:rPr>
          </w:pPr>
        </w:p>
        <w:p>
          <w:pPr>
            <w:jc w:val="both"/>
            <w:rPr>
              <w:b/>
              <w:bCs/>
            </w:rPr>
          </w:pPr>
          <w:r>
            <w:rPr>
              <w:b/>
              <w:bCs/>
              <w:lang w:val="en-GB"/>
            </w:rPr>
            <w:t>4</w:t>
          </w:r>
          <w:r>
            <w:rPr>
              <w:b/>
              <w:bCs/>
            </w:rPr>
            <w:t>.1.</w:t>
          </w:r>
          <w:r>
            <w:rPr>
              <w:b/>
              <w:bCs/>
              <w:lang w:val="en-GB"/>
            </w:rPr>
            <w:t>2</w:t>
          </w:r>
          <w:r>
            <w:rPr>
              <w:b/>
              <w:bCs/>
            </w:rPr>
            <w:t xml:space="preserve"> GO MAD:</w:t>
          </w:r>
        </w:p>
        <w:p>
          <w:pPr>
            <w:jc w:val="both"/>
          </w:pPr>
          <w:r>
            <w:t xml:space="preserve">TEDx Talk (2016) presentation of Andy Gilbert the Founding Director about his journey of creating this framework. In 1997 Andy Gilbert </w:t>
          </w:r>
          <w:r>
            <w:rPr>
              <w:lang w:val="en-GB"/>
            </w:rPr>
            <w:t>and</w:t>
          </w:r>
          <w:r>
            <w:t xml:space="preserve"> a team of researchers undert</w:t>
          </w:r>
          <w:r>
            <w:rPr>
              <w:lang w:val="en-GB"/>
            </w:rPr>
            <w:t>ook</w:t>
          </w:r>
          <w:r>
            <w:t xml:space="preserve"> a 14 month of phenomenological study to see the phenomena of people who made a difference. </w:t>
          </w:r>
          <w:r>
            <w:rPr>
              <w:lang w:val="en-GB"/>
            </w:rPr>
            <w:t>T</w:t>
          </w:r>
          <w:r>
            <w:t>wo key principle</w:t>
          </w:r>
          <w:r>
            <w:rPr>
              <w:lang w:val="en-GB"/>
            </w:rPr>
            <w:t>s</w:t>
          </w:r>
          <w:r>
            <w:t xml:space="preserve"> </w:t>
          </w:r>
          <w:r>
            <w:rPr>
              <w:lang w:val="en-GB"/>
            </w:rPr>
            <w:t>is</w:t>
          </w:r>
          <w:r>
            <w:t xml:space="preserve"> the ‘reason why’ and ‘define goal.’ </w:t>
          </w:r>
          <w:r>
            <w:rPr>
              <w:lang w:val="en-GB"/>
            </w:rPr>
            <w:t>I</w:t>
          </w:r>
          <w:r>
            <w:t>t</w:t>
          </w:r>
          <w:r>
            <w:rPr>
              <w:lang w:val="en-GB"/>
            </w:rPr>
            <w:t xml:space="preserve"> i</w:t>
          </w:r>
          <w:r>
            <w:t xml:space="preserve">s important to have a ‘reason why’ </w:t>
          </w:r>
          <w:r>
            <w:rPr>
              <w:lang w:val="en-GB"/>
            </w:rPr>
            <w:t>as</w:t>
          </w:r>
          <w:r>
            <w:t xml:space="preserve"> to reach your goals. The third key principle is ‘self</w:t>
          </w:r>
          <w:r>
            <w:rPr>
              <w:lang w:val="en-GB"/>
            </w:rPr>
            <w:t>-</w:t>
          </w:r>
          <w:r>
            <w:t>belief’ as believing what you are going to do rather than knowing and checking its achievable</w:t>
          </w:r>
          <w:r>
            <w:rPr>
              <w:lang w:val="en-GB"/>
            </w:rPr>
            <w:t>.</w:t>
          </w:r>
          <w:r>
            <w:t xml:space="preserve"> </w:t>
          </w:r>
        </w:p>
        <w:p>
          <w:pPr>
            <w:jc w:val="both"/>
          </w:pPr>
          <w:r>
            <w:t>The fourth principle is ‘possibilities and priority’</w:t>
          </w:r>
          <w:r>
            <w:rPr>
              <w:lang w:val="en-GB"/>
            </w:rPr>
            <w:t>,</w:t>
          </w:r>
          <w:r>
            <w:t xml:space="preserve"> to think about all possibility</w:t>
          </w:r>
          <w:r>
            <w:rPr>
              <w:lang w:val="en-GB"/>
            </w:rPr>
            <w:t xml:space="preserve"> </w:t>
          </w:r>
          <w:r>
            <w:t>and prioritising them</w:t>
          </w:r>
          <w:r>
            <w:rPr>
              <w:lang w:val="en-GB"/>
            </w:rPr>
            <w:t>.</w:t>
          </w:r>
          <w:r>
            <w:t xml:space="preserve"> </w:t>
          </w:r>
          <w:r>
            <w:rPr>
              <w:lang w:val="en-GB"/>
            </w:rPr>
            <w:t>T</w:t>
          </w:r>
          <w:r>
            <w:t>he fifth principle of ‘involving others’ to see who you can involve, how they can help you. The sixth principle is, ‘personal responsibilities’ understanding it</w:t>
          </w:r>
          <w:r>
            <w:rPr>
              <w:rFonts w:hint="default"/>
              <w:lang w:val="en-GB"/>
            </w:rPr>
            <w:t>’</w:t>
          </w:r>
          <w:r>
            <w:t>s my goal, I am only responsible and I have to make choices of how I reach it. The seventh principle is ‘taking action and measure results.’ This framework will measure your thinking which will determine your actions.</w:t>
          </w:r>
        </w:p>
        <w:p>
          <w:pPr>
            <w:jc w:val="both"/>
            <w:rPr>
              <w:b/>
              <w:bCs/>
            </w:rPr>
          </w:pPr>
          <w:r>
            <w:t>This framework is designed to help develop and coach yourself, your team, friends and family to make a difference and define your goals. It also used for</w:t>
          </w:r>
          <w:r>
            <w:rPr>
              <w:lang w:val="en-GB"/>
            </w:rPr>
            <w:t xml:space="preserve"> an</w:t>
          </w:r>
          <w:r>
            <w:t xml:space="preserve"> analytical and diagnostic tool which recognises where you are going wrong if you are not achieving your goal in your career or personal journey, as this framework will highlight which area requires you to improve o</w:t>
          </w:r>
          <w:r>
            <w:rPr>
              <w:lang w:val="en-GB"/>
            </w:rPr>
            <w:t>n</w:t>
          </w:r>
          <w:r>
            <w:t xml:space="preserve"> </w:t>
          </w:r>
          <w:r>
            <w:rPr>
              <w:lang w:val="en-GB"/>
            </w:rPr>
            <w:t>(</w:t>
          </w:r>
          <w:r>
            <w:t>Go MAD Thinking 2018).</w:t>
          </w:r>
          <w:r>
            <w:rPr>
              <w:lang w:val="en-GB"/>
            </w:rPr>
            <w:t xml:space="preserve"> </w:t>
          </w:r>
          <w:r>
            <w:rPr>
              <w:b/>
              <w:bCs/>
            </w:rPr>
            <w:t xml:space="preserve">                                                                                    </w:t>
          </w:r>
        </w:p>
        <w:p>
          <w:pPr>
            <w:jc w:val="both"/>
          </w:pPr>
          <w:r>
            <w:t>I have also completed a go MAD framework</w:t>
          </w:r>
          <w:r>
            <w:rPr>
              <w:lang w:val="en-GB"/>
            </w:rPr>
            <w:t xml:space="preserve"> </w:t>
          </w:r>
          <w:r>
            <w:t>to help reach my goals</w:t>
          </w:r>
          <w:r>
            <w:rPr>
              <w:lang w:val="en-GB"/>
            </w:rPr>
            <w:t>.</w:t>
          </w:r>
          <w:r>
            <w:t xml:space="preserve"> I was able to recognise my ‘reason why’ and ‘define goal’. The reason </w:t>
          </w:r>
          <w:r>
            <w:rPr>
              <w:lang w:val="en-GB"/>
            </w:rPr>
            <w:t>for</w:t>
          </w:r>
          <w:r>
            <w:t xml:space="preserve"> taking actions now is because of leaving education early leaving my ambitions incomplete. </w:t>
          </w:r>
        </w:p>
        <w:p>
          <w:pPr>
            <w:jc w:val="both"/>
            <w:rPr>
              <w:lang w:val="en-GB"/>
            </w:rPr>
          </w:pPr>
          <w:r>
            <w:t xml:space="preserve">My goal is to have a career in the role of a Dental Hygienist, which is hoped to be achieved after completing three years of this degree </w:t>
          </w:r>
          <w:r>
            <w:rPr>
              <w:lang w:val="en-GB"/>
            </w:rPr>
            <w:t>in</w:t>
          </w:r>
          <w:r>
            <w:t xml:space="preserve"> Leadership and Management. My last objective is to make my family proud. Self-belief is important to ask myself if my goals are realistic and achievable. Planning and prioritising is part of the process of reaching my goals such as prioritising lessons, assignments and researches to get results. Involving others and personal responsibilities link into one as I cannot get to my goal without getting help from my friends and family towards responsibilities in my personal life and help academically from lecturers.</w:t>
          </w:r>
          <w:r>
            <w:rPr>
              <w:lang w:val="en-GB"/>
            </w:rPr>
            <w:t xml:space="preserve"> </w:t>
          </w:r>
        </w:p>
        <w:p>
          <w:pPr>
            <w:jc w:val="both"/>
            <w:rPr>
              <w:lang w:val="en-GB"/>
            </w:rPr>
          </w:pPr>
          <w:r>
            <w:drawing>
              <wp:inline distT="0" distB="0" distL="114300" distR="114300">
                <wp:extent cx="5728970" cy="4296410"/>
                <wp:effectExtent l="0" t="0" r="11430" b="889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pic:cNvPicPr>
                          <a:picLocks noChangeAspect="1"/>
                        </pic:cNvPicPr>
                      </pic:nvPicPr>
                      <pic:blipFill>
                        <a:blip r:embed="rId7"/>
                        <a:stretch>
                          <a:fillRect/>
                        </a:stretch>
                      </pic:blipFill>
                      <pic:spPr>
                        <a:xfrm>
                          <a:off x="0" y="0"/>
                          <a:ext cx="5728970" cy="4296410"/>
                        </a:xfrm>
                        <a:prstGeom prst="rect">
                          <a:avLst/>
                        </a:prstGeom>
                        <a:noFill/>
                        <a:ln w="9525">
                          <a:noFill/>
                        </a:ln>
                      </pic:spPr>
                    </pic:pic>
                  </a:graphicData>
                </a:graphic>
              </wp:inline>
            </w:drawing>
          </w:r>
        </w:p>
        <w:p>
          <w:pPr>
            <w:jc w:val="both"/>
            <w:rPr>
              <w:lang w:val="en-GB"/>
            </w:rPr>
          </w:pPr>
        </w:p>
        <w:p>
          <w:pPr>
            <w:jc w:val="both"/>
            <w:rPr>
              <w:lang w:val="en-GB"/>
            </w:rPr>
          </w:pPr>
          <w:r>
            <w:t>I am acting now to reach my goals, I am implementing the Johari Windows, which was created by Joseph Luft and Harry Ingham</w:t>
          </w:r>
          <w:r>
            <w:rPr>
              <w:lang w:val="en-GB"/>
            </w:rPr>
            <w:t xml:space="preserve">. </w:t>
          </w:r>
          <w:r>
            <w:t>This is a window with four areas</w:t>
          </w:r>
          <w:r>
            <w:rPr>
              <w:lang w:val="en-GB"/>
            </w:rPr>
            <w:t>, model is available to view in appendices</w:t>
          </w:r>
          <w:r>
            <w:t xml:space="preserve"> The purpose of this wi</w:t>
          </w:r>
          <w:r>
            <w:rPr>
              <w:lang w:val="en-GB"/>
            </w:rPr>
            <w:t>n</w:t>
          </w:r>
          <w:r>
            <w:t>dow is to is to expand the skills in the blind spot by taking feedback from people, this will enable me to work clearly by opening my unseen abilities</w:t>
          </w:r>
          <w:r>
            <w:rPr>
              <w:lang w:val="en-GB"/>
            </w:rPr>
            <w:t xml:space="preserve">, </w:t>
          </w:r>
          <w:r>
            <w:t>and reach my go MAD goal</w:t>
          </w:r>
          <w:r>
            <w:rPr>
              <w:lang w:val="en-GB"/>
            </w:rPr>
            <w:t xml:space="preserve"> </w:t>
          </w:r>
          <w:r>
            <w:t>(Morgan 2017)</w:t>
          </w:r>
          <w:r>
            <w:rPr>
              <w:lang w:val="en-GB"/>
            </w:rPr>
            <w:t xml:space="preserve"> I had not known that I have a good presentation skills until I presented in class and received positive feedback from lecturers and students which was my blind spot</w:t>
          </w:r>
          <w:r>
            <w:t xml:space="preserve">. </w:t>
          </w:r>
          <w:r>
            <w:rPr>
              <w:lang w:val="en-GB"/>
            </w:rPr>
            <w:t>I also intend to use Goal S.M.A.R.T  which is also available to see in appendices in further details, created in the 19</w:t>
          </w:r>
          <w:r>
            <w:rPr>
              <w:vertAlign w:val="superscript"/>
              <w:lang w:val="en-GB"/>
            </w:rPr>
            <w:t>th</w:t>
          </w:r>
          <w:r>
            <w:rPr>
              <w:lang w:val="en-GB"/>
            </w:rPr>
            <w:t xml:space="preserve"> century by American philosopher Elbert Hubbard to help people reach their goals by organising their energies (Haughey 2014). I also need to look at my strengths and weaknesses which will be identified through SWOT and what strategies to use to make my strength my opportunity and my weakness my strength also an opportunity.</w:t>
          </w:r>
        </w:p>
        <w:p>
          <w:pPr>
            <w:jc w:val="both"/>
            <w:rPr>
              <w:lang w:val="en-GB"/>
            </w:rPr>
          </w:pPr>
        </w:p>
        <w:p>
          <w:pPr>
            <w:jc w:val="both"/>
            <w:rPr>
              <w:b/>
              <w:bCs/>
              <w:lang w:val="en-GB"/>
            </w:rPr>
          </w:pPr>
          <w:r>
            <w:rPr>
              <w:b/>
              <w:bCs/>
              <w:lang w:val="en-GB"/>
            </w:rPr>
            <w:t>4.1.3. SKILLS AUDIT:</w:t>
          </w:r>
        </w:p>
        <w:p>
          <w:pPr>
            <w:jc w:val="both"/>
            <w:rPr>
              <w:lang w:val="en-GB"/>
            </w:rPr>
          </w:pPr>
          <w:r>
            <w:rPr>
              <w:lang w:val="en-GB"/>
            </w:rPr>
            <w:t>By completing a skill audit I was able to identify what skills will need to carry on and improved for future purpose. IT, reading and writing skills were identified as skills being used now and will be needed in my future dream job as a Dental Hygienist so I will need to improve these skills more. Now I will look into my personal development plan to recognise my objectives and barriers and how I can overcome them.  My skill audit is available to view in the appendices.</w:t>
          </w:r>
        </w:p>
        <w:p>
          <w:pPr>
            <w:jc w:val="both"/>
            <w:rPr>
              <w:lang w:val="en-GB"/>
            </w:rPr>
          </w:pPr>
        </w:p>
        <w:p>
          <w:pPr>
            <w:jc w:val="both"/>
            <w:rPr>
              <w:b/>
              <w:bCs/>
              <w:lang w:val="en-GB"/>
            </w:rPr>
          </w:pPr>
        </w:p>
        <w:p>
          <w:pPr>
            <w:jc w:val="both"/>
            <w:rPr>
              <w:b/>
              <w:bCs/>
            </w:rPr>
          </w:pPr>
          <w:r>
            <w:rPr>
              <w:b/>
              <w:bCs/>
              <w:lang w:val="en-GB"/>
            </w:rPr>
            <w:t xml:space="preserve">4.1.4. </w:t>
          </w:r>
          <w:r>
            <w:rPr>
              <w:b/>
              <w:bCs/>
            </w:rPr>
            <w:t xml:space="preserve"> THE SWOT ANALYSIS:</w:t>
          </w:r>
        </w:p>
        <w:p>
          <w:pPr>
            <w:jc w:val="both"/>
            <w:rPr>
              <w:lang w:val="en-GB"/>
            </w:rPr>
          </w:pPr>
          <w:r>
            <w:t xml:space="preserve">Mind tool suggested that SWOT which stands for Strengths, Weaknesses, Opportunities and Threats. Designed by Allen S. Humphrey in the 1960s. The tool is used to exploit opportunities from your strengths and how to improve your weaknesses into positives. Strengths and weaknesses are more Internal factors, whereas opportunities and threat are external. This tool is used in the business world for marketing and cooperate planning. It is also used for career improvements to determine where changes are possible and to make clear strategies.  My SWOT is available </w:t>
          </w:r>
          <w:r>
            <w:rPr>
              <w:lang w:val="en-GB"/>
            </w:rPr>
            <w:t>below.</w:t>
          </w:r>
        </w:p>
        <w:p>
          <w:pPr>
            <w:jc w:val="both"/>
          </w:pPr>
          <w:r>
            <w:drawing>
              <wp:inline distT="0" distB="0" distL="114300" distR="114300">
                <wp:extent cx="5725160" cy="6910070"/>
                <wp:effectExtent l="0" t="0" r="0" b="1143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pic:cNvPicPr>
                          <a:picLocks noChangeAspect="1"/>
                        </pic:cNvPicPr>
                      </pic:nvPicPr>
                      <pic:blipFill>
                        <a:blip r:embed="rId8"/>
                        <a:stretch>
                          <a:fillRect/>
                        </a:stretch>
                      </pic:blipFill>
                      <pic:spPr>
                        <a:xfrm>
                          <a:off x="0" y="0"/>
                          <a:ext cx="5725160" cy="6910070"/>
                        </a:xfrm>
                        <a:prstGeom prst="rect">
                          <a:avLst/>
                        </a:prstGeom>
                        <a:noFill/>
                        <a:ln w="9525">
                          <a:noFill/>
                        </a:ln>
                      </pic:spPr>
                    </pic:pic>
                  </a:graphicData>
                </a:graphic>
              </wp:inline>
            </w:drawing>
          </w:r>
        </w:p>
        <w:p>
          <w:pPr>
            <w:jc w:val="both"/>
            <w:rPr>
              <w:lang w:val="en-GB"/>
            </w:rPr>
          </w:pPr>
          <w:r>
            <w:t xml:space="preserve">My SWOT identifies my strength of high confidence in speaking publicly, organisational skills that keeps me on schedule and I accept new challenges. My achievement of a Diploma in Dental Nursing which was highlighted will be an incentive towards my Hygienist career. I manage to plan what action I would need to take to turn my strength into an opportunity. My weakness was identified as I.T skills, reading and writing. The VARK questionnaire also recognised as reading/writing being my least preferred style of learning. In agreement </w:t>
          </w:r>
          <w:r>
            <w:rPr>
              <w:lang w:val="en-GB"/>
            </w:rPr>
            <w:t>with</w:t>
          </w:r>
          <w:r>
            <w:t xml:space="preserve"> these results I have taken my three weaknesses and planned the conversion strategies of improving these skills into my strengths by, reading/writing and analysing more and taking relevant courses for I.T.</w:t>
          </w:r>
          <w:r>
            <w:rPr>
              <w:lang w:val="en-GB"/>
            </w:rPr>
            <w:t xml:space="preserve"> I will now look into my skill audit to highlight what skills I am using now, which skills will be required in the future, this will identify the abilities that need to be developed.</w:t>
          </w: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rPr>
          </w:pPr>
          <w:r>
            <w:rPr>
              <w:b/>
              <w:bCs/>
              <w:u w:val="none"/>
              <w:lang w:val="en-GB"/>
            </w:rPr>
            <w:t>4.2. PERSONAL DEVELOPMENT PLAN</w:t>
          </w:r>
          <w:r>
            <w:rPr>
              <w:b/>
              <w:bCs/>
              <w:u w:val="none"/>
            </w:rPr>
            <w:t>:</w:t>
          </w:r>
        </w:p>
        <w:p>
          <w:pPr>
            <w:jc w:val="both"/>
            <w:rPr>
              <w:b w:val="0"/>
              <w:bCs w:val="0"/>
              <w:u w:val="none"/>
              <w:lang w:val="en-GB"/>
            </w:rPr>
          </w:pPr>
          <w:r>
            <w:rPr>
              <w:b w:val="0"/>
              <w:bCs w:val="0"/>
              <w:u w:val="none"/>
              <w:lang w:val="en-GB"/>
            </w:rPr>
            <w:t xml:space="preserve">This plan will look at my objectives, what barriers I have to face, what actions and support I have to achieve them.  </w:t>
          </w:r>
        </w:p>
        <w:p>
          <w:pPr>
            <w:jc w:val="both"/>
            <w:rPr>
              <w:b w:val="0"/>
              <w:bCs w:val="0"/>
              <w:u w:val="none"/>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drawing>
              <wp:inline distT="0" distB="0" distL="114300" distR="114300">
                <wp:extent cx="5728335" cy="5973445"/>
                <wp:effectExtent l="0" t="0" r="0" b="0"/>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
                        <pic:cNvPicPr>
                          <a:picLocks noChangeAspect="1"/>
                        </pic:cNvPicPr>
                      </pic:nvPicPr>
                      <pic:blipFill>
                        <a:blip r:embed="rId9"/>
                        <a:stretch>
                          <a:fillRect/>
                        </a:stretch>
                      </pic:blipFill>
                      <pic:spPr>
                        <a:xfrm>
                          <a:off x="0" y="0"/>
                          <a:ext cx="5728335" cy="5973445"/>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jc w:val="both"/>
            <w:rPr>
              <w:lang w:val="en-GB"/>
            </w:rPr>
          </w:pPr>
          <w:r>
            <w:rPr>
              <w:lang w:val="en-GB"/>
            </w:rPr>
            <w:t>Implementing different learning styles and techniques should improve my weaknesses, using the support mechanism to overcome my barriers which are family, research and commitment. These barriers can be removed by getting extra childcare for my children, by finding a quiter place and time to do thorough research and commit ti it. My IT skills would be used in a Dental Practice to take notes, medical history, charting, planning and making appointments. My reading skills will be used to read records and for Continuing Professional Development (CPD) purposes. My writing skills will be used to write notes manually, take charting and fill in medically related forms. Mind Tool (2018) explained Gibbs reflection cycle is useful for reflecting on your own situation and experiences, to see how to improve yourself in the future. The model has six stages, after going through each aspect I can then conclude myself and look at what I can do differently, how to develop my skills, the detailed model is available to see in the appendices. I can use this cycle to reflect on my current situation, and abilities using this as a monitoring method. If I implement all the learning styles and techniques mentioned in this report, I can develop my weak skills as well use my strengths as my opportunity in my dream job as recognised in the SWOT, take feedback to become a successful Dental Hygienist and create my own personal branding through social media and business cards to stand out. My business card is also available to see in the appendices.</w:t>
          </w:r>
        </w:p>
        <w:p>
          <w:pPr>
            <w:jc w:val="both"/>
            <w:rPr>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jc w:val="both"/>
            <w:rPr>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r>
            <w:rPr>
              <w:b/>
              <w:bCs/>
              <w:lang w:val="en-GB"/>
            </w:rPr>
            <w:t>4.2.1. PART 2:</w:t>
          </w:r>
        </w:p>
        <w:p>
          <w:pPr>
            <w:jc w:val="both"/>
            <w:rPr>
              <w:b w:val="0"/>
              <w:bCs w:val="0"/>
              <w:lang w:val="en-GB"/>
            </w:rPr>
          </w:pPr>
          <w:r>
            <w:rPr>
              <w:b w:val="0"/>
              <w:bCs w:val="0"/>
              <w:lang w:val="en-GB"/>
            </w:rPr>
            <w:t>This part is looking into the recruitment process of a Dental Hygienist. This section will cover, Job Description, Personal Specification, Job Advertisement, CVs and Cover Letters, Application Process, Aptitude Test, Assessment Centre and Interview.</w:t>
          </w:r>
        </w:p>
        <w:p>
          <w:pPr>
            <w:jc w:val="both"/>
            <w:rPr>
              <w:b/>
              <w:bCs/>
              <w:lang w:val="en-GB"/>
            </w:rPr>
          </w:pPr>
        </w:p>
        <w:p>
          <w:pPr>
            <w:jc w:val="both"/>
            <w:rPr>
              <w:b/>
              <w:bCs/>
              <w:lang w:val="en-GB"/>
            </w:rPr>
          </w:pPr>
          <w:r>
            <w:rPr>
              <w:b/>
              <w:bCs/>
              <w:lang w:val="en-GB"/>
            </w:rPr>
            <w:t>4.2.2. JOB DESCRIPTION:</w:t>
          </w:r>
        </w:p>
        <w:p>
          <w:pPr>
            <w:jc w:val="both"/>
            <w:rPr>
              <w:b w:val="0"/>
              <w:bCs w:val="0"/>
              <w:lang w:val="en-GB"/>
            </w:rPr>
          </w:pPr>
          <w:r>
            <w:rPr>
              <w:b w:val="0"/>
              <w:bCs w:val="0"/>
              <w:lang w:val="en-GB"/>
            </w:rPr>
            <w:t xml:space="preserve">A Dental Hygienist will need to remove plaque, calculus and polish teeth to prevent tooth decay and gum disease, give advice on oral health and diet, take dental radiographs and impressions, apply antibacterial and fluoride. A Hygienist must use and sterilise dental instruments, work along with a Dentist, advice and encourage patients, provide chair side assistance, collect medical and dental records, take charts as a dental evaluation. A Hygienist will be working for a private company. </w:t>
          </w:r>
        </w:p>
        <w:p>
          <w:pPr>
            <w:jc w:val="both"/>
            <w:rPr>
              <w:b/>
              <w:bCs/>
              <w:lang w:val="en-GB"/>
            </w:rPr>
          </w:pPr>
        </w:p>
        <w:p>
          <w:pPr>
            <w:jc w:val="both"/>
            <w:rPr>
              <w:b/>
              <w:bCs/>
              <w:lang w:val="en-GB"/>
            </w:rPr>
          </w:pPr>
          <w:r>
            <w:rPr>
              <w:b/>
              <w:bCs/>
              <w:lang w:val="en-GB"/>
            </w:rPr>
            <w:t>4.2.3. PERSONAL SPECIFICATION:</w:t>
          </w:r>
        </w:p>
        <w:p>
          <w:pPr>
            <w:jc w:val="both"/>
            <w:rPr>
              <w:b w:val="0"/>
              <w:bCs w:val="0"/>
              <w:lang w:val="en-GB"/>
            </w:rPr>
          </w:pPr>
          <w:r>
            <w:rPr>
              <w:b w:val="0"/>
              <w:bCs w:val="0"/>
              <w:lang w:val="en-GB"/>
            </w:rPr>
            <w:t>A Dental Hygienist must have good interpersonal skills and manual dexterity, be confident and caring, have excellent communication skills and teamwork. The qualification necessary is three years of Oral Health Science Degree and be registered with the General Dental Council (GDC), or by studying two years of Diploma in Dental Hygiene along with previous experience of working in the fields of a Dental Nurse or Surgery Assistant (Target jobs 2018). Specified by Indeed (2018), technical skills are required, good people, social and organisational skills are desirable. Must have a professional attitude, intellectual and cognitive skills, physical strengths, motor skills, auditory and visual requirements (Lane Community College 1996).</w:t>
          </w:r>
        </w:p>
        <w:p>
          <w:pPr>
            <w:jc w:val="both"/>
            <w:rPr>
              <w:b/>
              <w:bCs/>
              <w:lang w:val="en-GB"/>
            </w:rPr>
          </w:pPr>
        </w:p>
        <w:p>
          <w:pPr>
            <w:jc w:val="both"/>
            <w:rPr>
              <w:b w:val="0"/>
              <w:bCs w:val="0"/>
              <w:lang w:val="en-GB"/>
            </w:rPr>
          </w:pPr>
          <w:r>
            <w:rPr>
              <w:b/>
              <w:bCs/>
              <w:lang w:val="en-GB"/>
            </w:rPr>
            <w:t>4.2.4. JOB ADVERTISEMENT:</w:t>
          </w:r>
        </w:p>
        <w:p>
          <w:pPr>
            <w:jc w:val="both"/>
            <w:rPr>
              <w:b w:val="0"/>
              <w:bCs w:val="0"/>
              <w:lang w:val="en-GB"/>
            </w:rPr>
          </w:pPr>
          <w:r>
            <w:rPr>
              <w:b w:val="0"/>
              <w:bCs w:val="0"/>
              <w:lang w:val="en-GB"/>
            </w:rPr>
            <w:t>As advertised by reed (2018), an online recruitment company, a Dental Hygienist vacancy clearly states the title of the job, in this case, it is a Dental Hygienist post. The location where it is based. The day the advertising was posted and the closing date. The type of vacancy. The days and hours the vacancy is for and, the salary which is being offered. The advertise will specify the responsibilities expected to be carried out these are, routine hygiene treatment and periodontal care. The role will include working within a team, required high communication, organisational, time managing and technical skills are essential. CRB and reference check would be conducted along with a certification for immunisations proof. The successful candidate will require being passionate, caring, GDC registered with correct qualifications. The advertisement will provide options for filling the online form and submitting a CV.</w:t>
          </w:r>
        </w:p>
        <w:p>
          <w:pPr>
            <w:jc w:val="both"/>
            <w:rPr>
              <w:b w:val="0"/>
              <w:bCs w:val="0"/>
              <w:lang w:val="en-GB"/>
            </w:rPr>
          </w:pPr>
        </w:p>
        <w:p>
          <w:pPr>
            <w:jc w:val="both"/>
            <w:rPr>
              <w:b/>
              <w:bCs/>
              <w:lang w:val="en-GB"/>
            </w:rPr>
          </w:pPr>
        </w:p>
        <w:p>
          <w:pPr>
            <w:jc w:val="both"/>
            <w:rPr>
              <w:b/>
              <w:bCs/>
              <w:lang w:val="en-GB"/>
            </w:rPr>
          </w:pPr>
        </w:p>
        <w:p>
          <w:pPr>
            <w:jc w:val="both"/>
            <w:rPr>
              <w:b/>
              <w:bCs/>
              <w:lang w:val="en-GB"/>
            </w:rPr>
          </w:pPr>
          <w:r>
            <w:rPr>
              <w:b/>
              <w:bCs/>
              <w:lang w:val="en-GB"/>
            </w:rPr>
            <w:t>4.3. CV AND COVER LETTER:</w:t>
          </w:r>
        </w:p>
        <w:p>
          <w:pPr>
            <w:jc w:val="both"/>
            <w:rPr>
              <w:b w:val="0"/>
              <w:bCs w:val="0"/>
              <w:lang w:val="en-GB"/>
            </w:rPr>
          </w:pPr>
          <w:r>
            <w:rPr>
              <w:b w:val="0"/>
              <w:bCs w:val="0"/>
              <w:lang w:val="en-GB"/>
            </w:rPr>
            <w:t>Mills et al (2011) stated, how a CV is candidates historical records of what experience and skills have been possessed through educational and career life. The full name clearly is written along with contact details, latest telephone number, address and emails. The candidate must list previous employers history, the roles and dates worked in these organisation, main factor looking at more dental related experience. The skills and responsibilities attained such as technical skills or dental knowledge broadened. Any training or volunteer work undertaken with details, educational background with names of school, college and universities, what grades or marking acquired through examination, any achievements, challenge participation or prizes received. Extra professional qualification also need to be specified, highlighting the correct qualification for Dental Hygiene has been obtained. Hobbies are not necessary but could be an advantage to acknowledge other skills within these interest such as reading.  A cover letter should be attached to the CV. Within this, its is an opportunity to introduce the candidate, highlight skills and experiences. A letter needs to be clear and fit in with the CV.  The letter does not need to be longer than an A4 sheet as the CV has the candidates details. This letter is a chance to sell the applicant to the employer, the letter should state what position candidate is applying and why the applicant feels suitable for this role, how skills match up. Explain the availability for an interview. The cover letter needs to be professional, formatted and concise (Smith 2017).</w:t>
          </w:r>
        </w:p>
        <w:p>
          <w:pPr>
            <w:jc w:val="both"/>
            <w:rPr>
              <w:b/>
              <w:bCs/>
              <w:lang w:val="en-GB"/>
            </w:rPr>
          </w:pPr>
        </w:p>
        <w:p>
          <w:pPr>
            <w:jc w:val="both"/>
            <w:rPr>
              <w:b w:val="0"/>
              <w:bCs w:val="0"/>
              <w:lang w:val="en-GB"/>
            </w:rPr>
          </w:pPr>
          <w:r>
            <w:rPr>
              <w:b/>
              <w:bCs/>
              <w:lang w:val="en-GB"/>
            </w:rPr>
            <w:t>4.3.1. APPLICATION PROCESS:</w:t>
          </w:r>
        </w:p>
        <w:p>
          <w:pPr>
            <w:jc w:val="both"/>
            <w:rPr>
              <w:b w:val="0"/>
              <w:bCs w:val="0"/>
              <w:lang w:val="en-GB"/>
            </w:rPr>
          </w:pPr>
          <w:r>
            <w:rPr>
              <w:b w:val="0"/>
              <w:bCs w:val="0"/>
              <w:lang w:val="en-GB"/>
            </w:rPr>
            <w:t xml:space="preserve">A potential candidate will need to fill in the online application for which specifically looks into further skill and education in much detail. The application form would clarify the name and contact details. The document will act as a questionnaire in understanding each skill by mentioning each one and how strong or weak the ability of the candidate. Official skills such as keyboard skills, bookkeeping, excel, word processing, charting, treatment presentations and appointment scheduling. The clinical skills questions vary from, CPR training, tray set up, take and develop x-rays, periodontal skills and plaque control instruction. The education and certification will be clarified within the application to identify right qualification has been obtained. Further questions of dates of vaccines received availability for start, salary requirements and hours that are convenient. Last seven years employers would need to be identified to understand work experience, who will be contacted for reference purposes. The last part of the application would be an online agreement of authorisation for reference check (Lake Shore Family 2010). </w:t>
          </w:r>
        </w:p>
        <w:p>
          <w:pPr>
            <w:jc w:val="both"/>
            <w:rPr>
              <w:b w:val="0"/>
              <w:bCs w:val="0"/>
              <w:lang w:val="en-GB"/>
            </w:rPr>
          </w:pPr>
        </w:p>
        <w:p>
          <w:pPr>
            <w:jc w:val="both"/>
            <w:rPr>
              <w:b/>
              <w:bCs/>
              <w:lang w:val="en-GB"/>
            </w:rPr>
          </w:pPr>
          <w:r>
            <w:rPr>
              <w:b/>
              <w:bCs/>
              <w:lang w:val="en-GB"/>
            </w:rPr>
            <w:t>4.3.2. HOW TO SHORTLIST:</w:t>
          </w:r>
        </w:p>
        <w:p>
          <w:pPr>
            <w:jc w:val="both"/>
            <w:rPr>
              <w:b w:val="0"/>
              <w:bCs w:val="0"/>
              <w:lang w:val="en-GB"/>
            </w:rPr>
          </w:pPr>
          <w:r>
            <w:rPr>
              <w:b w:val="0"/>
              <w:bCs w:val="0"/>
              <w:lang w:val="en-GB"/>
            </w:rPr>
            <w:t>The candidate that will be short-listed is applicants close to the job description, background check that has verified candidates assets. Reference checked from previous employers (Wise step 2016). CVs are evaluated to see candidates that do not fit the criteria and also if theres grammarly, presentation issues on the the CV and cover letter, this will be looked at, as a CV translates  what a candidate woukd look like and determine shortlistings of applicants (TTP Recruitment 2018).</w:t>
          </w:r>
        </w:p>
        <w:p>
          <w:pPr>
            <w:jc w:val="both"/>
            <w:rPr>
              <w:b/>
              <w:bCs/>
              <w:lang w:val="en-GB"/>
            </w:rPr>
          </w:pPr>
        </w:p>
        <w:p>
          <w:pPr>
            <w:jc w:val="both"/>
            <w:rPr>
              <w:b/>
              <w:bCs/>
              <w:lang w:val="en-GB"/>
            </w:rPr>
          </w:pPr>
        </w:p>
        <w:p>
          <w:pPr>
            <w:jc w:val="both"/>
            <w:rPr>
              <w:b/>
              <w:bCs/>
              <w:lang w:val="en-GB"/>
            </w:rPr>
          </w:pPr>
        </w:p>
        <w:p>
          <w:pPr>
            <w:jc w:val="both"/>
            <w:rPr>
              <w:b/>
              <w:bCs/>
              <w:lang w:val="en-GB"/>
            </w:rPr>
          </w:pPr>
          <w:r>
            <w:rPr>
              <w:b/>
              <w:bCs/>
              <w:lang w:val="en-GB"/>
            </w:rPr>
            <w:t>4.3.3. APTITUDE TEST AND PSYCHOMETRIC TEST:</w:t>
          </w:r>
        </w:p>
        <w:p>
          <w:pPr>
            <w:jc w:val="both"/>
            <w:rPr>
              <w:b w:val="0"/>
              <w:bCs w:val="0"/>
              <w:lang w:val="en-GB"/>
            </w:rPr>
          </w:pPr>
          <w:r>
            <w:rPr>
              <w:b w:val="0"/>
              <w:bCs w:val="0"/>
              <w:lang w:val="en-GB"/>
            </w:rPr>
            <w:t>An aptitude test is mostly undertaken for applicants who have obtained the professional qualifications in another EU/EEA member state, this is to investigate if there is any difference between the qualifications. An aptitude test is a theory and practical examination. The test consists of understanding the participant</w:t>
          </w:r>
          <w:r>
            <w:rPr>
              <w:rFonts w:hint="default"/>
              <w:b w:val="0"/>
              <w:bCs w:val="0"/>
              <w:lang w:val="en-GB"/>
            </w:rPr>
            <w:t>’</w:t>
          </w:r>
          <w:r>
            <w:rPr>
              <w:b w:val="0"/>
              <w:bCs w:val="0"/>
              <w:lang w:val="en-GB"/>
            </w:rPr>
            <w:t>s knowledge of professional practice (Valvira 2018). Psychometric test are used to determine candidates aptitude and intelligence, which do not have any right or wrong answers to, it</w:t>
          </w:r>
          <w:r>
            <w:rPr>
              <w:rFonts w:hint="default"/>
              <w:b w:val="0"/>
              <w:bCs w:val="0"/>
              <w:lang w:val="en-GB"/>
            </w:rPr>
            <w:t>’</w:t>
          </w:r>
          <w:r>
            <w:rPr>
              <w:b w:val="0"/>
              <w:bCs w:val="0"/>
              <w:lang w:val="en-GB"/>
            </w:rPr>
            <w:t>s just a tool to help employers to evaluate how the candidate will perform (Cheary 2018). According to Cheary (2018), the most popular way to perform psychometric tests is by using a questionnaire introduced by Katherine Briggs ans Isabel Briggs Myers. This questionnaire helps identify the personalities of a person, this why employers use this technique. Myers Briggs questionnaire is available to view in appendices which have been filled in by the researcher to have an idea of how it works.</w:t>
          </w:r>
        </w:p>
        <w:p>
          <w:pPr>
            <w:jc w:val="both"/>
            <w:rPr>
              <w:b/>
              <w:bCs/>
              <w:lang w:val="en-GB"/>
            </w:rPr>
          </w:pPr>
        </w:p>
        <w:p>
          <w:pPr>
            <w:jc w:val="both"/>
            <w:rPr>
              <w:b/>
              <w:bCs/>
              <w:lang w:val="en-GB"/>
            </w:rPr>
          </w:pPr>
          <w:r>
            <w:rPr>
              <w:b/>
              <w:bCs/>
              <w:lang w:val="en-GB"/>
            </w:rPr>
            <w:t>4.3.4. ASSESSMENT CENTRE:</w:t>
          </w:r>
        </w:p>
        <w:p>
          <w:pPr>
            <w:jc w:val="both"/>
            <w:rPr>
              <w:b w:val="0"/>
              <w:bCs w:val="0"/>
              <w:lang w:val="en-GB"/>
            </w:rPr>
          </w:pPr>
          <w:r>
            <w:rPr>
              <w:b w:val="0"/>
              <w:bCs w:val="0"/>
              <w:lang w:val="en-GB"/>
            </w:rPr>
            <w:t xml:space="preserve">According to Corfeild (2009), assessment methods are to understand how the personalities and skills would fit into the organisation by undertaking procedures involving different exercises. The candidate is assessed in other areas which cannot be identified in just an interview. NHS (2018) explained, once an interview invitation letter is received, this will also contain details of attending the assessment centre which can take up to a whole day. The type of exercises that occurs is, </w:t>
          </w:r>
          <w:r>
            <w:rPr>
              <w:b/>
              <w:bCs/>
              <w:lang w:val="en-GB"/>
            </w:rPr>
            <w:t xml:space="preserve">(1) </w:t>
          </w:r>
          <w:r>
            <w:rPr>
              <w:b w:val="0"/>
              <w:bCs w:val="0"/>
              <w:lang w:val="en-GB"/>
            </w:rPr>
            <w:t xml:space="preserve">situational judgement test, to see how a hygienist would react in certain situations. </w:t>
          </w:r>
          <w:r>
            <w:rPr>
              <w:b/>
              <w:bCs/>
              <w:lang w:val="en-GB"/>
            </w:rPr>
            <w:t xml:space="preserve">(2) </w:t>
          </w:r>
          <w:r>
            <w:rPr>
              <w:b w:val="0"/>
              <w:bCs w:val="0"/>
              <w:lang w:val="en-GB"/>
            </w:rPr>
            <w:t xml:space="preserve">In tray activities, to understand how organisational, prioritising skills a hygienist has by participating in task of managing calls, emails and complaints. </w:t>
          </w:r>
          <w:r>
            <w:rPr>
              <w:b/>
              <w:bCs/>
              <w:lang w:val="en-GB"/>
            </w:rPr>
            <w:t xml:space="preserve">(3) </w:t>
          </w:r>
          <w:r>
            <w:rPr>
              <w:b w:val="0"/>
              <w:bCs w:val="0"/>
              <w:lang w:val="en-GB"/>
            </w:rPr>
            <w:t xml:space="preserve">Group exercise, which is a work based scenario, to test the abilities of communication and teamwork. </w:t>
          </w:r>
          <w:r>
            <w:rPr>
              <w:b/>
              <w:bCs/>
              <w:lang w:val="en-GB"/>
            </w:rPr>
            <w:t xml:space="preserve">(4) </w:t>
          </w:r>
          <w:r>
            <w:rPr>
              <w:b w:val="0"/>
              <w:bCs w:val="0"/>
              <w:lang w:val="en-GB"/>
            </w:rPr>
            <w:t xml:space="preserve">Presentations to assess the ability to researching and presenting information. </w:t>
          </w:r>
          <w:r>
            <w:rPr>
              <w:b/>
              <w:bCs/>
              <w:lang w:val="en-GB"/>
            </w:rPr>
            <w:t xml:space="preserve">(5) </w:t>
          </w:r>
          <w:r>
            <w:rPr>
              <w:b w:val="0"/>
              <w:bCs w:val="0"/>
              <w:lang w:val="en-GB"/>
            </w:rPr>
            <w:t xml:space="preserve">Simulation exercise is to imitate certain roles by, mock lectures or leading meetings. </w:t>
          </w:r>
          <w:r>
            <w:rPr>
              <w:b/>
              <w:bCs/>
              <w:lang w:val="en-GB"/>
            </w:rPr>
            <w:t xml:space="preserve">(6) </w:t>
          </w:r>
          <w:r>
            <w:rPr>
              <w:b w:val="0"/>
              <w:bCs w:val="0"/>
              <w:lang w:val="en-GB"/>
            </w:rPr>
            <w:t xml:space="preserve">Written test, providing information on abilities. </w:t>
          </w:r>
          <w:r>
            <w:rPr>
              <w:b/>
              <w:bCs/>
              <w:lang w:val="en-GB"/>
            </w:rPr>
            <w:t xml:space="preserve">(7) </w:t>
          </w:r>
          <w:r>
            <w:rPr>
              <w:b w:val="0"/>
              <w:bCs w:val="0"/>
              <w:lang w:val="en-GB"/>
            </w:rPr>
            <w:t>Psychometric, to recognise preferred working style.</w:t>
          </w:r>
        </w:p>
        <w:p>
          <w:pPr>
            <w:jc w:val="both"/>
            <w:rPr>
              <w:b w:val="0"/>
              <w:bCs w:val="0"/>
              <w:lang w:val="en-GB"/>
            </w:rPr>
          </w:pPr>
          <w:r>
            <w:rPr>
              <w:b w:val="0"/>
              <w:bCs w:val="0"/>
              <w:lang w:val="en-GB"/>
            </w:rPr>
            <w:t xml:space="preserve"> </w:t>
          </w:r>
        </w:p>
        <w:p>
          <w:pPr>
            <w:jc w:val="both"/>
            <w:rPr>
              <w:b/>
              <w:bCs/>
              <w:lang w:val="en-GB"/>
            </w:rPr>
          </w:pPr>
          <w:r>
            <w:rPr>
              <w:b/>
              <w:bCs/>
              <w:lang w:val="en-GB"/>
            </w:rPr>
            <w:t>4.4. INTERVIEW:</w:t>
          </w:r>
        </w:p>
        <w:p>
          <w:pPr>
            <w:jc w:val="both"/>
            <w:rPr>
              <w:b w:val="0"/>
              <w:bCs w:val="0"/>
              <w:lang w:val="en-GB"/>
            </w:rPr>
          </w:pPr>
          <w:r>
            <w:rPr>
              <w:b w:val="0"/>
              <w:bCs w:val="0"/>
              <w:lang w:val="en-GB"/>
            </w:rPr>
            <w:t>Inne (2012) explained the importance of having a face-to-face interview as the candidate will have the opportunity to demonstrate skills held and other factors clearly and how this will be suited to the employability. Benedictus (2013) stated, apart from Dental Hygienist related questions other abilities are firmly looked at such as organisation, communication, motivation, flexibility, commitment, passionate and innovative are the top seven skills employers search for within a candidate. this process should not be daunting as though a Dentist would extract information from the applicant, explained Mill et al (2011), this is a meeting between two individuals to discuss and decide the suitability of the position. There will be a panel of interviewers, reason for this is so one person can ask questions while the other note the information as this is a demanding position.                                                                    Maund et al (2017) explained, a candidates professional image will be noted as this is a non-verbal communication, as eye contact and sitting up straight. Available skills and strengths, weaknesses will be discussed. Former employer experience will be highlighted too. The example of questions is available to view in the appendices.</w:t>
          </w:r>
        </w:p>
        <w:p>
          <w:pPr>
            <w:jc w:val="both"/>
            <w:rPr>
              <w:b/>
              <w:bCs/>
              <w:lang w:val="en-GB"/>
            </w:rPr>
          </w:pPr>
        </w:p>
        <w:p>
          <w:pPr>
            <w:jc w:val="both"/>
            <w:rPr>
              <w:b/>
              <w:bCs/>
              <w:lang w:val="en-GB"/>
            </w:rPr>
          </w:pPr>
        </w:p>
        <w:p>
          <w:pPr>
            <w:jc w:val="both"/>
            <w:rPr>
              <w:b/>
              <w:bCs/>
              <w:lang w:val="en-GB"/>
            </w:rPr>
          </w:pPr>
        </w:p>
        <w:p>
          <w:pPr>
            <w:jc w:val="both"/>
            <w:rPr>
              <w:b w:val="0"/>
              <w:bCs w:val="0"/>
              <w:lang w:val="en-GB"/>
            </w:rPr>
          </w:pPr>
          <w:r>
            <w:rPr>
              <w:b/>
              <w:bCs/>
              <w:lang w:val="en-GB"/>
            </w:rPr>
            <w:t>4.4.1. OFFERING A JOB:</w:t>
          </w:r>
        </w:p>
        <w:p>
          <w:pPr>
            <w:jc w:val="both"/>
            <w:rPr>
              <w:b w:val="0"/>
              <w:bCs w:val="0"/>
              <w:lang w:val="en-GB"/>
            </w:rPr>
          </w:pPr>
          <w:r>
            <w:rPr>
              <w:b w:val="0"/>
              <w:bCs w:val="0"/>
              <w:lang w:val="en-GB"/>
            </w:rPr>
            <w:t>A position will be offered by email and written after the process of recruitment, this will be on the basis of, best answers to interview questions, having correct qualifications, skills and experience, how much enthusiasm candidate has and the bonus the applicant brings other than the requirements (wises step 2016).</w:t>
          </w:r>
        </w:p>
        <w:p>
          <w:pPr>
            <w:jc w:val="both"/>
            <w:rPr>
              <w:b/>
              <w:bCs/>
              <w:lang w:val="en-GB"/>
            </w:rPr>
          </w:pPr>
        </w:p>
        <w:p>
          <w:pPr>
            <w:jc w:val="both"/>
            <w:rPr>
              <w:b/>
              <w:bCs/>
              <w:lang w:val="en-GB"/>
            </w:rPr>
          </w:pPr>
          <w:r>
            <w:rPr>
              <w:b/>
              <w:bCs/>
              <w:lang w:val="en-GB"/>
            </w:rPr>
            <w:t>4.4.2. INDUCTION AND PROBATIONAL PERIOD:</w:t>
          </w:r>
        </w:p>
        <w:p>
          <w:pPr>
            <w:jc w:val="both"/>
            <w:rPr>
              <w:b w:val="0"/>
              <w:bCs w:val="0"/>
              <w:lang w:val="en-GB"/>
            </w:rPr>
          </w:pPr>
          <w:r>
            <w:rPr>
              <w:b w:val="0"/>
              <w:bCs w:val="0"/>
              <w:lang w:val="en-GB"/>
            </w:rPr>
            <w:t>As HR-informs (2015) stated a recruitment process does not end at selecting a candidate, rather this is a start to employment, an induction is crucial to allow training and to be able to adapt in the new job. It is essential to settle the new employee, the performance needs to be assessed by providing a probational period, after which the employer</w:t>
          </w:r>
          <w:r>
            <w:rPr>
              <w:rFonts w:hint="default"/>
              <w:b w:val="0"/>
              <w:bCs w:val="0"/>
              <w:lang w:val="en-GB"/>
            </w:rPr>
            <w:t>’</w:t>
          </w:r>
          <w:r>
            <w:rPr>
              <w:b w:val="0"/>
              <w:bCs w:val="0"/>
              <w:lang w:val="en-GB"/>
            </w:rPr>
            <w:t>s effectiveness can be reviewed and decided if the employment should continue. The key points of induction can be viewed in appendices.                                                           A theoretical tool such as the Maslow</w:t>
          </w:r>
          <w:r>
            <w:rPr>
              <w:rFonts w:hint="default"/>
              <w:b w:val="0"/>
              <w:bCs w:val="0"/>
              <w:lang w:val="en-GB"/>
            </w:rPr>
            <w:t>’</w:t>
          </w:r>
          <w:r>
            <w:rPr>
              <w:b w:val="0"/>
              <w:bCs w:val="0"/>
              <w:lang w:val="en-GB"/>
            </w:rPr>
            <w:t xml:space="preserve">s Hierarchy of needs can be used to motivate employers, developed by Abraham Maslow in 1943. The pyramid that contains five kinds of human needs is used to motivate human behaviour (Sodexo 2018). This model helps employers reach organisational goals and staff retention. Further details of how this model is used is available in the appendices.                                                          </w:t>
          </w:r>
        </w:p>
        <w:p>
          <w:pPr>
            <w:jc w:val="both"/>
          </w:pPr>
        </w:p>
        <w:p>
          <w:pPr>
            <w:jc w:val="both"/>
          </w:pPr>
        </w:p>
        <w:p>
          <w:pPr>
            <w:jc w:val="both"/>
          </w:pPr>
        </w:p>
        <w:p>
          <w:pPr>
            <w:jc w:val="both"/>
          </w:pPr>
        </w:p>
        <w:p>
          <w:pPr>
            <w:jc w:val="both"/>
          </w:pPr>
        </w:p>
        <w:p>
          <w:pPr>
            <w:jc w:val="both"/>
          </w:pPr>
        </w:p>
        <w:p>
          <w:pPr>
            <w:jc w:val="both"/>
          </w:pPr>
        </w:p>
        <w:p>
          <w:pPr>
            <w:pStyle w:val="2"/>
            <w:jc w:val="both"/>
          </w:pPr>
          <w:bookmarkStart w:id="3" w:name="_Toc497811412"/>
        </w:p>
        <w:p>
          <w:pPr>
            <w:pStyle w:val="2"/>
            <w:jc w:val="both"/>
          </w:pPr>
        </w:p>
        <w:p>
          <w:pPr>
            <w:pStyle w:val="2"/>
            <w:jc w:val="both"/>
          </w:pPr>
        </w:p>
        <w:p>
          <w:pPr>
            <w:pStyle w:val="2"/>
            <w:jc w:val="both"/>
          </w:pPr>
        </w:p>
        <w:p>
          <w:pPr>
            <w:pStyle w:val="2"/>
            <w:jc w:val="both"/>
          </w:pPr>
        </w:p>
        <w:p>
          <w:pPr>
            <w:pStyle w:val="2"/>
            <w:jc w:val="both"/>
          </w:pPr>
        </w:p>
        <w:p>
          <w:pPr>
            <w:pStyle w:val="2"/>
            <w:jc w:val="both"/>
          </w:pPr>
        </w:p>
        <w:p>
          <w:pPr>
            <w:pStyle w:val="2"/>
            <w:jc w:val="both"/>
          </w:pPr>
          <w:r>
            <w:t xml:space="preserve">Conclusion </w:t>
          </w:r>
          <w:bookmarkEnd w:id="3"/>
        </w:p>
        <w:p>
          <w:pPr>
            <w:jc w:val="both"/>
          </w:pPr>
        </w:p>
        <w:p>
          <w:pPr>
            <w:jc w:val="both"/>
            <w:rPr>
              <w:lang w:val="en-GB"/>
            </w:rPr>
          </w:pPr>
          <w:r>
            <w:rPr>
              <w:lang w:val="en-GB"/>
            </w:rPr>
            <w:t>On the first part of the report, the researcher was able to conclude the results of two questionnaire that determines the preferred learning styles. VARK (2018) questionnaire resulted in the visual/verbal being the suitable style, which means the researcher learns best through flow-charts, videos and diagrams. Honey and Mumford questionnaire explained the researcher as a pragmatist. According to Honey and Mumford (1992) cited by Morgan (2017), pragmatist is very experimental, love new techniques and can be impatient. The report furthermore looked at other techniques to highlight strengths, weaknesses through SWOT analysis, how to define goals through Go MAD framework. Implement personal development plan to strategies, how to overcome barriers. Implement go S.M.A.R.T to reach goals by organising energy (Haughey 2014). Use Johari Window to expand blind-spot to open unseen abilities (Morgan 2017), all of these techniques in place the journey to the desired job of a Dental Hygienist should be easier.</w:t>
          </w:r>
        </w:p>
        <w:p>
          <w:pPr>
            <w:jc w:val="both"/>
            <w:rPr>
              <w:lang w:val="en-GB"/>
            </w:rPr>
          </w:pPr>
          <w:r>
            <w:rPr>
              <w:lang w:val="en-GB"/>
            </w:rPr>
            <w:t>On the second part of the report, the researcher came to a conclusion of the importance of recruitment process, as stated by Inne (2012) this gives the candidate an opportunity to demonstrate the abilities in possession to the employer. Maund et al (2017) stated how this gives the employer the opportunity to see non-verbal communication as well as confirm skills and qualification. Wise Step explained, at the end of the step-by-step process, it is vital to select an applicant who is qualified, skilled, previous experience and enthusiastic.</w:t>
          </w:r>
        </w:p>
        <w:p>
          <w:pPr>
            <w:jc w:val="both"/>
          </w:pPr>
        </w:p>
        <w:p/>
        <w:p/>
        <w:p/>
        <w:p/>
        <w:p>
          <w:pPr>
            <w:pStyle w:val="2"/>
          </w:pPr>
          <w:bookmarkStart w:id="4" w:name="_Toc497811413"/>
        </w:p>
        <w:p>
          <w:pPr>
            <w:pStyle w:val="2"/>
          </w:pPr>
          <w:r>
            <w:t>Recommendations</w:t>
          </w:r>
          <w:bookmarkEnd w:id="4"/>
        </w:p>
        <w:p/>
        <w:p>
          <w:pPr>
            <w:numPr>
              <w:ilvl w:val="0"/>
              <w:numId w:val="1"/>
            </w:numPr>
            <w:ind w:left="420" w:leftChars="0" w:hanging="420" w:firstLineChars="0"/>
          </w:pPr>
          <w:r>
            <w:rPr>
              <w:lang w:val="en-GB"/>
            </w:rPr>
            <w:t>Improve I.T skills by attending appropriate courses, use different formats, use online resources and use PCs more often. Learning People (2018) offer IT classes which covers different types of IT classes along with certification after completion.</w:t>
          </w:r>
        </w:p>
        <w:p>
          <w:pPr>
            <w:numPr>
              <w:ilvl w:val="0"/>
              <w:numId w:val="1"/>
            </w:numPr>
            <w:ind w:left="420" w:leftChars="0" w:hanging="420" w:firstLineChars="0"/>
          </w:pPr>
          <w:r>
            <w:rPr>
              <w:lang w:val="en-GB"/>
            </w:rPr>
            <w:t xml:space="preserve">Improve writing/grammar by writing more, researching writing skills, taking extra help from the tutor. Johnson (2018) explained, grammar is effective communication, writing/grammar errors can change meaning of a content. Correct grammar makes any reading material interesting. </w:t>
          </w:r>
        </w:p>
        <w:p>
          <w:pPr>
            <w:numPr>
              <w:ilvl w:val="0"/>
              <w:numId w:val="1"/>
            </w:numPr>
            <w:ind w:left="420" w:leftChars="0" w:hanging="420" w:firstLineChars="0"/>
          </w:pPr>
          <w:r>
            <w:rPr>
              <w:lang w:val="en-GB"/>
            </w:rPr>
            <w:t>Improve reading skills by reading more, researching reading skills, allocating reading time and place, read different materials. Craft your Content (2018) stated, reading helps to improve writing skills, reading support students to study more efficiently, reading also expands knowledge.</w:t>
          </w:r>
        </w:p>
        <w:p>
          <w:pPr>
            <w:numPr>
              <w:ilvl w:val="0"/>
              <w:numId w:val="1"/>
            </w:numPr>
            <w:ind w:left="420" w:leftChars="0" w:hanging="420" w:firstLineChars="0"/>
          </w:pPr>
          <w:r>
            <w:rPr>
              <w:lang w:val="en-GB"/>
            </w:rPr>
            <w:t>Use preferred learning styles from VARK and Honey and Mumford to approach my weaknesses. According to Skill You Need (2018), preferred learning styles can assist with better studies.</w:t>
          </w:r>
        </w:p>
        <w:p>
          <w:pPr>
            <w:numPr>
              <w:numId w:val="0"/>
            </w:numPr>
            <w:spacing w:after="160" w:line="259" w:lineRule="auto"/>
          </w:pPr>
        </w:p>
        <w:p>
          <w:pPr>
            <w:numPr>
              <w:numId w:val="0"/>
            </w:numPr>
            <w:spacing w:after="160" w:line="259" w:lineRule="auto"/>
          </w:pPr>
        </w:p>
        <w:p/>
        <w:p/>
        <w:p/>
        <w:p/>
        <w:p/>
        <w:p/>
        <w:p/>
        <w:p/>
        <w:p/>
        <w:p/>
        <w:p/>
        <w:p/>
        <w:p/>
        <w:p/>
        <w:p/>
        <w:p/>
        <w:p/>
        <w:p/>
        <w:p>
          <w:pPr>
            <w:pStyle w:val="2"/>
            <w:rPr>
              <w:lang w:val="en-GB"/>
            </w:rPr>
          </w:pPr>
          <w:bookmarkStart w:id="5" w:name="_Toc497811414"/>
          <w:r>
            <w:t>Bibliography</w:t>
          </w:r>
          <w:bookmarkEnd w:id="5"/>
          <w:r>
            <w:rPr>
              <w:lang w:val="en-GB"/>
            </w:rPr>
            <w:t xml:space="preserve"> </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Benedictus, L. (2013), Top 10 thing’s employers looking for, [ONLINE]. Available at: </w:t>
          </w:r>
          <w:r>
            <w:rPr>
              <w:color w:val="auto"/>
              <w:u w:val="none"/>
              <w:lang w:val="en-US"/>
            </w:rPr>
            <w:t>https://theguardian.com/money/2013/apr/22/top-10-things-employers-looking-for</w:t>
          </w:r>
          <w:r>
            <w:rPr>
              <w:rFonts w:hint="eastAsia" w:ascii="Calibri" w:hAnsi="Calibri" w:eastAsia="Calibri" w:cs="Times New Roman"/>
              <w:kern w:val="0"/>
              <w:sz w:val="22"/>
              <w:szCs w:val="22"/>
              <w:lang w:val="en-US" w:eastAsia="zh-CN" w:bidi="ar"/>
            </w:rPr>
            <w:t>. [Accessed 20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Bhatia, T. (2013), Recruitment and Selection- The Most Important HR Function, [ONLINE]. Available at: </w:t>
          </w:r>
          <w:r>
            <w:rPr>
              <w:color w:val="auto"/>
              <w:u w:val="none"/>
              <w:lang w:val="en-US"/>
            </w:rPr>
            <w:t>https://empxtrack.com/blog/recruitment-and-selection-the-most-important-hr-function/#</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Cheary, M. (2018) Myers-Briggs: What You Need to Know, [ONLINE]. Available at:  </w:t>
          </w:r>
          <w:r>
            <w:rPr>
              <w:color w:val="auto"/>
              <w:u w:val="none"/>
              <w:lang w:val="en-US"/>
            </w:rPr>
            <w:t>https://www.reed.co.uk/career-advice/myers-briggs-what-you-need-to-know/</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Cheary, M. (2018), Psychometric Testing: What You Need to Know, [ONLINE]. Available at: </w:t>
          </w:r>
          <w:r>
            <w:rPr>
              <w:color w:val="auto"/>
              <w:u w:val="none"/>
              <w:lang w:val="en-US"/>
            </w:rPr>
            <w:t>https://www.reed.co.uk/career-advice/psychometric-testing-what-you-need-to-know/</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CIPD HR-informs. (2015), Induction and Probationary Periods, [ONLINE]. Available at: </w:t>
          </w:r>
          <w:r>
            <w:rPr>
              <w:color w:val="auto"/>
              <w:u w:val="none"/>
              <w:lang w:val="en-US"/>
            </w:rPr>
            <w:t>https://www.hr-inform.co.uk/employment_law/induction-and-probationary-periods</w:t>
          </w:r>
          <w:r>
            <w:rPr>
              <w:rFonts w:hint="eastAsia" w:ascii="Calibri" w:hAnsi="Calibri" w:eastAsia="Calibri" w:cs="Times New Roman"/>
              <w:kern w:val="0"/>
              <w:sz w:val="22"/>
              <w:szCs w:val="22"/>
              <w:lang w:val="en-US" w:eastAsia="zh-CN" w:bidi="ar"/>
            </w:rPr>
            <w:t>. [Accessed 24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Craft Your Content. (2018), The importance Of Improving Your Reading Skills, [ONLINE]. Available at:https://www.craftyourcontent.com/the-importance-of-improving-your-reading-skills/. [Accessed 28</w:t>
          </w:r>
          <w:r>
            <w:rPr>
              <w:rFonts w:hint="default" w:ascii="Calibri" w:hAnsi="Calibri" w:eastAsia="Calibri" w:cs="Times New Roman"/>
              <w:kern w:val="0"/>
              <w:sz w:val="22"/>
              <w:szCs w:val="22"/>
              <w:vertAlign w:val="superscript"/>
              <w:lang w:val="en-GB" w:eastAsia="zh-CN" w:bidi="ar"/>
            </w:rPr>
            <w:t>th</w:t>
          </w:r>
          <w:r>
            <w:rPr>
              <w:rFonts w:hint="default" w:ascii="Calibri" w:hAnsi="Calibri" w:eastAsia="Calibri" w:cs="Times New Roman"/>
              <w:kern w:val="0"/>
              <w:sz w:val="22"/>
              <w:szCs w:val="22"/>
              <w:lang w:val="en-GB" w:eastAsia="zh-CN" w:bidi="ar"/>
            </w:rPr>
            <w:t xml:space="preserve"> March 2018]. </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Cockerton, T, Naz, R and Sheppard, S. (2002), Factory Validity and Internal Reliability of Honey and Mumford’s Learning Styles Questionnaire, </w:t>
          </w:r>
          <w:r>
            <w:rPr>
              <w:rFonts w:hint="eastAsia" w:ascii="Calibri" w:hAnsi="Calibri" w:eastAsia="Calibri" w:cs="Times New Roman"/>
              <w:i/>
              <w:iCs w:val="0"/>
              <w:kern w:val="0"/>
              <w:sz w:val="22"/>
              <w:szCs w:val="22"/>
              <w:lang w:val="en-US" w:eastAsia="zh-CN" w:bidi="ar"/>
            </w:rPr>
            <w:t xml:space="preserve">Psychology School of Health and Science Middlesex University, </w:t>
          </w:r>
          <w:r>
            <w:rPr>
              <w:rFonts w:hint="eastAsia" w:ascii="Calibri" w:hAnsi="Calibri" w:eastAsia="Calibri" w:cs="Times New Roman"/>
              <w:kern w:val="0"/>
              <w:sz w:val="22"/>
              <w:szCs w:val="22"/>
              <w:lang w:val="en-US" w:eastAsia="zh-CN" w:bidi="ar"/>
            </w:rPr>
            <w:t>91 (1</w:t>
          </w:r>
          <w:r>
            <w:rPr>
              <w:rFonts w:hint="eastAsia" w:ascii="Calibri" w:hAnsi="Calibri" w:eastAsia="Calibri" w:cs="Times New Roman"/>
              <w:kern w:val="0"/>
              <w:sz w:val="22"/>
              <w:szCs w:val="22"/>
              <w:vertAlign w:val="superscript"/>
              <w:lang w:val="en-US" w:eastAsia="zh-CN" w:bidi="ar"/>
            </w:rPr>
            <w:t>st</w:t>
          </w:r>
          <w:r>
            <w:rPr>
              <w:rFonts w:hint="eastAsia" w:ascii="Calibri" w:hAnsi="Calibri" w:eastAsia="Calibri" w:cs="Times New Roman"/>
              <w:kern w:val="0"/>
              <w:sz w:val="22"/>
              <w:szCs w:val="22"/>
              <w:lang w:val="en-US" w:eastAsia="zh-CN" w:bidi="ar"/>
            </w:rPr>
            <w:t>, October), pp. 503-519. [ONLINE]. Available at: journals.sagepub.com.ezproxy.uwtsd.ac.uk/doi/pdf/10.2466/pr0.2002.91.2.503. [Accessed 8th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Corfield, R. (2009), </w:t>
          </w:r>
          <w:r>
            <w:rPr>
              <w:rFonts w:hint="eastAsia" w:ascii="Calibri" w:hAnsi="Calibri" w:eastAsia="Calibri" w:cs="Times New Roman"/>
              <w:kern w:val="0"/>
              <w:sz w:val="22"/>
              <w:szCs w:val="22"/>
              <w:u w:val="single"/>
              <w:lang w:val="en-US" w:eastAsia="zh-CN" w:bidi="ar"/>
            </w:rPr>
            <w:t>Successful Interview Skills,</w:t>
          </w:r>
          <w:r>
            <w:rPr>
              <w:rFonts w:hint="eastAsia" w:ascii="Calibri" w:hAnsi="Calibri" w:eastAsia="Calibri" w:cs="Times New Roman"/>
              <w:kern w:val="0"/>
              <w:sz w:val="22"/>
              <w:szCs w:val="22"/>
              <w:lang w:val="en-US" w:eastAsia="zh-CN" w:bidi="ar"/>
            </w:rPr>
            <w:t xml:space="preserve"> (5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Ed), Essex: Saxon.</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Fleming, N and Baume, D. (2006</w:t>
          </w:r>
          <w:r>
            <w:rPr>
              <w:rFonts w:hint="eastAsia" w:ascii="Calibri" w:hAnsi="Calibri" w:eastAsia="Calibri" w:cs="Times New Roman"/>
              <w:kern w:val="0"/>
              <w:sz w:val="22"/>
              <w:szCs w:val="22"/>
              <w:u w:val="single"/>
              <w:lang w:val="en-US" w:eastAsia="zh-CN" w:bidi="ar"/>
            </w:rPr>
            <w:t xml:space="preserve">) ‘Learning styles again: VARKing up the tree’, </w:t>
          </w:r>
          <w:r>
            <w:rPr>
              <w:rFonts w:hint="eastAsia" w:ascii="Calibri" w:hAnsi="Calibri" w:eastAsia="Calibri" w:cs="Times New Roman"/>
              <w:i/>
              <w:iCs w:val="0"/>
              <w:kern w:val="0"/>
              <w:sz w:val="22"/>
              <w:szCs w:val="22"/>
              <w:u w:val="single"/>
              <w:lang w:val="en-US" w:eastAsia="zh-CN" w:bidi="ar"/>
            </w:rPr>
            <w:t>Educational Developments,</w:t>
          </w:r>
          <w:r>
            <w:rPr>
              <w:rFonts w:hint="eastAsia" w:ascii="Calibri" w:hAnsi="Calibri" w:eastAsia="Calibri" w:cs="Times New Roman"/>
              <w:i/>
              <w:iCs w:val="0"/>
              <w:kern w:val="0"/>
              <w:sz w:val="22"/>
              <w:szCs w:val="22"/>
              <w:lang w:val="en-US" w:eastAsia="zh-CN" w:bidi="ar"/>
            </w:rPr>
            <w:t xml:space="preserve"> </w:t>
          </w:r>
          <w:r>
            <w:rPr>
              <w:rFonts w:hint="eastAsia" w:ascii="Calibri" w:hAnsi="Calibri" w:eastAsia="Calibri" w:cs="Times New Roman"/>
              <w:kern w:val="0"/>
              <w:sz w:val="22"/>
              <w:szCs w:val="22"/>
              <w:lang w:val="en-US" w:eastAsia="zh-CN" w:bidi="ar"/>
            </w:rPr>
            <w:t>7 (4), 4-7.</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Fleming, N.D and Mills, C. (1992), </w:t>
          </w:r>
          <w:r>
            <w:rPr>
              <w:rFonts w:hint="eastAsia" w:ascii="Calibri" w:hAnsi="Calibri" w:eastAsia="Calibri" w:cs="Times New Roman"/>
              <w:kern w:val="0"/>
              <w:sz w:val="22"/>
              <w:szCs w:val="22"/>
              <w:u w:val="single"/>
              <w:lang w:val="en-US" w:eastAsia="zh-CN" w:bidi="ar"/>
            </w:rPr>
            <w:t>‘Not Another Inventory, rather a Catalyst for Reflection’</w:t>
          </w:r>
          <w:r>
            <w:rPr>
              <w:rFonts w:hint="eastAsia" w:ascii="Calibri" w:hAnsi="Calibri" w:eastAsia="Calibri" w:cs="Times New Roman"/>
              <w:i/>
              <w:iCs w:val="0"/>
              <w:kern w:val="0"/>
              <w:sz w:val="22"/>
              <w:szCs w:val="22"/>
              <w:u w:val="single"/>
              <w:lang w:val="en-US" w:eastAsia="zh-CN" w:bidi="ar"/>
            </w:rPr>
            <w:t>, (To Improve the Academy)</w:t>
          </w:r>
          <w:r>
            <w:rPr>
              <w:rFonts w:hint="eastAsia" w:ascii="Calibri" w:hAnsi="Calibri" w:eastAsia="Calibri" w:cs="Times New Roman"/>
              <w:kern w:val="0"/>
              <w:sz w:val="22"/>
              <w:szCs w:val="22"/>
              <w:u w:val="single"/>
              <w:lang w:val="en-US" w:eastAsia="zh-CN" w:bidi="ar"/>
            </w:rPr>
            <w:t>,</w:t>
          </w:r>
          <w:r>
            <w:rPr>
              <w:rFonts w:hint="eastAsia" w:ascii="Calibri" w:hAnsi="Calibri" w:eastAsia="Calibri" w:cs="Times New Roman"/>
              <w:kern w:val="0"/>
              <w:sz w:val="22"/>
              <w:szCs w:val="22"/>
              <w:lang w:val="en-US" w:eastAsia="zh-CN" w:bidi="ar"/>
            </w:rPr>
            <w:t xml:space="preserve"> 11, 137-155.</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Go MAD. (2018), Better Results Start with Better Thinking, [ONLINE]. Available at: https://www.gomadthinking.com/about/our-story/. [Accessed 11th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Haughey. (2014), A Brief History of SMART Goals, [ONLINE]. Available at: </w:t>
          </w:r>
          <w:r>
            <w:rPr>
              <w:color w:val="auto"/>
              <w:u w:val="none"/>
              <w:lang w:val="en-US"/>
            </w:rPr>
            <w:t>https://www.projectsmart.co.uk/brief-history-of-smart-goals.php</w:t>
          </w:r>
          <w:r>
            <w:rPr>
              <w:rFonts w:hint="eastAsia" w:ascii="Calibri" w:hAnsi="Calibri" w:eastAsia="Calibri" w:cs="Times New Roman"/>
              <w:kern w:val="0"/>
              <w:sz w:val="22"/>
              <w:szCs w:val="22"/>
              <w:lang w:val="en-US" w:eastAsia="zh-CN" w:bidi="ar"/>
            </w:rPr>
            <w:t>. [Accessed 22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Honey, P and Mumford, A. (1992</w:t>
          </w:r>
          <w:r>
            <w:rPr>
              <w:rFonts w:hint="eastAsia" w:ascii="Calibri" w:hAnsi="Calibri" w:eastAsia="Calibri" w:cs="Times New Roman"/>
              <w:kern w:val="0"/>
              <w:sz w:val="22"/>
              <w:szCs w:val="22"/>
              <w:u w:val="single"/>
              <w:lang w:val="en-US" w:eastAsia="zh-CN" w:bidi="ar"/>
            </w:rPr>
            <w:t>), The Manual of Learning styles,</w:t>
          </w:r>
          <w:r>
            <w:rPr>
              <w:rFonts w:hint="eastAsia" w:ascii="Calibri" w:hAnsi="Calibri" w:eastAsia="Calibri" w:cs="Times New Roman"/>
              <w:kern w:val="0"/>
              <w:sz w:val="22"/>
              <w:szCs w:val="22"/>
              <w:lang w:val="en-US" w:eastAsia="zh-CN" w:bidi="ar"/>
            </w:rPr>
            <w:t xml:space="preserve"> (3</w:t>
          </w:r>
          <w:r>
            <w:rPr>
              <w:rFonts w:hint="eastAsia" w:ascii="Calibri" w:hAnsi="Calibri" w:eastAsia="Calibri" w:cs="Times New Roman"/>
              <w:kern w:val="0"/>
              <w:sz w:val="22"/>
              <w:szCs w:val="22"/>
              <w:vertAlign w:val="superscript"/>
              <w:lang w:val="en-US" w:eastAsia="zh-CN" w:bidi="ar"/>
            </w:rPr>
            <w:t>rd</w:t>
          </w:r>
          <w:r>
            <w:rPr>
              <w:rFonts w:hint="eastAsia" w:ascii="Calibri" w:hAnsi="Calibri" w:eastAsia="Calibri" w:cs="Times New Roman"/>
              <w:kern w:val="0"/>
              <w:sz w:val="22"/>
              <w:szCs w:val="22"/>
              <w:lang w:val="en-US" w:eastAsia="zh-CN" w:bidi="ar"/>
            </w:rPr>
            <w:t xml:space="preserve"> Ed), Maidenhead: Peter Honey</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Indee</w:t>
          </w:r>
          <w:r>
            <w:rPr>
              <w:rFonts w:hint="default" w:ascii="Calibri" w:hAnsi="Calibri" w:eastAsia="Calibri" w:cs="Times New Roman"/>
              <w:kern w:val="0"/>
              <w:sz w:val="22"/>
              <w:szCs w:val="22"/>
              <w:lang w:val="en-GB" w:eastAsia="zh-CN" w:bidi="ar"/>
            </w:rPr>
            <w:t>d.</w:t>
          </w:r>
          <w:r>
            <w:rPr>
              <w:rFonts w:hint="eastAsia" w:ascii="Calibri" w:hAnsi="Calibri" w:eastAsia="Calibri" w:cs="Times New Roman"/>
              <w:kern w:val="0"/>
              <w:sz w:val="22"/>
              <w:szCs w:val="22"/>
              <w:lang w:val="en-US" w:eastAsia="zh-CN" w:bidi="ar"/>
            </w:rPr>
            <w:t xml:space="preserve"> (2018), How to write a Dental Hygienist Job Description, [ONLINE]. Available at: </w:t>
          </w:r>
          <w:r>
            <w:rPr>
              <w:color w:val="auto"/>
              <w:u w:val="none"/>
              <w:lang w:val="en-US"/>
            </w:rPr>
            <w:t>https://www.indeed.com/hire/job-description/dental-hygienist</w:t>
          </w:r>
          <w:r>
            <w:rPr>
              <w:rFonts w:hint="eastAsia" w:ascii="Calibri" w:hAnsi="Calibri" w:eastAsia="Calibri" w:cs="Times New Roman"/>
              <w:kern w:val="0"/>
              <w:sz w:val="22"/>
              <w:szCs w:val="22"/>
              <w:lang w:val="en-US" w:eastAsia="zh-CN" w:bidi="ar"/>
            </w:rPr>
            <w:t>. [Accessed 17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Innes, J. (2012), </w:t>
          </w:r>
          <w:r>
            <w:rPr>
              <w:rFonts w:hint="eastAsia" w:ascii="Calibri" w:hAnsi="Calibri" w:eastAsia="Calibri" w:cs="Times New Roman"/>
              <w:kern w:val="0"/>
              <w:sz w:val="22"/>
              <w:szCs w:val="22"/>
              <w:u w:val="single"/>
              <w:lang w:val="en-US" w:eastAsia="zh-CN" w:bidi="ar"/>
            </w:rPr>
            <w:t>The Interview Book, Your Definition Guide to the Perfect Interview</w:t>
          </w:r>
          <w:r>
            <w:rPr>
              <w:rFonts w:hint="eastAsia" w:ascii="Calibri" w:hAnsi="Calibri" w:eastAsia="Calibri" w:cs="Times New Roman"/>
              <w:kern w:val="0"/>
              <w:sz w:val="22"/>
              <w:szCs w:val="22"/>
              <w:lang w:val="en-US" w:eastAsia="zh-CN" w:bidi="ar"/>
            </w:rPr>
            <w:t>, (2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Ed), Edinburgh Gate: Pearson.</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Job-Interview-Site. (2018), Dental Hygienist Interview Questions with Answers, [ONLINE]. Available at: </w:t>
          </w:r>
          <w:r>
            <w:rPr>
              <w:color w:val="auto"/>
              <w:u w:val="none"/>
              <w:lang w:val="en-US"/>
            </w:rPr>
            <w:t>www.job-interview-site.com/dental-hygienist-interview-questions-with-answers.html</w:t>
          </w:r>
          <w:r>
            <w:rPr>
              <w:rFonts w:hint="eastAsia" w:ascii="Calibri" w:hAnsi="Calibri" w:eastAsia="Calibri" w:cs="Times New Roman"/>
              <w:kern w:val="0"/>
              <w:sz w:val="22"/>
              <w:szCs w:val="22"/>
              <w:lang w:val="en-US" w:eastAsia="zh-CN" w:bidi="ar"/>
            </w:rPr>
            <w:t>. [Accessed 20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 xml:space="preserve">Johnson, J. (2018), Daily Grammar, [ONLINE]. Available at: </w:t>
          </w:r>
          <w:r>
            <w:rPr>
              <w:rFonts w:hint="default" w:ascii="Calibri" w:hAnsi="Calibri" w:eastAsia="Calibri" w:cs="Times New Roman"/>
              <w:color w:val="auto"/>
              <w:kern w:val="0"/>
              <w:sz w:val="22"/>
              <w:szCs w:val="22"/>
              <w:u w:val="none"/>
              <w:lang w:val="en-GB" w:eastAsia="zh-CN" w:bidi="ar"/>
            </w:rPr>
            <w:t>http://ask.dailygrammar.com/Why-is-grammar-important.html.</w:t>
          </w:r>
          <w:r>
            <w:rPr>
              <w:rFonts w:hint="default" w:ascii="Calibri" w:hAnsi="Calibri" w:eastAsia="Calibri" w:cs="Times New Roman"/>
              <w:kern w:val="0"/>
              <w:sz w:val="22"/>
              <w:szCs w:val="22"/>
              <w:lang w:val="en-GB" w:eastAsia="zh-CN" w:bidi="ar"/>
            </w:rPr>
            <w:t xml:space="preserve"> [Accessed 28</w:t>
          </w:r>
          <w:r>
            <w:rPr>
              <w:rFonts w:hint="default" w:ascii="Calibri" w:hAnsi="Calibri" w:eastAsia="Calibri" w:cs="Times New Roman"/>
              <w:kern w:val="0"/>
              <w:sz w:val="22"/>
              <w:szCs w:val="22"/>
              <w:vertAlign w:val="superscript"/>
              <w:lang w:val="en-GB" w:eastAsia="zh-CN" w:bidi="ar"/>
            </w:rPr>
            <w:t>th</w:t>
          </w:r>
          <w:r>
            <w:rPr>
              <w:rFonts w:hint="default" w:ascii="Calibri" w:hAnsi="Calibri" w:eastAsia="Calibri" w:cs="Times New Roman"/>
              <w:kern w:val="0"/>
              <w:sz w:val="22"/>
              <w:szCs w:val="22"/>
              <w:lang w:val="en-GB"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Kolb, D.A. (1984), </w:t>
          </w:r>
          <w:r>
            <w:rPr>
              <w:rFonts w:hint="eastAsia" w:ascii="Calibri" w:hAnsi="Calibri" w:eastAsia="Calibri" w:cs="Times New Roman"/>
              <w:kern w:val="0"/>
              <w:sz w:val="22"/>
              <w:szCs w:val="22"/>
              <w:u w:val="single"/>
              <w:lang w:val="en-US" w:eastAsia="zh-CN" w:bidi="ar"/>
            </w:rPr>
            <w:t xml:space="preserve">Experimental Learning: Experience as the source of Learning and Development, </w:t>
          </w:r>
          <w:r>
            <w:rPr>
              <w:rFonts w:hint="eastAsia" w:ascii="Calibri" w:hAnsi="Calibri" w:eastAsia="Calibri" w:cs="Times New Roman"/>
              <w:kern w:val="0"/>
              <w:sz w:val="22"/>
              <w:szCs w:val="22"/>
              <w:lang w:val="en-US" w:eastAsia="zh-CN" w:bidi="ar"/>
            </w:rPr>
            <w:t>Englewood Cliffs, NJ: Prentice Hall.</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Lake Shore Family. (2010, Application for Dental Office Employment, [ONLINE]. Available at: </w:t>
          </w:r>
          <w:r>
            <w:rPr>
              <w:color w:val="auto"/>
              <w:u w:val="none"/>
              <w:lang w:val="en-US"/>
            </w:rPr>
            <w:t>www.smilepasadena.com/wp-content/uploads/2015/04/LSFD-Employment-Application.pdf</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Lane Community College. (1996), Dental Hygienist Essential Skills and Abilities, [ONLINE]. Available at: </w:t>
          </w:r>
          <w:r>
            <w:rPr>
              <w:color w:val="auto"/>
              <w:u w:val="none"/>
              <w:lang w:val="en-US"/>
            </w:rPr>
            <w:t>https://www.lanecc.edu/hp/dental/dental-hygiene-essential-skills-and-abilities</w:t>
          </w:r>
          <w:r>
            <w:rPr>
              <w:rFonts w:hint="eastAsia" w:ascii="Calibri" w:hAnsi="Calibri" w:eastAsia="Calibri" w:cs="Times New Roman"/>
              <w:kern w:val="0"/>
              <w:sz w:val="22"/>
              <w:szCs w:val="22"/>
              <w:lang w:val="en-US" w:eastAsia="zh-CN" w:bidi="ar"/>
            </w:rPr>
            <w:t>, [Accessed 18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Learning People. (2018), Become a Job Ready IT Professional, [ONLINE]. Available at: http://www.learningpeople.co.uk/offers/it-training/entry-it?</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Maund, A, Shriek, M and Tinkler, P.K. (2017), </w:t>
          </w:r>
          <w:r>
            <w:rPr>
              <w:rFonts w:hint="eastAsia" w:ascii="Calibri" w:hAnsi="Calibri" w:eastAsia="Calibri" w:cs="Times New Roman"/>
              <w:kern w:val="0"/>
              <w:sz w:val="22"/>
              <w:szCs w:val="22"/>
              <w:u w:val="single"/>
              <w:lang w:val="en-US" w:eastAsia="zh-CN" w:bidi="ar"/>
            </w:rPr>
            <w:t>Certificate in Higher Education; Skills for the Workplace Student Yearbook.</w:t>
          </w:r>
          <w:r>
            <w:rPr>
              <w:rFonts w:hint="eastAsia" w:ascii="Calibri" w:hAnsi="Calibri" w:eastAsia="Calibri" w:cs="Times New Roman"/>
              <w:kern w:val="0"/>
              <w:sz w:val="22"/>
              <w:szCs w:val="22"/>
              <w:lang w:val="en-US" w:eastAsia="zh-CN" w:bidi="ar"/>
            </w:rPr>
            <w:t xml:space="preserve"> London: SAGE.</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 xml:space="preserve">McKay, D.S. ( 2018), Career Development, What it is and What Factors Influence it? [ONLINE]. Available at: </w:t>
          </w:r>
          <w:r>
            <w:rPr>
              <w:rFonts w:hint="default" w:ascii="Calibri" w:hAnsi="Calibri" w:eastAsia="Calibri" w:cs="Times New Roman"/>
              <w:color w:val="auto"/>
              <w:kern w:val="0"/>
              <w:sz w:val="22"/>
              <w:szCs w:val="22"/>
              <w:u w:val="none"/>
              <w:lang w:val="en-GB" w:eastAsia="zh-CN" w:bidi="ar"/>
            </w:rPr>
            <w:t>https://www.thebalance.com/what-is-career-development-525496,</w:t>
          </w:r>
          <w:r>
            <w:rPr>
              <w:rFonts w:hint="default" w:ascii="Calibri" w:hAnsi="Calibri" w:eastAsia="Calibri" w:cs="Times New Roman"/>
              <w:kern w:val="0"/>
              <w:sz w:val="22"/>
              <w:szCs w:val="22"/>
              <w:lang w:val="en-GB" w:eastAsia="zh-CN" w:bidi="ar"/>
            </w:rPr>
            <w:t xml:space="preserve"> [Accessed 28</w:t>
          </w:r>
          <w:r>
            <w:rPr>
              <w:rFonts w:hint="default" w:ascii="Calibri" w:hAnsi="Calibri" w:eastAsia="Calibri" w:cs="Times New Roman"/>
              <w:kern w:val="0"/>
              <w:sz w:val="22"/>
              <w:szCs w:val="22"/>
              <w:vertAlign w:val="superscript"/>
              <w:lang w:val="en-GB" w:eastAsia="zh-CN" w:bidi="ar"/>
            </w:rPr>
            <w:t>th</w:t>
          </w:r>
          <w:r>
            <w:rPr>
              <w:rFonts w:hint="default" w:ascii="Calibri" w:hAnsi="Calibri" w:eastAsia="Calibri" w:cs="Times New Roman"/>
              <w:kern w:val="0"/>
              <w:sz w:val="22"/>
              <w:szCs w:val="22"/>
              <w:lang w:val="en-GB"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Mills, C, Roderick, C, Meachin, J and Lucks, S. (2011), </w:t>
          </w:r>
          <w:r>
            <w:rPr>
              <w:rFonts w:hint="eastAsia" w:ascii="Calibri" w:hAnsi="Calibri" w:eastAsia="Calibri" w:cs="Times New Roman"/>
              <w:kern w:val="0"/>
              <w:sz w:val="22"/>
              <w:szCs w:val="22"/>
              <w:u w:val="single"/>
              <w:lang w:val="en-US" w:eastAsia="zh-CN" w:bidi="ar"/>
            </w:rPr>
            <w:t>You’re Hired, CVs, Interview Answers &amp; Psychometric Test</w:t>
          </w:r>
          <w:r>
            <w:rPr>
              <w:rFonts w:hint="eastAsia" w:ascii="Calibri" w:hAnsi="Calibri" w:eastAsia="Calibri" w:cs="Times New Roman"/>
              <w:kern w:val="0"/>
              <w:sz w:val="22"/>
              <w:szCs w:val="22"/>
              <w:lang w:val="en-US" w:eastAsia="zh-CN" w:bidi="ar"/>
            </w:rPr>
            <w:t>, Surrey: Trotman.</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Mind Tools. (2018), Gibbs Reflection Cycle, Helping People Learn from Experiences, [ONLINE]. Available at: </w:t>
          </w:r>
          <w:r>
            <w:rPr>
              <w:color w:val="auto"/>
              <w:u w:val="none"/>
              <w:lang w:val="en-US"/>
            </w:rPr>
            <w:t>https://www.mindtools.com/pages/article/reflective-cycle.htm</w:t>
          </w:r>
          <w:r>
            <w:rPr>
              <w:rFonts w:hint="eastAsia" w:ascii="Calibri" w:hAnsi="Calibri" w:eastAsia="Calibri" w:cs="Times New Roman"/>
              <w:kern w:val="0"/>
              <w:sz w:val="22"/>
              <w:szCs w:val="22"/>
              <w:lang w:val="en-US" w:eastAsia="zh-CN" w:bidi="ar"/>
            </w:rPr>
            <w:t>. [Accessed 22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Mind Tools. (2018), Learning Styles, Understanding How You Learn, [ONLINE]. Available at: </w:t>
          </w:r>
          <w:r>
            <w:rPr>
              <w:color w:val="auto"/>
              <w:u w:val="none"/>
              <w:lang w:val="en-US"/>
            </w:rPr>
            <w:t>https://www.mindtools.com/mnemlsty.html</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 xml:space="preserve">Mind Tools. (2018), SWOT Analysis, [ONLINE]. Available at: </w:t>
          </w:r>
          <w:r>
            <w:rPr>
              <w:color w:val="auto"/>
              <w:u w:val="none"/>
              <w:lang w:val="en-US"/>
            </w:rPr>
            <w:t>https://www.mindtools.com/pages/article/newTMC_05.htm</w:t>
          </w:r>
          <w:r>
            <w:rPr>
              <w:rFonts w:hint="eastAsia" w:ascii="Calibri" w:hAnsi="Calibri" w:eastAsia="Calibri" w:cs="Times New Roman"/>
              <w:kern w:val="0"/>
              <w:sz w:val="22"/>
              <w:szCs w:val="22"/>
              <w:lang w:val="en-US" w:eastAsia="zh-CN" w:bidi="ar"/>
            </w:rPr>
            <w:t>. [Accessed 15th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Morgan, P. (2017), </w:t>
          </w:r>
          <w:r>
            <w:rPr>
              <w:rFonts w:hint="eastAsia" w:ascii="Calibri" w:hAnsi="Calibri" w:eastAsia="Calibri" w:cs="Times New Roman"/>
              <w:kern w:val="0"/>
              <w:sz w:val="22"/>
              <w:szCs w:val="22"/>
              <w:u w:val="single"/>
              <w:lang w:val="en-US" w:eastAsia="zh-CN" w:bidi="ar"/>
            </w:rPr>
            <w:t>The Business Students Guide to Study and Employability</w:t>
          </w:r>
          <w:r>
            <w:rPr>
              <w:rFonts w:hint="eastAsia" w:ascii="Calibri" w:hAnsi="Calibri" w:eastAsia="Calibri" w:cs="Times New Roman"/>
              <w:kern w:val="0"/>
              <w:sz w:val="22"/>
              <w:szCs w:val="22"/>
              <w:lang w:val="en-US" w:eastAsia="zh-CN" w:bidi="ar"/>
            </w:rPr>
            <w:t>, London SAGE.</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NHS, (2018). Interview or Assessment Centre, [ONLINE]. Available at: </w:t>
          </w:r>
          <w:r>
            <w:rPr>
              <w:color w:val="auto"/>
              <w:u w:val="none"/>
              <w:lang w:val="en-US"/>
            </w:rPr>
            <w:t>https://www.nbt.nhs.uk/careers/application-process/interview-or-assessment-centre</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Premiere People. (2018), Why is Recruitment Important? [ONLINE]. Available at: </w:t>
          </w:r>
          <w:r>
            <w:rPr>
              <w:color w:val="auto"/>
              <w:u w:val="none"/>
              <w:lang w:val="en-US"/>
            </w:rPr>
            <w:t>http://www.premierepeople-ni.com/resources/why-is-recruitment-important</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2108].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Reed. (2018), Dental Hygienist, [ONLINE]. Available at: </w:t>
          </w:r>
          <w:r>
            <w:rPr>
              <w:color w:val="auto"/>
              <w:u w:val="none"/>
              <w:lang w:val="en-US"/>
            </w:rPr>
            <w:t>www.reed.co.uk/jobs/dental</w:t>
          </w:r>
          <w:r>
            <w:rPr>
              <w:color w:val="auto"/>
              <w:u w:val="none"/>
              <w:lang w:val="en-GB"/>
            </w:rPr>
            <w:t>-</w:t>
          </w:r>
          <w:r>
            <w:rPr>
              <w:color w:val="auto"/>
              <w:u w:val="none"/>
              <w:lang w:val="en-US"/>
            </w:rPr>
            <w:t>hygienist/34501288</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 xml:space="preserve">Kills You Need. (2018), Learning Styles, [ONLINE]. Available at: </w:t>
          </w:r>
          <w:r>
            <w:rPr>
              <w:rFonts w:hint="default" w:ascii="Calibri" w:hAnsi="Calibri" w:eastAsia="Calibri" w:cs="Times New Roman"/>
              <w:color w:val="auto"/>
              <w:kern w:val="0"/>
              <w:sz w:val="22"/>
              <w:szCs w:val="22"/>
              <w:u w:val="none"/>
              <w:lang w:val="en-GB" w:eastAsia="zh-CN" w:bidi="ar"/>
            </w:rPr>
            <w:t>https://www.skillsyouneed.com/learn/learning-styles.html.</w:t>
          </w:r>
          <w:r>
            <w:rPr>
              <w:rFonts w:hint="default" w:ascii="Calibri" w:hAnsi="Calibri" w:eastAsia="Calibri" w:cs="Times New Roman"/>
              <w:kern w:val="0"/>
              <w:sz w:val="22"/>
              <w:szCs w:val="22"/>
              <w:lang w:val="en-GB" w:eastAsia="zh-CN" w:bidi="ar"/>
            </w:rPr>
            <w:t xml:space="preserve"> [Accessed 28</w:t>
          </w:r>
          <w:r>
            <w:rPr>
              <w:rFonts w:hint="default" w:ascii="Calibri" w:hAnsi="Calibri" w:eastAsia="Calibri" w:cs="Times New Roman"/>
              <w:kern w:val="0"/>
              <w:sz w:val="22"/>
              <w:szCs w:val="22"/>
              <w:vertAlign w:val="superscript"/>
              <w:lang w:val="en-GB" w:eastAsia="zh-CN" w:bidi="ar"/>
            </w:rPr>
            <w:t>th</w:t>
          </w:r>
          <w:r>
            <w:rPr>
              <w:rFonts w:hint="default" w:ascii="Calibri" w:hAnsi="Calibri" w:eastAsia="Calibri" w:cs="Times New Roman"/>
              <w:kern w:val="0"/>
              <w:sz w:val="22"/>
              <w:szCs w:val="22"/>
              <w:lang w:val="en-GB"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Smith, J. (2017), What is a Cover Letter? [ONLINE]. Available at: </w:t>
          </w:r>
          <w:r>
            <w:rPr>
              <w:color w:val="auto"/>
              <w:u w:val="none"/>
              <w:lang w:val="en-US"/>
            </w:rPr>
            <w:t>https://www.prospects.ac.uk/careers-advice/cvs-and-cover-letters/cover-letters</w:t>
          </w:r>
          <w:r>
            <w:rPr>
              <w:rFonts w:hint="eastAsia" w:ascii="Calibri" w:hAnsi="Calibri" w:eastAsia="Calibri" w:cs="Times New Roman"/>
              <w:kern w:val="0"/>
              <w:sz w:val="22"/>
              <w:szCs w:val="22"/>
              <w:lang w:val="en-US" w:eastAsia="zh-CN" w:bidi="ar"/>
            </w:rPr>
            <w:t>. [Accessed 20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Sodexo. (2018), Applying Maslow’s Hierarchy of Needs Theory to HR Responsibilities, [ONLINE]. Available at: </w:t>
          </w:r>
          <w:r>
            <w:rPr>
              <w:color w:val="auto"/>
              <w:u w:val="none"/>
              <w:lang w:val="en-US"/>
            </w:rPr>
            <w:t>https://blog.sodexoengage.com/applying-maslows-hierarchy-of-needs-theory-to-hr-responsibilities</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 xml:space="preserve">Target Jobs. (2018), Dental Hygienist: Job Description, [ONLINE]. Available at </w:t>
          </w:r>
          <w:r>
            <w:rPr>
              <w:color w:val="auto"/>
              <w:u w:val="none"/>
              <w:lang w:val="en-US"/>
            </w:rPr>
            <w:t>https://targetjobs.co.uk/careers-advice/job-descriptions/279217-dental-hygienist-job-description</w:t>
          </w:r>
          <w:r>
            <w:rPr>
              <w:rFonts w:hint="eastAsia" w:ascii="Calibri" w:hAnsi="Calibri" w:eastAsia="Calibri" w:cs="Times New Roman"/>
              <w:kern w:val="0"/>
              <w:sz w:val="22"/>
              <w:szCs w:val="22"/>
              <w:lang w:val="en-US" w:eastAsia="zh-CN" w:bidi="ar"/>
            </w:rPr>
            <w:t>. [Accessed 17th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TEDx Talk. (2016), The Art of Making a Difference/ Andy Gilbert/ TEDx Leicester, [ONLINE VIDEO]. Available at: </w:t>
          </w:r>
          <w:r>
            <w:rPr>
              <w:color w:val="auto"/>
              <w:u w:val="none"/>
              <w:lang w:val="en-US"/>
            </w:rPr>
            <w:t>https://www.youtube.com/watch?time_continue=8&amp;v=KKW_dcq_kcM</w:t>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The Open University. (2018), Making the Most of Your Learning Style, [OMLINE]. Available at: </w:t>
          </w:r>
          <w:r>
            <w:rPr>
              <w:color w:val="auto"/>
              <w:u w:val="none"/>
              <w:lang w:val="en-US"/>
            </w:rPr>
            <w:t>https://www2.open.ac.uk/students/skillsforstudy/making-the-most-of-your-learning-style.php</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GB" w:eastAsia="zh-CN" w:bidi="ar"/>
            </w:rPr>
          </w:pPr>
          <w:r>
            <w:rPr>
              <w:rFonts w:hint="default" w:ascii="Calibri" w:hAnsi="Calibri" w:eastAsia="Calibri" w:cs="Times New Roman"/>
              <w:kern w:val="0"/>
              <w:sz w:val="22"/>
              <w:szCs w:val="22"/>
              <w:lang w:val="en-GB" w:eastAsia="zh-CN" w:bidi="ar"/>
            </w:rPr>
            <w:t xml:space="preserve">TTP Recruitment. (2018), How to Shotlist CVs Quickly and Effectively, [ONLINE]. Available at: </w:t>
          </w:r>
          <w:r>
            <w:rPr>
              <w:rFonts w:hint="default" w:ascii="Calibri" w:hAnsi="Calibri" w:eastAsia="Calibri" w:cs="Times New Roman"/>
              <w:color w:val="auto"/>
              <w:kern w:val="0"/>
              <w:sz w:val="22"/>
              <w:szCs w:val="22"/>
              <w:u w:val="none"/>
              <w:lang w:val="en-GB" w:eastAsia="zh-CN" w:bidi="ar"/>
            </w:rPr>
            <w:t>https://www.tpp.co.uk/employers/recruitment-advice/general-recruitment/how-to-shortlist-cvs-quickly-and-effectively.</w:t>
          </w:r>
          <w:r>
            <w:rPr>
              <w:rFonts w:hint="default" w:ascii="Calibri" w:hAnsi="Calibri" w:eastAsia="Calibri" w:cs="Times New Roman"/>
              <w:kern w:val="0"/>
              <w:sz w:val="22"/>
              <w:szCs w:val="22"/>
              <w:lang w:val="en-GB" w:eastAsia="zh-CN" w:bidi="ar"/>
            </w:rPr>
            <w:t xml:space="preserve"> [Accessed 28</w:t>
          </w:r>
          <w:r>
            <w:rPr>
              <w:rFonts w:hint="default" w:ascii="Calibri" w:hAnsi="Calibri" w:eastAsia="Calibri" w:cs="Times New Roman"/>
              <w:kern w:val="0"/>
              <w:sz w:val="22"/>
              <w:szCs w:val="22"/>
              <w:vertAlign w:val="superscript"/>
              <w:lang w:val="en-GB" w:eastAsia="zh-CN" w:bidi="ar"/>
            </w:rPr>
            <w:t>th</w:t>
          </w:r>
          <w:r>
            <w:rPr>
              <w:rFonts w:hint="default" w:ascii="Calibri" w:hAnsi="Calibri" w:eastAsia="Calibri" w:cs="Times New Roman"/>
              <w:kern w:val="0"/>
              <w:sz w:val="22"/>
              <w:szCs w:val="22"/>
              <w:lang w:val="en-GB"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Valvira. (2018), Adaptation Period and Aptitude Test, [ONLINE]. Available at: </w:t>
          </w:r>
          <w:r>
            <w:rPr>
              <w:color w:val="auto"/>
              <w:u w:val="none"/>
              <w:lang w:val="en-US"/>
            </w:rPr>
            <w:t>www.valvira.fi/web/en/healthcare/professional_practice_rights/qualified_in_eu_eea_member_state/adaptation_period_and_aptitude_test</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VARK. (2018), VARK a guide to Learning Styles, [ONLINE]. Available at: vark-learn.com/introduction-to-vark/.[Accessed 7th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Wise Step. (2016), How to Choose the Best Candidate or Applicant for a Job, [ONLINE]. Available at: </w:t>
          </w:r>
          <w:r>
            <w:rPr>
              <w:color w:val="auto"/>
              <w:u w:val="none"/>
              <w:lang w:val="en-US"/>
            </w:rPr>
            <w:t>https://content,wisestep.com/choose-best-candidate-applicant-job/</w:t>
          </w:r>
          <w:r>
            <w:rPr>
              <w:rFonts w:hint="eastAsia" w:ascii="Calibri" w:hAnsi="Calibri" w:eastAsia="Calibri" w:cs="Times New Roman"/>
              <w:kern w:val="0"/>
              <w:sz w:val="22"/>
              <w:szCs w:val="22"/>
              <w:lang w:val="en-US" w:eastAsia="zh-CN" w:bidi="ar"/>
            </w:rPr>
            <w:t>. [Accessed 24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rPr>
              <w:rFonts w:hint="default"/>
              <w:lang w:val="en-GB"/>
            </w:rPr>
          </w:pPr>
        </w:p>
        <w:p>
          <w:pPr>
            <w:pStyle w:val="2"/>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pPr>
        </w:p>
        <w:p/>
        <w:p/>
        <w:p/>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pPr>
          <w:r>
            <w:rPr>
              <w:lang w:val="en-GB"/>
            </w:rPr>
            <w:t>Appendices</w:t>
          </w:r>
        </w:p>
        <w:p/>
        <w:p>
          <w:r>
            <w:drawing>
              <wp:inline distT="0" distB="0" distL="114300" distR="114300">
                <wp:extent cx="5275580" cy="2623185"/>
                <wp:effectExtent l="0" t="0" r="7620" b="0"/>
                <wp:docPr id="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2"/>
                        <pic:cNvPicPr>
                          <a:picLocks noChangeAspect="1"/>
                        </pic:cNvPicPr>
                      </pic:nvPicPr>
                      <pic:blipFill>
                        <a:blip r:embed="rId10"/>
                        <a:stretch>
                          <a:fillRect/>
                        </a:stretch>
                      </pic:blipFill>
                      <pic:spPr>
                        <a:xfrm>
                          <a:off x="0" y="0"/>
                          <a:ext cx="5275580" cy="2623185"/>
                        </a:xfrm>
                        <a:prstGeom prst="rect">
                          <a:avLst/>
                        </a:prstGeom>
                        <a:noFill/>
                        <a:ln w="9525">
                          <a:noFill/>
                        </a:ln>
                      </pic:spPr>
                    </pic:pic>
                  </a:graphicData>
                </a:graphic>
              </wp:inline>
            </w:drawing>
          </w:r>
        </w:p>
        <w:p>
          <w:pPr>
            <w:jc w:val="both"/>
            <w:rPr>
              <w:rFonts w:ascii="Comic Sans MS" w:hAnsi="Comic Sans MS"/>
              <w:sz w:val="20"/>
              <w:szCs w:val="20"/>
              <w:highlight w:val="yellow"/>
            </w:rPr>
          </w:pPr>
          <w:r>
            <w:drawing>
              <wp:inline distT="0" distB="0" distL="114300" distR="114300">
                <wp:extent cx="5275580" cy="1846580"/>
                <wp:effectExtent l="0" t="0" r="7620" b="7620"/>
                <wp:docPr id="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3"/>
                        <pic:cNvPicPr>
                          <a:picLocks noChangeAspect="1"/>
                        </pic:cNvPicPr>
                      </pic:nvPicPr>
                      <pic:blipFill>
                        <a:blip r:embed="rId11"/>
                        <a:stretch>
                          <a:fillRect/>
                        </a:stretch>
                      </pic:blipFill>
                      <pic:spPr>
                        <a:xfrm>
                          <a:off x="0" y="0"/>
                          <a:ext cx="5275580" cy="1846580"/>
                        </a:xfrm>
                        <a:prstGeom prst="rect">
                          <a:avLst/>
                        </a:prstGeom>
                        <a:noFill/>
                        <a:ln w="9525">
                          <a:noFill/>
                        </a:ln>
                      </pic:spPr>
                    </pic:pic>
                  </a:graphicData>
                </a:graphic>
              </wp:inline>
            </w:drawing>
          </w:r>
        </w:p>
        <w:p>
          <w:pPr>
            <w:ind w:left="720" w:hanging="720"/>
            <w:jc w:val="both"/>
            <w:rPr>
              <w:rFonts w:ascii="Comic Sans MS" w:hAnsi="Comic Sans MS"/>
              <w:b/>
              <w:sz w:val="20"/>
              <w:szCs w:val="20"/>
              <w:lang w:val="en-GB"/>
            </w:rPr>
          </w:pPr>
        </w:p>
        <w:p>
          <w:pPr>
            <w:jc w:val="both"/>
            <w:rPr>
              <w:rFonts w:ascii="Comic Sans MS" w:hAnsi="Comic Sans MS"/>
              <w:sz w:val="20"/>
              <w:szCs w:val="20"/>
            </w:rPr>
          </w:pPr>
          <w:r>
            <w:drawing>
              <wp:inline distT="0" distB="0" distL="114300" distR="114300">
                <wp:extent cx="5275580" cy="4966335"/>
                <wp:effectExtent l="0" t="0" r="7620" b="12065"/>
                <wp:docPr id="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4"/>
                        <pic:cNvPicPr>
                          <a:picLocks noChangeAspect="1"/>
                        </pic:cNvPicPr>
                      </pic:nvPicPr>
                      <pic:blipFill>
                        <a:blip r:embed="rId12"/>
                        <a:stretch>
                          <a:fillRect/>
                        </a:stretch>
                      </pic:blipFill>
                      <pic:spPr>
                        <a:xfrm>
                          <a:off x="0" y="0"/>
                          <a:ext cx="5275580" cy="4966335"/>
                        </a:xfrm>
                        <a:prstGeom prst="rect">
                          <a:avLst/>
                        </a:prstGeom>
                        <a:noFill/>
                        <a:ln w="9525">
                          <a:noFill/>
                        </a:ln>
                      </pic:spPr>
                    </pic:pic>
                  </a:graphicData>
                </a:graphic>
              </wp:inline>
            </w:drawing>
          </w:r>
        </w:p>
        <w:p>
          <w:pPr>
            <w:jc w:val="both"/>
            <w:rPr>
              <w:rFonts w:ascii="Comic Sans MS" w:hAnsi="Comic Sans MS"/>
              <w:sz w:val="20"/>
              <w:szCs w:val="20"/>
            </w:rPr>
          </w:pPr>
          <w:r>
            <w:drawing>
              <wp:inline distT="0" distB="0" distL="114300" distR="114300">
                <wp:extent cx="5275580" cy="3508375"/>
                <wp:effectExtent l="0" t="0" r="7620" b="9525"/>
                <wp:docPr id="2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5"/>
                        <pic:cNvPicPr>
                          <a:picLocks noChangeAspect="1"/>
                        </pic:cNvPicPr>
                      </pic:nvPicPr>
                      <pic:blipFill>
                        <a:blip r:embed="rId13"/>
                        <a:stretch>
                          <a:fillRect/>
                        </a:stretch>
                      </pic:blipFill>
                      <pic:spPr>
                        <a:xfrm>
                          <a:off x="0" y="0"/>
                          <a:ext cx="5275580" cy="3508375"/>
                        </a:xfrm>
                        <a:prstGeom prst="rect">
                          <a:avLst/>
                        </a:prstGeom>
                        <a:noFill/>
                        <a:ln w="9525">
                          <a:noFill/>
                        </a:ln>
                      </pic:spPr>
                    </pic:pic>
                  </a:graphicData>
                </a:graphic>
              </wp:inline>
            </w:drawing>
          </w:r>
        </w:p>
        <w:p>
          <w:pPr>
            <w:jc w:val="both"/>
            <w:rPr>
              <w:rFonts w:ascii="Comic Sans MS" w:hAnsi="Comic Sans MS"/>
              <w:sz w:val="20"/>
              <w:szCs w:val="20"/>
            </w:rPr>
          </w:pPr>
          <w:r>
            <w:drawing>
              <wp:inline distT="0" distB="0" distL="114300" distR="114300">
                <wp:extent cx="5275580" cy="8563610"/>
                <wp:effectExtent l="0" t="0" r="7620" b="8890"/>
                <wp:docPr id="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6"/>
                        <pic:cNvPicPr>
                          <a:picLocks noChangeAspect="1"/>
                        </pic:cNvPicPr>
                      </pic:nvPicPr>
                      <pic:blipFill>
                        <a:blip r:embed="rId14"/>
                        <a:stretch>
                          <a:fillRect/>
                        </a:stretch>
                      </pic:blipFill>
                      <pic:spPr>
                        <a:xfrm>
                          <a:off x="0" y="0"/>
                          <a:ext cx="5275580" cy="8563610"/>
                        </a:xfrm>
                        <a:prstGeom prst="rect">
                          <a:avLst/>
                        </a:prstGeom>
                        <a:noFill/>
                        <a:ln w="9525">
                          <a:noFill/>
                        </a:ln>
                      </pic:spPr>
                    </pic:pic>
                  </a:graphicData>
                </a:graphic>
              </wp:inline>
            </w:drawing>
          </w:r>
        </w:p>
        <w:p>
          <w:pPr>
            <w:jc w:val="both"/>
            <w:rPr>
              <w:rFonts w:ascii="Comic Sans MS" w:hAnsi="Comic Sans MS"/>
              <w:sz w:val="20"/>
              <w:szCs w:val="20"/>
            </w:rPr>
          </w:pPr>
          <w:r>
            <w:drawing>
              <wp:inline distT="0" distB="0" distL="114300" distR="114300">
                <wp:extent cx="5275580" cy="3018155"/>
                <wp:effectExtent l="0" t="0" r="7620" b="4445"/>
                <wp:docPr id="3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7"/>
                        <pic:cNvPicPr>
                          <a:picLocks noChangeAspect="1"/>
                        </pic:cNvPicPr>
                      </pic:nvPicPr>
                      <pic:blipFill>
                        <a:blip r:embed="rId15"/>
                        <a:stretch>
                          <a:fillRect/>
                        </a:stretch>
                      </pic:blipFill>
                      <pic:spPr>
                        <a:xfrm>
                          <a:off x="0" y="0"/>
                          <a:ext cx="5275580" cy="3018155"/>
                        </a:xfrm>
                        <a:prstGeom prst="rect">
                          <a:avLst/>
                        </a:prstGeom>
                        <a:noFill/>
                        <a:ln w="9525">
                          <a:noFill/>
                        </a:ln>
                      </pic:spPr>
                    </pic:pic>
                  </a:graphicData>
                </a:graphic>
              </wp:inline>
            </w:drawing>
          </w:r>
        </w:p>
        <w:p>
          <w:pPr>
            <w:jc w:val="both"/>
            <w:rPr>
              <w:rFonts w:ascii="Comic Sans MS" w:hAnsi="Comic Sans MS"/>
              <w:b/>
              <w:sz w:val="20"/>
              <w:szCs w:val="20"/>
            </w:rPr>
          </w:pPr>
          <w:r>
            <w:rPr>
              <w:rFonts w:ascii="Comic Sans MS" w:hAnsi="Comic Sans MS"/>
              <w:b/>
              <w:sz w:val="20"/>
              <w:szCs w:val="20"/>
            </w:rPr>
            <w:t>THE VARK QUESTIONNAIRE SCORING CHART</w:t>
          </w:r>
        </w:p>
        <w:p>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pPr>
            <w:jc w:val="both"/>
            <w:rPr>
              <w:rFonts w:ascii="Comic Sans MS" w:hAnsi="Comic Sans MS"/>
              <w:sz w:val="20"/>
              <w:szCs w:val="20"/>
            </w:rPr>
          </w:pPr>
          <w:r>
            <w:rPr>
              <w:rFonts w:ascii="Comic Sans MS" w:hAnsi="Comic Sans MS"/>
              <w:sz w:val="20"/>
              <w:szCs w:val="20"/>
            </w:rPr>
            <w:t>Eg. if you answered b and c for question 4, circle R and V in the question 4 row</w:t>
          </w:r>
        </w:p>
        <w:tbl>
          <w:tblPr>
            <w:tblStyle w:val="17"/>
            <w:tblW w:w="9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09"/>
            <w:gridCol w:w="1706"/>
            <w:gridCol w:w="1706"/>
            <w:gridCol w:w="2233"/>
            <w:gridCol w:w="17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709"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Question</w:t>
                </w:r>
              </w:p>
            </w:tc>
            <w:tc>
              <w:tcPr>
                <w:tcW w:w="1706"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a category</w:t>
                </w:r>
              </w:p>
            </w:tc>
            <w:tc>
              <w:tcPr>
                <w:tcW w:w="1706"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b category</w:t>
                </w:r>
              </w:p>
            </w:tc>
            <w:tc>
              <w:tcPr>
                <w:tcW w:w="2233"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c category</w:t>
                </w:r>
              </w:p>
            </w:tc>
            <w:tc>
              <w:tcPr>
                <w:tcW w:w="1706"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d category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709"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4</w:t>
                </w:r>
              </w:p>
            </w:tc>
            <w:tc>
              <w:tcPr>
                <w:tcW w:w="1706"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706"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rPr>
                  <mc:AlternateContent>
                    <mc:Choice Requires="wps">
                      <w:drawing>
                        <wp:anchor distT="0" distB="0" distL="114300" distR="114300" simplePos="0" relativeHeight="251665408" behindDoc="0" locked="0" layoutInCell="1" allowOverlap="1">
                          <wp:simplePos x="0" y="0"/>
                          <wp:positionH relativeFrom="column">
                            <wp:posOffset>-447675</wp:posOffset>
                          </wp:positionH>
                          <wp:positionV relativeFrom="paragraph">
                            <wp:posOffset>138430</wp:posOffset>
                          </wp:positionV>
                          <wp:extent cx="501015" cy="278130"/>
                          <wp:effectExtent l="4445" t="4445" r="15240" b="9525"/>
                          <wp:wrapSquare wrapText="bothSides"/>
                          <wp:docPr id="6" name="Text Box 2"/>
                          <wp:cNvGraphicFramePr/>
                          <a:graphic xmlns:a="http://schemas.openxmlformats.org/drawingml/2006/main">
                            <a:graphicData uri="http://schemas.microsoft.com/office/word/2010/wordprocessingShape">
                              <wps:wsp>
                                <wps:cNvSpPr txBox="1"/>
                                <wps:spPr>
                                  <a:xfrm>
                                    <a:off x="0" y="0"/>
                                    <a:ext cx="501015" cy="278130"/>
                                  </a:xfrm>
                                  <a:prstGeom prst="rect">
                                    <a:avLst/>
                                  </a:prstGeom>
                                  <a:solidFill>
                                    <a:srgbClr val="FFFFFF"/>
                                  </a:solidFill>
                                  <a:ln w="9525" cap="flat" cmpd="sng">
                                    <a:solidFill>
                                      <a:srgbClr val="000000"/>
                                    </a:solidFill>
                                    <a:prstDash val="solid"/>
                                    <a:miter/>
                                    <a:headEnd type="none" w="med" len="med"/>
                                    <a:tailEnd type="none" w="med" len="med"/>
                                  </a:ln>
                                </wps:spPr>
                                <wps:txbx>
                                  <w:txbxContent>
                                    <w:p>
                                      <w:pPr>
                                        <w:jc w:val="center"/>
                                        <w:rPr>
                                          <w:rFonts w:ascii="Comic Sans MS" w:hAnsi="Comic Sans MS"/>
                                          <w:sz w:val="20"/>
                                          <w:szCs w:val="20"/>
                                        </w:rPr>
                                      </w:pPr>
                                      <w:r>
                                        <w:rPr>
                                          <w:rFonts w:ascii="Comic Sans MS" w:hAnsi="Comic Sans MS"/>
                                          <w:sz w:val="20"/>
                                          <w:szCs w:val="20"/>
                                        </w:rPr>
                                        <w:t>R</w:t>
                                      </w:r>
                                    </w:p>
                                  </w:txbxContent>
                                </wps:txbx>
                                <wps:bodyPr upright="1">
                                  <a:spAutoFit/>
                                </wps:bodyPr>
                              </wps:wsp>
                            </a:graphicData>
                          </a:graphic>
                        </wp:anchor>
                      </w:drawing>
                    </mc:Choice>
                    <mc:Fallback>
                      <w:pict>
                        <v:shape id="Text Box 2" o:spid="_x0000_s1026" o:spt="202" type="#_x0000_t202" style="position:absolute;left:0pt;margin-left:-35.25pt;margin-top:10.9pt;height:21.9pt;width:39.45pt;mso-wrap-distance-bottom:0pt;mso-wrap-distance-left:9pt;mso-wrap-distance-right:9pt;mso-wrap-distance-top:0pt;z-index:251665408;mso-width-relative:page;mso-height-relative:page;" fillcolor="#FFFFFF" filled="t" stroked="t" coordsize="21600,21600" o:gfxdata="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DXo&#10;jcHXAAAABwEAAA8AAAAAAAAAAQAgAAAAIgAAAGRycy9kb3ducmV2LnhtbFBLAQIUABQAAAAIAIdO&#10;4kBjQTpG6wEAAAAEAAAOAAAAAAAAAAEAIAAAACYBAABkcnMvZTJvRG9jLnhtbFBLBQYAAAAABgAG&#10;AFkBAACDBQAAAAA=&#10;">
                          <v:fill on="t" focussize="0,0"/>
                          <v:stroke color="#000000" joinstyle="miter"/>
                          <v:imagedata o:title=""/>
                          <o:lock v:ext="edit" aspectratio="f"/>
                          <v:textbox style="mso-fit-shape-to-text:t;">
                            <w:txbxContent>
                              <w:p>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2233"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mc:AlternateContent>
                    <mc:Choice Requires="wpc">
                      <w:drawing>
                        <wp:inline distT="0" distB="0" distL="114300" distR="114300">
                          <wp:extent cx="1271270" cy="571500"/>
                          <wp:effectExtent l="4445" t="0" r="0" b="0"/>
                          <wp:docPr id="8"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w="9525">
                                    <a:noFill/>
                                  </a:ln>
                                </wpc:whole>
                                <wps:wsp>
                                  <wps:cNvPr id="31" name="Text Box 5"/>
                                  <wps:cNvSpPr txBox="1"/>
                                  <wps:spPr>
                                    <a:xfrm>
                                      <a:off x="0" y="146711"/>
                                      <a:ext cx="501015" cy="393700"/>
                                    </a:xfrm>
                                    <a:prstGeom prst="rect">
                                      <a:avLst/>
                                    </a:prstGeom>
                                    <a:solidFill>
                                      <a:srgbClr val="FFFFFF"/>
                                    </a:solidFill>
                                    <a:ln w="9525" cap="flat" cmpd="sng">
                                      <a:solidFill>
                                        <a:srgbClr val="000000"/>
                                      </a:solidFill>
                                      <a:prstDash val="solid"/>
                                      <a:miter/>
                                      <a:headEnd type="none" w="med" len="med"/>
                                      <a:tailEnd type="none" w="med" len="med"/>
                                    </a:ln>
                                  </wps:spPr>
                                  <wps:txbx>
                                    <w:txbxContent>
                                      <w:p>
                                        <w:pPr>
                                          <w:jc w:val="center"/>
                                          <w:rPr>
                                            <w:rFonts w:ascii="Comic Sans MS" w:hAnsi="Comic Sans MS"/>
                                            <w:sz w:val="20"/>
                                            <w:szCs w:val="20"/>
                                          </w:rPr>
                                        </w:pPr>
                                        <w:r>
                                          <w:rPr>
                                            <w:rFonts w:ascii="Comic Sans MS" w:hAnsi="Comic Sans MS"/>
                                            <w:sz w:val="20"/>
                                            <w:szCs w:val="20"/>
                                          </w:rPr>
                                          <w:t>V</w:t>
                                        </w:r>
                                      </w:p>
                                    </w:txbxContent>
                                  </wps:txbx>
                                  <wps:bodyPr upright="1">
                                    <a:spAutoFit/>
                                  </wps:bodyPr>
                                </wps:wsp>
                              </wpc:wpc>
                            </a:graphicData>
                          </a:graphic>
                        </wp:inline>
                      </w:drawing>
                    </mc:Choice>
                    <mc:Fallback>
                      <w:pict>
                        <v:group id="Canvas 3" o:spid="_x0000_s1026" o:spt="203" style="height:45pt;width:100.1pt;" coordsize="1271270,571500" editas="canvas" o:gfxdata="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DtjqEjUAAAABAEAAA8AAAAAAAAAAQAg&#10;AAAAIgAAAGRycy9kb3ducmV2LnhtbFBLAQIUABQAAAAIAIdO4kDxWr8ASwIAADUFAAAOAAAAAAAA&#10;AAEAIAAAACMBAABkcnMvZTJvRG9jLnhtbFBLBQYAAAAABgAGAFkBAADgBQAAAAA=&#10;">
                          <o:lock v:ext="edit" aspectratio="f"/>
                          <v:shape id="Canvas 3" o:spid="_x0000_s1026" style="position:absolute;left:0;top:0;height:571500;width:1271270;" filled="f" stroked="f" coordsize="21600,21600" o:gfxdata="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A7&#10;Y6hI1AAAAAQBAAAPAAAAAAAAAAEAIAAAACIAAABkcnMvZG93bnJldi54bWxQSwECFAAUAAAACACH&#10;TuJAxJ3BIigCAAC9BAAADgAAAAAAAAABACAAAAAjAQAAZHJzL2Uyb0RvYy54bWxQSwUGAAAAAAYA&#10;BgBZAQAAvQUAAAAA&#10;">
                            <v:fill on="f" focussize="0,0"/>
                            <v:stroke on="f"/>
                            <v:imagedata o:title=""/>
                            <o:lock v:ext="edit" aspectratio="t"/>
                          </v:shape>
                          <v:shape id="Text Box 5" o:spid="_x0000_s1026" o:spt="202" type="#_x0000_t202" style="position:absolute;left:0;top:146711;height:393700;width:501015;" fillcolor="#FFFFFF" filled="t" stroked="t" coordsize="21600,21600" o:gfxdata="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PEV+lbTAAAABAEAAA8AAAAAAAAAAQAgAAAAIgAAAGRycy9kb3ducmV2LnhtbFBLAQIUABQAAAAI&#10;AIdO4kBPE+Dj8gEAAAYEAAAOAAAAAAAAAAEAIAAAACIBAABkcnMvZTJvRG9jLnhtbFBLBQYAAAAA&#10;BgAGAFkBAACGBQAAAAA=&#10;">
                            <v:fill on="t" focussize="0,0"/>
                            <v:stroke color="#000000" joinstyle="miter"/>
                            <v:imagedata o:title=""/>
                            <o:lock v:ext="edit" aspectratio="f"/>
                            <v:textbox style="mso-fit-shape-to-text:t;">
                              <w:txbxContent>
                                <w:p>
                                  <w:pPr>
                                    <w:jc w:val="center"/>
                                    <w:rPr>
                                      <w:rFonts w:ascii="Comic Sans MS" w:hAnsi="Comic Sans MS"/>
                                      <w:sz w:val="20"/>
                                      <w:szCs w:val="20"/>
                                    </w:rPr>
                                  </w:pPr>
                                  <w:r>
                                    <w:rPr>
                                      <w:rFonts w:ascii="Comic Sans MS" w:hAnsi="Comic Sans MS"/>
                                      <w:sz w:val="20"/>
                                      <w:szCs w:val="20"/>
                                    </w:rPr>
                                    <w:t>V</w:t>
                                  </w:r>
                                </w:p>
                              </w:txbxContent>
                            </v:textbox>
                          </v:shape>
                          <w10:wrap type="none"/>
                          <w10:anchorlock/>
                        </v:group>
                      </w:pict>
                    </mc:Fallback>
                  </mc:AlternateContent>
                </w:r>
              </w:p>
            </w:tc>
            <w:tc>
              <w:tcPr>
                <w:tcW w:w="1706"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bl>
        <w:p>
          <w:pPr>
            <w:jc w:val="both"/>
            <w:rPr>
              <w:rFonts w:ascii="Comic Sans MS" w:hAnsi="Comic Sans MS"/>
              <w:sz w:val="20"/>
              <w:szCs w:val="20"/>
            </w:rPr>
          </w:pPr>
        </w:p>
        <w:p>
          <w:pPr>
            <w:tabs>
              <w:tab w:val="left" w:pos="5745"/>
            </w:tabs>
            <w:jc w:val="both"/>
            <w:rPr>
              <w:rFonts w:ascii="Comic Sans MS" w:hAnsi="Comic Sans MS"/>
              <w:b/>
              <w:sz w:val="20"/>
              <w:szCs w:val="20"/>
              <w:u w:val="single"/>
            </w:rPr>
          </w:pPr>
          <w:r>
            <w:rPr>
              <w:rFonts w:ascii="Comic Sans MS" w:hAnsi="Comic Sans MS"/>
              <w:b/>
              <w:sz w:val="20"/>
              <w:szCs w:val="20"/>
              <w:u w:val="single"/>
            </w:rPr>
            <w:t>Scoring chart</w:t>
          </w:r>
        </w:p>
        <w:p>
          <w:pPr>
            <w:tabs>
              <w:tab w:val="left" w:pos="5745"/>
            </w:tabs>
            <w:jc w:val="both"/>
            <w:rPr>
              <w:rFonts w:ascii="Comic Sans MS" w:hAnsi="Comic Sans MS"/>
              <w:b/>
              <w:sz w:val="20"/>
              <w:szCs w:val="20"/>
              <w:u w:val="single"/>
            </w:rPr>
          </w:pPr>
        </w:p>
        <w:tbl>
          <w:tblPr>
            <w:tblStyle w:val="17"/>
            <w:tblW w:w="8585"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12"/>
            <w:gridCol w:w="1812"/>
            <w:gridCol w:w="1812"/>
            <w:gridCol w:w="1812"/>
            <w:gridCol w:w="13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Question</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a category</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b category</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c category</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d category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1</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2</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3</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4</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K</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5</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6</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r>
        </w:tbl>
        <w:p>
          <w:pPr>
            <w:jc w:val="both"/>
            <w:rPr>
              <w:rFonts w:ascii="Comic Sans MS" w:hAnsi="Comic Sans MS"/>
              <w:b/>
              <w:sz w:val="20"/>
              <w:szCs w:val="20"/>
            </w:rPr>
          </w:pPr>
        </w:p>
        <w:p>
          <w:pPr>
            <w:jc w:val="both"/>
            <w:rPr>
              <w:rFonts w:ascii="Comic Sans MS" w:hAnsi="Comic Sans MS"/>
              <w:sz w:val="20"/>
              <w:szCs w:val="20"/>
            </w:rPr>
          </w:pPr>
          <w:r>
            <w:drawing>
              <wp:inline distT="0" distB="0" distL="114300" distR="114300">
                <wp:extent cx="5730875" cy="6004560"/>
                <wp:effectExtent l="0" t="0" r="0" b="0"/>
                <wp:docPr id="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18"/>
                        <pic:cNvPicPr>
                          <a:picLocks noChangeAspect="1"/>
                        </pic:cNvPicPr>
                      </pic:nvPicPr>
                      <pic:blipFill>
                        <a:blip r:embed="rId16"/>
                        <a:stretch>
                          <a:fillRect/>
                        </a:stretch>
                      </pic:blipFill>
                      <pic:spPr>
                        <a:xfrm>
                          <a:off x="0" y="0"/>
                          <a:ext cx="5730875" cy="6004560"/>
                        </a:xfrm>
                        <a:prstGeom prst="rect">
                          <a:avLst/>
                        </a:prstGeom>
                        <a:noFill/>
                        <a:ln w="9525">
                          <a:noFill/>
                        </a:ln>
                      </pic:spPr>
                    </pic:pic>
                  </a:graphicData>
                </a:graphic>
              </wp:inline>
            </w:drawing>
          </w:r>
        </w:p>
        <w:p>
          <w:pPr>
            <w:jc w:val="both"/>
            <w:rPr>
              <w:rFonts w:ascii="Comic Sans MS" w:hAnsi="Comic Sans MS"/>
              <w:sz w:val="20"/>
              <w:szCs w:val="20"/>
            </w:rPr>
          </w:pPr>
          <w:r>
            <w:rPr>
              <w:rFonts w:ascii="SimSun" w:hAnsi="SimSun" w:eastAsia="SimSun" w:cs="SimSun"/>
              <w:sz w:val="24"/>
              <w:szCs w:val="24"/>
            </w:rPr>
            <w:drawing>
              <wp:inline distT="0" distB="0" distL="114300" distR="114300">
                <wp:extent cx="5423535" cy="3204210"/>
                <wp:effectExtent l="0" t="0" r="12065" b="8890"/>
                <wp:docPr id="10"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IMG_256"/>
                        <pic:cNvPicPr>
                          <a:picLocks noChangeAspect="1"/>
                        </pic:cNvPicPr>
                      </pic:nvPicPr>
                      <pic:blipFill>
                        <a:blip r:embed="rId17"/>
                        <a:stretch>
                          <a:fillRect/>
                        </a:stretch>
                      </pic:blipFill>
                      <pic:spPr>
                        <a:xfrm>
                          <a:off x="0" y="0"/>
                          <a:ext cx="5423535" cy="3204210"/>
                        </a:xfrm>
                        <a:prstGeom prst="rect">
                          <a:avLst/>
                        </a:prstGeom>
                        <a:noFill/>
                        <a:ln w="9525">
                          <a:noFill/>
                        </a:ln>
                      </pic:spPr>
                    </pic:pic>
                  </a:graphicData>
                </a:graphic>
              </wp:inline>
            </w:drawing>
          </w:r>
        </w:p>
        <w:p>
          <w:pPr>
            <w:pStyle w:val="2"/>
            <w:rPr>
              <w:rFonts w:asciiTheme="minorHAnsi"/>
            </w:rPr>
          </w:pPr>
        </w:p>
        <w:p/>
        <w:p>
          <w:pPr>
            <w:rPr>
              <w:b/>
              <w:bCs/>
              <w:lang w:val="en-GB"/>
            </w:rPr>
          </w:pPr>
          <w:r>
            <w:rPr>
              <w:b/>
              <w:bCs/>
              <w:lang w:val="en-GB"/>
            </w:rPr>
            <w:t>HONEY AND MUMFORD:</w:t>
          </w:r>
        </w:p>
        <w:p>
          <w:pPr>
            <w:rPr>
              <w:b/>
              <w:bCs/>
              <w:lang w:val="en-GB"/>
            </w:rPr>
          </w:pPr>
          <w:r>
            <w:drawing>
              <wp:inline distT="0" distB="0" distL="114300" distR="114300">
                <wp:extent cx="5275580" cy="4304030"/>
                <wp:effectExtent l="0" t="0" r="7620" b="1270"/>
                <wp:docPr id="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9"/>
                        <pic:cNvPicPr>
                          <a:picLocks noChangeAspect="1"/>
                        </pic:cNvPicPr>
                      </pic:nvPicPr>
                      <pic:blipFill>
                        <a:blip r:embed="rId18"/>
                        <a:stretch>
                          <a:fillRect/>
                        </a:stretch>
                      </pic:blipFill>
                      <pic:spPr>
                        <a:xfrm>
                          <a:off x="0" y="0"/>
                          <a:ext cx="5275580" cy="4304030"/>
                        </a:xfrm>
                        <a:prstGeom prst="rect">
                          <a:avLst/>
                        </a:prstGeom>
                        <a:noFill/>
                        <a:ln w="9525">
                          <a:noFill/>
                        </a:ln>
                      </pic:spPr>
                    </pic:pic>
                  </a:graphicData>
                </a:graphic>
              </wp:inline>
            </w:drawing>
          </w:r>
        </w:p>
        <w:p>
          <w:pPr>
            <w:rPr>
              <w:b/>
              <w:bCs/>
              <w:lang w:val="en-GB"/>
            </w:rPr>
          </w:pPr>
        </w:p>
        <w:tbl>
          <w:tblPr>
            <w:tblStyle w:val="17"/>
            <w:tblW w:w="9928" w:type="dxa"/>
            <w:tblInd w:w="108" w:type="dxa"/>
            <w:tblLayout w:type="fixed"/>
            <w:tblCellMar>
              <w:top w:w="0" w:type="dxa"/>
              <w:left w:w="108" w:type="dxa"/>
              <w:bottom w:w="0" w:type="dxa"/>
              <w:right w:w="108" w:type="dxa"/>
            </w:tblCellMar>
          </w:tblPr>
          <w:tblGrid>
            <w:gridCol w:w="720"/>
            <w:gridCol w:w="9208"/>
          </w:tblGrid>
          <w:tr>
            <w:tblPrEx>
              <w:tblLayout w:type="fixed"/>
              <w:tblCellMar>
                <w:top w:w="0" w:type="dxa"/>
                <w:left w:w="108" w:type="dxa"/>
                <w:bottom w:w="0" w:type="dxa"/>
                <w:right w:w="108" w:type="dxa"/>
              </w:tblCellMar>
            </w:tblPrEx>
            <w:trPr>
              <w:trHeight w:val="505" w:hRule="atLeast"/>
            </w:trPr>
            <w:tc>
              <w:tcPr>
                <w:tcW w:w="720" w:type="dxa"/>
                <w:vAlign w:val="top"/>
              </w:tcPr>
              <w:p>
                <w:pPr>
                  <w:keepNext w:val="0"/>
                  <w:keepLines w:val="0"/>
                  <w:widowControl/>
                  <w:suppressLineNumbers w:val="0"/>
                  <w:spacing w:before="0" w:beforeAutospacing="0" w:after="80" w:afterAutospacing="0"/>
                  <w:ind w:left="0" w:right="-617"/>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pay meticulous attention to detail before coming to a conclusion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vAlign w:val="top"/>
              </w:tcPr>
              <w:p>
                <w:pPr>
                  <w:keepNext w:val="0"/>
                  <w:keepLines w:val="0"/>
                  <w:widowControl/>
                  <w:numPr>
                    <w:ilvl w:val="0"/>
                    <w:numId w:val="2"/>
                  </w:numPr>
                  <w:suppressLineNumbers w:val="0"/>
                  <w:tabs>
                    <w:tab w:val="clear" w:pos="720"/>
                  </w:tabs>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find it difficult to produce ideas on impulse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believe in coming to the point immediately</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b/>
                    <w:bCs/>
                    <w:spacing w:val="-2"/>
                    <w:sz w:val="40"/>
                    <w:szCs w:val="40"/>
                  </w:rPr>
                  <w:t xml:space="preserve"> </w:t>
                </w:r>
                <w:r>
                  <w:rPr>
                    <w:rFonts w:hint="default" w:ascii="Arial" w:hAnsi="Arial" w:cs="Arial"/>
                    <w:b/>
                    <w:bCs/>
                    <w:spacing w:val="-2"/>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am careful not to jump to conclusions too quickly</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prefer to have as many resources of information as possible - the more data to think </w:t>
                </w:r>
                <w:r>
                  <w:rPr>
                    <w:rFonts w:hint="eastAsia" w:ascii="Arial" w:hAnsi="Arial" w:cs="Arial"/>
                    <w:spacing w:val="-4"/>
                    <w:sz w:val="22"/>
                  </w:rPr>
                  <w:tab/>
                </w:r>
                <w:r>
                  <w:rPr>
                    <w:rFonts w:hint="eastAsia" w:ascii="Arial" w:hAnsi="Arial" w:cs="Arial"/>
                    <w:spacing w:val="-4"/>
                    <w:sz w:val="22"/>
                  </w:rPr>
                  <w:t>over the better</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Flippant people who don't take things seriously enough usually irritate me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listen to other people's points of view before putting my own forward</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tend to be open about how I'm feeling</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In discussions I enjoy watching the manoeuvrings of the other participants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left"/>
                  <w:rPr>
                    <w:rFonts w:hint="eastAsia"/>
                    <w:b/>
                    <w:bCs/>
                    <w:sz w:val="32"/>
                    <w:szCs w:val="32"/>
                    <w:lang w:val="en-GB"/>
                  </w:rPr>
                </w:pPr>
                <w:r>
                  <w:rPr>
                    <w:rFonts w:hint="eastAsia"/>
                    <w:b/>
                    <w:bCs/>
                    <w:sz w:val="32"/>
                    <w:szCs w:val="32"/>
                    <w:lang w:val="en-GB"/>
                  </w:rPr>
                  <w:t xml:space="preserve">  </w:t>
                </w:r>
                <w:r>
                  <w:rPr>
                    <w:rFonts w:hint="default" w:ascii="Arial" w:hAnsi="Arial" w:cs="Arial"/>
                    <w:b/>
                    <w:bCs/>
                    <w:sz w:val="32"/>
                    <w:szCs w:val="32"/>
                    <w:lang w:val="en-GB"/>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prefer to respond to events on a spontaneous, flexible basis rather than plan things out </w:t>
                </w:r>
                <w:r>
                  <w:rPr>
                    <w:rFonts w:hint="eastAsia" w:ascii="Arial" w:hAnsi="Arial" w:cs="Arial"/>
                    <w:spacing w:val="-4"/>
                    <w:sz w:val="22"/>
                  </w:rPr>
                  <w:tab/>
                </w:r>
                <w:r>
                  <w:rPr>
                    <w:rFonts w:hint="eastAsia" w:ascii="Arial" w:hAnsi="Arial" w:cs="Arial"/>
                    <w:spacing w:val="-4"/>
                    <w:sz w:val="22"/>
                  </w:rPr>
                  <w:t>in advance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tend to be attracted to techniques such as network analysis, flow charts, branching </w:t>
                </w:r>
                <w:r>
                  <w:rPr>
                    <w:rFonts w:hint="eastAsia" w:ascii="Arial" w:hAnsi="Arial" w:cs="Arial"/>
                    <w:spacing w:val="-4"/>
                    <w:sz w:val="22"/>
                  </w:rPr>
                  <w:tab/>
                </w:r>
                <w:r>
                  <w:rPr>
                    <w:rFonts w:hint="eastAsia" w:ascii="Arial" w:hAnsi="Arial" w:cs="Arial"/>
                    <w:spacing w:val="-4"/>
                    <w:sz w:val="22"/>
                  </w:rPr>
                  <w:t>programs, contingency planning, etc.</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It worries me if I have to rush out a piece of work to meet a tight deadline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tend to judge people's ideas on their practical merits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Quiet, thoughtful people tend to make me feel uneasy</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often get irritated by people who want to rush things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vAlign w:val="top"/>
              </w:tcPr>
              <w:p>
                <w:pPr>
                  <w:keepNext w:val="0"/>
                  <w:keepLines w:val="0"/>
                  <w:widowControl/>
                  <w:numPr>
                    <w:ilvl w:val="0"/>
                    <w:numId w:val="2"/>
                  </w:numPr>
                  <w:suppressLineNumbers w:val="0"/>
                  <w:tabs>
                    <w:tab w:val="clear" w:pos="720"/>
                  </w:tabs>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ab/>
                </w:r>
                <w:r>
                  <w:rPr>
                    <w:rFonts w:hint="eastAsia" w:ascii="Arial" w:hAnsi="Arial" w:cs="Arial"/>
                    <w:spacing w:val="-4"/>
                    <w:sz w:val="22"/>
                  </w:rPr>
                  <w:t>It is more important to enjoy the present moment than to think about the past or future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think that decisions based on a thorough analysis of all the information are sounder </w:t>
                </w:r>
                <w:r>
                  <w:rPr>
                    <w:rFonts w:hint="eastAsia" w:ascii="Arial" w:hAnsi="Arial" w:cs="Arial"/>
                    <w:spacing w:val="-4"/>
                    <w:sz w:val="22"/>
                  </w:rPr>
                  <w:tab/>
                </w:r>
                <w:r>
                  <w:rPr>
                    <w:rFonts w:hint="eastAsia" w:ascii="Arial" w:hAnsi="Arial" w:cs="Arial"/>
                    <w:spacing w:val="-4"/>
                    <w:sz w:val="22"/>
                  </w:rPr>
                  <w:t>than those based on intuition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tend to be a perfectionist</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In discussions I usually produce lots of spontaneous ideas </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ascii="Arial" w:hAnsi="Arial" w:cs="Arial"/>
                    <w:b/>
                    <w:bCs/>
                    <w:spacing w:val="-2"/>
                    <w:sz w:val="32"/>
                  </w:rPr>
                </w:pPr>
                <w:r>
                  <w:rPr>
                    <w:rFonts w:hint="default" w:ascii="Arial" w:hAnsi="Arial" w:cs="Arial"/>
                    <w:b/>
                    <w:bCs/>
                    <w:spacing w:val="-2"/>
                    <w:sz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In meetings I put forward practical realistic ideas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More often than not, rules are there to be broken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ascii="Arial" w:hAnsi="Arial" w:cs="Arial"/>
                    <w:b/>
                    <w:bCs/>
                    <w:spacing w:val="-2"/>
                    <w:sz w:val="40"/>
                    <w:szCs w:val="40"/>
                  </w:rPr>
                </w:pPr>
                <w:r>
                  <w:rPr>
                    <w:rFonts w:hint="default" w:ascii="Arial" w:hAnsi="Arial" w:cs="Arial"/>
                    <w:b/>
                    <w:bCs/>
                    <w:spacing w:val="-2"/>
                    <w:sz w:val="40"/>
                    <w:szCs w:val="40"/>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prefer to stand back from a situation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lang w:val="en-GB"/>
                  </w:rPr>
                </w:pPr>
                <w:r>
                  <w:rPr>
                    <w:rFonts w:hint="eastAsia"/>
                    <w:lang w:val="en-GB"/>
                  </w:rPr>
                  <w:t xml:space="preserve">  </w:t>
                </w:r>
                <w:r>
                  <w:rPr>
                    <w:rFonts w:hint="eastAsia"/>
                    <w:b/>
                    <w:bCs/>
                    <w:sz w:val="32"/>
                    <w:szCs w:val="32"/>
                    <w:lang w:val="en-GB"/>
                  </w:rPr>
                  <w:t xml:space="preserve"> </w:t>
                </w:r>
                <w:r>
                  <w:rPr>
                    <w:rFonts w:hint="default" w:ascii="Arial" w:hAnsi="Arial" w:cs="Arial"/>
                    <w:b/>
                    <w:bCs/>
                    <w:sz w:val="32"/>
                    <w:szCs w:val="32"/>
                    <w:lang w:val="en-GB"/>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can often see inconsistencies and weaknesses in other people's arguments </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ascii="Arial" w:hAnsi="Arial" w:cs="Arial"/>
                    <w:spacing w:val="-2"/>
                    <w:sz w:val="32"/>
                    <w:lang w:val="en-GB"/>
                  </w:rPr>
                </w:pPr>
                <w:r>
                  <w:rPr>
                    <w:rFonts w:hint="eastAsia" w:ascii="Arial" w:hAnsi="Arial" w:cs="Arial"/>
                    <w:spacing w:val="-2"/>
                    <w:sz w:val="32"/>
                    <w:lang w:val="en-GB"/>
                  </w:rPr>
                  <w:t xml:space="preserve">  </w:t>
                </w:r>
                <w:r>
                  <w:rPr>
                    <w:rFonts w:hint="default" w:ascii="Arial" w:hAnsi="Arial" w:cs="Arial"/>
                    <w:spacing w:val="-2"/>
                    <w:sz w:val="32"/>
                    <w:lang w:val="en-GB"/>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On balance I talk more than I listen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lang w:val="en-GB"/>
                  </w:rPr>
                </w:pPr>
                <w:r>
                  <w:rPr>
                    <w:rFonts w:hint="eastAsia"/>
                    <w:lang w:val="en-GB"/>
                  </w:rPr>
                  <w:t xml:space="preserve">   </w:t>
                </w:r>
                <w:r>
                  <w:rPr>
                    <w:rFonts w:hint="default" w:ascii="Arial" w:hAnsi="Arial" w:cs="Arial"/>
                    <w:b/>
                    <w:bCs/>
                    <w:sz w:val="32"/>
                    <w:szCs w:val="32"/>
                    <w:lang w:val="en-GB"/>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can often see better, more practical ways to get things done </w:t>
                </w:r>
              </w:p>
            </w:tc>
          </w:tr>
          <w:tr>
            <w:tblPrEx>
              <w:tblLayout w:type="fixed"/>
              <w:tblCellMar>
                <w:top w:w="0" w:type="dxa"/>
                <w:left w:w="108" w:type="dxa"/>
                <w:bottom w:w="0" w:type="dxa"/>
                <w:right w:w="108" w:type="dxa"/>
              </w:tblCellMar>
            </w:tblPrEx>
            <w:trPr>
              <w:trHeight w:val="461" w:hRule="atLeast"/>
            </w:trPr>
            <w:tc>
              <w:tcPr>
                <w:tcW w:w="720" w:type="dxa"/>
                <w:vAlign w:val="top"/>
              </w:tcPr>
              <w:p>
                <w:pPr>
                  <w:keepNext w:val="0"/>
                  <w:keepLines w:val="0"/>
                  <w:widowControl/>
                  <w:suppressLineNumbers w:val="0"/>
                  <w:spacing w:before="0" w:beforeAutospacing="0" w:after="80" w:afterAutospacing="0"/>
                  <w:ind w:left="0" w:right="0"/>
                  <w:rPr>
                    <w:rFonts w:hint="eastAsia" w:ascii="Arial" w:hAnsi="Arial" w:cs="Arial"/>
                    <w:spacing w:val="-2"/>
                    <w:sz w:val="32"/>
                    <w:lang w:val="en-GB"/>
                  </w:rPr>
                </w:pPr>
                <w:r>
                  <w:rPr>
                    <w:rFonts w:hint="eastAsia" w:ascii="Arial" w:hAnsi="Arial" w:cs="Arial"/>
                    <w:spacing w:val="-2"/>
                    <w:sz w:val="32"/>
                    <w:lang w:val="en-GB"/>
                  </w:rPr>
                  <w:t xml:space="preserve">  </w:t>
                </w:r>
                <w:r>
                  <w:rPr>
                    <w:rFonts w:hint="default" w:ascii="Arial" w:hAnsi="Arial" w:cs="Arial"/>
                    <w:spacing w:val="-2"/>
                    <w:sz w:val="32"/>
                    <w:lang w:val="en-GB"/>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think written reports should be short and to the point</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ascii="Arial" w:hAnsi="Arial" w:cs="Arial"/>
                    <w:sz w:val="22"/>
                    <w:lang w:val="en-GB"/>
                  </w:rPr>
                </w:pPr>
                <w:r>
                  <w:rPr>
                    <w:rFonts w:hint="eastAsia" w:ascii="Arial" w:hAnsi="Arial" w:cs="Arial"/>
                    <w:sz w:val="22"/>
                    <w:lang w:val="en-GB"/>
                  </w:rPr>
                  <w:t xml:space="preserve"> </w:t>
                </w:r>
                <w:r>
                  <w:rPr>
                    <w:rFonts w:hint="eastAsia" w:ascii="Arial" w:hAnsi="Arial" w:cs="Arial"/>
                    <w:b/>
                    <w:bCs/>
                    <w:sz w:val="32"/>
                    <w:szCs w:val="32"/>
                    <w:lang w:val="en-GB"/>
                  </w:rPr>
                  <w:t xml:space="preserve">  </w:t>
                </w:r>
                <w:r>
                  <w:rPr>
                    <w:rFonts w:hint="default" w:ascii="Arial" w:hAnsi="Arial" w:cs="Arial"/>
                    <w:b/>
                    <w:bCs/>
                    <w:sz w:val="32"/>
                    <w:szCs w:val="32"/>
                    <w:lang w:val="en-GB"/>
                  </w:rPr>
                  <w:t>√</w:t>
                </w:r>
              </w:p>
            </w:tc>
            <w:tc>
              <w:tcPr>
                <w:tcW w:w="9208" w:type="dxa"/>
                <w:vAlign w:val="top"/>
              </w:tcPr>
              <w:p>
                <w:pPr>
                  <w:keepNext w:val="0"/>
                  <w:keepLines w:val="0"/>
                  <w:widowControl/>
                  <w:numPr>
                    <w:ilvl w:val="0"/>
                    <w:numId w:val="2"/>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believe that rational, logical thinking should win the day</w:t>
                </w:r>
              </w:p>
            </w:tc>
          </w:tr>
        </w:tbl>
        <w:p>
          <w:pPr>
            <w:spacing w:after="80"/>
            <w:rPr>
              <w:rFonts w:ascii="Arial Narrow" w:hAnsi="Arial Narrow"/>
              <w:spacing w:val="-4"/>
              <w:sz w:val="2"/>
            </w:rPr>
          </w:pPr>
        </w:p>
        <w:tbl>
          <w:tblPr>
            <w:tblStyle w:val="17"/>
            <w:tblW w:w="10319" w:type="dxa"/>
            <w:tblInd w:w="-266" w:type="dxa"/>
            <w:tblLayout w:type="fixed"/>
            <w:tblCellMar>
              <w:top w:w="0" w:type="dxa"/>
              <w:left w:w="108" w:type="dxa"/>
              <w:bottom w:w="0" w:type="dxa"/>
              <w:right w:w="108" w:type="dxa"/>
            </w:tblCellMar>
          </w:tblPr>
          <w:tblGrid>
            <w:gridCol w:w="1309"/>
            <w:gridCol w:w="9010"/>
          </w:tblGrid>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2"/>
                    <w:sz w:val="22"/>
                    <w:szCs w:val="22"/>
                  </w:rPr>
                </w:pPr>
                <w:r>
                  <w:rPr>
                    <w:rFonts w:hint="eastAsia" w:ascii="Arial" w:hAnsi="Arial" w:cs="Arial"/>
                    <w:spacing w:val="-4"/>
                    <w:sz w:val="22"/>
                  </w:rPr>
                  <w:t>I tend to discuss specific things with people rather than engaging in social discussion</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like people who approach things realistically rather than theoretically</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2"/>
                    <w:sz w:val="22"/>
                    <w:szCs w:val="22"/>
                  </w:rPr>
                </w:pPr>
                <w:r>
                  <w:rPr>
                    <w:rFonts w:hint="eastAsia" w:ascii="Arial" w:hAnsi="Arial" w:cs="Arial"/>
                    <w:spacing w:val="-4"/>
                    <w:sz w:val="22"/>
                  </w:rPr>
                  <w:t>In discussions I get impatient with irrelevancies and digressions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If I have a report to write I tend to produce lots of drafts before settling on the final version</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1 am keen to try things out to see if they work in practice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am keen to reach answers via a logical approach</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enjoy being the one that talks a lot</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In discussions I often find I am the realist, keeping people to the point and avoiding wild speculations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like to ponder many alternatives before making up my mind</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In discussions with people I often find I am the most dispassionate and objective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In discussions I'm more likely to adopt a "low profile" than to take the lead and do most of the talking</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left" w:pos="432"/>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I </w:t>
                </w:r>
                <w:r>
                  <w:rPr>
                    <w:rFonts w:hint="eastAsia" w:ascii="Arial" w:hAnsi="Arial" w:cs="Arial"/>
                    <w:spacing w:val="-4"/>
                    <w:sz w:val="22"/>
                  </w:rPr>
                  <w:t>like to be able to relate current actions to a longer term bigger picture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When things go wrong I am happy to shrug it off and "put it down to experience"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I </w:t>
                </w:r>
                <w:r>
                  <w:rPr>
                    <w:rFonts w:hint="eastAsia" w:ascii="Arial" w:hAnsi="Arial" w:cs="Arial"/>
                    <w:spacing w:val="-4"/>
                    <w:sz w:val="22"/>
                  </w:rPr>
                  <w:t>tend to reject wild, spontaneous ideas as being impractical</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It's best to think carefully before taking action</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On balance I do the listening rather than the talking</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I </w:t>
                </w:r>
                <w:r>
                  <w:rPr>
                    <w:rFonts w:hint="eastAsia" w:ascii="Arial" w:hAnsi="Arial" w:cs="Arial"/>
                    <w:spacing w:val="-4"/>
                    <w:sz w:val="22"/>
                  </w:rPr>
                  <w:t>tend to be tough on people who find it difficult to adopt a logical approach</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2"/>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Most times I believe the end justifies the means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70. I </w:t>
                </w:r>
                <w:r>
                  <w:rPr>
                    <w:rFonts w:hint="eastAsia" w:ascii="Arial" w:hAnsi="Arial" w:cs="Arial"/>
                    <w:spacing w:val="-4"/>
                    <w:sz w:val="22"/>
                  </w:rPr>
                  <w:t>don't mind hurting people's feelings so long as the job gets done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71. I </w:t>
                </w:r>
                <w:r>
                  <w:rPr>
                    <w:rFonts w:hint="eastAsia" w:ascii="Arial" w:hAnsi="Arial" w:cs="Arial"/>
                    <w:spacing w:val="-4"/>
                    <w:sz w:val="22"/>
                  </w:rPr>
                  <w:t>find the formality of having specific objectives and plans stifling</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72. </w:t>
                </w:r>
                <w:r>
                  <w:rPr>
                    <w:rFonts w:hint="eastAsia" w:ascii="Arial" w:hAnsi="Arial" w:cs="Arial"/>
                    <w:spacing w:val="-4"/>
                    <w:sz w:val="22"/>
                  </w:rPr>
                  <w:t>I'm usually one of the people who puts life into a party</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73. I </w:t>
                </w:r>
                <w:r>
                  <w:rPr>
                    <w:rFonts w:hint="eastAsia" w:ascii="Arial" w:hAnsi="Arial" w:cs="Arial"/>
                    <w:spacing w:val="-4"/>
                    <w:sz w:val="22"/>
                  </w:rPr>
                  <w:t>do whatever is expedient to get the job done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74. I </w:t>
                </w:r>
                <w:r>
                  <w:rPr>
                    <w:rFonts w:hint="eastAsia" w:ascii="Arial" w:hAnsi="Arial" w:cs="Arial"/>
                    <w:spacing w:val="-4"/>
                    <w:sz w:val="22"/>
                  </w:rPr>
                  <w:t>quickly get bored with methodical, detailed work</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75. I </w:t>
                </w:r>
                <w:r>
                  <w:rPr>
                    <w:rFonts w:hint="eastAsia" w:ascii="Arial" w:hAnsi="Arial" w:cs="Arial"/>
                    <w:spacing w:val="-4"/>
                    <w:sz w:val="22"/>
                  </w:rPr>
                  <w:t>am keen on exploring the basic assumptions, principles and theories underpinning things and events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76. </w:t>
                </w:r>
                <w:r>
                  <w:rPr>
                    <w:rFonts w:hint="eastAsia" w:ascii="Arial" w:hAnsi="Arial" w:cs="Arial"/>
                    <w:spacing w:val="-4"/>
                    <w:sz w:val="22"/>
                  </w:rPr>
                  <w:t>I'm always interested to find out what people think</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77. I </w:t>
                </w:r>
                <w:r>
                  <w:rPr>
                    <w:rFonts w:hint="eastAsia" w:ascii="Arial" w:hAnsi="Arial" w:cs="Arial"/>
                    <w:spacing w:val="-4"/>
                    <w:sz w:val="22"/>
                  </w:rPr>
                  <w:t xml:space="preserve">like meetings to be run on methodical lines, sticking to laid down agenda, etc. </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ascii="Arial" w:hAnsi="Arial" w:cs="Arial"/>
                    <w:b/>
                    <w:bCs/>
                    <w:spacing w:val="-2"/>
                    <w:sz w:val="32"/>
                  </w:rPr>
                </w:pPr>
                <w:r>
                  <w:rPr>
                    <w:rFonts w:hint="default" w:ascii="Arial" w:hAnsi="Arial" w:cs="Arial"/>
                    <w:b/>
                    <w:bCs/>
                    <w:spacing w:val="-2"/>
                    <w:sz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2"/>
                    <w:sz w:val="22"/>
                    <w:szCs w:val="22"/>
                  </w:rPr>
                </w:pPr>
                <w:r>
                  <w:rPr>
                    <w:rFonts w:hint="eastAsia" w:ascii="Arial" w:hAnsi="Arial" w:cs="Arial"/>
                    <w:spacing w:val="2"/>
                    <w:sz w:val="22"/>
                    <w:szCs w:val="22"/>
                  </w:rPr>
                  <w:t xml:space="preserve">78. I </w:t>
                </w:r>
                <w:r>
                  <w:rPr>
                    <w:rFonts w:hint="eastAsia" w:ascii="Arial" w:hAnsi="Arial" w:cs="Arial"/>
                    <w:spacing w:val="-4"/>
                    <w:sz w:val="22"/>
                  </w:rPr>
                  <w:t>steer clear of subjective or ambiguous topics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tabs>
                    <w:tab w:val="left" w:pos="432"/>
                  </w:tabs>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79.</w:t>
                </w:r>
                <w:r>
                  <w:rPr>
                    <w:rFonts w:hint="eastAsia" w:ascii="Arial" w:hAnsi="Arial" w:cs="Arial"/>
                    <w:spacing w:val="2"/>
                    <w:sz w:val="22"/>
                    <w:szCs w:val="22"/>
                  </w:rPr>
                  <w:tab/>
                </w:r>
                <w:r>
                  <w:rPr>
                    <w:rFonts w:hint="eastAsia" w:ascii="Arial" w:hAnsi="Arial" w:cs="Arial"/>
                    <w:spacing w:val="2"/>
                    <w:sz w:val="22"/>
                    <w:szCs w:val="22"/>
                  </w:rPr>
                  <w:t xml:space="preserve">I </w:t>
                </w:r>
                <w:r>
                  <w:rPr>
                    <w:rFonts w:hint="eastAsia" w:ascii="Arial" w:hAnsi="Arial" w:cs="Arial"/>
                    <w:spacing w:val="-4"/>
                    <w:sz w:val="22"/>
                  </w:rPr>
                  <w:t xml:space="preserve">enjoy the drama and excitement of a crisis situation </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80. </w:t>
                </w:r>
                <w:r>
                  <w:rPr>
                    <w:rFonts w:hint="eastAsia" w:ascii="Arial" w:hAnsi="Arial" w:cs="Arial"/>
                    <w:spacing w:val="-4"/>
                    <w:sz w:val="22"/>
                  </w:rPr>
                  <w:t>People often find me insensitive to their feelings</w:t>
                </w:r>
              </w:p>
            </w:tc>
          </w:tr>
        </w:tbl>
        <w:p>
          <w:pPr>
            <w:pStyle w:val="5"/>
            <w:spacing w:after="240"/>
            <w:jc w:val="both"/>
            <w:rPr>
              <w:sz w:val="24"/>
            </w:rPr>
          </w:pPr>
        </w:p>
        <w:p>
          <w:pPr>
            <w:pStyle w:val="5"/>
            <w:spacing w:after="240"/>
            <w:ind w:firstLine="602" w:firstLineChars="250"/>
            <w:jc w:val="both"/>
            <w:rPr>
              <w:sz w:val="24"/>
            </w:rPr>
          </w:pPr>
          <w:r>
            <w:rPr>
              <w:sz w:val="24"/>
            </w:rPr>
            <w:t>Scoring And Interpreting The Learning Styles Questionnaire</w:t>
          </w:r>
        </w:p>
        <w:p>
          <w:pPr>
            <w:spacing w:after="216"/>
            <w:jc w:val="both"/>
            <w:rPr>
              <w:rFonts w:ascii="Arial" w:hAnsi="Arial" w:cs="Arial"/>
              <w:spacing w:val="-4"/>
              <w:sz w:val="22"/>
              <w:szCs w:val="22"/>
            </w:rPr>
          </w:pPr>
          <w:r>
            <w:rPr>
              <w:rFonts w:ascii="Arial" w:hAnsi="Arial" w:cs="Arial"/>
              <w:spacing w:val="-4"/>
              <w:sz w:val="22"/>
              <w:szCs w:val="22"/>
            </w:rPr>
            <w:t>The Questionnaire is scored by awarding one point for each ticked item. There are no points for crossed items. Simply indicate on the lists below which items were ticked by circling the appropriate question number.</w:t>
          </w:r>
        </w:p>
        <w:tbl>
          <w:tblPr>
            <w:tblStyle w:val="17"/>
            <w:tblW w:w="5989" w:type="dxa"/>
            <w:tblInd w:w="2057" w:type="dxa"/>
            <w:tblLayout w:type="fixed"/>
            <w:tblCellMar>
              <w:top w:w="0" w:type="dxa"/>
              <w:left w:w="0" w:type="dxa"/>
              <w:bottom w:w="0" w:type="dxa"/>
              <w:right w:w="0" w:type="dxa"/>
            </w:tblCellMar>
          </w:tblPr>
          <w:tblGrid>
            <w:gridCol w:w="1067"/>
            <w:gridCol w:w="1882"/>
            <w:gridCol w:w="1882"/>
            <w:gridCol w:w="1158"/>
          </w:tblGrid>
          <w:tr>
            <w:tblPrEx>
              <w:tblLayout w:type="fixed"/>
              <w:tblCellMar>
                <w:top w:w="0" w:type="dxa"/>
                <w:left w:w="0" w:type="dxa"/>
                <w:bottom w:w="0" w:type="dxa"/>
                <w:right w:w="0" w:type="dxa"/>
              </w:tblCellMar>
            </w:tblPrEx>
            <w:trPr>
              <w:trHeight w:val="337"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823"/>
                  <w:jc w:val="right"/>
                  <w:rPr>
                    <w:rFonts w:hint="eastAsia" w:ascii="Arial" w:hAnsi="Arial" w:cs="Arial"/>
                    <w:spacing w:val="-4"/>
                  </w:rPr>
                </w:pPr>
                <w:r>
                  <w:rPr>
                    <w:rFonts w:hint="eastAsia" w:ascii="Arial" w:hAnsi="Arial" w:cs="Arial"/>
                    <w:spacing w:val="-4"/>
                  </w:rPr>
                  <w:t>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7</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1</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w:t>
                </w:r>
              </w:p>
            </w:tc>
          </w:tr>
          <w:tr>
            <w:tblPrEx>
              <w:tblLayout w:type="fixed"/>
              <w:tblCellMar>
                <w:top w:w="0" w:type="dxa"/>
                <w:left w:w="0" w:type="dxa"/>
                <w:bottom w:w="0" w:type="dxa"/>
                <w:right w:w="0" w:type="dxa"/>
              </w:tblCellMar>
            </w:tblPrEx>
            <w:trPr>
              <w:trHeight w:val="370" w:hRule="exact"/>
            </w:trPr>
            <w:tc>
              <w:tcPr>
                <w:tcW w:w="1067" w:type="dxa"/>
                <w:tcBorders>
                  <w:top w:val="nil"/>
                  <w:left w:val="nil"/>
                  <w:bottom w:val="nil"/>
                  <w:right w:val="nil"/>
                </w:tcBorders>
                <w:vAlign w:val="center"/>
              </w:tcPr>
              <w:p>
                <w:pPr>
                  <w:keepNext w:val="0"/>
                  <w:keepLines w:val="0"/>
                  <w:widowControl/>
                  <w:suppressLineNumbers w:val="0"/>
                  <w:wordWrap w:val="0"/>
                  <w:spacing w:before="0" w:beforeAutospacing="0" w:afterAutospacing="0"/>
                  <w:ind w:left="0" w:right="823"/>
                  <w:jc w:val="right"/>
                  <w:rPr>
                    <w:rFonts w:hint="eastAsia" w:ascii="Arial" w:hAnsi="Arial" w:cs="Arial"/>
                    <w:spacing w:val="-4"/>
                  </w:rPr>
                </w:pPr>
                <w:r>
                  <w:rPr>
                    <w:rFonts w:hint="eastAsia" w:ascii="Arial" w:hAnsi="Arial" w:cs="Arial"/>
                    <w:spacing w:val="-4"/>
                    <w:highlight w:val="yellow"/>
                  </w:rPr>
                  <w:t>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13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3</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823"/>
                  <w:jc w:val="right"/>
                  <w:rPr>
                    <w:rFonts w:hint="eastAsia" w:ascii="Arial" w:hAnsi="Arial" w:cs="Arial"/>
                    <w:spacing w:val="-4"/>
                  </w:rPr>
                </w:pPr>
                <w:r>
                  <w:rPr>
                    <w:rFonts w:hint="eastAsia" w:ascii="Arial" w:hAnsi="Arial" w:cs="Arial"/>
                    <w:spacing w:val="-4"/>
                    <w:highlight w:val="yellow"/>
                  </w:rPr>
                  <w:t>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15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highlight w:val="yellow"/>
                  </w:rPr>
                  <w:t>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11</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132"/>
                  <w:rPr>
                    <w:rFonts w:hint="eastAsia" w:ascii="Arial" w:hAnsi="Arial" w:cs="Arial"/>
                    <w:spacing w:val="-4"/>
                  </w:rPr>
                </w:pPr>
                <w:r>
                  <w:rPr>
                    <w:rFonts w:hint="eastAsia" w:ascii="Arial" w:hAnsi="Arial" w:cs="Arial"/>
                    <w:spacing w:val="-4"/>
                  </w:rPr>
                  <w:t>10</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16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12</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19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132"/>
                  <w:rPr>
                    <w:rFonts w:hint="eastAsia" w:ascii="Arial" w:hAnsi="Arial" w:cs="Arial"/>
                    <w:spacing w:val="-4"/>
                  </w:rPr>
                </w:pPr>
                <w:r>
                  <w:rPr>
                    <w:rFonts w:hint="eastAsia" w:ascii="Arial" w:hAnsi="Arial" w:cs="Arial"/>
                    <w:spacing w:val="-4"/>
                  </w:rPr>
                  <w:t>17</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25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14</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21</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23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28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18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27</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24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29</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20</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35</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32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31</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22</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37</w:t>
                </w:r>
              </w:p>
            </w:tc>
          </w:tr>
          <w:tr>
            <w:tblPrEx>
              <w:tblLayout w:type="fixed"/>
              <w:tblCellMar>
                <w:top w:w="0" w:type="dxa"/>
                <w:left w:w="0" w:type="dxa"/>
                <w:bottom w:w="0" w:type="dxa"/>
                <w:right w:w="0" w:type="dxa"/>
              </w:tblCellMar>
            </w:tblPrEx>
            <w:trPr>
              <w:trHeight w:val="35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34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33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26</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44</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rPr>
                  <w:t>38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36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30</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49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40</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39</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42</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50</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rPr>
                  <w:t>43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41</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47</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53</w:t>
                </w:r>
              </w:p>
            </w:tc>
          </w:tr>
          <w:tr>
            <w:tblPrEx>
              <w:tblLayout w:type="fixed"/>
              <w:tblCellMar>
                <w:top w:w="0" w:type="dxa"/>
                <w:left w:w="0" w:type="dxa"/>
                <w:bottom w:w="0" w:type="dxa"/>
                <w:right w:w="0" w:type="dxa"/>
              </w:tblCellMar>
            </w:tblPrEx>
            <w:trPr>
              <w:trHeight w:val="35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45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46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51</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54</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48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52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57</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56</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58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55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61</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59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64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60</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63</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65</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rPr>
                  <w:t>71</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62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68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69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72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highlight w:val="yellow"/>
                  </w:rPr>
                </w:pPr>
                <w:r>
                  <w:rPr>
                    <w:rFonts w:hint="eastAsia" w:ascii="Arial" w:hAnsi="Arial" w:cs="Arial"/>
                    <w:spacing w:val="-4"/>
                    <w:highlight w:val="yellow"/>
                  </w:rPr>
                  <w:t>66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75</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70</w:t>
                </w:r>
              </w:p>
            </w:tc>
          </w:tr>
          <w:tr>
            <w:tblPrEx>
              <w:tblLayout w:type="fixed"/>
              <w:tblCellMar>
                <w:top w:w="0" w:type="dxa"/>
                <w:left w:w="0" w:type="dxa"/>
                <w:bottom w:w="0" w:type="dxa"/>
                <w:right w:w="0" w:type="dxa"/>
              </w:tblCellMar>
            </w:tblPrEx>
            <w:trPr>
              <w:trHeight w:val="35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74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highlight w:val="yellow"/>
                  </w:rPr>
                </w:pPr>
                <w:r>
                  <w:rPr>
                    <w:rFonts w:hint="eastAsia" w:ascii="Arial" w:hAnsi="Arial" w:cs="Arial"/>
                    <w:spacing w:val="-4"/>
                    <w:highlight w:val="yellow"/>
                  </w:rPr>
                  <w:t>67</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77</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73</w:t>
                </w:r>
              </w:p>
            </w:tc>
          </w:tr>
          <w:tr>
            <w:tblPrEx>
              <w:tblLayout w:type="fixed"/>
              <w:tblCellMar>
                <w:top w:w="0" w:type="dxa"/>
                <w:left w:w="0" w:type="dxa"/>
                <w:bottom w:w="0" w:type="dxa"/>
                <w:right w:w="0" w:type="dxa"/>
              </w:tblCellMar>
            </w:tblPrEx>
            <w:trPr>
              <w:trHeight w:val="312"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79</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highlight w:val="yellow"/>
                  </w:rPr>
                </w:pPr>
                <w:r>
                  <w:rPr>
                    <w:rFonts w:hint="eastAsia" w:ascii="Arial" w:hAnsi="Arial" w:cs="Arial"/>
                    <w:spacing w:val="-4"/>
                    <w:highlight w:val="yellow"/>
                  </w:rPr>
                  <w:t>76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highlight w:val="yellow"/>
                  </w:rPr>
                  <w:t>78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80</w:t>
                </w:r>
              </w:p>
            </w:tc>
          </w:tr>
          <w:tr>
            <w:tblPrEx>
              <w:tblLayout w:type="fixed"/>
              <w:tblCellMar>
                <w:top w:w="0" w:type="dxa"/>
                <w:left w:w="0" w:type="dxa"/>
                <w:bottom w:w="0" w:type="dxa"/>
                <w:right w:w="0" w:type="dxa"/>
              </w:tblCellMar>
            </w:tblPrEx>
            <w:trPr>
              <w:trHeight w:val="312"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rPr>
                    <w:rFonts w:hint="eastAsia" w:ascii="Arial" w:hAnsi="Arial" w:cs="Arial"/>
                    <w:spacing w:val="-4"/>
                  </w:rPr>
                </w:pPr>
              </w:p>
            </w:tc>
          </w:tr>
        </w:tbl>
        <w:p>
          <w:pPr>
            <w:pStyle w:val="6"/>
            <w:tabs>
              <w:tab w:val="left" w:pos="1683"/>
              <w:tab w:val="left" w:pos="2805"/>
              <w:tab w:val="left" w:pos="3553"/>
              <w:tab w:val="left" w:pos="4675"/>
              <w:tab w:val="left" w:pos="5423"/>
              <w:tab w:val="left" w:pos="6358"/>
              <w:tab w:val="left" w:pos="7480"/>
              <w:tab w:val="left" w:pos="8602"/>
            </w:tabs>
            <w:rPr>
              <w:u w:val="single"/>
            </w:rPr>
          </w:pPr>
          <w:r>
            <w:t>TOTALS</w:t>
          </w:r>
          <w:r>
            <w:tab/>
          </w:r>
          <w:r>
            <w:rPr>
              <w:lang w:val="en-GB"/>
            </w:rPr>
            <w:t xml:space="preserve">   14</w:t>
          </w:r>
          <w:r>
            <w:rPr>
              <w:u w:val="single"/>
            </w:rPr>
            <w:tab/>
          </w:r>
          <w:r>
            <w:tab/>
          </w:r>
          <w:r>
            <w:rPr>
              <w:lang w:val="en-GB"/>
            </w:rPr>
            <w:t>13</w:t>
          </w:r>
          <w:r>
            <w:rPr>
              <w:u w:val="single"/>
            </w:rPr>
            <w:tab/>
          </w:r>
          <w:r>
            <w:tab/>
          </w:r>
          <w:r>
            <w:rPr>
              <w:lang w:val="en-GB"/>
            </w:rPr>
            <w:t>12</w:t>
          </w:r>
          <w:r>
            <w:rPr>
              <w:u w:val="single"/>
            </w:rPr>
            <w:tab/>
          </w:r>
          <w:r>
            <w:tab/>
          </w:r>
          <w:r>
            <w:rPr>
              <w:lang w:val="en-GB"/>
            </w:rPr>
            <w:t>16</w:t>
          </w:r>
          <w:r>
            <w:rPr>
              <w:u w:val="single"/>
            </w:rPr>
            <w:tab/>
          </w:r>
        </w:p>
        <w:p>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r>
          <w:r>
            <w:rPr>
              <w:rFonts w:ascii="Arial" w:hAnsi="Arial" w:cs="Arial"/>
              <w:b/>
              <w:bCs/>
              <w:spacing w:val="-4"/>
            </w:rPr>
            <w:t xml:space="preserve">Reflector </w:t>
          </w:r>
          <w:r>
            <w:rPr>
              <w:rFonts w:ascii="Arial" w:hAnsi="Arial" w:cs="Arial"/>
              <w:b/>
              <w:bCs/>
              <w:spacing w:val="-4"/>
            </w:rPr>
            <w:tab/>
          </w:r>
          <w:r>
            <w:rPr>
              <w:rFonts w:ascii="Arial" w:hAnsi="Arial" w:cs="Arial"/>
              <w:b/>
              <w:bCs/>
              <w:spacing w:val="-4"/>
            </w:rPr>
            <w:t xml:space="preserve">Theorist </w:t>
          </w:r>
          <w:r>
            <w:rPr>
              <w:rFonts w:ascii="Arial" w:hAnsi="Arial" w:cs="Arial"/>
              <w:spacing w:val="-4"/>
            </w:rPr>
            <w:tab/>
          </w:r>
          <w:r>
            <w:rPr>
              <w:rFonts w:ascii="Arial" w:hAnsi="Arial" w:cs="Arial"/>
              <w:b/>
              <w:bCs/>
              <w:spacing w:val="-4"/>
            </w:rPr>
            <w:t>Pragmatist</w:t>
          </w:r>
        </w:p>
        <w:p>
          <w:pPr>
            <w:rPr>
              <w:lang w:val="en-GB"/>
            </w:rPr>
          </w:pPr>
        </w:p>
        <w:p>
          <w:pPr>
            <w:rPr>
              <w:lang w:val="en-GB"/>
            </w:rPr>
          </w:pPr>
        </w:p>
        <w:p>
          <w:pPr>
            <w:rPr>
              <w:lang w:val="en-GB"/>
            </w:rPr>
          </w:pPr>
        </w:p>
        <w:p>
          <w:pPr>
            <w:rPr>
              <w:b/>
              <w:bCs/>
              <w:lang w:val="en-GB"/>
            </w:rPr>
          </w:pPr>
          <w:r>
            <w:rPr>
              <w:rFonts w:ascii="SimSun" w:hAnsi="SimSun" w:eastAsia="SimSun" w:cs="SimSun"/>
              <w:sz w:val="24"/>
              <w:szCs w:val="24"/>
            </w:rPr>
            <w:drawing>
              <wp:inline distT="0" distB="0" distL="114300" distR="114300">
                <wp:extent cx="4414520" cy="2962910"/>
                <wp:effectExtent l="0" t="0" r="5080" b="8890"/>
                <wp:docPr id="9"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3" descr="IMG_256"/>
                        <pic:cNvPicPr>
                          <a:picLocks noChangeAspect="1"/>
                        </pic:cNvPicPr>
                      </pic:nvPicPr>
                      <pic:blipFill>
                        <a:blip r:embed="rId19"/>
                        <a:stretch>
                          <a:fillRect/>
                        </a:stretch>
                      </pic:blipFill>
                      <pic:spPr>
                        <a:xfrm>
                          <a:off x="0" y="0"/>
                          <a:ext cx="4414520" cy="2962910"/>
                        </a:xfrm>
                        <a:prstGeom prst="rect">
                          <a:avLst/>
                        </a:prstGeom>
                        <a:noFill/>
                        <a:ln w="9525">
                          <a:noFill/>
                        </a:ln>
                      </pic:spPr>
                    </pic:pic>
                  </a:graphicData>
                </a:graphic>
              </wp:inline>
            </w:drawing>
          </w: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r>
            <w:rPr>
              <w:rFonts w:hint="default" w:asciiTheme="minorAscii" w:hAnsiTheme="minorEastAsia" w:eastAsiaTheme="minorEastAsia" w:cstheme="minorEastAsia"/>
              <w:b/>
              <w:bCs/>
              <w:sz w:val="22"/>
              <w:szCs w:val="22"/>
              <w:lang w:val="en-GB"/>
            </w:rPr>
            <w:t>SKILL AUDIT:</w:t>
          </w:r>
        </w:p>
        <w:tbl>
          <w:tblPr>
            <w:tblStyle w:val="18"/>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29" w:hRule="atLeast"/>
            </w:trPr>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Knowledge and skills which I consider to be important for my current voluntary activity.</w:t>
                </w:r>
              </w:p>
            </w:tc>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Your ability rating (1-5) or strong / weak / somewhere in between.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768" w:hRule="atLeast"/>
            </w:trPr>
            <w:tc>
              <w:tcPr>
                <w:tcW w:w="4621" w:type="dxa"/>
              </w:tcPr>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IT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Behavioural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Communication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Understanding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Time Management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Numeracy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Self Management</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Reading</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Writing</w:t>
                </w:r>
              </w:p>
            </w:tc>
            <w:tc>
              <w:tcPr>
                <w:tcW w:w="4621" w:type="dxa"/>
              </w:tcPr>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4</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1</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2</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69" w:hRule="atLeast"/>
            </w:trPr>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Knowledge and skills which I consider to be important for my future career.</w:t>
                </w:r>
              </w:p>
            </w:tc>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Your ability rating (1-5) or strong /weak /somewhere in between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899" w:hRule="atLeast"/>
            </w:trPr>
            <w:tc>
              <w:tcPr>
                <w:tcW w:w="4621" w:type="dxa"/>
              </w:tcPr>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IT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Writing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Problem Solving</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Numeracy Skills</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Self Management</w:t>
                </w:r>
              </w:p>
              <w:p>
                <w:pPr>
                  <w:keepNext w:val="0"/>
                  <w:keepLines w:val="0"/>
                  <w:widowControl/>
                  <w:numPr>
                    <w:ilvl w:val="0"/>
                    <w:numId w:val="3"/>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Reading Skills</w:t>
                </w:r>
              </w:p>
            </w:tc>
            <w:tc>
              <w:tcPr>
                <w:tcW w:w="4621" w:type="dxa"/>
              </w:tcPr>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1</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4</w:t>
                </w:r>
              </w:p>
              <w:p>
                <w:pPr>
                  <w:keepNext w:val="0"/>
                  <w:keepLines w:val="0"/>
                  <w:widowControl/>
                  <w:numPr>
                    <w:ilvl w:val="0"/>
                    <w:numId w:val="3"/>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2</w:t>
                </w:r>
              </w:p>
            </w:tc>
          </w:tr>
        </w:tbl>
        <w:p>
          <w:pPr>
            <w:jc w:val="both"/>
            <w:rPr>
              <w:lang w:val="en-GB"/>
            </w:rPr>
          </w:pPr>
        </w:p>
        <w:p>
          <w:pPr>
            <w:jc w:val="both"/>
            <w:rPr>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ascii="SimSun" w:hAnsi="SimSun" w:eastAsia="SimSun" w:cs="SimSun"/>
              <w:sz w:val="24"/>
              <w:szCs w:val="24"/>
            </w:rPr>
          </w:pPr>
          <w:r>
            <w:rPr>
              <w:rFonts w:hint="default" w:asciiTheme="minorAscii" w:hAnsiTheme="minorEastAsia" w:eastAsiaTheme="minorEastAsia" w:cstheme="minorEastAsia"/>
              <w:b/>
              <w:bCs/>
              <w:sz w:val="22"/>
              <w:szCs w:val="22"/>
              <w:lang w:val="en-GB"/>
            </w:rPr>
            <w:t>KOLBS LEARNING CYCLE:</w:t>
          </w:r>
        </w:p>
        <w:p>
          <w:pPr>
            <w:rPr>
              <w:b/>
              <w:bCs/>
            </w:rPr>
          </w:pPr>
          <w:r>
            <w:rPr>
              <w:rFonts w:ascii="SimSun" w:hAnsi="SimSun" w:eastAsia="SimSun" w:cs="SimSun"/>
              <w:sz w:val="24"/>
              <w:szCs w:val="24"/>
            </w:rPr>
            <w:drawing>
              <wp:inline distT="0" distB="0" distL="114300" distR="114300">
                <wp:extent cx="4203700" cy="2243455"/>
                <wp:effectExtent l="0" t="0" r="0" b="4445"/>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20"/>
                        <a:stretch>
                          <a:fillRect/>
                        </a:stretch>
                      </pic:blipFill>
                      <pic:spPr>
                        <a:xfrm>
                          <a:off x="0" y="0"/>
                          <a:ext cx="4203700" cy="2243455"/>
                        </a:xfrm>
                        <a:prstGeom prst="rect">
                          <a:avLst/>
                        </a:prstGeom>
                        <a:noFill/>
                        <a:ln w="9525">
                          <a:noFill/>
                        </a:ln>
                      </pic:spPr>
                    </pic:pic>
                  </a:graphicData>
                </a:graphic>
              </wp:inline>
            </w:drawing>
          </w:r>
        </w:p>
        <w:p>
          <w:pPr>
            <w:rPr>
              <w:b/>
              <w:bCs/>
              <w:lang w:val="en-GB"/>
            </w:rPr>
          </w:pPr>
          <w:r>
            <w:rPr>
              <w:b/>
              <w:bCs/>
              <w:lang w:val="en-GB"/>
            </w:rPr>
            <w:t>THE JOHARI WINDOW:</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r>
            <w:rPr>
              <w:rFonts w:hAnsi="Helvetica Neue" w:eastAsia="Helvetica Neue" w:cs="Helvetica Neue" w:asciiTheme="minorHAnsi"/>
              <w:color w:val="192129"/>
              <w:sz w:val="22"/>
              <w:szCs w:val="22"/>
              <w:shd w:val="clear" w:color="auto" w:fill="FFFFFF"/>
              <w:lang w:val="en-GB"/>
            </w:rPr>
            <w:t xml:space="preserve">                                                    </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r>
            <w:rPr>
              <w:rFonts w:ascii="SimSun" w:hAnsi="SimSun" w:eastAsia="SimSun" w:cs="SimSun"/>
              <w:sz w:val="24"/>
              <w:szCs w:val="24"/>
            </w:rPr>
            <w:drawing>
              <wp:inline distT="0" distB="0" distL="114300" distR="114300">
                <wp:extent cx="4286250" cy="4286250"/>
                <wp:effectExtent l="0" t="0" r="6350" b="6350"/>
                <wp:docPr id="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MG_256"/>
                        <pic:cNvPicPr>
                          <a:picLocks noChangeAspect="1"/>
                        </pic:cNvPicPr>
                      </pic:nvPicPr>
                      <pic:blipFill>
                        <a:blip r:embed="rId21"/>
                        <a:stretch>
                          <a:fillRect/>
                        </a:stretch>
                      </pic:blipFill>
                      <pic:spPr>
                        <a:xfrm>
                          <a:off x="0" y="0"/>
                          <a:ext cx="4286250" cy="4286250"/>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SMART GOALS:</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pPr>
          <w:r>
            <w:drawing>
              <wp:inline distT="0" distB="0" distL="114300" distR="114300">
                <wp:extent cx="4572000" cy="3726815"/>
                <wp:effectExtent l="0" t="0" r="0" b="698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22"/>
                        <a:stretch>
                          <a:fillRect/>
                        </a:stretch>
                      </pic:blipFill>
                      <pic:spPr>
                        <a:xfrm>
                          <a:off x="0" y="0"/>
                          <a:ext cx="4572000" cy="3726815"/>
                        </a:xfrm>
                        <a:prstGeom prst="rect">
                          <a:avLst/>
                        </a:prstGeom>
                        <a:noFill/>
                        <a:ln w="9525">
                          <a:noFill/>
                        </a:ln>
                      </pic:spPr>
                    </pic:pic>
                  </a:graphicData>
                </a:graphic>
              </wp:inline>
            </w:drawing>
          </w:r>
        </w:p>
        <w:p>
          <w:pPr>
            <w:pStyle w:val="9"/>
            <w:spacing w:beforeAutospacing="0" w:afterAutospacing="0" w:line="270" w:lineRule="atLeast"/>
            <w:jc w:val="both"/>
          </w:pPr>
        </w:p>
        <w:p>
          <w:pPr>
            <w:pStyle w:val="9"/>
            <w:spacing w:beforeAutospacing="0" w:afterAutospacing="0" w:line="270" w:lineRule="atLeast"/>
            <w:jc w:val="both"/>
          </w:pPr>
        </w:p>
        <w:p>
          <w:pPr>
            <w:pStyle w:val="9"/>
            <w:spacing w:beforeAutospacing="0" w:afterAutospacing="0" w:line="270" w:lineRule="atLeast"/>
            <w:jc w:val="both"/>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GIBBS REFLECTION CYCLE:</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ascii="SimSun" w:hAnsi="SimSun" w:eastAsia="SimSun" w:cs="SimSun"/>
              <w:sz w:val="24"/>
              <w:szCs w:val="24"/>
            </w:rPr>
            <w:drawing>
              <wp:inline distT="0" distB="0" distL="114300" distR="114300">
                <wp:extent cx="3321050" cy="3162935"/>
                <wp:effectExtent l="0" t="0" r="6350" b="12065"/>
                <wp:docPr id="11"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IMG_256"/>
                        <pic:cNvPicPr>
                          <a:picLocks noChangeAspect="1"/>
                        </pic:cNvPicPr>
                      </pic:nvPicPr>
                      <pic:blipFill>
                        <a:blip r:embed="rId23"/>
                        <a:stretch>
                          <a:fillRect/>
                        </a:stretch>
                      </pic:blipFill>
                      <pic:spPr>
                        <a:xfrm>
                          <a:off x="0" y="0"/>
                          <a:ext cx="3321050" cy="3162935"/>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val="0"/>
              <w:bCs w:val="0"/>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PERSONAL BRANDING: MY BUSINESS CARD</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drawing>
              <wp:inline distT="0" distB="0" distL="114300" distR="114300">
                <wp:extent cx="3374390" cy="2061210"/>
                <wp:effectExtent l="0" t="0" r="3810" b="889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pic:cNvPicPr>
                      </pic:nvPicPr>
                      <pic:blipFill>
                        <a:blip r:embed="rId24"/>
                        <a:srcRect l="12965" t="24010" r="28147" b="16496"/>
                        <a:stretch>
                          <a:fillRect/>
                        </a:stretch>
                      </pic:blipFill>
                      <pic:spPr>
                        <a:xfrm>
                          <a:off x="0" y="0"/>
                          <a:ext cx="3374390" cy="2061210"/>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INTERVIEW QUESTION EXAMPLE:</w:t>
          </w:r>
        </w:p>
        <w:p>
          <w:pPr>
            <w:pStyle w:val="9"/>
            <w:numPr>
              <w:ilvl w:val="0"/>
              <w:numId w:val="0"/>
            </w:numPr>
            <w:spacing w:beforeAutospacing="0" w:after="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4"/>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Can you describe average day as a Hygienist?</w:t>
          </w:r>
        </w:p>
        <w:p>
          <w:pPr>
            <w:pStyle w:val="9"/>
            <w:numPr>
              <w:ilvl w:val="0"/>
              <w:numId w:val="4"/>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What is the level of communication with patients?</w:t>
          </w:r>
        </w:p>
        <w:p>
          <w:pPr>
            <w:pStyle w:val="9"/>
            <w:numPr>
              <w:ilvl w:val="0"/>
              <w:numId w:val="4"/>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How to prevent tooth decay?</w:t>
          </w:r>
        </w:p>
        <w:p>
          <w:pPr>
            <w:pStyle w:val="9"/>
            <w:numPr>
              <w:ilvl w:val="0"/>
              <w:numId w:val="4"/>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Have you had experience performing task outside of your role?</w:t>
          </w:r>
        </w:p>
        <w:p>
          <w:pPr>
            <w:pStyle w:val="9"/>
            <w:numPr>
              <w:ilvl w:val="0"/>
              <w:numId w:val="0"/>
            </w:numPr>
            <w:spacing w:beforeAutospacing="0" w:after="0" w:afterAutospacing="0" w:line="270" w:lineRule="atLeast"/>
            <w:ind w:left="420"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(Job-interview-site.com 2018).</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PROBATIONAL PERIOD KEYPOINTS:</w:t>
          </w: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Induction starts when employment starts</w:t>
          </w: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Employers should provide guidance</w:t>
          </w: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Induction should cover equal opportunities, health and safety</w:t>
          </w: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Employers must not discriminate</w:t>
          </w: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Employee should be managed actively</w:t>
          </w: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Any different rules applied during probation must be discussed</w:t>
          </w:r>
        </w:p>
        <w:p>
          <w:pPr>
            <w:pStyle w:val="9"/>
            <w:numPr>
              <w:ilvl w:val="0"/>
              <w:numId w:val="4"/>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Employers should discuss the outcome before ending probational period.</w:t>
          </w: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(HR-informs 2015)</w:t>
          </w:r>
        </w:p>
        <w:p>
          <w:pPr>
            <w:pStyle w:val="9"/>
            <w:numPr>
              <w:ilvl w:val="0"/>
              <w:numId w:val="0"/>
            </w:numPr>
            <w:spacing w:beforeAutospacing="0" w:after="0" w:afterAutospacing="0" w:line="270" w:lineRule="atLeast"/>
            <w:jc w:val="both"/>
            <w:rPr>
              <w:rFonts w:hAnsi="Helvetica Neue" w:eastAsia="Helvetica Neue" w:cs="Helvetica Neue" w:asciiTheme="minorHAnsi"/>
              <w:b w:val="0"/>
              <w:bCs w:val="0"/>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 xml:space="preserve"> </w:t>
          </w:r>
        </w:p>
        <w:p>
          <w:pPr>
            <w:pStyle w:val="9"/>
            <w:numPr>
              <w:ilvl w:val="0"/>
              <w:numId w:val="0"/>
            </w:numPr>
            <w:spacing w:beforeAutospacing="0" w:after="0" w:afterAutospacing="0" w:line="270" w:lineRule="atLeast"/>
            <w:jc w:val="both"/>
            <w:rPr>
              <w:rFonts w:hAnsi="Helvetica Neue" w:eastAsia="Helvetica Neue" w:cs="Helvetica Neue" w:asciiTheme="minorHAnsi"/>
              <w:b w:val="0"/>
              <w:bCs w:val="0"/>
              <w:color w:val="192129"/>
              <w:sz w:val="22"/>
              <w:szCs w:val="22"/>
              <w:shd w:val="clear" w:color="auto" w:fill="FFFFFF"/>
              <w:lang w:val="en-GB"/>
            </w:rPr>
          </w:pP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 xml:space="preserve">     </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spacing w:line="256" w:lineRule="auto"/>
            <w:ind w:left="7928" w:leftChars="200" w:hanging="7488" w:hangingChars="3404"/>
            <w:rPr>
              <w:rFonts w:hAnsi="Helvetica Neue" w:eastAsia="Helvetica Neue" w:cs="Helvetica Neue" w:asciiTheme="minorHAnsi"/>
              <w:b/>
              <w:bCs/>
              <w:color w:val="192129"/>
              <w:sz w:val="22"/>
              <w:szCs w:val="22"/>
              <w:shd w:val="clear" w:color="auto" w:fill="FFFFFF"/>
              <w:lang w:val="en-GB"/>
            </w:rPr>
          </w:pPr>
          <w:r>
            <w:rPr>
              <w:rFonts w:hint="eastAsia" w:ascii="Calibri" w:hAnsi="Calibri" w:eastAsia="Calibri" w:cs="Times New Roman"/>
              <w:lang w:val="en-US" w:eastAsia="zh-CN" w:bidi="ar"/>
            </w:rPr>
            <w:t xml:space="preserve">                   </w:t>
          </w:r>
          <w:r>
            <w:rPr>
              <w:rFonts w:ascii="Calibri" w:hAnsi="Calibri" w:eastAsia="Calibri" w:cs="Times New Roman"/>
              <w:lang w:eastAsia="zh-CN" w:bidi="ar"/>
            </w:rPr>
            <w:t xml:space="preserve">                                                                                                                                  </w:t>
          </w:r>
        </w:p>
        <w:p>
          <w:pPr>
            <w:shd w:val="clear" w:color="auto" w:fill="FFFFFF"/>
            <w:spacing w:before="360"/>
            <w:jc w:val="both"/>
            <w:rPr>
              <w:rFonts w:ascii="Helvetica Neue" w:hAnsi="Helvetica Neue" w:eastAsia="Helvetica Neue" w:cs="Helvetica Neue"/>
              <w:color w:val="192129"/>
              <w:sz w:val="12"/>
              <w:szCs w:val="12"/>
            </w:rPr>
          </w:pPr>
          <w:r>
            <mc:AlternateContent>
              <mc:Choice Requires="wps">
                <w:drawing>
                  <wp:anchor distT="0" distB="0" distL="114300" distR="114300" simplePos="0" relativeHeight="251660288" behindDoc="0" locked="0" layoutInCell="1" allowOverlap="1">
                    <wp:simplePos x="0" y="0"/>
                    <wp:positionH relativeFrom="column">
                      <wp:posOffset>636905</wp:posOffset>
                    </wp:positionH>
                    <wp:positionV relativeFrom="paragraph">
                      <wp:posOffset>1807845</wp:posOffset>
                    </wp:positionV>
                    <wp:extent cx="863600" cy="577850"/>
                    <wp:effectExtent l="4445" t="5080" r="8255" b="13970"/>
                    <wp:wrapNone/>
                    <wp:docPr id="1" name="Text Box 1"/>
                    <wp:cNvGraphicFramePr/>
                    <a:graphic xmlns:a="http://schemas.openxmlformats.org/drawingml/2006/main">
                      <a:graphicData uri="http://schemas.microsoft.com/office/word/2010/wordprocessingShape">
                        <wps:wsp>
                          <wps:cNvSpPr txBox="1"/>
                          <wps:spPr>
                            <a:xfrm>
                              <a:off x="1551305" y="5097145"/>
                              <a:ext cx="863600" cy="577850"/>
                            </a:xfrm>
                            <a:prstGeom prst="rect">
                              <a:avLst/>
                            </a:prstGeom>
                            <a:solidFill>
                              <a:schemeClr val="lt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0.15pt;margin-top:142.35pt;height:45.5pt;width:68pt;z-index:251660288;mso-width-relative:page;mso-height-relative:page;" fillcolor="#FFFFFF [3201]" filled="t" stroked="t" coordsize="21600,21600" o:gfxdata="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sJ00TtkAAAALAQAADwAAAAAAAAABACAAAAAiAAAAZHJzL2Rvd25yZXYueG1sUEsB&#10;AhQAFAAAAAgAh07iQGnB+8QtAgAAdAQAAA4AAAAAAAAAAQAgAAAAKAEAAGRycy9lMm9Eb2MueG1s&#10;UEsFBgAAAAAGAAYAWQEAAMcFAAAAAA==&#10;">
                    <v:fill on="t" focussize="0,0"/>
                    <v:stroke weight="0.5pt" color="#FFFFFF [3212]" joinstyle="round"/>
                    <v:imagedata o:title=""/>
                    <o:lock v:ext="edit" aspectratio="f"/>
                    <v:textbox>
                      <w:txbxContent>
                        <w:p/>
                      </w:txbxContent>
                    </v:textbox>
                  </v:shape>
                </w:pict>
              </mc:Fallback>
            </mc:AlternateContent>
          </w:r>
        </w:p>
        <w:p>
          <w:pPr>
            <w:spacing w:line="183" w:lineRule="auto"/>
            <w:ind w:right="480"/>
            <w:rPr>
              <w:rFonts w:ascii="Arial" w:hAnsi="Arial" w:eastAsia="Arial"/>
              <w:sz w:val="19"/>
            </w:rPr>
          </w:pPr>
          <w:bookmarkStart w:id="6" w:name="page3"/>
          <w:bookmarkEnd w:id="6"/>
          <w:bookmarkStart w:id="7" w:name="page1"/>
          <w:bookmarkEnd w:id="7"/>
        </w:p>
        <w:p>
          <w:pPr>
            <w:pStyle w:val="9"/>
            <w:spacing w:before="140" w:beforeAutospacing="0" w:after="140" w:afterAutospacing="0"/>
            <w:jc w:val="both"/>
            <w:rPr>
              <w:rFonts w:hAnsi="Open Sans" w:eastAsia="Open Sans" w:cs="Open Sans" w:asciiTheme="minorHAnsi"/>
              <w:color w:val="727272"/>
              <w:spacing w:val="5"/>
              <w:sz w:val="22"/>
              <w:szCs w:val="13"/>
              <w:shd w:val="clear" w:color="auto" w:fill="FFFFFF"/>
              <w:lang w:val="en-GB"/>
            </w:rPr>
          </w:pPr>
        </w:p>
        <w:p>
          <w:pPr>
            <w:pStyle w:val="9"/>
            <w:spacing w:before="140" w:beforeAutospacing="0" w:after="140" w:afterAutospacing="0"/>
            <w:jc w:val="both"/>
            <w:rPr>
              <w:rFonts w:hAnsi="Open Sans" w:eastAsia="Open Sans" w:cs="Open Sans" w:asciiTheme="minorHAnsi"/>
              <w:color w:val="727272"/>
              <w:spacing w:val="5"/>
              <w:sz w:val="22"/>
              <w:szCs w:val="13"/>
              <w:shd w:val="clear" w:color="auto" w:fill="FFFFFF"/>
              <w:lang w:val="en-GB"/>
            </w:rPr>
          </w:pPr>
        </w:p>
        <w:p>
          <w:pPr>
            <w:pStyle w:val="9"/>
            <w:spacing w:before="140" w:beforeAutospacing="0" w:after="140" w:afterAutospacing="0"/>
            <w:jc w:val="center"/>
            <w:rPr>
              <w:caps/>
            </w:rPr>
          </w:pPr>
        </w:p>
        <w:p>
          <w:pPr>
            <w:rPr>
              <w:b/>
              <w:bCs/>
              <w:lang w:val="en-GB"/>
            </w:rPr>
          </w:pPr>
        </w:p>
        <w:p>
          <w:pPr>
            <w:rPr>
              <w:b/>
              <w:bCs/>
              <w:lang w:val="en-GB"/>
            </w:rPr>
          </w:pPr>
        </w:p>
        <w:p>
          <w:pPr>
            <w:rPr>
              <w:b/>
              <w:bCs/>
              <w:lang w:val="en-GB"/>
            </w:rPr>
          </w:pPr>
          <w:r>
            <w:rPr>
              <w:b/>
              <w:bCs/>
              <w:lang w:val="en-GB"/>
            </w:rPr>
            <w:t>MASLOW</w:t>
          </w:r>
          <w:r>
            <w:rPr>
              <w:rFonts w:hint="default"/>
              <w:b/>
              <w:bCs/>
              <w:lang w:val="en-GB"/>
            </w:rPr>
            <w:t>’S HIERARCHY OF NEEDS FOR EMPLOYMENT:</w:t>
          </w:r>
        </w:p>
        <w:p>
          <w:pPr>
            <w:rPr>
              <w:rFonts w:ascii="&amp;quot" w:hAnsi="&amp;quot" w:eastAsia="&amp;quot" w:cs="&amp;quot"/>
              <w:i w:val="0"/>
              <w:caps w:val="0"/>
              <w:color w:val="4A4957"/>
              <w:spacing w:val="0"/>
              <w:sz w:val="15"/>
              <w:szCs w:val="15"/>
              <w:u w:val="none"/>
            </w:rPr>
          </w:pPr>
          <w:r>
            <w:rPr>
              <w:rFonts w:ascii="&amp;quot" w:hAnsi="&amp;quot" w:eastAsia="&amp;quot" w:cs="&amp;quot"/>
              <w:i w:val="0"/>
              <w:caps w:val="0"/>
              <w:color w:val="4A4957"/>
              <w:spacing w:val="0"/>
              <w:sz w:val="15"/>
              <w:szCs w:val="15"/>
              <w:u w:val="none"/>
            </w:rPr>
            <w:drawing>
              <wp:inline distT="0" distB="0" distL="114300" distR="114300">
                <wp:extent cx="4619625" cy="2628900"/>
                <wp:effectExtent l="0" t="0" r="3175" b="0"/>
                <wp:docPr id="1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descr="IMG_256"/>
                        <pic:cNvPicPr>
                          <a:picLocks noChangeAspect="1"/>
                        </pic:cNvPicPr>
                      </pic:nvPicPr>
                      <pic:blipFill>
                        <a:blip r:embed="rId25"/>
                        <a:stretch>
                          <a:fillRect/>
                        </a:stretch>
                      </pic:blipFill>
                      <pic:spPr>
                        <a:xfrm>
                          <a:off x="0" y="0"/>
                          <a:ext cx="4619625" cy="2628900"/>
                        </a:xfrm>
                        <a:prstGeom prst="rect">
                          <a:avLst/>
                        </a:prstGeom>
                        <a:noFill/>
                        <a:ln w="9525">
                          <a:noFill/>
                        </a:ln>
                      </pic:spPr>
                    </pic:pic>
                  </a:graphicData>
                </a:graphic>
              </wp:inline>
            </w:drawing>
          </w:r>
        </w:p>
        <w:p>
          <w:pPr>
            <w:rPr>
              <w:rFonts w:ascii="&amp;quot" w:hAnsi="&amp;quot" w:eastAsia="&amp;quot" w:cs="&amp;quot"/>
              <w:i w:val="0"/>
              <w:caps w:val="0"/>
              <w:color w:val="4A4957"/>
              <w:spacing w:val="0"/>
              <w:sz w:val="15"/>
              <w:szCs w:val="15"/>
              <w:u w:val="none"/>
            </w:rPr>
          </w:pPr>
        </w:p>
        <w:p>
          <w:pPr>
            <w:numPr>
              <w:ilvl w:val="0"/>
              <w:numId w:val="5"/>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aps w:val="0"/>
              <w:color w:val="4A4957"/>
              <w:spacing w:val="0"/>
              <w:sz w:val="22"/>
              <w:szCs w:val="22"/>
              <w:u w:val="none"/>
              <w:lang w:val="en-GB"/>
            </w:rPr>
            <w:t>Physiological needs- Place to work, monthly salary, facilities and comfort.</w:t>
          </w:r>
        </w:p>
        <w:p>
          <w:pPr>
            <w:numPr>
              <w:ilvl w:val="0"/>
              <w:numId w:val="5"/>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aps w:val="0"/>
              <w:color w:val="4A4957"/>
              <w:spacing w:val="0"/>
              <w:sz w:val="22"/>
              <w:szCs w:val="22"/>
              <w:u w:val="none"/>
              <w:lang w:val="en-GB"/>
            </w:rPr>
            <w:t xml:space="preserve">Social needs- encouraging group work, team building through social </w:t>
          </w:r>
          <w:r>
            <w:rPr>
              <w:rFonts w:hAnsi="&amp;quot" w:eastAsia="&amp;quot" w:cs="&amp;quot" w:asciiTheme="minorAscii"/>
              <w:i w:val="0"/>
              <w:color w:val="4A4957"/>
              <w:spacing w:val="0"/>
              <w:sz w:val="22"/>
              <w:szCs w:val="22"/>
              <w:u w:val="none"/>
              <w:lang w:val="en-GB"/>
            </w:rPr>
            <w:t>activities.</w:t>
          </w:r>
        </w:p>
        <w:p>
          <w:pPr>
            <w:numPr>
              <w:ilvl w:val="0"/>
              <w:numId w:val="5"/>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olor w:val="4A4957"/>
              <w:spacing w:val="0"/>
              <w:sz w:val="22"/>
              <w:szCs w:val="22"/>
              <w:u w:val="none"/>
              <w:lang w:val="en-GB"/>
            </w:rPr>
            <w:t>Self-esteem- Respect and praise others, keep feedback and appraisal systems</w:t>
          </w:r>
        </w:p>
        <w:p>
          <w:pPr>
            <w:numPr>
              <w:ilvl w:val="0"/>
              <w:numId w:val="5"/>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olor w:val="4A4957"/>
              <w:spacing w:val="0"/>
              <w:sz w:val="22"/>
              <w:szCs w:val="22"/>
              <w:u w:val="none"/>
              <w:lang w:val="en-GB"/>
            </w:rPr>
            <w:t>Self-actualisation- Having personal development plan,training, mentoring and opportunities to enable promotions for staff by having regular meetings and offering options, this fulfils employers self-actualisation (Sodexo 2018).</w:t>
          </w:r>
        </w:p>
        <w:p/>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r>
            <w:drawing>
              <wp:inline distT="0" distB="0" distL="114300" distR="114300">
                <wp:extent cx="5275580" cy="7143750"/>
                <wp:effectExtent l="0" t="0" r="0" b="6350"/>
                <wp:docPr id="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20"/>
                        <pic:cNvPicPr>
                          <a:picLocks noChangeAspect="1"/>
                        </pic:cNvPicPr>
                      </pic:nvPicPr>
                      <pic:blipFill>
                        <a:blip r:embed="rId26"/>
                        <a:stretch>
                          <a:fillRect/>
                        </a:stretch>
                      </pic:blipFill>
                      <pic:spPr>
                        <a:xfrm>
                          <a:off x="0" y="0"/>
                          <a:ext cx="5275580" cy="7143750"/>
                        </a:xfrm>
                        <a:prstGeom prst="rect">
                          <a:avLst/>
                        </a:prstGeom>
                        <a:noFill/>
                        <a:ln w="9525">
                          <a:noFill/>
                        </a:ln>
                      </pic:spPr>
                    </pic:pic>
                  </a:graphicData>
                </a:graphic>
              </wp:inline>
            </w:drawing>
          </w:r>
        </w:p>
        <w:p>
          <w:pPr>
            <w:rPr>
              <w:b/>
              <w:sz w:val="28"/>
              <w:szCs w:val="28"/>
            </w:rPr>
          </w:pPr>
        </w:p>
        <w:p>
          <w:pPr>
            <w:rPr>
              <w:b/>
              <w:sz w:val="28"/>
              <w:szCs w:val="28"/>
            </w:rPr>
          </w:pPr>
        </w:p>
        <w:p>
          <w:pPr>
            <w:rPr>
              <w:b/>
              <w:sz w:val="28"/>
              <w:szCs w:val="28"/>
            </w:rPr>
          </w:pPr>
        </w:p>
        <w:p/>
        <w:p/>
        <w:p>
          <w:r>
            <w:drawing>
              <wp:inline distT="0" distB="0" distL="114300" distR="114300">
                <wp:extent cx="5725160" cy="4594225"/>
                <wp:effectExtent l="0" t="0" r="0" b="3175"/>
                <wp:docPr id="3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1"/>
                        <pic:cNvPicPr>
                          <a:picLocks noChangeAspect="1"/>
                        </pic:cNvPicPr>
                      </pic:nvPicPr>
                      <pic:blipFill>
                        <a:blip r:embed="rId27"/>
                        <a:stretch>
                          <a:fillRect/>
                        </a:stretch>
                      </pic:blipFill>
                      <pic:spPr>
                        <a:xfrm>
                          <a:off x="0" y="0"/>
                          <a:ext cx="5725160" cy="4594225"/>
                        </a:xfrm>
                        <a:prstGeom prst="rect">
                          <a:avLst/>
                        </a:prstGeom>
                        <a:noFill/>
                        <a:ln w="9525">
                          <a:noFill/>
                        </a:ln>
                      </pic:spPr>
                    </pic:pic>
                  </a:graphicData>
                </a:graphic>
              </wp:inline>
            </w:drawing>
          </w:r>
        </w:p>
        <w:p/>
        <w:p/>
        <w:p/>
        <w:p/>
        <w:p/>
        <w:p/>
        <w:p/>
        <w:p/>
        <w:p/>
        <w:p/>
        <w:p/>
        <w:p>
          <w:pPr>
            <w:rPr>
              <w:rFonts w:eastAsiaTheme="minorHAnsi"/>
              <w:color w:val="auto"/>
              <w:lang w:val="en-GB"/>
            </w:rPr>
          </w:pPr>
        </w:p>
      </w:sdtContent>
    </w:sdt>
    <w:p>
      <w:pPr>
        <w:rPr>
          <w:rFonts w:eastAsiaTheme="minorHAnsi"/>
          <w:color w:val="auto"/>
          <w:lang w:val="en-GB"/>
        </w:rPr>
      </w:pPr>
    </w:p>
    <w:p/>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BA"/>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Helvetica Neue">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 w:name="Comic Sans MS">
    <w:panose1 w:val="030F0702030302020204"/>
    <w:charset w:val="00"/>
    <w:family w:val="script"/>
    <w:pitch w:val="default"/>
    <w:sig w:usb0="00000287" w:usb1="00000013" w:usb2="00000000" w:usb3="00000000" w:csb0="2000009F" w:csb1="00000000"/>
  </w:font>
  <w:font w:name="Goudy Stout">
    <w:panose1 w:val="0202090407030B020401"/>
    <w:charset w:val="00"/>
    <w:family w:val="auto"/>
    <w:pitch w:val="default"/>
    <w:sig w:usb0="00000003" w:usb1="00000000" w:usb2="00000000" w:usb3="00000000" w:csb0="20000001" w:csb1="00000000"/>
  </w:font>
  <w:font w:name="Courier New">
    <w:panose1 w:val="02070309020205020404"/>
    <w:charset w:val="BA"/>
    <w:family w:val="modern"/>
    <w:pitch w:val="default"/>
    <w:sig w:usb0="E0002EFF" w:usb1="C0007843" w:usb2="00000009" w:usb3="00000000" w:csb0="400001FF" w:csb1="FFFF0000"/>
  </w:font>
  <w:font w:name="Century Gothic">
    <w:panose1 w:val="020B0502020202020204"/>
    <w:charset w:val="BA"/>
    <w:family w:val="swiss"/>
    <w:pitch w:val="default"/>
    <w:sig w:usb0="00000287" w:usb1="00000000" w:usb2="00000000" w:usb3="00000000" w:csb0="2000009F" w:csb1="DFD70000"/>
  </w:font>
  <w:font w:name="Arial">
    <w:panose1 w:val="020B0604020202020204"/>
    <w:charset w:val="BA"/>
    <w:family w:val="swiss"/>
    <w:pitch w:val="default"/>
    <w:sig w:usb0="E0002EFF" w:usb1="C0007843" w:usb2="00000009" w:usb3="00000000" w:csb0="400001FF" w:csb1="FFFF0000"/>
  </w:font>
  <w:font w:name="Verdana">
    <w:panose1 w:val="020B0604030504040204"/>
    <w:charset w:val="BA"/>
    <w:family w:val="swiss"/>
    <w:pitch w:val="default"/>
    <w:sig w:usb0="A10006FF" w:usb1="4000205B" w:usb2="00000010" w:usb3="00000000" w:csb0="2000019F" w:csb1="00000000"/>
  </w:font>
  <w:font w:name="Arial Narrow">
    <w:panose1 w:val="020B0606020202030204"/>
    <w:charset w:val="BA"/>
    <w:family w:val="swiss"/>
    <w:pitch w:val="default"/>
    <w:sig w:usb0="00000287" w:usb1="00000800" w:usb2="00000000" w:usb3="00000000" w:csb0="2000009F" w:csb1="DFD70000"/>
  </w:font>
  <w:font w:name="&amp;quot">
    <w:altName w:val="Segoe Print"/>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default"/>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7"/>
          <w:jc w:val="center"/>
        </w:pPr>
        <w:r>
          <w:fldChar w:fldCharType="begin"/>
        </w:r>
        <w:r>
          <w:instrText xml:space="preserve"> PAGE   \* MERGEFORMAT </w:instrText>
        </w:r>
        <w:r>
          <w:fldChar w:fldCharType="separate"/>
        </w:r>
        <w:r>
          <w:t>11</w:t>
        </w:r>
        <w:r>
          <w:fldChar w:fldCharType="end"/>
        </w:r>
      </w:p>
    </w:sdtContent>
  </w:sdt>
  <w:p>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060FF7"/>
    <w:multiLevelType w:val="multilevel"/>
    <w:tmpl w:val="4A060FF7"/>
    <w:lvl w:ilvl="0" w:tentative="0">
      <w:start w:val="1"/>
      <w:numFmt w:val="decimal"/>
      <w:lvlText w:val="%1."/>
      <w:lvlJc w:val="left"/>
      <w:pPr>
        <w:tabs>
          <w:tab w:val="left" w:pos="720"/>
        </w:tabs>
        <w:ind w:left="720" w:hanging="360"/>
      </w:pPr>
    </w:lvl>
    <w:lvl w:ilvl="1" w:tentative="0">
      <w:start w:val="2"/>
      <w:numFmt w:val="lowerLetter"/>
      <w:lvlText w:val="%2."/>
      <w:lvlJc w:val="left"/>
      <w:pPr>
        <w:tabs>
          <w:tab w:val="left" w:pos="1440"/>
        </w:tabs>
        <w:ind w:left="1440" w:hanging="360"/>
      </w:pPr>
      <w:rPr>
        <w:rFonts w:hint="default"/>
      </w:rPr>
    </w:lvl>
    <w:lvl w:ilvl="2" w:tentative="0">
      <w:start w:val="1"/>
      <w:numFmt w:val="lowerRoman"/>
      <w:lvlText w:val="%3."/>
      <w:lvlJc w:val="right"/>
      <w:pPr>
        <w:tabs>
          <w:tab w:val="left" w:pos="2160"/>
        </w:tabs>
        <w:ind w:left="2160" w:hanging="180"/>
      </w:pPr>
    </w:lvl>
    <w:lvl w:ilvl="3" w:tentative="0">
      <w:start w:val="1"/>
      <w:numFmt w:val="decimal"/>
      <w:lvlText w:val="%4."/>
      <w:lvlJc w:val="left"/>
      <w:pPr>
        <w:tabs>
          <w:tab w:val="left" w:pos="2880"/>
        </w:tabs>
        <w:ind w:left="2880" w:hanging="360"/>
      </w:pPr>
    </w:lvl>
    <w:lvl w:ilvl="4" w:tentative="0">
      <w:start w:val="1"/>
      <w:numFmt w:val="lowerLetter"/>
      <w:lvlText w:val="%5."/>
      <w:lvlJc w:val="left"/>
      <w:pPr>
        <w:tabs>
          <w:tab w:val="left" w:pos="3600"/>
        </w:tabs>
        <w:ind w:left="3600" w:hanging="360"/>
      </w:pPr>
    </w:lvl>
    <w:lvl w:ilvl="5" w:tentative="0">
      <w:start w:val="1"/>
      <w:numFmt w:val="lowerRoman"/>
      <w:lvlText w:val="%6."/>
      <w:lvlJc w:val="right"/>
      <w:pPr>
        <w:tabs>
          <w:tab w:val="left" w:pos="4320"/>
        </w:tabs>
        <w:ind w:left="4320" w:hanging="180"/>
      </w:pPr>
    </w:lvl>
    <w:lvl w:ilvl="6" w:tentative="0">
      <w:start w:val="1"/>
      <w:numFmt w:val="decimal"/>
      <w:lvlText w:val="%7."/>
      <w:lvlJc w:val="left"/>
      <w:pPr>
        <w:tabs>
          <w:tab w:val="left" w:pos="5040"/>
        </w:tabs>
        <w:ind w:left="5040" w:hanging="360"/>
      </w:pPr>
    </w:lvl>
    <w:lvl w:ilvl="7" w:tentative="0">
      <w:start w:val="1"/>
      <w:numFmt w:val="lowerLetter"/>
      <w:lvlText w:val="%8."/>
      <w:lvlJc w:val="left"/>
      <w:pPr>
        <w:tabs>
          <w:tab w:val="left" w:pos="5760"/>
        </w:tabs>
        <w:ind w:left="5760" w:hanging="360"/>
      </w:pPr>
    </w:lvl>
    <w:lvl w:ilvl="8" w:tentative="0">
      <w:start w:val="1"/>
      <w:numFmt w:val="lowerRoman"/>
      <w:lvlText w:val="%9."/>
      <w:lvlJc w:val="right"/>
      <w:pPr>
        <w:tabs>
          <w:tab w:val="left" w:pos="6480"/>
        </w:tabs>
        <w:ind w:left="6480" w:hanging="180"/>
      </w:pPr>
    </w:lvl>
  </w:abstractNum>
  <w:abstractNum w:abstractNumId="1">
    <w:nsid w:val="5AB2D74D"/>
    <w:multiLevelType w:val="singleLevel"/>
    <w:tmpl w:val="5AB2D74D"/>
    <w:lvl w:ilvl="0" w:tentative="0">
      <w:start w:val="1"/>
      <w:numFmt w:val="bullet"/>
      <w:lvlText w:val=""/>
      <w:lvlJc w:val="left"/>
      <w:pPr>
        <w:ind w:left="420" w:leftChars="0" w:hanging="420" w:firstLineChars="0"/>
      </w:pPr>
      <w:rPr>
        <w:rFonts w:hint="default" w:ascii="Wingdings" w:hAnsi="Wingdings"/>
      </w:rPr>
    </w:lvl>
  </w:abstractNum>
  <w:abstractNum w:abstractNumId="2">
    <w:nsid w:val="5AB6685B"/>
    <w:multiLevelType w:val="singleLevel"/>
    <w:tmpl w:val="5AB6685B"/>
    <w:lvl w:ilvl="0" w:tentative="0">
      <w:start w:val="1"/>
      <w:numFmt w:val="bullet"/>
      <w:lvlText w:val=""/>
      <w:lvlJc w:val="left"/>
      <w:pPr>
        <w:ind w:left="420" w:leftChars="0" w:hanging="420" w:firstLineChars="0"/>
      </w:pPr>
      <w:rPr>
        <w:rFonts w:hint="default" w:ascii="Wingdings" w:hAnsi="Wingdings"/>
      </w:rPr>
    </w:lvl>
  </w:abstractNum>
  <w:abstractNum w:abstractNumId="3">
    <w:nsid w:val="5AB7D68C"/>
    <w:multiLevelType w:val="singleLevel"/>
    <w:tmpl w:val="5AB7D68C"/>
    <w:lvl w:ilvl="0" w:tentative="0">
      <w:start w:val="1"/>
      <w:numFmt w:val="bullet"/>
      <w:lvlText w:val=""/>
      <w:lvlJc w:val="left"/>
      <w:pPr>
        <w:ind w:left="420" w:leftChars="0" w:hanging="420" w:firstLineChars="0"/>
      </w:pPr>
      <w:rPr>
        <w:rFonts w:hint="default" w:ascii="Wingdings" w:hAnsi="Wingdings"/>
      </w:rPr>
    </w:lvl>
  </w:abstractNum>
  <w:abstractNum w:abstractNumId="4">
    <w:nsid w:val="5AB8CFA5"/>
    <w:multiLevelType w:val="singleLevel"/>
    <w:tmpl w:val="5AB8CFA5"/>
    <w:lvl w:ilvl="0" w:tentative="0">
      <w:start w:val="1"/>
      <w:numFmt w:val="bullet"/>
      <w:lvlText w:val=""/>
      <w:lvlJc w:val="left"/>
      <w:pPr>
        <w:ind w:left="420" w:leftChars="0" w:hanging="420" w:firstLineChars="0"/>
      </w:pPr>
      <w:rPr>
        <w:rFonts w:hint="default" w:ascii="Wingdings" w:hAnsi="Wingdings"/>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9"/>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2C3A76"/>
    <w:rsid w:val="00324CCD"/>
    <w:rsid w:val="004001BD"/>
    <w:rsid w:val="004A11F6"/>
    <w:rsid w:val="004D519C"/>
    <w:rsid w:val="004E13D3"/>
    <w:rsid w:val="007B0118"/>
    <w:rsid w:val="007D1947"/>
    <w:rsid w:val="00A12B58"/>
    <w:rsid w:val="00AA2A91"/>
    <w:rsid w:val="00B05B4F"/>
    <w:rsid w:val="00C46785"/>
    <w:rsid w:val="00C81FBD"/>
    <w:rsid w:val="00CA09F3"/>
    <w:rsid w:val="00CC271F"/>
    <w:rsid w:val="00D854A5"/>
    <w:rsid w:val="00E306C5"/>
    <w:rsid w:val="00E67110"/>
    <w:rsid w:val="013359C1"/>
    <w:rsid w:val="019A67BE"/>
    <w:rsid w:val="02280B17"/>
    <w:rsid w:val="046D4315"/>
    <w:rsid w:val="04A762ED"/>
    <w:rsid w:val="05160361"/>
    <w:rsid w:val="0524150A"/>
    <w:rsid w:val="05B15054"/>
    <w:rsid w:val="068B616C"/>
    <w:rsid w:val="06CA7BA2"/>
    <w:rsid w:val="072D190B"/>
    <w:rsid w:val="09590F5B"/>
    <w:rsid w:val="0A860322"/>
    <w:rsid w:val="0A9353B8"/>
    <w:rsid w:val="0B106039"/>
    <w:rsid w:val="0C011A47"/>
    <w:rsid w:val="0D313E10"/>
    <w:rsid w:val="0ED77E69"/>
    <w:rsid w:val="0F0D145E"/>
    <w:rsid w:val="0F4B176C"/>
    <w:rsid w:val="12D21D43"/>
    <w:rsid w:val="15B0769F"/>
    <w:rsid w:val="163C2A49"/>
    <w:rsid w:val="180F2F0F"/>
    <w:rsid w:val="19E75FFB"/>
    <w:rsid w:val="1A13724A"/>
    <w:rsid w:val="1A3C6DBC"/>
    <w:rsid w:val="1B357381"/>
    <w:rsid w:val="1B862CFB"/>
    <w:rsid w:val="1D380B36"/>
    <w:rsid w:val="1DD5508D"/>
    <w:rsid w:val="1E6C1FE7"/>
    <w:rsid w:val="1E717F6A"/>
    <w:rsid w:val="1F1F6B72"/>
    <w:rsid w:val="1F5A72E6"/>
    <w:rsid w:val="1F994320"/>
    <w:rsid w:val="20B83D27"/>
    <w:rsid w:val="235C1E9D"/>
    <w:rsid w:val="24134D56"/>
    <w:rsid w:val="260F06D1"/>
    <w:rsid w:val="26524E60"/>
    <w:rsid w:val="267C2762"/>
    <w:rsid w:val="268E1873"/>
    <w:rsid w:val="27A4144F"/>
    <w:rsid w:val="27CE1349"/>
    <w:rsid w:val="2A860C42"/>
    <w:rsid w:val="2C510FD3"/>
    <w:rsid w:val="2D956630"/>
    <w:rsid w:val="2EDA3A5B"/>
    <w:rsid w:val="301768FA"/>
    <w:rsid w:val="31291DDF"/>
    <w:rsid w:val="32FA4C0F"/>
    <w:rsid w:val="33B71FE2"/>
    <w:rsid w:val="33CF6779"/>
    <w:rsid w:val="34C137EE"/>
    <w:rsid w:val="34F16777"/>
    <w:rsid w:val="354A7BE7"/>
    <w:rsid w:val="35FD300E"/>
    <w:rsid w:val="361F5B8A"/>
    <w:rsid w:val="37C01967"/>
    <w:rsid w:val="389B046D"/>
    <w:rsid w:val="3A150FBE"/>
    <w:rsid w:val="3A583B2B"/>
    <w:rsid w:val="3B9864F4"/>
    <w:rsid w:val="3C903F14"/>
    <w:rsid w:val="3C9D681C"/>
    <w:rsid w:val="3DEF3FFB"/>
    <w:rsid w:val="3E650DF7"/>
    <w:rsid w:val="3EF94610"/>
    <w:rsid w:val="40BD63B8"/>
    <w:rsid w:val="41631442"/>
    <w:rsid w:val="41640CF3"/>
    <w:rsid w:val="416E7BAE"/>
    <w:rsid w:val="41AE1633"/>
    <w:rsid w:val="41D768F6"/>
    <w:rsid w:val="4277752B"/>
    <w:rsid w:val="42D136C1"/>
    <w:rsid w:val="443704BA"/>
    <w:rsid w:val="45455FE2"/>
    <w:rsid w:val="45B30CF4"/>
    <w:rsid w:val="45F83E87"/>
    <w:rsid w:val="46706F16"/>
    <w:rsid w:val="494A258D"/>
    <w:rsid w:val="4AD53B07"/>
    <w:rsid w:val="4B602DA9"/>
    <w:rsid w:val="4D17486A"/>
    <w:rsid w:val="4D5279DD"/>
    <w:rsid w:val="4D571445"/>
    <w:rsid w:val="4E1E579C"/>
    <w:rsid w:val="4F634299"/>
    <w:rsid w:val="4F7675AE"/>
    <w:rsid w:val="4F864B25"/>
    <w:rsid w:val="4FB354E3"/>
    <w:rsid w:val="500A39A1"/>
    <w:rsid w:val="5362723C"/>
    <w:rsid w:val="543D3B30"/>
    <w:rsid w:val="5440170F"/>
    <w:rsid w:val="555C665C"/>
    <w:rsid w:val="565430B0"/>
    <w:rsid w:val="5A942D1F"/>
    <w:rsid w:val="5ACD224A"/>
    <w:rsid w:val="5C5439B1"/>
    <w:rsid w:val="5D354E1B"/>
    <w:rsid w:val="5E72398E"/>
    <w:rsid w:val="5E765A82"/>
    <w:rsid w:val="61344446"/>
    <w:rsid w:val="622657AD"/>
    <w:rsid w:val="6338786B"/>
    <w:rsid w:val="65EA6CE5"/>
    <w:rsid w:val="666C1B0B"/>
    <w:rsid w:val="66A80007"/>
    <w:rsid w:val="68EA7C60"/>
    <w:rsid w:val="6BA139BB"/>
    <w:rsid w:val="6BC34313"/>
    <w:rsid w:val="6EEB3B4E"/>
    <w:rsid w:val="6F993152"/>
    <w:rsid w:val="6FE17776"/>
    <w:rsid w:val="6FEA3AC8"/>
    <w:rsid w:val="71375AA2"/>
    <w:rsid w:val="72BE26D9"/>
    <w:rsid w:val="72C11731"/>
    <w:rsid w:val="74286B5E"/>
    <w:rsid w:val="7456726F"/>
    <w:rsid w:val="75372CDA"/>
    <w:rsid w:val="760F0F4A"/>
    <w:rsid w:val="762670FC"/>
    <w:rsid w:val="77466256"/>
    <w:rsid w:val="79163811"/>
    <w:rsid w:val="7A6444BE"/>
    <w:rsid w:val="7C404BF2"/>
    <w:rsid w:val="7CE33CAA"/>
    <w:rsid w:val="7DBC240B"/>
    <w:rsid w:val="7DFD44E8"/>
    <w:rsid w:val="7E040D86"/>
    <w:rsid w:val="7EA17FF4"/>
    <w:rsid w:val="7EFA6400"/>
    <w:rsid w:val="7FA109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3"/>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next w:val="1"/>
    <w:unhideWhenUsed/>
    <w:qFormat/>
    <w:uiPriority w:val="9"/>
    <w:pPr>
      <w:spacing w:beforeAutospacing="1" w:after="0" w:afterAutospacing="1" w:line="259" w:lineRule="auto"/>
      <w:outlineLvl w:val="2"/>
    </w:pPr>
    <w:rPr>
      <w:rFonts w:hint="eastAsia" w:ascii="SimSun" w:hAnsi="SimSun" w:eastAsia="SimSun" w:cs="Times New Roman"/>
      <w:b/>
      <w:bCs/>
      <w:sz w:val="27"/>
      <w:szCs w:val="27"/>
      <w:lang w:val="en-US" w:eastAsia="zh-CN" w:bidi="ar-SA"/>
    </w:rPr>
  </w:style>
  <w:style w:type="paragraph" w:styleId="5">
    <w:name w:val="heading 4"/>
    <w:basedOn w:val="1"/>
    <w:next w:val="1"/>
    <w:unhideWhenUsed/>
    <w:qFormat/>
    <w:uiPriority w:val="9"/>
    <w:pPr>
      <w:spacing w:beforeAutospacing="1" w:after="0" w:afterAutospacing="1" w:line="259" w:lineRule="auto"/>
      <w:outlineLvl w:val="3"/>
    </w:pPr>
    <w:rPr>
      <w:rFonts w:hint="eastAsia" w:ascii="SimSun" w:hAnsi="SimSun" w:eastAsia="SimSun" w:cs="Times New Roman"/>
      <w:b/>
      <w:bCs/>
      <w:sz w:val="24"/>
      <w:szCs w:val="24"/>
      <w:lang w:val="en-US" w:eastAsia="zh-CN" w:bidi="ar-SA"/>
    </w:rPr>
  </w:style>
  <w:style w:type="character" w:default="1" w:styleId="13">
    <w:name w:val="Default Paragraph Font"/>
    <w:unhideWhenUsed/>
    <w:qFormat/>
    <w:uiPriority w:val="1"/>
  </w:style>
  <w:style w:type="table" w:default="1" w:styleId="17">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6">
    <w:name w:val="caption"/>
    <w:basedOn w:val="1"/>
    <w:next w:val="1"/>
    <w:unhideWhenUsed/>
    <w:qFormat/>
    <w:uiPriority w:val="35"/>
    <w:pPr>
      <w:spacing w:before="72" w:after="72"/>
    </w:pPr>
    <w:rPr>
      <w:rFonts w:ascii="Arial" w:hAnsi="Arial" w:cs="Arial"/>
      <w:b/>
      <w:bCs/>
      <w:spacing w:val="-4"/>
    </w:rPr>
  </w:style>
  <w:style w:type="paragraph" w:styleId="7">
    <w:name w:val="footer"/>
    <w:basedOn w:val="1"/>
    <w:link w:val="25"/>
    <w:unhideWhenUsed/>
    <w:qFormat/>
    <w:uiPriority w:val="99"/>
    <w:pPr>
      <w:tabs>
        <w:tab w:val="center" w:pos="4513"/>
        <w:tab w:val="right" w:pos="9026"/>
      </w:tabs>
      <w:spacing w:after="0" w:line="240" w:lineRule="auto"/>
    </w:pPr>
  </w:style>
  <w:style w:type="paragraph" w:styleId="8">
    <w:name w:val="header"/>
    <w:basedOn w:val="1"/>
    <w:link w:val="24"/>
    <w:unhideWhenUsed/>
    <w:qFormat/>
    <w:uiPriority w:val="99"/>
    <w:pPr>
      <w:tabs>
        <w:tab w:val="center" w:pos="4513"/>
        <w:tab w:val="right" w:pos="9026"/>
      </w:tabs>
      <w:spacing w:after="0" w:line="240" w:lineRule="auto"/>
    </w:pPr>
  </w:style>
  <w:style w:type="paragraph" w:styleId="9">
    <w:name w:val="Normal (Web)"/>
    <w:unhideWhenUsed/>
    <w:qFormat/>
    <w:uiPriority w:val="99"/>
    <w:pPr>
      <w:spacing w:beforeAutospacing="1" w:after="0" w:afterAutospacing="1" w:line="259" w:lineRule="auto"/>
    </w:pPr>
    <w:rPr>
      <w:rFonts w:ascii="Times New Roman" w:hAnsi="Times New Roman" w:eastAsia="SimSun" w:cs="Times New Roman"/>
      <w:sz w:val="24"/>
      <w:szCs w:val="24"/>
      <w:lang w:val="en-US" w:eastAsia="zh-CN" w:bidi="ar-SA"/>
    </w:rPr>
  </w:style>
  <w:style w:type="paragraph" w:styleId="10">
    <w:name w:val="Title"/>
    <w:basedOn w:val="1"/>
    <w:qFormat/>
    <w:uiPriority w:val="10"/>
    <w:pPr>
      <w:jc w:val="center"/>
    </w:pPr>
    <w:rPr>
      <w:rFonts w:ascii="Verdana" w:hAnsi="Verdana"/>
      <w:b/>
      <w:bCs/>
      <w:spacing w:val="-2"/>
    </w:r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20"/>
    </w:pPr>
  </w:style>
  <w:style w:type="character" w:styleId="14">
    <w:name w:val="FollowedHyperlink"/>
    <w:unhideWhenUsed/>
    <w:qFormat/>
    <w:uiPriority w:val="99"/>
    <w:rPr>
      <w:color w:val="954F72"/>
      <w:u w:val="single"/>
    </w:rPr>
  </w:style>
  <w:style w:type="character" w:styleId="15">
    <w:name w:val="Hyperlink"/>
    <w:basedOn w:val="13"/>
    <w:unhideWhenUsed/>
    <w:qFormat/>
    <w:uiPriority w:val="99"/>
    <w:rPr>
      <w:color w:val="0563C1" w:themeColor="hyperlink"/>
      <w:u w:val="single"/>
      <w14:textFill>
        <w14:solidFill>
          <w14:schemeClr w14:val="hlink"/>
        </w14:solidFill>
      </w14:textFill>
    </w:rPr>
  </w:style>
  <w:style w:type="character" w:styleId="16">
    <w:name w:val="Strong"/>
    <w:basedOn w:val="13"/>
    <w:qFormat/>
    <w:uiPriority w:val="22"/>
    <w:rPr>
      <w:b/>
      <w:bCs/>
    </w:rPr>
  </w:style>
  <w:style w:type="table" w:styleId="18">
    <w:name w:val="Table Grid"/>
    <w:basedOn w:val="17"/>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9">
    <w:name w:val="No Spacing1"/>
    <w:link w:val="20"/>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20">
    <w:name w:val="No Spacing Char"/>
    <w:basedOn w:val="13"/>
    <w:link w:val="19"/>
    <w:qFormat/>
    <w:uiPriority w:val="1"/>
    <w:rPr>
      <w:rFonts w:eastAsiaTheme="minorEastAsia"/>
      <w:lang w:val="en-US"/>
    </w:rPr>
  </w:style>
  <w:style w:type="character" w:customStyle="1" w:styleId="21">
    <w:name w:val="Heading 1 Char"/>
    <w:basedOn w:val="13"/>
    <w:link w:val="2"/>
    <w:qFormat/>
    <w:uiPriority w:val="9"/>
    <w:rPr>
      <w:rFonts w:asciiTheme="majorHAnsi" w:hAnsiTheme="majorHAnsi" w:eastAsiaTheme="majorEastAsia" w:cstheme="majorBidi"/>
      <w:color w:val="2E75B6" w:themeColor="accent1" w:themeShade="BF"/>
      <w:sz w:val="32"/>
      <w:szCs w:val="32"/>
    </w:rPr>
  </w:style>
  <w:style w:type="paragraph" w:customStyle="1" w:styleId="22">
    <w:name w:val="TOC Heading1"/>
    <w:basedOn w:val="2"/>
    <w:next w:val="1"/>
    <w:unhideWhenUsed/>
    <w:qFormat/>
    <w:uiPriority w:val="39"/>
    <w:pPr>
      <w:outlineLvl w:val="9"/>
    </w:pPr>
    <w:rPr>
      <w:lang w:val="en-US"/>
    </w:rPr>
  </w:style>
  <w:style w:type="character" w:customStyle="1" w:styleId="23">
    <w:name w:val="Heading 2 Char"/>
    <w:basedOn w:val="13"/>
    <w:link w:val="3"/>
    <w:qFormat/>
    <w:uiPriority w:val="9"/>
    <w:rPr>
      <w:rFonts w:asciiTheme="majorHAnsi" w:hAnsiTheme="majorHAnsi" w:eastAsiaTheme="majorEastAsia" w:cstheme="majorBidi"/>
      <w:color w:val="2E75B6" w:themeColor="accent1" w:themeShade="BF"/>
      <w:sz w:val="26"/>
      <w:szCs w:val="26"/>
    </w:rPr>
  </w:style>
  <w:style w:type="character" w:customStyle="1" w:styleId="24">
    <w:name w:val="Header Char"/>
    <w:basedOn w:val="13"/>
    <w:link w:val="8"/>
    <w:qFormat/>
    <w:uiPriority w:val="99"/>
  </w:style>
  <w:style w:type="character" w:customStyle="1" w:styleId="25">
    <w:name w:val="Footer Char"/>
    <w:basedOn w:val="13"/>
    <w:link w:val="7"/>
    <w:qFormat/>
    <w:uiPriority w:val="99"/>
  </w:style>
  <w:style w:type="paragraph" w:customStyle="1" w:styleId="26">
    <w:name w:val="List Paragraph1"/>
    <w:basedOn w:val="1"/>
    <w:qFormat/>
    <w:uiPriority w:val="34"/>
    <w:pPr>
      <w:ind w:left="720"/>
      <w:contextualSpacing/>
    </w:pPr>
  </w:style>
  <w:style w:type="paragraph" w:customStyle="1" w:styleId="27">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5.emf"/><Relationship Id="rId8" Type="http://schemas.openxmlformats.org/officeDocument/2006/relationships/image" Target="media/image4.emf"/><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2" Type="http://schemas.openxmlformats.org/officeDocument/2006/relationships/glossaryDocument" Target="glossary/document.xml"/><Relationship Id="rId31" Type="http://schemas.openxmlformats.org/officeDocument/2006/relationships/fontTable" Target="fontTable.xml"/><Relationship Id="rId30" Type="http://schemas.openxmlformats.org/officeDocument/2006/relationships/customXml" Target="../customXml/item2.xml"/><Relationship Id="rId3" Type="http://schemas.openxmlformats.org/officeDocument/2006/relationships/footer" Target="footer1.xml"/><Relationship Id="rId29" Type="http://schemas.openxmlformats.org/officeDocument/2006/relationships/numbering" Target="numbering.xml"/><Relationship Id="rId28" Type="http://schemas.openxmlformats.org/officeDocument/2006/relationships/customXml" Target="../customXml/item1.xml"/><Relationship Id="rId27" Type="http://schemas.openxmlformats.org/officeDocument/2006/relationships/image" Target="media/image23.emf"/><Relationship Id="rId26" Type="http://schemas.openxmlformats.org/officeDocument/2006/relationships/image" Target="media/image22.emf"/><Relationship Id="rId25" Type="http://schemas.openxmlformats.org/officeDocument/2006/relationships/image" Target="media/image21.jpe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jpeg"/><Relationship Id="rId20" Type="http://schemas.openxmlformats.org/officeDocument/2006/relationships/image" Target="media/image16.GIF"/><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emf"/><Relationship Id="rId17" Type="http://schemas.openxmlformats.org/officeDocument/2006/relationships/image" Target="media/image13.jpeg"/><Relationship Id="rId16" Type="http://schemas.openxmlformats.org/officeDocument/2006/relationships/image" Target="media/image12.emf"/><Relationship Id="rId15" Type="http://schemas.openxmlformats.org/officeDocument/2006/relationships/image" Target="media/image11.emf"/><Relationship Id="rId14" Type="http://schemas.openxmlformats.org/officeDocument/2006/relationships/image" Target="media/image10.emf"/><Relationship Id="rId13" Type="http://schemas.openxmlformats.org/officeDocument/2006/relationships/image" Target="media/image9.emf"/><Relationship Id="rId12" Type="http://schemas.openxmlformats.org/officeDocument/2006/relationships/image" Target="media/image8.emf"/><Relationship Id="rId11" Type="http://schemas.openxmlformats.org/officeDocument/2006/relationships/image" Target="media/image7.emf"/><Relationship Id="rId10" Type="http://schemas.openxmlformats.org/officeDocument/2006/relationships/image" Target="media/image6.emf"/><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Helvetica Neue">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DengXian">
    <w:altName w:val="SimSun"/>
    <w:panose1 w:val="02010600030101010101"/>
    <w:charset w:val="86"/>
    <w:family w:val="auto"/>
    <w:pitch w:val="default"/>
    <w:sig w:usb0="00000000" w:usb1="00000000" w:usb2="00000016" w:usb3="00000000" w:csb0="0004000F" w:csb1="00000000"/>
  </w:font>
  <w:font w:name="DengXian Light">
    <w:altName w:val="SimSun"/>
    <w:panose1 w:val="00000000000000000000"/>
    <w:charset w:val="86"/>
    <w:family w:val="auto"/>
    <w:pitch w:val="default"/>
    <w:sig w:usb0="00000000" w:usb1="00000000" w:usb2="00000016" w:usb3="00000000" w:csb0="0004000F" w:csb1="00000000"/>
  </w:font>
  <w:font w:name="Segoe Print">
    <w:panose1 w:val="02000600000000000000"/>
    <w:charset w:val="00"/>
    <w:family w:val="auto"/>
    <w:pitch w:val="default"/>
    <w:sig w:usb0="0000028F" w:usb1="00000000" w:usb2="00000000" w:usb3="00000000" w:csb0="2000009F" w:csb1="4701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656B5A"/>
    <w:rsid w:val="00763D86"/>
    <w:rsid w:val="008C7C8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2C52633-9954-4764-ACEA-BBC637CE17B7}">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20</Pages>
  <Words>2365</Words>
  <Characters>13482</Characters>
  <Lines>112</Lines>
  <Paragraphs>31</Paragraphs>
  <ScaleCrop>false</ScaleCrop>
  <LinksUpToDate>false</LinksUpToDate>
  <CharactersWithSpaces>15816</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2018-02-20T09:00:00Z</dcterms:created>
  <dc:creator>Marie Pitson</dc:creator>
  <cp:lastModifiedBy>shahi</cp:lastModifiedBy>
  <dcterms:modified xsi:type="dcterms:W3CDTF">2018-03-28T23:45:36Z</dcterms:modified>
  <dc:title>Professional Career Development</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