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69FF1" w14:textId="77777777" w:rsidR="00BF33F2" w:rsidRDefault="00BF33F2" w:rsidP="00385FE8">
      <w:pPr>
        <w:rPr>
          <w:rFonts w:ascii="Arial" w:hAnsi="Arial" w:cs="Arial"/>
          <w:b/>
          <w:bCs/>
          <w:color w:val="000000"/>
          <w:sz w:val="22"/>
          <w:szCs w:val="22"/>
        </w:rPr>
      </w:pPr>
    </w:p>
    <w:p w14:paraId="67F0D448" w14:textId="77777777" w:rsidR="00BF33F2" w:rsidRDefault="00BF33F2" w:rsidP="00385FE8">
      <w:pPr>
        <w:rPr>
          <w:rFonts w:ascii="Arial" w:hAnsi="Arial" w:cs="Arial"/>
          <w:b/>
          <w:bCs/>
          <w:color w:val="000000"/>
          <w:sz w:val="22"/>
          <w:szCs w:val="22"/>
        </w:rPr>
      </w:pPr>
    </w:p>
    <w:p w14:paraId="0B02C2E3" w14:textId="77777777" w:rsidR="00BF33F2" w:rsidRDefault="00BF33F2" w:rsidP="00385FE8">
      <w:pPr>
        <w:rPr>
          <w:rFonts w:ascii="Arial" w:hAnsi="Arial" w:cs="Arial"/>
          <w:b/>
          <w:bCs/>
          <w:color w:val="000000"/>
          <w:sz w:val="22"/>
          <w:szCs w:val="22"/>
        </w:rPr>
      </w:pPr>
    </w:p>
    <w:p w14:paraId="58B48555" w14:textId="77777777" w:rsidR="00BF33F2" w:rsidRDefault="00BF33F2" w:rsidP="00385FE8">
      <w:pPr>
        <w:rPr>
          <w:rFonts w:ascii="Arial" w:hAnsi="Arial" w:cs="Arial"/>
          <w:b/>
          <w:bCs/>
          <w:color w:val="000000"/>
          <w:sz w:val="22"/>
          <w:szCs w:val="22"/>
        </w:rPr>
      </w:pPr>
    </w:p>
    <w:p w14:paraId="667FF132" w14:textId="77777777" w:rsidR="00BF33F2" w:rsidRDefault="00BF33F2" w:rsidP="00385FE8">
      <w:pPr>
        <w:rPr>
          <w:rFonts w:ascii="Arial" w:hAnsi="Arial" w:cs="Arial"/>
          <w:b/>
          <w:bCs/>
          <w:color w:val="000000"/>
          <w:sz w:val="22"/>
          <w:szCs w:val="22"/>
        </w:rPr>
      </w:pPr>
    </w:p>
    <w:p w14:paraId="37186F8F" w14:textId="77777777" w:rsidR="00BF33F2" w:rsidRDefault="00BF33F2" w:rsidP="00385FE8">
      <w:pPr>
        <w:rPr>
          <w:rFonts w:ascii="Arial" w:hAnsi="Arial" w:cs="Arial"/>
          <w:b/>
          <w:bCs/>
          <w:color w:val="000000"/>
          <w:sz w:val="22"/>
          <w:szCs w:val="22"/>
        </w:rPr>
      </w:pPr>
    </w:p>
    <w:p w14:paraId="11619E9A" w14:textId="77777777" w:rsidR="00BF33F2" w:rsidRDefault="00BF33F2" w:rsidP="00385FE8">
      <w:pPr>
        <w:rPr>
          <w:rFonts w:ascii="Arial" w:hAnsi="Arial" w:cs="Arial"/>
          <w:b/>
          <w:bCs/>
          <w:color w:val="000000"/>
          <w:sz w:val="22"/>
          <w:szCs w:val="22"/>
        </w:rPr>
      </w:pPr>
    </w:p>
    <w:p w14:paraId="294B3491" w14:textId="77777777" w:rsidR="00BF33F2" w:rsidRDefault="00BF33F2" w:rsidP="00385FE8">
      <w:pPr>
        <w:rPr>
          <w:rFonts w:ascii="Arial" w:hAnsi="Arial" w:cs="Arial"/>
          <w:b/>
          <w:bCs/>
          <w:color w:val="000000"/>
          <w:sz w:val="22"/>
          <w:szCs w:val="22"/>
        </w:rPr>
      </w:pPr>
    </w:p>
    <w:p w14:paraId="53802F80" w14:textId="77777777" w:rsidR="00BF33F2" w:rsidRDefault="00BF33F2" w:rsidP="00385FE8">
      <w:pPr>
        <w:rPr>
          <w:rFonts w:ascii="Arial" w:hAnsi="Arial" w:cs="Arial"/>
          <w:b/>
          <w:bCs/>
          <w:color w:val="000000"/>
          <w:sz w:val="22"/>
          <w:szCs w:val="22"/>
        </w:rPr>
      </w:pPr>
    </w:p>
    <w:p w14:paraId="7862D18E" w14:textId="74F52799" w:rsidR="00BF33F2" w:rsidRDefault="00BF33F2" w:rsidP="00BF33F2">
      <w:pPr>
        <w:spacing w:line="360" w:lineRule="auto"/>
        <w:jc w:val="center"/>
        <w:outlineLvl w:val="0"/>
        <w:rPr>
          <w:rFonts w:ascii="Arial" w:hAnsi="Arial" w:cs="Arial"/>
          <w:b/>
          <w:color w:val="000000" w:themeColor="text1"/>
          <w:kern w:val="36"/>
        </w:rPr>
      </w:pPr>
      <w:r w:rsidRPr="00BF33F2">
        <w:rPr>
          <w:rFonts w:ascii="Arial" w:hAnsi="Arial" w:cs="Arial"/>
          <w:b/>
          <w:color w:val="000000" w:themeColor="text1"/>
          <w:kern w:val="36"/>
        </w:rPr>
        <w:t xml:space="preserve">Sustainable Cruise Ship </w:t>
      </w:r>
      <w:proofErr w:type="spellStart"/>
      <w:r w:rsidRPr="00BF33F2">
        <w:rPr>
          <w:rFonts w:ascii="Arial" w:hAnsi="Arial" w:cs="Arial"/>
          <w:b/>
          <w:color w:val="000000" w:themeColor="text1"/>
          <w:kern w:val="36"/>
        </w:rPr>
        <w:t>Destinatons</w:t>
      </w:r>
      <w:proofErr w:type="spellEnd"/>
      <w:r>
        <w:rPr>
          <w:rFonts w:ascii="Arial" w:hAnsi="Arial" w:cs="Arial"/>
          <w:b/>
          <w:color w:val="000000" w:themeColor="text1"/>
          <w:kern w:val="36"/>
        </w:rPr>
        <w:t>:</w:t>
      </w:r>
    </w:p>
    <w:p w14:paraId="3445C6CE" w14:textId="2CA1FB95" w:rsidR="00BF33F2" w:rsidRDefault="00BF33F2" w:rsidP="00BF33F2">
      <w:pPr>
        <w:spacing w:line="360" w:lineRule="auto"/>
        <w:jc w:val="center"/>
        <w:outlineLvl w:val="0"/>
        <w:rPr>
          <w:rFonts w:ascii="Arial" w:hAnsi="Arial" w:cs="Arial"/>
          <w:b/>
          <w:color w:val="000000" w:themeColor="text1"/>
          <w:kern w:val="36"/>
        </w:rPr>
      </w:pPr>
      <w:r>
        <w:rPr>
          <w:rFonts w:ascii="Arial" w:hAnsi="Arial" w:cs="Arial"/>
          <w:b/>
          <w:color w:val="000000" w:themeColor="text1"/>
          <w:kern w:val="36"/>
        </w:rPr>
        <w:t>Presentation notes &amp; script.</w:t>
      </w:r>
    </w:p>
    <w:p w14:paraId="43B2A2DC" w14:textId="10CF364D" w:rsidR="00BF33F2" w:rsidRDefault="00BF33F2" w:rsidP="00BF33F2">
      <w:pPr>
        <w:spacing w:line="360" w:lineRule="auto"/>
        <w:jc w:val="center"/>
        <w:outlineLvl w:val="0"/>
        <w:rPr>
          <w:rFonts w:ascii="Arial" w:hAnsi="Arial" w:cs="Arial"/>
          <w:bCs/>
          <w:color w:val="000000" w:themeColor="text1"/>
          <w:kern w:val="36"/>
        </w:rPr>
      </w:pPr>
      <w:r>
        <w:rPr>
          <w:rFonts w:ascii="Arial" w:hAnsi="Arial" w:cs="Arial"/>
          <w:bCs/>
          <w:color w:val="000000" w:themeColor="text1"/>
          <w:kern w:val="36"/>
        </w:rPr>
        <w:t>Sustainable Global Tourism &amp; Events, BMTP5023.</w:t>
      </w:r>
    </w:p>
    <w:p w14:paraId="371EAA43" w14:textId="77777777" w:rsidR="00BF33F2" w:rsidRPr="001A713B" w:rsidRDefault="00BF33F2" w:rsidP="00BF33F2">
      <w:pPr>
        <w:spacing w:line="360" w:lineRule="auto"/>
        <w:jc w:val="center"/>
        <w:outlineLvl w:val="0"/>
        <w:rPr>
          <w:rFonts w:ascii="Arial" w:hAnsi="Arial" w:cs="Arial"/>
          <w:bCs/>
          <w:color w:val="000000" w:themeColor="text1"/>
          <w:kern w:val="36"/>
        </w:rPr>
      </w:pPr>
      <w:r w:rsidRPr="001A713B">
        <w:rPr>
          <w:rFonts w:ascii="Arial" w:hAnsi="Arial" w:cs="Arial"/>
          <w:bCs/>
          <w:color w:val="000000" w:themeColor="text1"/>
          <w:kern w:val="36"/>
        </w:rPr>
        <w:t>Deborah Jenkins.</w:t>
      </w:r>
    </w:p>
    <w:p w14:paraId="2E76AC19" w14:textId="77777777" w:rsidR="00BF33F2" w:rsidRPr="001A713B" w:rsidRDefault="00BF33F2" w:rsidP="00BF33F2">
      <w:pPr>
        <w:spacing w:line="360" w:lineRule="auto"/>
        <w:jc w:val="center"/>
        <w:outlineLvl w:val="0"/>
        <w:rPr>
          <w:rFonts w:ascii="Arial" w:hAnsi="Arial" w:cs="Arial"/>
          <w:bCs/>
          <w:color w:val="000000" w:themeColor="text1"/>
          <w:kern w:val="36"/>
        </w:rPr>
      </w:pPr>
      <w:r w:rsidRPr="001A713B">
        <w:rPr>
          <w:rFonts w:ascii="Arial" w:hAnsi="Arial" w:cs="Arial"/>
          <w:bCs/>
          <w:color w:val="000000" w:themeColor="text1"/>
          <w:kern w:val="36"/>
        </w:rPr>
        <w:t xml:space="preserve">Nia </w:t>
      </w:r>
      <w:proofErr w:type="spellStart"/>
      <w:r w:rsidRPr="001A713B">
        <w:rPr>
          <w:rFonts w:ascii="Arial" w:hAnsi="Arial" w:cs="Arial"/>
          <w:bCs/>
          <w:color w:val="000000" w:themeColor="text1"/>
          <w:kern w:val="36"/>
        </w:rPr>
        <w:t>Mugford</w:t>
      </w:r>
      <w:proofErr w:type="spellEnd"/>
      <w:r w:rsidRPr="001A713B">
        <w:rPr>
          <w:rFonts w:ascii="Arial" w:hAnsi="Arial" w:cs="Arial"/>
          <w:bCs/>
          <w:color w:val="000000" w:themeColor="text1"/>
          <w:kern w:val="36"/>
        </w:rPr>
        <w:t>.</w:t>
      </w:r>
    </w:p>
    <w:p w14:paraId="19B51A2B" w14:textId="77777777" w:rsidR="00BF33F2" w:rsidRDefault="00BF33F2" w:rsidP="00BF33F2">
      <w:pPr>
        <w:spacing w:line="360" w:lineRule="auto"/>
        <w:jc w:val="center"/>
        <w:outlineLvl w:val="0"/>
        <w:rPr>
          <w:rFonts w:ascii="Arial" w:hAnsi="Arial" w:cs="Arial"/>
          <w:bCs/>
          <w:color w:val="000000" w:themeColor="text1"/>
          <w:kern w:val="36"/>
        </w:rPr>
      </w:pPr>
      <w:r w:rsidRPr="001A713B">
        <w:rPr>
          <w:rFonts w:ascii="Arial" w:hAnsi="Arial" w:cs="Arial"/>
          <w:bCs/>
          <w:color w:val="000000" w:themeColor="text1"/>
          <w:kern w:val="36"/>
        </w:rPr>
        <w:t>2404769.</w:t>
      </w:r>
    </w:p>
    <w:p w14:paraId="53B9AA5A" w14:textId="6606E2B1" w:rsidR="00BF33F2" w:rsidRPr="00BF33F2" w:rsidRDefault="00BF33F2" w:rsidP="00BF33F2">
      <w:pPr>
        <w:spacing w:line="360" w:lineRule="auto"/>
        <w:jc w:val="center"/>
        <w:outlineLvl w:val="0"/>
        <w:rPr>
          <w:rFonts w:ascii="Arial" w:hAnsi="Arial" w:cs="Arial"/>
          <w:b/>
          <w:color w:val="000000" w:themeColor="text1"/>
          <w:kern w:val="36"/>
        </w:rPr>
      </w:pPr>
      <w:r w:rsidRPr="00BF33F2">
        <w:rPr>
          <w:rFonts w:ascii="Arial" w:hAnsi="Arial" w:cs="Arial"/>
          <w:b/>
          <w:color w:val="000000" w:themeColor="text1"/>
          <w:kern w:val="36"/>
        </w:rPr>
        <w:t xml:space="preserve">Word Count – </w:t>
      </w:r>
      <w:r w:rsidRPr="00BF33F2">
        <w:rPr>
          <w:rFonts w:ascii="Arial" w:hAnsi="Arial" w:cs="Arial"/>
          <w:b/>
          <w:color w:val="000000" w:themeColor="text1"/>
          <w:kern w:val="36"/>
        </w:rPr>
        <w:t>2032</w:t>
      </w:r>
      <w:r w:rsidRPr="00BF33F2">
        <w:rPr>
          <w:rFonts w:ascii="Arial" w:hAnsi="Arial" w:cs="Arial"/>
          <w:b/>
          <w:color w:val="000000" w:themeColor="text1"/>
          <w:kern w:val="36"/>
        </w:rPr>
        <w:t>.</w:t>
      </w:r>
    </w:p>
    <w:p w14:paraId="79225756" w14:textId="77777777" w:rsidR="00BF33F2" w:rsidRDefault="00BF33F2" w:rsidP="00BF33F2">
      <w:pPr>
        <w:jc w:val="center"/>
        <w:rPr>
          <w:rFonts w:ascii="Arial" w:hAnsi="Arial" w:cs="Arial"/>
          <w:b/>
          <w:bCs/>
          <w:color w:val="000000"/>
          <w:sz w:val="22"/>
          <w:szCs w:val="22"/>
        </w:rPr>
      </w:pPr>
    </w:p>
    <w:p w14:paraId="297CF7C4" w14:textId="77777777" w:rsidR="00BF33F2" w:rsidRDefault="00BF33F2" w:rsidP="00385FE8">
      <w:pPr>
        <w:rPr>
          <w:rFonts w:ascii="Arial" w:hAnsi="Arial" w:cs="Arial"/>
          <w:b/>
          <w:bCs/>
          <w:color w:val="000000"/>
          <w:sz w:val="22"/>
          <w:szCs w:val="22"/>
        </w:rPr>
      </w:pPr>
    </w:p>
    <w:p w14:paraId="5C347D17" w14:textId="77777777" w:rsidR="00BF33F2" w:rsidRDefault="00BF33F2" w:rsidP="00385FE8">
      <w:pPr>
        <w:rPr>
          <w:rFonts w:ascii="Arial" w:hAnsi="Arial" w:cs="Arial"/>
          <w:b/>
          <w:bCs/>
          <w:color w:val="000000"/>
          <w:sz w:val="22"/>
          <w:szCs w:val="22"/>
        </w:rPr>
      </w:pPr>
    </w:p>
    <w:p w14:paraId="44C12596" w14:textId="77777777" w:rsidR="00BF33F2" w:rsidRDefault="00BF33F2" w:rsidP="00385FE8">
      <w:pPr>
        <w:rPr>
          <w:rFonts w:ascii="Arial" w:hAnsi="Arial" w:cs="Arial"/>
          <w:b/>
          <w:bCs/>
          <w:color w:val="000000"/>
          <w:sz w:val="22"/>
          <w:szCs w:val="22"/>
        </w:rPr>
      </w:pPr>
    </w:p>
    <w:p w14:paraId="62501737" w14:textId="77777777" w:rsidR="00BF33F2" w:rsidRDefault="00BF33F2" w:rsidP="00385FE8">
      <w:pPr>
        <w:rPr>
          <w:rFonts w:ascii="Arial" w:hAnsi="Arial" w:cs="Arial"/>
          <w:b/>
          <w:bCs/>
          <w:color w:val="000000"/>
          <w:sz w:val="22"/>
          <w:szCs w:val="22"/>
        </w:rPr>
      </w:pPr>
    </w:p>
    <w:p w14:paraId="11D42928" w14:textId="77777777" w:rsidR="00BF33F2" w:rsidRDefault="00BF33F2" w:rsidP="00385FE8">
      <w:pPr>
        <w:rPr>
          <w:rFonts w:ascii="Arial" w:hAnsi="Arial" w:cs="Arial"/>
          <w:b/>
          <w:bCs/>
          <w:color w:val="000000"/>
          <w:sz w:val="22"/>
          <w:szCs w:val="22"/>
        </w:rPr>
      </w:pPr>
    </w:p>
    <w:p w14:paraId="72983CD1" w14:textId="77777777" w:rsidR="00BF33F2" w:rsidRDefault="00BF33F2" w:rsidP="00385FE8">
      <w:pPr>
        <w:rPr>
          <w:rFonts w:ascii="Arial" w:hAnsi="Arial" w:cs="Arial"/>
          <w:b/>
          <w:bCs/>
          <w:color w:val="000000"/>
          <w:sz w:val="22"/>
          <w:szCs w:val="22"/>
        </w:rPr>
      </w:pPr>
    </w:p>
    <w:p w14:paraId="2BD7FB74" w14:textId="77777777" w:rsidR="00BF33F2" w:rsidRDefault="00BF33F2" w:rsidP="00385FE8">
      <w:pPr>
        <w:rPr>
          <w:rFonts w:ascii="Arial" w:hAnsi="Arial" w:cs="Arial"/>
          <w:b/>
          <w:bCs/>
          <w:color w:val="000000"/>
          <w:sz w:val="22"/>
          <w:szCs w:val="22"/>
        </w:rPr>
      </w:pPr>
    </w:p>
    <w:p w14:paraId="140FFC2F" w14:textId="77777777" w:rsidR="00BF33F2" w:rsidRDefault="00BF33F2" w:rsidP="00385FE8">
      <w:pPr>
        <w:rPr>
          <w:rFonts w:ascii="Arial" w:hAnsi="Arial" w:cs="Arial"/>
          <w:b/>
          <w:bCs/>
          <w:color w:val="000000"/>
          <w:sz w:val="22"/>
          <w:szCs w:val="22"/>
        </w:rPr>
      </w:pPr>
    </w:p>
    <w:p w14:paraId="70F57693" w14:textId="77777777" w:rsidR="00BF33F2" w:rsidRDefault="00BF33F2" w:rsidP="00385FE8">
      <w:pPr>
        <w:rPr>
          <w:rFonts w:ascii="Arial" w:hAnsi="Arial" w:cs="Arial"/>
          <w:b/>
          <w:bCs/>
          <w:color w:val="000000"/>
          <w:sz w:val="22"/>
          <w:szCs w:val="22"/>
        </w:rPr>
      </w:pPr>
    </w:p>
    <w:p w14:paraId="1935C5B9" w14:textId="77777777" w:rsidR="00BF33F2" w:rsidRDefault="00BF33F2" w:rsidP="00385FE8">
      <w:pPr>
        <w:rPr>
          <w:rFonts w:ascii="Arial" w:hAnsi="Arial" w:cs="Arial"/>
          <w:b/>
          <w:bCs/>
          <w:color w:val="000000"/>
          <w:sz w:val="22"/>
          <w:szCs w:val="22"/>
        </w:rPr>
      </w:pPr>
    </w:p>
    <w:p w14:paraId="70871FC1" w14:textId="77777777" w:rsidR="00BF33F2" w:rsidRDefault="00BF33F2" w:rsidP="00385FE8">
      <w:pPr>
        <w:rPr>
          <w:rFonts w:ascii="Arial" w:hAnsi="Arial" w:cs="Arial"/>
          <w:b/>
          <w:bCs/>
          <w:color w:val="000000"/>
          <w:sz w:val="22"/>
          <w:szCs w:val="22"/>
        </w:rPr>
      </w:pPr>
    </w:p>
    <w:p w14:paraId="030CC15B" w14:textId="77777777" w:rsidR="00BF33F2" w:rsidRDefault="00BF33F2" w:rsidP="00385FE8">
      <w:pPr>
        <w:rPr>
          <w:rFonts w:ascii="Arial" w:hAnsi="Arial" w:cs="Arial"/>
          <w:b/>
          <w:bCs/>
          <w:color w:val="000000"/>
          <w:sz w:val="22"/>
          <w:szCs w:val="22"/>
        </w:rPr>
      </w:pPr>
    </w:p>
    <w:p w14:paraId="3B0158CC" w14:textId="77777777" w:rsidR="00BF33F2" w:rsidRDefault="00BF33F2" w:rsidP="00BF33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sz w:val="22"/>
          <w:szCs w:val="22"/>
        </w:rPr>
      </w:pPr>
      <w:r>
        <w:rPr>
          <w:rFonts w:ascii="Arial" w:hAnsi="Arial" w:cs="Arial"/>
          <w:color w:val="000000"/>
          <w:kern w:val="0"/>
          <w:sz w:val="22"/>
          <w:szCs w:val="22"/>
        </w:rPr>
        <w:lastRenderedPageBreak/>
        <w:t>I confirm that I have not used any AI tools in the research and creation of this assignment. I</w:t>
      </w:r>
    </w:p>
    <w:p w14:paraId="3DB85124" w14:textId="77777777" w:rsidR="00BF33F2" w:rsidRDefault="00BF33F2" w:rsidP="00BF33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sz w:val="22"/>
          <w:szCs w:val="22"/>
        </w:rPr>
      </w:pPr>
      <w:r>
        <w:rPr>
          <w:rFonts w:ascii="Arial" w:hAnsi="Arial" w:cs="Arial"/>
          <w:color w:val="000000"/>
          <w:kern w:val="0"/>
          <w:sz w:val="22"/>
          <w:szCs w:val="22"/>
        </w:rPr>
        <w:t>confirm that I have not presented any AI generated materials as my own work. I confirm I</w:t>
      </w:r>
    </w:p>
    <w:p w14:paraId="630DB368" w14:textId="77777777" w:rsidR="00BF33F2" w:rsidRDefault="00BF33F2" w:rsidP="00BF33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kern w:val="0"/>
          <w:sz w:val="22"/>
          <w:szCs w:val="22"/>
        </w:rPr>
      </w:pPr>
      <w:r>
        <w:rPr>
          <w:rFonts w:ascii="Arial" w:hAnsi="Arial" w:cs="Arial"/>
          <w:color w:val="000000"/>
          <w:kern w:val="0"/>
          <w:sz w:val="22"/>
          <w:szCs w:val="22"/>
        </w:rPr>
        <w:t>have copies of my drafts, notes, and other resources I used, which I may be asked to</w:t>
      </w:r>
    </w:p>
    <w:p w14:paraId="3125FD7D" w14:textId="1FA89B1D" w:rsidR="00BF33F2" w:rsidRDefault="00BF33F2" w:rsidP="00BF33F2">
      <w:pPr>
        <w:rPr>
          <w:rFonts w:ascii="Arial" w:hAnsi="Arial" w:cs="Arial"/>
          <w:b/>
          <w:bCs/>
          <w:color w:val="000000"/>
          <w:sz w:val="22"/>
          <w:szCs w:val="22"/>
        </w:rPr>
      </w:pPr>
      <w:r>
        <w:rPr>
          <w:rFonts w:ascii="Arial" w:hAnsi="Arial" w:cs="Arial"/>
          <w:color w:val="000000"/>
          <w:kern w:val="0"/>
          <w:sz w:val="22"/>
          <w:szCs w:val="22"/>
        </w:rPr>
        <w:t>provide in evidence.</w:t>
      </w:r>
    </w:p>
    <w:p w14:paraId="3A18CAB7" w14:textId="7002A94E" w:rsidR="00352FFF" w:rsidRDefault="00352FFF" w:rsidP="00385FE8">
      <w:pPr>
        <w:rPr>
          <w:rFonts w:ascii="Arial" w:hAnsi="Arial" w:cs="Arial"/>
          <w:color w:val="000000"/>
          <w:sz w:val="22"/>
          <w:szCs w:val="22"/>
        </w:rPr>
      </w:pPr>
      <w:r w:rsidRPr="00352FFF">
        <w:rPr>
          <w:rFonts w:ascii="Arial" w:hAnsi="Arial" w:cs="Arial"/>
          <w:b/>
          <w:bCs/>
          <w:color w:val="000000"/>
          <w:sz w:val="22"/>
          <w:szCs w:val="22"/>
        </w:rPr>
        <w:t>Nia introduction</w:t>
      </w:r>
      <w:r>
        <w:rPr>
          <w:rFonts w:ascii="Arial" w:hAnsi="Arial" w:cs="Arial"/>
          <w:color w:val="000000"/>
          <w:sz w:val="22"/>
          <w:szCs w:val="22"/>
        </w:rPr>
        <w:t xml:space="preserve"> - this presentation covers the subject of the sustainability of certain cruise ship destinations- namely the Caribbean islands. Whilst working to create this document, we have each individually evaluated several sustainable strategies that addressed factors such as environmental stewardship, economic viability, social inclusivity, and cultural sensitivity.</w:t>
      </w:r>
    </w:p>
    <w:p w14:paraId="204D6C1D" w14:textId="75275218" w:rsidR="00385FE8" w:rsidRDefault="00352FFF" w:rsidP="00385FE8">
      <w:pPr>
        <w:rPr>
          <w:rFonts w:ascii="Arial" w:hAnsi="Arial" w:cs="Arial"/>
          <w:color w:val="000000"/>
          <w:sz w:val="22"/>
          <w:szCs w:val="22"/>
        </w:rPr>
      </w:pPr>
      <w:r w:rsidRPr="00352FFF">
        <w:rPr>
          <w:rFonts w:ascii="Arial" w:hAnsi="Arial" w:cs="Arial"/>
          <w:b/>
          <w:bCs/>
          <w:color w:val="000000"/>
          <w:sz w:val="22"/>
          <w:szCs w:val="22"/>
        </w:rPr>
        <w:t>Slide 1</w:t>
      </w:r>
      <w:r>
        <w:rPr>
          <w:rFonts w:ascii="Arial" w:hAnsi="Arial" w:cs="Arial"/>
          <w:color w:val="000000"/>
          <w:sz w:val="22"/>
          <w:szCs w:val="22"/>
        </w:rPr>
        <w:t xml:space="preserve"> - </w:t>
      </w:r>
      <w:r w:rsidR="00385FE8" w:rsidRPr="00385FE8">
        <w:rPr>
          <w:rFonts w:ascii="Arial" w:hAnsi="Arial" w:cs="Arial"/>
          <w:color w:val="000000"/>
          <w:sz w:val="22"/>
          <w:szCs w:val="22"/>
        </w:rPr>
        <w:t>In order to implement the protection of marine and coastal ecosystems within Caribbean Island port destinations, it’s crucial to address multiple anthropogenic factors whilst working to implement coordinated management strategies. These ecosystems within the Caribbean have been facing a decline for decades as a result of human activities that are associated with the development of these cruise ports. Marina spatial planning (MSP) has been identified as an approach to help manage large-scale ecological processes, alongside human impacts, including impacts such as port activities, through integrating ecosystem management principles throughout coastal and marine areas (Aguilar, 2014). Coastal ecosystems within the Wider Caribbean are now entering their fifth decade of rapid decline- some of the best documentation of this decline was carried out but the Association of Marine Laboratories of the Caribbean (AMLC). Caribbean conservation pioneers established marine protected areas (MPAs)</w:t>
      </w:r>
      <w:r w:rsidR="00385FE8">
        <w:rPr>
          <w:rFonts w:ascii="Arial" w:hAnsi="Arial" w:cs="Arial"/>
          <w:color w:val="000000"/>
          <w:sz w:val="22"/>
          <w:szCs w:val="22"/>
        </w:rPr>
        <w:t xml:space="preserve">, which are areas </w:t>
      </w:r>
      <w:r w:rsidR="00385FE8" w:rsidRPr="00385FE8">
        <w:rPr>
          <w:rFonts w:ascii="Arial" w:hAnsi="Arial" w:cs="Arial"/>
          <w:color w:val="000000"/>
          <w:sz w:val="22"/>
          <w:szCs w:val="22"/>
        </w:rPr>
        <w:t>where human activities like fishing, drilling, and anchoring are restricted or managed to protect marine ecosystems</w:t>
      </w:r>
      <w:r w:rsidR="00385FE8">
        <w:rPr>
          <w:rFonts w:ascii="Arial" w:hAnsi="Arial" w:cs="Arial"/>
          <w:color w:val="000000"/>
          <w:sz w:val="22"/>
          <w:szCs w:val="22"/>
        </w:rPr>
        <w:t xml:space="preserve">, </w:t>
      </w:r>
      <w:r w:rsidR="00385FE8" w:rsidRPr="00385FE8">
        <w:rPr>
          <w:rFonts w:ascii="Arial" w:hAnsi="Arial" w:cs="Arial"/>
          <w:color w:val="000000"/>
          <w:sz w:val="22"/>
          <w:szCs w:val="22"/>
        </w:rPr>
        <w:t>due to the alarming trends</w:t>
      </w:r>
      <w:r w:rsidR="00385FE8">
        <w:rPr>
          <w:rFonts w:ascii="Arial" w:hAnsi="Arial" w:cs="Arial"/>
          <w:color w:val="000000"/>
          <w:sz w:val="22"/>
          <w:szCs w:val="22"/>
        </w:rPr>
        <w:t>.</w:t>
      </w:r>
      <w:r w:rsidR="00385FE8" w:rsidRPr="00385FE8">
        <w:rPr>
          <w:rFonts w:ascii="Arial" w:hAnsi="Arial" w:cs="Arial"/>
          <w:color w:val="000000"/>
          <w:sz w:val="22"/>
          <w:szCs w:val="22"/>
        </w:rPr>
        <w:t xml:space="preserve"> </w:t>
      </w:r>
      <w:r w:rsidR="00385FE8">
        <w:rPr>
          <w:rFonts w:ascii="Arial" w:hAnsi="Arial" w:cs="Arial"/>
          <w:color w:val="000000"/>
          <w:sz w:val="22"/>
          <w:szCs w:val="22"/>
        </w:rPr>
        <w:t>U</w:t>
      </w:r>
      <w:r w:rsidR="00385FE8" w:rsidRPr="00385FE8">
        <w:rPr>
          <w:rFonts w:ascii="Arial" w:hAnsi="Arial" w:cs="Arial"/>
          <w:color w:val="000000"/>
          <w:sz w:val="22"/>
          <w:szCs w:val="22"/>
        </w:rPr>
        <w:t xml:space="preserve">nfortunately, many have little to no protection, and are now known to be too small to be effective in sustaining coastal ecosystems (Aguilar, 2014). Through the scientific expertise and the political connections of its member institutions, the AMLC is currently well-positioned to help with implementing a pilot project; a first step with ecosystem-based management has been considerably successful elsewhere with the </w:t>
      </w:r>
      <w:proofErr w:type="gramStart"/>
      <w:r w:rsidR="00385FE8" w:rsidRPr="00385FE8">
        <w:rPr>
          <w:rFonts w:ascii="Arial" w:hAnsi="Arial" w:cs="Arial"/>
          <w:color w:val="000000"/>
          <w:sz w:val="22"/>
          <w:szCs w:val="22"/>
        </w:rPr>
        <w:t>MSP, and</w:t>
      </w:r>
      <w:proofErr w:type="gramEnd"/>
      <w:r w:rsidR="00385FE8" w:rsidRPr="00385FE8">
        <w:rPr>
          <w:rFonts w:ascii="Arial" w:hAnsi="Arial" w:cs="Arial"/>
          <w:color w:val="000000"/>
          <w:sz w:val="22"/>
          <w:szCs w:val="22"/>
        </w:rPr>
        <w:t xml:space="preserve"> holds the best opportunity of sustaining human use whilst conserving the coral reefs and other ecosystems (Aguilar, 2014).</w:t>
      </w:r>
    </w:p>
    <w:p w14:paraId="6F852DDC" w14:textId="61BECD94" w:rsidR="00385FE8" w:rsidRDefault="00385FE8" w:rsidP="00385FE8">
      <w:pPr>
        <w:rPr>
          <w:rFonts w:ascii="Arial" w:hAnsi="Arial" w:cs="Arial"/>
          <w:color w:val="000000"/>
          <w:sz w:val="22"/>
          <w:szCs w:val="22"/>
        </w:rPr>
      </w:pPr>
      <w:r>
        <w:rPr>
          <w:rFonts w:ascii="Arial" w:hAnsi="Arial" w:cs="Arial"/>
          <w:color w:val="000000"/>
          <w:sz w:val="22"/>
          <w:szCs w:val="22"/>
        </w:rPr>
        <w:t>Arrangements made within the Caribbean Community (CARICOM) reveal that whilst sectors such as fishing and tourism have regional coordinationation, other sectors like offshore oil and gas, and shipping developments lack a similar framework</w:t>
      </w:r>
      <w:r w:rsidRPr="00385FE8">
        <w:rPr>
          <w:rFonts w:ascii="Arial" w:hAnsi="Arial" w:cs="Arial"/>
          <w:color w:val="000000"/>
          <w:sz w:val="22"/>
          <w:szCs w:val="22"/>
        </w:rPr>
        <w:t>; this gap then contributes to isolated management approaches, as well as limited intersectoral coordination, which serves to hinder protection of marine ecosystems in these port areas (</w:t>
      </w:r>
      <w:proofErr w:type="spellStart"/>
      <w:r w:rsidRPr="00385FE8">
        <w:rPr>
          <w:rFonts w:ascii="Arial" w:hAnsi="Arial" w:cs="Arial"/>
          <w:color w:val="000000"/>
          <w:sz w:val="22"/>
          <w:szCs w:val="22"/>
        </w:rPr>
        <w:t>Hassanali</w:t>
      </w:r>
      <w:proofErr w:type="spellEnd"/>
      <w:r w:rsidRPr="00385FE8">
        <w:rPr>
          <w:rFonts w:ascii="Arial" w:hAnsi="Arial" w:cs="Arial"/>
          <w:color w:val="000000"/>
          <w:sz w:val="22"/>
          <w:szCs w:val="22"/>
        </w:rPr>
        <w:t>, 2022).</w:t>
      </w:r>
      <w:r>
        <w:rPr>
          <w:rFonts w:ascii="Arial" w:hAnsi="Arial" w:cs="Arial"/>
          <w:color w:val="000000"/>
          <w:sz w:val="22"/>
          <w:szCs w:val="22"/>
        </w:rPr>
        <w:t xml:space="preserve"> Members of CARICOM exhibit strong social, cultural, and economic connections with the marine coastal environment; efforts to encourage the sustainable use of the ocean and protection of its resources should, as a result, be an area of interest (</w:t>
      </w:r>
      <w:proofErr w:type="spellStart"/>
      <w:r>
        <w:rPr>
          <w:rFonts w:ascii="Arial" w:hAnsi="Arial" w:cs="Arial"/>
          <w:color w:val="000000"/>
          <w:sz w:val="22"/>
          <w:szCs w:val="22"/>
        </w:rPr>
        <w:t>Hassanali</w:t>
      </w:r>
      <w:proofErr w:type="spellEnd"/>
      <w:r>
        <w:rPr>
          <w:rFonts w:ascii="Arial" w:hAnsi="Arial" w:cs="Arial"/>
          <w:color w:val="000000"/>
          <w:sz w:val="22"/>
          <w:szCs w:val="22"/>
        </w:rPr>
        <w:t xml:space="preserve">, 2022). </w:t>
      </w:r>
    </w:p>
    <w:p w14:paraId="048C8798" w14:textId="08E37ECC" w:rsidR="00385FE8" w:rsidRDefault="00385FE8" w:rsidP="00385FE8">
      <w:pPr>
        <w:rPr>
          <w:rFonts w:ascii="Arial" w:hAnsi="Arial" w:cs="Arial"/>
          <w:color w:val="000000"/>
          <w:sz w:val="22"/>
          <w:szCs w:val="22"/>
        </w:rPr>
      </w:pPr>
      <w:r>
        <w:rPr>
          <w:rFonts w:ascii="Arial" w:hAnsi="Arial" w:cs="Arial"/>
          <w:color w:val="000000"/>
          <w:sz w:val="22"/>
          <w:szCs w:val="22"/>
        </w:rPr>
        <w:t xml:space="preserve">In the Dominican Republic, a Caribbean nation on the island of Hispaniola, movements such as the establishment of MPAs, the enforcement of fishing regulations, water quality improvements, and the control of invasive species, have all contributed to maintaining reef health, in spite of the disturbances faced from the cruise industry. These actions have served </w:t>
      </w:r>
      <w:r w:rsidRPr="00385FE8">
        <w:rPr>
          <w:rFonts w:ascii="Arial" w:hAnsi="Arial" w:cs="Arial"/>
          <w:color w:val="000000"/>
          <w:sz w:val="22"/>
          <w:szCs w:val="22"/>
        </w:rPr>
        <w:t>to highlight the significance of local stakeholder involvement, as well as policy support when it comes to protecting the coastal ecosystems near human activities (Cortés-</w:t>
      </w:r>
      <w:proofErr w:type="spellStart"/>
      <w:r w:rsidRPr="00385FE8">
        <w:rPr>
          <w:rFonts w:ascii="Arial" w:hAnsi="Arial" w:cs="Arial"/>
          <w:color w:val="000000"/>
          <w:sz w:val="22"/>
          <w:szCs w:val="22"/>
        </w:rPr>
        <w:t>Useche</w:t>
      </w:r>
      <w:proofErr w:type="spellEnd"/>
      <w:r w:rsidRPr="00385FE8">
        <w:rPr>
          <w:rFonts w:ascii="Arial" w:hAnsi="Arial" w:cs="Arial"/>
          <w:color w:val="000000"/>
          <w:sz w:val="22"/>
          <w:szCs w:val="22"/>
        </w:rPr>
        <w:t xml:space="preserve"> et al., 2021).</w:t>
      </w:r>
      <w:r>
        <w:rPr>
          <w:rFonts w:ascii="Arial" w:hAnsi="Arial" w:cs="Arial"/>
          <w:color w:val="000000"/>
          <w:sz w:val="22"/>
          <w:szCs w:val="22"/>
        </w:rPr>
        <w:t xml:space="preserve"> </w:t>
      </w:r>
    </w:p>
    <w:p w14:paraId="0A08EAE4" w14:textId="578E61BC" w:rsidR="00385FE8" w:rsidRDefault="00385FE8" w:rsidP="00385FE8">
      <w:pPr>
        <w:rPr>
          <w:rFonts w:ascii="Arial" w:hAnsi="Arial" w:cs="Arial"/>
          <w:color w:val="000000"/>
          <w:sz w:val="22"/>
          <w:szCs w:val="22"/>
        </w:rPr>
      </w:pPr>
      <w:r>
        <w:rPr>
          <w:rFonts w:ascii="Arial" w:hAnsi="Arial" w:cs="Arial"/>
          <w:color w:val="000000"/>
          <w:sz w:val="22"/>
          <w:szCs w:val="22"/>
        </w:rPr>
        <w:t xml:space="preserve">To surmise, the primary causes of harm relating to marine life within the Caribbean, relates to significant environmental pressures from tourism-related activities, combined with </w:t>
      </w:r>
      <w:r>
        <w:rPr>
          <w:rFonts w:ascii="Arial" w:hAnsi="Arial" w:cs="Arial"/>
          <w:color w:val="000000"/>
          <w:sz w:val="22"/>
          <w:szCs w:val="22"/>
        </w:rPr>
        <w:lastRenderedPageBreak/>
        <w:t xml:space="preserve">challenges regarding the enforcement of protection and the presence of marine debris. These elements cumulatively impact and influence the health of coral reefs and marine ecosystems </w:t>
      </w:r>
      <w:r>
        <w:rPr>
          <w:rFonts w:ascii="Arial" w:hAnsi="Arial" w:cs="Arial"/>
          <w:color w:val="000000"/>
        </w:rPr>
        <w:t>(</w:t>
      </w:r>
      <w:proofErr w:type="spellStart"/>
      <w:r>
        <w:rPr>
          <w:rFonts w:ascii="Arial" w:hAnsi="Arial" w:cs="Arial"/>
          <w:color w:val="000000"/>
        </w:rPr>
        <w:t>Nezha</w:t>
      </w:r>
      <w:proofErr w:type="spellEnd"/>
      <w:r>
        <w:rPr>
          <w:rFonts w:ascii="Arial" w:hAnsi="Arial" w:cs="Arial"/>
          <w:color w:val="000000"/>
        </w:rPr>
        <w:t xml:space="preserve"> </w:t>
      </w:r>
      <w:proofErr w:type="spellStart"/>
      <w:r>
        <w:rPr>
          <w:rFonts w:ascii="Arial" w:hAnsi="Arial" w:cs="Arial"/>
          <w:color w:val="000000"/>
        </w:rPr>
        <w:t>Mejjad</w:t>
      </w:r>
      <w:proofErr w:type="spellEnd"/>
      <w:r>
        <w:rPr>
          <w:rFonts w:ascii="Arial" w:hAnsi="Arial" w:cs="Arial"/>
          <w:color w:val="000000"/>
        </w:rPr>
        <w:t xml:space="preserve"> et al., 2023)</w:t>
      </w:r>
      <w:r w:rsidR="00352FFF">
        <w:rPr>
          <w:rFonts w:ascii="Arial" w:hAnsi="Arial" w:cs="Arial"/>
          <w:color w:val="000000"/>
          <w:sz w:val="22"/>
          <w:szCs w:val="22"/>
        </w:rPr>
        <w:t>.</w:t>
      </w:r>
    </w:p>
    <w:p w14:paraId="4D67775F" w14:textId="242AFC98" w:rsidR="00352FFF" w:rsidRDefault="00352FFF" w:rsidP="00385FE8">
      <w:pPr>
        <w:rPr>
          <w:rFonts w:ascii="Arial" w:hAnsi="Arial" w:cs="Arial"/>
          <w:b/>
          <w:bCs/>
          <w:color w:val="000000"/>
          <w:sz w:val="22"/>
          <w:szCs w:val="22"/>
        </w:rPr>
      </w:pPr>
      <w:r>
        <w:rPr>
          <w:rFonts w:ascii="Arial" w:hAnsi="Arial" w:cs="Arial"/>
          <w:b/>
          <w:bCs/>
          <w:color w:val="000000"/>
          <w:sz w:val="22"/>
          <w:szCs w:val="22"/>
        </w:rPr>
        <w:t xml:space="preserve">Economic viability slide introduction - </w:t>
      </w:r>
      <w:r>
        <w:rPr>
          <w:rFonts w:ascii="Arial" w:hAnsi="Arial" w:cs="Arial"/>
          <w:color w:val="000000"/>
          <w:sz w:val="22"/>
          <w:szCs w:val="22"/>
        </w:rPr>
        <w:t>The economic viability of the cruise sector within the Caribbean islands is dependent on several factors, including- but not limited to- the contribution of cruise tourism to local national economies (how many jobs are created, how much revenue is generated etc), the risk that nations run of growing dependent on cruise tourism, the ability to balance the profitability of certain cruise lines with the sustainability of port operations, and the reinvestment of finances back into the local infrastructure.</w:t>
      </w:r>
    </w:p>
    <w:p w14:paraId="370B365B" w14:textId="67B2B21A" w:rsidR="00385FE8" w:rsidRDefault="00352FFF" w:rsidP="00385FE8">
      <w:pPr>
        <w:rPr>
          <w:rFonts w:ascii="Arial" w:hAnsi="Arial" w:cs="Arial"/>
          <w:color w:val="000000"/>
          <w:sz w:val="22"/>
          <w:szCs w:val="22"/>
        </w:rPr>
      </w:pPr>
      <w:r w:rsidRPr="00352FFF">
        <w:rPr>
          <w:rFonts w:ascii="Arial" w:hAnsi="Arial" w:cs="Arial"/>
          <w:b/>
          <w:bCs/>
          <w:color w:val="000000"/>
          <w:sz w:val="22"/>
          <w:szCs w:val="22"/>
        </w:rPr>
        <w:t>Slide 2</w:t>
      </w:r>
      <w:r>
        <w:rPr>
          <w:rFonts w:ascii="Arial" w:hAnsi="Arial" w:cs="Arial"/>
          <w:color w:val="000000"/>
          <w:sz w:val="22"/>
          <w:szCs w:val="22"/>
        </w:rPr>
        <w:t xml:space="preserve"> - </w:t>
      </w:r>
      <w:r w:rsidR="00385FE8" w:rsidRPr="00385FE8">
        <w:rPr>
          <w:rFonts w:ascii="Arial" w:hAnsi="Arial" w:cs="Arial"/>
          <w:color w:val="000000"/>
          <w:sz w:val="22"/>
          <w:szCs w:val="22"/>
        </w:rPr>
        <w:t>Reinvesting into local infrastructure is a critical factor that helps with enhancing the capabilities of cruise ports, whilst also supporting the growth of the tourism sector</w:t>
      </w:r>
      <w:r w:rsidR="00385FE8">
        <w:rPr>
          <w:rFonts w:ascii="Arial" w:hAnsi="Arial" w:cs="Arial"/>
          <w:color w:val="000000"/>
          <w:sz w:val="22"/>
          <w:szCs w:val="22"/>
        </w:rPr>
        <w:t xml:space="preserve"> </w:t>
      </w:r>
      <w:r w:rsidR="00385FE8" w:rsidRPr="00385FE8">
        <w:rPr>
          <w:rFonts w:ascii="Arial" w:hAnsi="Arial" w:cs="Arial"/>
          <w:color w:val="000000"/>
          <w:sz w:val="22"/>
          <w:szCs w:val="22"/>
        </w:rPr>
        <w:t xml:space="preserve">(Jordan, 2013). </w:t>
      </w:r>
      <w:r w:rsidR="00385FE8">
        <w:rPr>
          <w:rFonts w:ascii="Arial" w:hAnsi="Arial" w:cs="Arial"/>
          <w:color w:val="000000"/>
          <w:sz w:val="22"/>
          <w:szCs w:val="22"/>
        </w:rPr>
        <w:t xml:space="preserve">The Caribbean is the top cruise region of the world, and as a result of the continued growth of the sector, </w:t>
      </w:r>
      <w:r w:rsidR="00385FE8" w:rsidRPr="00385FE8">
        <w:rPr>
          <w:rFonts w:ascii="Arial" w:hAnsi="Arial" w:cs="Arial"/>
          <w:color w:val="000000"/>
          <w:sz w:val="22"/>
          <w:szCs w:val="22"/>
        </w:rPr>
        <w:t>The Government of Trinidad and Tobago</w:t>
      </w:r>
      <w:r w:rsidR="00385FE8">
        <w:rPr>
          <w:rFonts w:ascii="Arial" w:hAnsi="Arial" w:cs="Arial"/>
          <w:color w:val="000000"/>
          <w:sz w:val="22"/>
          <w:szCs w:val="22"/>
        </w:rPr>
        <w:t xml:space="preserve"> (GOTT)</w:t>
      </w:r>
      <w:r w:rsidR="00385FE8" w:rsidRPr="00385FE8">
        <w:rPr>
          <w:rFonts w:ascii="Arial" w:hAnsi="Arial" w:cs="Arial"/>
          <w:color w:val="000000"/>
          <w:sz w:val="22"/>
          <w:szCs w:val="22"/>
        </w:rPr>
        <w:t xml:space="preserve"> has recognised and identified the cruise sector as a niche </w:t>
      </w:r>
      <w:proofErr w:type="gramStart"/>
      <w:r w:rsidR="00385FE8" w:rsidRPr="00385FE8">
        <w:rPr>
          <w:rFonts w:ascii="Arial" w:hAnsi="Arial" w:cs="Arial"/>
          <w:color w:val="000000"/>
          <w:sz w:val="22"/>
          <w:szCs w:val="22"/>
        </w:rPr>
        <w:t>market, and</w:t>
      </w:r>
      <w:proofErr w:type="gramEnd"/>
      <w:r w:rsidR="00385FE8" w:rsidRPr="00385FE8">
        <w:rPr>
          <w:rFonts w:ascii="Arial" w:hAnsi="Arial" w:cs="Arial"/>
          <w:color w:val="000000"/>
          <w:sz w:val="22"/>
          <w:szCs w:val="22"/>
        </w:rPr>
        <w:t xml:space="preserve"> has subsequently made investments into cruise port facilities</w:t>
      </w:r>
      <w:r w:rsidR="00385FE8">
        <w:rPr>
          <w:rFonts w:ascii="Arial" w:hAnsi="Arial" w:cs="Arial"/>
          <w:color w:val="000000"/>
          <w:sz w:val="22"/>
          <w:szCs w:val="22"/>
        </w:rPr>
        <w:t>.</w:t>
      </w:r>
    </w:p>
    <w:p w14:paraId="6680E78E" w14:textId="56AF44D2" w:rsidR="00385FE8" w:rsidRDefault="00385FE8" w:rsidP="00385FE8">
      <w:pPr>
        <w:rPr>
          <w:rFonts w:ascii="Arial" w:hAnsi="Arial" w:cs="Arial"/>
          <w:color w:val="000000"/>
          <w:sz w:val="22"/>
          <w:szCs w:val="22"/>
        </w:rPr>
      </w:pPr>
      <w:r>
        <w:rPr>
          <w:rFonts w:ascii="Arial" w:hAnsi="Arial" w:cs="Arial"/>
          <w:color w:val="000000"/>
          <w:sz w:val="22"/>
          <w:szCs w:val="22"/>
        </w:rPr>
        <w:t xml:space="preserve">Reports have also shown that there is an increased interest from the South American market within the cruise industry, which presents an ideal opportunity for Trinidad and Tobago to present itself as a cruise hub within the southern Caribbean, given its geographical location (Jordan, 2013). Research has proven that the destination is currently not ready to become a homeport, as a result of its inadequate facilities and existing infrastructure; respondents’ recommendations consist of the need for greater incentives to cruise companies in order to found initiate start homeport operations in Trinidad and Tobago, the need to develop basic infrastructural facilities to accommodate the larger, mega cruise ships, </w:t>
      </w:r>
      <w:r w:rsidRPr="00385FE8">
        <w:rPr>
          <w:rFonts w:ascii="Arial" w:hAnsi="Arial" w:cs="Arial"/>
          <w:color w:val="000000"/>
          <w:sz w:val="22"/>
          <w:szCs w:val="22"/>
        </w:rPr>
        <w:t>whilst also establishing a National Cruise Tourism Policy to support these reinvestment efforts (Jordan, 2013).</w:t>
      </w:r>
      <w:r>
        <w:rPr>
          <w:rFonts w:ascii="Arial" w:hAnsi="Arial" w:cs="Arial"/>
          <w:color w:val="000000"/>
          <w:sz w:val="22"/>
          <w:szCs w:val="22"/>
        </w:rPr>
        <w:t xml:space="preserve"> </w:t>
      </w:r>
    </w:p>
    <w:p w14:paraId="77B36D78" w14:textId="77777777" w:rsidR="00385FE8" w:rsidRDefault="00385FE8" w:rsidP="00385FE8">
      <w:pPr>
        <w:rPr>
          <w:rFonts w:ascii="Arial" w:hAnsi="Arial" w:cs="Arial"/>
          <w:color w:val="000000"/>
          <w:sz w:val="22"/>
          <w:szCs w:val="22"/>
        </w:rPr>
      </w:pPr>
      <w:r>
        <w:rPr>
          <w:rFonts w:ascii="Arial" w:hAnsi="Arial" w:cs="Arial"/>
          <w:color w:val="000000"/>
          <w:sz w:val="22"/>
          <w:szCs w:val="22"/>
        </w:rPr>
        <w:t xml:space="preserve">Jamacia has carried out substantial investments regarding tourism-related infrastructure projects, including the erection and renewal of port facilities for the cruise industry (Murray, 2018).. Such investments have helped to contribute to the growth of economic viability regarding the tourism sector; driving it to become the second largest economic sector in the country of Jamacia (Murray, 2018). However, it has been noted that local communities near port-areas are suffering from the social impacts, suggesting that reinvestment strategies should consider mitigating and combating negative social externalities, alongside the development of infrastructure (Murray, 2018). </w:t>
      </w:r>
    </w:p>
    <w:p w14:paraId="46E0ACF7" w14:textId="6A8E7F38" w:rsidR="00385FE8" w:rsidRDefault="00385FE8" w:rsidP="00385FE8">
      <w:pPr>
        <w:rPr>
          <w:rFonts w:ascii="Arial" w:hAnsi="Arial" w:cs="Arial"/>
          <w:color w:val="000000"/>
          <w:sz w:val="22"/>
          <w:szCs w:val="22"/>
        </w:rPr>
      </w:pPr>
      <w:r>
        <w:rPr>
          <w:rFonts w:ascii="Arial" w:hAnsi="Arial" w:cs="Arial"/>
          <w:color w:val="000000"/>
          <w:sz w:val="22"/>
          <w:szCs w:val="22"/>
        </w:rPr>
        <w:t>Likewise, Antigua’s port authority has undergone a major redevelopment project recently; representing the first significant improvement of a cruise port in the Eastern Caribbean</w:t>
      </w:r>
      <w:r w:rsidRPr="00385FE8">
        <w:rPr>
          <w:rFonts w:ascii="Arial" w:hAnsi="Arial" w:cs="Arial"/>
          <w:color w:val="000000"/>
          <w:sz w:val="22"/>
          <w:szCs w:val="22"/>
        </w:rPr>
        <w:t xml:space="preserve"> </w:t>
      </w:r>
      <w:r>
        <w:rPr>
          <w:rFonts w:ascii="Arial" w:hAnsi="Arial" w:cs="Arial"/>
          <w:color w:val="000000"/>
          <w:sz w:val="22"/>
          <w:szCs w:val="22"/>
        </w:rPr>
        <w:t>(</w:t>
      </w:r>
      <w:proofErr w:type="spellStart"/>
      <w:r>
        <w:rPr>
          <w:rFonts w:ascii="Arial" w:hAnsi="Arial" w:cs="Arial"/>
          <w:color w:val="000000"/>
          <w:sz w:val="22"/>
          <w:szCs w:val="22"/>
        </w:rPr>
        <w:t>Telemaque</w:t>
      </w:r>
      <w:proofErr w:type="spellEnd"/>
      <w:r>
        <w:rPr>
          <w:rFonts w:ascii="Arial" w:hAnsi="Arial" w:cs="Arial"/>
          <w:color w:val="000000"/>
          <w:sz w:val="22"/>
          <w:szCs w:val="22"/>
        </w:rPr>
        <w:t xml:space="preserve">, 2022). This project includes upgrades around modern infrastructure, and the development of a technically skilled workforce, which aims to improve the performance of the ports, whilst also potentially serving as a regional hub. </w:t>
      </w:r>
      <w:proofErr w:type="gramStart"/>
      <w:r>
        <w:rPr>
          <w:rFonts w:ascii="Arial" w:hAnsi="Arial" w:cs="Arial"/>
          <w:color w:val="000000"/>
          <w:sz w:val="22"/>
          <w:szCs w:val="22"/>
        </w:rPr>
        <w:t>This reinvestments</w:t>
      </w:r>
      <w:proofErr w:type="gramEnd"/>
      <w:r>
        <w:rPr>
          <w:rFonts w:ascii="Arial" w:hAnsi="Arial" w:cs="Arial"/>
          <w:color w:val="000000"/>
          <w:sz w:val="22"/>
          <w:szCs w:val="22"/>
        </w:rPr>
        <w:t xml:space="preserve"> is expected to enhance the regional connectivity, whilst supporting economic integration within the Organisation of Eastern Caribbean States (OECS) (</w:t>
      </w:r>
      <w:proofErr w:type="spellStart"/>
      <w:r>
        <w:rPr>
          <w:rFonts w:ascii="Arial" w:hAnsi="Arial" w:cs="Arial"/>
          <w:color w:val="000000"/>
          <w:sz w:val="22"/>
          <w:szCs w:val="22"/>
        </w:rPr>
        <w:t>Telemaque</w:t>
      </w:r>
      <w:proofErr w:type="spellEnd"/>
      <w:r>
        <w:rPr>
          <w:rFonts w:ascii="Arial" w:hAnsi="Arial" w:cs="Arial"/>
          <w:color w:val="000000"/>
          <w:sz w:val="22"/>
          <w:szCs w:val="22"/>
        </w:rPr>
        <w:t>, 2022).</w:t>
      </w:r>
    </w:p>
    <w:p w14:paraId="6BEA8A6B" w14:textId="4D1954ED" w:rsidR="00352FFF" w:rsidRDefault="00385FE8" w:rsidP="00385FE8">
      <w:pPr>
        <w:rPr>
          <w:rFonts w:ascii="Arial" w:hAnsi="Arial" w:cs="Arial"/>
          <w:color w:val="000000"/>
          <w:sz w:val="22"/>
          <w:szCs w:val="22"/>
        </w:rPr>
      </w:pPr>
      <w:r>
        <w:rPr>
          <w:rFonts w:ascii="Arial" w:hAnsi="Arial" w:cs="Arial"/>
          <w:color w:val="000000"/>
          <w:sz w:val="22"/>
          <w:szCs w:val="22"/>
        </w:rPr>
        <w:t>As such, reinvestment into the local infrastructure within the Caribbean cruise industry comes in the forms of improved port facilities, with a focus on welcoming and accommodating larger cruise vessels, improving operational capacity, and also addressing the social impacts on port communities (</w:t>
      </w:r>
      <w:proofErr w:type="spellStart"/>
      <w:r>
        <w:rPr>
          <w:rFonts w:ascii="Arial" w:hAnsi="Arial" w:cs="Arial"/>
          <w:color w:val="000000"/>
          <w:sz w:val="22"/>
          <w:szCs w:val="22"/>
        </w:rPr>
        <w:t>Telemaque</w:t>
      </w:r>
      <w:proofErr w:type="spellEnd"/>
      <w:r>
        <w:rPr>
          <w:rFonts w:ascii="Arial" w:hAnsi="Arial" w:cs="Arial"/>
          <w:color w:val="000000"/>
          <w:sz w:val="22"/>
          <w:szCs w:val="22"/>
        </w:rPr>
        <w:t>, 2022).</w:t>
      </w:r>
    </w:p>
    <w:p w14:paraId="44308246" w14:textId="00AA4706" w:rsidR="00352FFF" w:rsidRPr="00352FFF" w:rsidRDefault="00352FFF" w:rsidP="00385FE8">
      <w:pPr>
        <w:rPr>
          <w:rFonts w:ascii="Arial" w:hAnsi="Arial" w:cs="Arial"/>
          <w:color w:val="000000" w:themeColor="text1"/>
          <w:sz w:val="22"/>
          <w:szCs w:val="22"/>
        </w:rPr>
      </w:pPr>
      <w:r w:rsidRPr="00352FFF">
        <w:rPr>
          <w:rFonts w:ascii="Arial" w:hAnsi="Arial" w:cs="Arial"/>
          <w:b/>
          <w:bCs/>
          <w:color w:val="000000" w:themeColor="text1"/>
          <w:sz w:val="22"/>
          <w:szCs w:val="22"/>
        </w:rPr>
        <w:lastRenderedPageBreak/>
        <w:t>Slide 3</w:t>
      </w:r>
      <w:r>
        <w:rPr>
          <w:rFonts w:ascii="Arial" w:hAnsi="Arial" w:cs="Arial"/>
          <w:color w:val="000000" w:themeColor="text1"/>
          <w:sz w:val="22"/>
          <w:szCs w:val="22"/>
        </w:rPr>
        <w:t xml:space="preserve"> - </w:t>
      </w:r>
      <w:r w:rsidRPr="00352FFF">
        <w:rPr>
          <w:rFonts w:ascii="Arial" w:hAnsi="Arial" w:cs="Arial"/>
          <w:color w:val="000000" w:themeColor="text1"/>
          <w:sz w:val="22"/>
          <w:szCs w:val="22"/>
        </w:rPr>
        <w:t xml:space="preserve">One possible impact that may influence the host community residents of tourist areas, such as the Caribbean, includes stress as a result of tourism development activities (Jordan and Vogt, 2017). The area of Falmouth, Jamacia, recently carried out the development of a new cruise port, making it one of the busiest ports in the Caribbean; a random sample of residents qualified for a study surrounding stress, with 78% of respondents reporting stress relating to the development of the port, whilst 22% reported no stress (Jordan and Vogt, 2017). The long-term exposure of stress can negatively impact health and the behaviour of individuals, whilst also decreasing the quality of life. Analysis revealed that unmet expectations, congestion and crowding, an increase in the cost of living, pollution, harassment from local law enforcement, displacement of residents, and the overuse of utilities were sources of stress for these locals; post-hoc chi </w:t>
      </w:r>
      <w:proofErr w:type="spellStart"/>
      <w:r w:rsidRPr="00352FFF">
        <w:rPr>
          <w:rFonts w:ascii="Arial" w:hAnsi="Arial" w:cs="Arial"/>
          <w:color w:val="000000" w:themeColor="text1"/>
          <w:sz w:val="22"/>
          <w:szCs w:val="22"/>
        </w:rPr>
        <w:t>squre</w:t>
      </w:r>
      <w:proofErr w:type="spellEnd"/>
      <w:r w:rsidRPr="00352FFF">
        <w:rPr>
          <w:rFonts w:ascii="Arial" w:hAnsi="Arial" w:cs="Arial"/>
          <w:color w:val="000000" w:themeColor="text1"/>
          <w:sz w:val="22"/>
          <w:szCs w:val="22"/>
        </w:rPr>
        <w:t xml:space="preserve"> tests revealed rather significant differences in perceived stressors depending on the level of education held by the individual (Jordan and Vogt, 2017). The research at hands helps to provide an insight into the intangible phycological impacts that the development of cruise tourism can have on a host community’s quality of life (Jordan and Vogt, 2017).</w:t>
      </w:r>
    </w:p>
    <w:p w14:paraId="2EBA59DA" w14:textId="12CD9679" w:rsidR="00352FFF" w:rsidRDefault="00352FFF" w:rsidP="00385FE8">
      <w:pPr>
        <w:rPr>
          <w:rFonts w:ascii="Arial" w:hAnsi="Arial" w:cs="Arial"/>
          <w:color w:val="000000" w:themeColor="text1"/>
          <w:sz w:val="22"/>
          <w:szCs w:val="22"/>
        </w:rPr>
      </w:pPr>
      <w:r w:rsidRPr="00352FFF">
        <w:rPr>
          <w:rFonts w:ascii="Arial" w:hAnsi="Arial" w:cs="Arial"/>
          <w:color w:val="000000" w:themeColor="text1"/>
          <w:sz w:val="22"/>
          <w:szCs w:val="22"/>
        </w:rPr>
        <w:t xml:space="preserve">The impact that cruise tourism has on key stakeholders can determine the future development of the industry within a destination, which then imposes an obligation to </w:t>
      </w:r>
      <w:proofErr w:type="spellStart"/>
      <w:r w:rsidRPr="00352FFF">
        <w:rPr>
          <w:rFonts w:ascii="Arial" w:hAnsi="Arial" w:cs="Arial"/>
          <w:color w:val="000000" w:themeColor="text1"/>
          <w:sz w:val="22"/>
          <w:szCs w:val="22"/>
        </w:rPr>
        <w:t>to</w:t>
      </w:r>
      <w:proofErr w:type="spellEnd"/>
      <w:r w:rsidRPr="00352FFF">
        <w:rPr>
          <w:rFonts w:ascii="Arial" w:hAnsi="Arial" w:cs="Arial"/>
          <w:color w:val="000000" w:themeColor="text1"/>
          <w:sz w:val="22"/>
          <w:szCs w:val="22"/>
        </w:rPr>
        <w:t xml:space="preserve"> continuously monitor the perception and attitudes of stakeholders (</w:t>
      </w:r>
      <w:proofErr w:type="spellStart"/>
      <w:r w:rsidRPr="00352FFF">
        <w:rPr>
          <w:rFonts w:ascii="Arial" w:hAnsi="Arial" w:cs="Arial"/>
          <w:color w:val="000000" w:themeColor="text1"/>
          <w:sz w:val="22"/>
          <w:szCs w:val="22"/>
        </w:rPr>
        <w:t>Vukić</w:t>
      </w:r>
      <w:proofErr w:type="spellEnd"/>
      <w:r w:rsidRPr="00352FFF">
        <w:rPr>
          <w:rFonts w:ascii="Arial" w:hAnsi="Arial" w:cs="Arial"/>
          <w:color w:val="000000" w:themeColor="text1"/>
          <w:sz w:val="22"/>
          <w:szCs w:val="22"/>
        </w:rPr>
        <w:t xml:space="preserve">, </w:t>
      </w:r>
      <w:proofErr w:type="spellStart"/>
      <w:r w:rsidRPr="00352FFF">
        <w:rPr>
          <w:rFonts w:ascii="Arial" w:hAnsi="Arial" w:cs="Arial"/>
          <w:color w:val="000000" w:themeColor="text1"/>
          <w:sz w:val="22"/>
          <w:szCs w:val="22"/>
        </w:rPr>
        <w:t>Peronja</w:t>
      </w:r>
      <w:proofErr w:type="spellEnd"/>
      <w:r w:rsidRPr="00352FFF">
        <w:rPr>
          <w:rFonts w:ascii="Arial" w:hAnsi="Arial" w:cs="Arial"/>
          <w:color w:val="000000" w:themeColor="text1"/>
          <w:sz w:val="22"/>
          <w:szCs w:val="22"/>
        </w:rPr>
        <w:t xml:space="preserve"> and </w:t>
      </w:r>
      <w:proofErr w:type="spellStart"/>
      <w:r w:rsidRPr="00352FFF">
        <w:rPr>
          <w:rFonts w:ascii="Arial" w:hAnsi="Arial" w:cs="Arial"/>
          <w:color w:val="000000" w:themeColor="text1"/>
          <w:sz w:val="22"/>
          <w:szCs w:val="22"/>
        </w:rPr>
        <w:t>Mihanović</w:t>
      </w:r>
      <w:proofErr w:type="spellEnd"/>
      <w:r w:rsidRPr="00352FFF">
        <w:rPr>
          <w:rFonts w:ascii="Arial" w:hAnsi="Arial" w:cs="Arial"/>
          <w:color w:val="000000" w:themeColor="text1"/>
          <w:sz w:val="22"/>
          <w:szCs w:val="22"/>
        </w:rPr>
        <w:t>, 2021). In 2019, research was conducted to help examine two key components of the cruise activity; the impact cruise tourism had on the local population and stakeholders performing business activities in the port of Split, Croatia, where two individual groups of questionnaires were created. Attention was given to the economic, social, and environmental impacts of cruise tourism, whilst respecting the principles of sustainable development (</w:t>
      </w:r>
      <w:proofErr w:type="spellStart"/>
      <w:r w:rsidRPr="00352FFF">
        <w:rPr>
          <w:rFonts w:ascii="Arial" w:hAnsi="Arial" w:cs="Arial"/>
          <w:color w:val="000000" w:themeColor="text1"/>
          <w:sz w:val="22"/>
          <w:szCs w:val="22"/>
        </w:rPr>
        <w:t>Vukić</w:t>
      </w:r>
      <w:proofErr w:type="spellEnd"/>
      <w:r w:rsidRPr="00352FFF">
        <w:rPr>
          <w:rFonts w:ascii="Arial" w:hAnsi="Arial" w:cs="Arial"/>
          <w:color w:val="000000" w:themeColor="text1"/>
          <w:sz w:val="22"/>
          <w:szCs w:val="22"/>
        </w:rPr>
        <w:t xml:space="preserve">, </w:t>
      </w:r>
      <w:proofErr w:type="spellStart"/>
      <w:r w:rsidRPr="00352FFF">
        <w:rPr>
          <w:rFonts w:ascii="Arial" w:hAnsi="Arial" w:cs="Arial"/>
          <w:color w:val="000000" w:themeColor="text1"/>
          <w:sz w:val="22"/>
          <w:szCs w:val="22"/>
        </w:rPr>
        <w:t>Peronja</w:t>
      </w:r>
      <w:proofErr w:type="spellEnd"/>
      <w:r w:rsidRPr="00352FFF">
        <w:rPr>
          <w:rFonts w:ascii="Arial" w:hAnsi="Arial" w:cs="Arial"/>
          <w:color w:val="000000" w:themeColor="text1"/>
          <w:sz w:val="22"/>
          <w:szCs w:val="22"/>
        </w:rPr>
        <w:t xml:space="preserve"> and </w:t>
      </w:r>
      <w:proofErr w:type="spellStart"/>
      <w:r w:rsidRPr="00352FFF">
        <w:rPr>
          <w:rFonts w:ascii="Arial" w:hAnsi="Arial" w:cs="Arial"/>
          <w:color w:val="000000" w:themeColor="text1"/>
          <w:sz w:val="22"/>
          <w:szCs w:val="22"/>
        </w:rPr>
        <w:t>Mihanović</w:t>
      </w:r>
      <w:proofErr w:type="spellEnd"/>
      <w:r w:rsidRPr="00352FFF">
        <w:rPr>
          <w:rFonts w:ascii="Arial" w:hAnsi="Arial" w:cs="Arial"/>
          <w:color w:val="000000" w:themeColor="text1"/>
          <w:sz w:val="22"/>
          <w:szCs w:val="22"/>
        </w:rPr>
        <w:t>, 2021). Such values were estimated based on the Likert scale- a psychometric scale used in surveys to measure attitudes, opinions, and perceptions by asking respondents to rate their level of agreement or disagreement with a statement on a bipolar range. The local population saw the economic and social effects and tourism as an exceedingly positive impact, whilst local business stakeholders are more restrained and recorded a minimal increase in their income and employment rates in relation to cruise activity (</w:t>
      </w:r>
      <w:proofErr w:type="spellStart"/>
      <w:r w:rsidRPr="00352FFF">
        <w:rPr>
          <w:rFonts w:ascii="Arial" w:hAnsi="Arial" w:cs="Arial"/>
          <w:color w:val="000000" w:themeColor="text1"/>
          <w:sz w:val="22"/>
          <w:szCs w:val="22"/>
        </w:rPr>
        <w:t>Vukić</w:t>
      </w:r>
      <w:proofErr w:type="spellEnd"/>
      <w:r w:rsidRPr="00352FFF">
        <w:rPr>
          <w:rFonts w:ascii="Arial" w:hAnsi="Arial" w:cs="Arial"/>
          <w:color w:val="000000" w:themeColor="text1"/>
          <w:sz w:val="22"/>
          <w:szCs w:val="22"/>
        </w:rPr>
        <w:t xml:space="preserve">, </w:t>
      </w:r>
      <w:proofErr w:type="spellStart"/>
      <w:r w:rsidRPr="00352FFF">
        <w:rPr>
          <w:rFonts w:ascii="Arial" w:hAnsi="Arial" w:cs="Arial"/>
          <w:color w:val="000000" w:themeColor="text1"/>
          <w:sz w:val="22"/>
          <w:szCs w:val="22"/>
        </w:rPr>
        <w:t>Peronja</w:t>
      </w:r>
      <w:proofErr w:type="spellEnd"/>
      <w:r w:rsidRPr="00352FFF">
        <w:rPr>
          <w:rFonts w:ascii="Arial" w:hAnsi="Arial" w:cs="Arial"/>
          <w:color w:val="000000" w:themeColor="text1"/>
          <w:sz w:val="22"/>
          <w:szCs w:val="22"/>
        </w:rPr>
        <w:t xml:space="preserve"> and </w:t>
      </w:r>
      <w:proofErr w:type="spellStart"/>
      <w:r w:rsidRPr="00352FFF">
        <w:rPr>
          <w:rFonts w:ascii="Arial" w:hAnsi="Arial" w:cs="Arial"/>
          <w:color w:val="000000" w:themeColor="text1"/>
          <w:sz w:val="22"/>
          <w:szCs w:val="22"/>
        </w:rPr>
        <w:t>Mihanović</w:t>
      </w:r>
      <w:proofErr w:type="spellEnd"/>
      <w:r w:rsidRPr="00352FFF">
        <w:rPr>
          <w:rFonts w:ascii="Arial" w:hAnsi="Arial" w:cs="Arial"/>
          <w:color w:val="000000" w:themeColor="text1"/>
          <w:sz w:val="22"/>
          <w:szCs w:val="22"/>
        </w:rPr>
        <w:t>, 2021).</w:t>
      </w:r>
    </w:p>
    <w:p w14:paraId="320EBE4D" w14:textId="65D6838E" w:rsidR="00352FFF" w:rsidRPr="00352FFF" w:rsidRDefault="00352FFF" w:rsidP="00385FE8">
      <w:pPr>
        <w:rPr>
          <w:rFonts w:ascii="Arial" w:hAnsi="Arial" w:cs="Arial"/>
          <w:color w:val="000000" w:themeColor="text1"/>
          <w:sz w:val="22"/>
          <w:szCs w:val="22"/>
        </w:rPr>
      </w:pPr>
      <w:r w:rsidRPr="00352FFF">
        <w:rPr>
          <w:rFonts w:ascii="Arial" w:hAnsi="Arial" w:cs="Arial"/>
          <w:b/>
          <w:bCs/>
          <w:color w:val="000000" w:themeColor="text1"/>
          <w:sz w:val="22"/>
          <w:szCs w:val="22"/>
        </w:rPr>
        <w:t>Slide 4</w:t>
      </w:r>
      <w:r>
        <w:rPr>
          <w:rFonts w:ascii="Arial" w:hAnsi="Arial" w:cs="Arial"/>
          <w:color w:val="000000" w:themeColor="text1"/>
          <w:sz w:val="22"/>
          <w:szCs w:val="22"/>
        </w:rPr>
        <w:t xml:space="preserve"> - </w:t>
      </w:r>
      <w:r w:rsidRPr="00352FFF">
        <w:rPr>
          <w:rFonts w:ascii="Arial" w:hAnsi="Arial" w:cs="Arial"/>
          <w:color w:val="000000" w:themeColor="text1"/>
          <w:sz w:val="22"/>
          <w:szCs w:val="22"/>
        </w:rPr>
        <w:t>It is crucial to balance the preservation of cultural integrity with the demand of tourists within the Caribbean islands. This can be achieved through addressing both tangible and intangible heritage, whilst also considering sustainable development. The institutionalisation of Creole language within the country of Dominica helps to exemplify efforts that have been made to preserve the intangible heritage, specifically as an economic asset for developing states, which serves to highlight the challenge of ensuring that cultural preservation does align with social and economic sustainability, within a post-colonial context (</w:t>
      </w:r>
      <w:proofErr w:type="spellStart"/>
      <w:r w:rsidRPr="00352FFF">
        <w:rPr>
          <w:rFonts w:ascii="Arial" w:hAnsi="Arial" w:cs="Arial"/>
          <w:color w:val="000000" w:themeColor="text1"/>
          <w:sz w:val="22"/>
          <w:szCs w:val="22"/>
        </w:rPr>
        <w:t>Jno</w:t>
      </w:r>
      <w:proofErr w:type="spellEnd"/>
      <w:r w:rsidRPr="00352FFF">
        <w:rPr>
          <w:rFonts w:ascii="Arial" w:hAnsi="Arial" w:cs="Arial"/>
          <w:color w:val="000000" w:themeColor="text1"/>
          <w:sz w:val="22"/>
          <w:szCs w:val="22"/>
        </w:rPr>
        <w:t>-Baptiste, 2024). This implies that cultural heritage management should be integrated with a broader development goal, in order to avoid superficial identity claims (</w:t>
      </w:r>
      <w:proofErr w:type="spellStart"/>
      <w:r w:rsidRPr="00352FFF">
        <w:rPr>
          <w:rFonts w:ascii="Arial" w:hAnsi="Arial" w:cs="Arial"/>
          <w:color w:val="000000" w:themeColor="text1"/>
          <w:sz w:val="22"/>
          <w:szCs w:val="22"/>
        </w:rPr>
        <w:t>Jno</w:t>
      </w:r>
      <w:proofErr w:type="spellEnd"/>
      <w:r w:rsidRPr="00352FFF">
        <w:rPr>
          <w:rFonts w:ascii="Arial" w:hAnsi="Arial" w:cs="Arial"/>
          <w:color w:val="000000" w:themeColor="text1"/>
          <w:sz w:val="22"/>
          <w:szCs w:val="22"/>
        </w:rPr>
        <w:t xml:space="preserve">-Baptiste, 2024). </w:t>
      </w:r>
    </w:p>
    <w:p w14:paraId="38DD1DAE" w14:textId="7253A5AE" w:rsidR="00352FFF" w:rsidRDefault="00352FFF" w:rsidP="00385FE8">
      <w:pPr>
        <w:rPr>
          <w:rFonts w:ascii="Arial" w:hAnsi="Arial" w:cs="Arial"/>
          <w:color w:val="000000"/>
          <w:sz w:val="22"/>
          <w:szCs w:val="22"/>
        </w:rPr>
      </w:pPr>
      <w:r w:rsidRPr="00352FFF">
        <w:rPr>
          <w:rFonts w:ascii="Arial" w:hAnsi="Arial" w:cs="Arial"/>
          <w:color w:val="000000" w:themeColor="text1"/>
          <w:sz w:val="22"/>
          <w:szCs w:val="22"/>
        </w:rPr>
        <w:t>The development of tourism in the Caribbean also requires the protection of natural and built heritage, through ecological sustainable visitor experiences. Projects that involve local trusts and conservation efforts aim to improve the facilities available for sustainable tours, whilst generating self-sustaining income, and also implementing environmental education and conservation measures</w:t>
      </w:r>
      <w:r>
        <w:rPr>
          <w:rFonts w:ascii="Arial" w:hAnsi="Arial" w:cs="Arial"/>
          <w:color w:val="000000" w:themeColor="text1"/>
          <w:sz w:val="22"/>
          <w:szCs w:val="22"/>
        </w:rPr>
        <w:t xml:space="preserve"> </w:t>
      </w:r>
      <w:r>
        <w:rPr>
          <w:rFonts w:ascii="Arial" w:hAnsi="Arial" w:cs="Arial"/>
          <w:color w:val="000000"/>
          <w:sz w:val="22"/>
          <w:szCs w:val="22"/>
        </w:rPr>
        <w:t>(Wensink and Pienkowski, 2013). Initiatives such as these serve to emphasis local consultation, alongside the provision of information to crucial decision-</w:t>
      </w:r>
      <w:r>
        <w:rPr>
          <w:rFonts w:ascii="Arial" w:hAnsi="Arial" w:cs="Arial"/>
          <w:color w:val="000000"/>
          <w:sz w:val="22"/>
          <w:szCs w:val="22"/>
        </w:rPr>
        <w:lastRenderedPageBreak/>
        <w:t>makers in order to enhance the protection of vulnerable ecosystems, whilst also accommodating the growing tourism sector (Wensink and Pienkowski, 2013).</w:t>
      </w:r>
    </w:p>
    <w:p w14:paraId="5B8BCF03" w14:textId="2CBCDA50" w:rsidR="00352FFF" w:rsidRDefault="00352FFF" w:rsidP="00385FE8">
      <w:pPr>
        <w:rPr>
          <w:rFonts w:ascii="Arial" w:hAnsi="Arial" w:cs="Arial"/>
          <w:color w:val="000000"/>
          <w:sz w:val="22"/>
          <w:szCs w:val="22"/>
        </w:rPr>
      </w:pPr>
      <w:r>
        <w:rPr>
          <w:rFonts w:ascii="Arial" w:hAnsi="Arial" w:cs="Arial"/>
          <w:color w:val="000000"/>
          <w:sz w:val="22"/>
          <w:szCs w:val="22"/>
        </w:rPr>
        <w:t>Data from social media has also been used to understand tourism spatial patterns within the Bahamas, illustrating how tourism demands can be managed through identifying the preferred landscapes and visitor flows of attractions (Arkema et al., 2021). Such information helps to support decisions within infrastructural investment, and protected area management- aiming to foster tourism whilst also conserving the environments that serve to attract visitors (Arkema et al., 2021). This approach can help to balance the access of visitors, alongside preservation needs.</w:t>
      </w:r>
    </w:p>
    <w:p w14:paraId="67A994F3" w14:textId="40AC0E53" w:rsidR="00352FFF" w:rsidRDefault="00352FFF" w:rsidP="00385FE8">
      <w:pPr>
        <w:rPr>
          <w:rFonts w:ascii="Arial" w:hAnsi="Arial" w:cs="Arial"/>
          <w:color w:val="000000"/>
          <w:sz w:val="22"/>
          <w:szCs w:val="22"/>
        </w:rPr>
      </w:pPr>
      <w:proofErr w:type="gramStart"/>
      <w:r>
        <w:rPr>
          <w:rFonts w:ascii="Arial" w:hAnsi="Arial" w:cs="Arial"/>
          <w:color w:val="000000"/>
          <w:sz w:val="22"/>
          <w:szCs w:val="22"/>
        </w:rPr>
        <w:t>In regards to</w:t>
      </w:r>
      <w:proofErr w:type="gramEnd"/>
      <w:r>
        <w:rPr>
          <w:rFonts w:ascii="Arial" w:hAnsi="Arial" w:cs="Arial"/>
          <w:color w:val="000000"/>
          <w:sz w:val="22"/>
          <w:szCs w:val="22"/>
        </w:rPr>
        <w:t xml:space="preserve"> cultural products, the design surrounding ethical souvenirs in order to sustain cultural integrity involves embedding ethical considerations, as well as design philosophies that preserve authenticity whilst meeting market demands (Zhu and Rahman, 2025). The Ethical Design for Cultural Integrity framework views ethics as a procedural governance, which ensures that cultural motifs are sustained throughout the production, erasing the risk of diluting the value of heritage (Zhu and Rahman, 2025).</w:t>
      </w:r>
    </w:p>
    <w:p w14:paraId="327E1020" w14:textId="7E52954D" w:rsidR="00352FFF" w:rsidRDefault="00352FFF" w:rsidP="00385FE8">
      <w:pPr>
        <w:rPr>
          <w:rFonts w:ascii="Arial" w:hAnsi="Arial" w:cs="Arial"/>
          <w:color w:val="000000"/>
          <w:sz w:val="22"/>
          <w:szCs w:val="22"/>
        </w:rPr>
      </w:pPr>
      <w:r>
        <w:rPr>
          <w:rFonts w:ascii="Arial" w:hAnsi="Arial" w:cs="Arial"/>
          <w:color w:val="000000" w:themeColor="text1"/>
          <w:sz w:val="22"/>
          <w:szCs w:val="22"/>
        </w:rPr>
        <w:t xml:space="preserve">In order to balance the cultural preservation and tourism development of the Caribbean, it’s important to address complex interactions between local communities, environmental conservation, and economic interests. Research on the Bay Islands of Honduras served to highlight the challenges and opportunities presented in integrating community-based tourism alongside conservation efforts in socially and culturally diverse, and environmentally fragile regions </w:t>
      </w:r>
      <w:r>
        <w:rPr>
          <w:rFonts w:ascii="Arial" w:hAnsi="Arial" w:cs="Arial"/>
          <w:color w:val="000000"/>
          <w:sz w:val="22"/>
          <w:szCs w:val="22"/>
        </w:rPr>
        <w:t>(STONICH, 2008). These findings served to highlight the need for development strategies in tourism that are sensitive to local cultural contexts, whilst also involving community participation in order to avoid the erosion of culture and degradation of the environment (STONICH, 2008).</w:t>
      </w:r>
    </w:p>
    <w:p w14:paraId="6F5A264B" w14:textId="28EFC5D2" w:rsidR="00352FFF" w:rsidRDefault="00352FFF" w:rsidP="00352FFF">
      <w:pPr>
        <w:pStyle w:val="NormalWeb"/>
        <w:rPr>
          <w:color w:val="000000"/>
        </w:rPr>
      </w:pPr>
      <w:r>
        <w:rPr>
          <w:rFonts w:ascii="Arial" w:hAnsi="Arial" w:cs="Arial"/>
          <w:color w:val="000000"/>
          <w:sz w:val="22"/>
          <w:szCs w:val="22"/>
        </w:rPr>
        <w:t>Discussions from the Caribbean Tourism Organisation’s Sustainable Tourism Conference served to showcase the importance of preserving natural, cultural, and historical attributes</w:t>
      </w:r>
      <w:r w:rsidRPr="00352FFF">
        <w:rPr>
          <w:rFonts w:ascii="Arial" w:hAnsi="Arial" w:cs="Arial"/>
          <w:color w:val="000000"/>
          <w:sz w:val="22"/>
          <w:szCs w:val="22"/>
        </w:rPr>
        <w:t>, whilst also pursuing the sustainable development of the tourism sector (</w:t>
      </w:r>
      <w:proofErr w:type="spellStart"/>
      <w:r w:rsidRPr="00352FFF">
        <w:rPr>
          <w:rFonts w:ascii="Arial" w:hAnsi="Arial" w:cs="Arial"/>
          <w:color w:val="000000"/>
          <w:sz w:val="22"/>
          <w:szCs w:val="22"/>
        </w:rPr>
        <w:t>Tenny</w:t>
      </w:r>
      <w:proofErr w:type="spellEnd"/>
      <w:r w:rsidRPr="00352FFF">
        <w:rPr>
          <w:rFonts w:ascii="Arial" w:hAnsi="Arial" w:cs="Arial"/>
          <w:color w:val="000000"/>
          <w:sz w:val="22"/>
          <w:szCs w:val="22"/>
        </w:rPr>
        <w:t>, 1998).</w:t>
      </w:r>
      <w:r>
        <w:rPr>
          <w:rFonts w:ascii="Arial" w:hAnsi="Arial" w:cs="Arial"/>
          <w:color w:val="000000"/>
          <w:sz w:val="22"/>
          <w:szCs w:val="22"/>
        </w:rPr>
        <w:t xml:space="preserve"> In order to achieve a balance, it is necessary to reconcile the interests of the local community, as well as the environmental conservation, with those of tourists and the general tourism industry, which suggests that sustainable tourism is a negotiable process that respects the culture, heritage, and environmental limits of the </w:t>
      </w:r>
      <w:r w:rsidRPr="00352FFF">
        <w:rPr>
          <w:rFonts w:ascii="Arial" w:hAnsi="Arial" w:cs="Arial"/>
          <w:color w:val="000000"/>
          <w:sz w:val="22"/>
          <w:szCs w:val="22"/>
        </w:rPr>
        <w:t>host region (</w:t>
      </w:r>
      <w:proofErr w:type="spellStart"/>
      <w:r w:rsidRPr="00352FFF">
        <w:rPr>
          <w:rFonts w:ascii="Arial" w:hAnsi="Arial" w:cs="Arial"/>
          <w:color w:val="000000"/>
          <w:sz w:val="22"/>
          <w:szCs w:val="22"/>
        </w:rPr>
        <w:t>Tenny</w:t>
      </w:r>
      <w:proofErr w:type="spellEnd"/>
      <w:r w:rsidRPr="00352FFF">
        <w:rPr>
          <w:rFonts w:ascii="Arial" w:hAnsi="Arial" w:cs="Arial"/>
          <w:color w:val="000000"/>
          <w:sz w:val="22"/>
          <w:szCs w:val="22"/>
        </w:rPr>
        <w:t>, 1998).</w:t>
      </w:r>
    </w:p>
    <w:p w14:paraId="02B9245B" w14:textId="74125B4C" w:rsidR="00352FFF" w:rsidRDefault="00352FFF" w:rsidP="00352FFF">
      <w:pPr>
        <w:rPr>
          <w:rFonts w:ascii="Arial" w:hAnsi="Arial" w:cs="Arial"/>
          <w:color w:val="000000" w:themeColor="text1"/>
          <w:sz w:val="22"/>
          <w:szCs w:val="22"/>
        </w:rPr>
      </w:pPr>
      <w:r>
        <w:rPr>
          <w:rFonts w:ascii="Arial" w:hAnsi="Arial" w:cs="Arial"/>
          <w:color w:val="000000" w:themeColor="text1"/>
          <w:sz w:val="22"/>
          <w:szCs w:val="22"/>
        </w:rPr>
        <w:t>To surmise, it is vital to integrate cultural preservation with sustainable tourism practices that are informed by local engagement, data-driven management, and ethical product design in order to maintain cultural integrity versus tourist demand within the Caribbean. Such an approach proves to support both the heritage protection, and the economic benefits from the tourism sector.</w:t>
      </w:r>
    </w:p>
    <w:p w14:paraId="2583709F" w14:textId="77777777" w:rsidR="00352FFF" w:rsidRDefault="00352FFF" w:rsidP="00352FFF">
      <w:pPr>
        <w:rPr>
          <w:rFonts w:ascii="Arial" w:hAnsi="Arial" w:cs="Arial"/>
          <w:color w:val="000000" w:themeColor="text1"/>
          <w:sz w:val="22"/>
          <w:szCs w:val="22"/>
        </w:rPr>
      </w:pPr>
    </w:p>
    <w:p w14:paraId="767DB4D2" w14:textId="77777777" w:rsidR="00352FFF" w:rsidRDefault="00352FFF" w:rsidP="00352FFF">
      <w:pPr>
        <w:rPr>
          <w:rFonts w:ascii="Arial" w:hAnsi="Arial" w:cs="Arial"/>
          <w:color w:val="000000" w:themeColor="text1"/>
          <w:sz w:val="22"/>
          <w:szCs w:val="22"/>
        </w:rPr>
      </w:pPr>
    </w:p>
    <w:p w14:paraId="378255F3" w14:textId="77777777" w:rsidR="00352FFF" w:rsidRDefault="00352FFF" w:rsidP="00352FFF">
      <w:pPr>
        <w:rPr>
          <w:rFonts w:ascii="Arial" w:hAnsi="Arial" w:cs="Arial"/>
          <w:color w:val="000000" w:themeColor="text1"/>
          <w:sz w:val="22"/>
          <w:szCs w:val="22"/>
        </w:rPr>
      </w:pPr>
    </w:p>
    <w:p w14:paraId="066992F6" w14:textId="77777777" w:rsidR="00352FFF" w:rsidRDefault="00352FFF" w:rsidP="00352FFF">
      <w:pPr>
        <w:rPr>
          <w:rFonts w:ascii="Arial" w:hAnsi="Arial" w:cs="Arial"/>
          <w:color w:val="000000" w:themeColor="text1"/>
          <w:sz w:val="22"/>
          <w:szCs w:val="22"/>
        </w:rPr>
      </w:pPr>
    </w:p>
    <w:p w14:paraId="3E5ECC19" w14:textId="77777777" w:rsidR="00352FFF" w:rsidRDefault="00352FFF" w:rsidP="00352FFF">
      <w:pPr>
        <w:rPr>
          <w:rFonts w:ascii="Arial" w:hAnsi="Arial" w:cs="Arial"/>
          <w:color w:val="000000" w:themeColor="text1"/>
          <w:sz w:val="22"/>
          <w:szCs w:val="22"/>
        </w:rPr>
      </w:pPr>
    </w:p>
    <w:p w14:paraId="114FE236" w14:textId="77777777" w:rsidR="00352FFF" w:rsidRDefault="00352FFF" w:rsidP="00352FFF">
      <w:pPr>
        <w:rPr>
          <w:rFonts w:ascii="Arial" w:hAnsi="Arial" w:cs="Arial"/>
          <w:color w:val="000000" w:themeColor="text1"/>
          <w:sz w:val="22"/>
          <w:szCs w:val="22"/>
        </w:rPr>
      </w:pPr>
    </w:p>
    <w:p w14:paraId="23685E48" w14:textId="77777777" w:rsidR="00352FFF" w:rsidRDefault="00352FFF" w:rsidP="00352FFF">
      <w:pPr>
        <w:rPr>
          <w:rFonts w:ascii="Arial" w:hAnsi="Arial" w:cs="Arial"/>
          <w:color w:val="000000" w:themeColor="text1"/>
          <w:sz w:val="22"/>
          <w:szCs w:val="22"/>
        </w:rPr>
      </w:pPr>
    </w:p>
    <w:p w14:paraId="651308A3" w14:textId="77777777" w:rsidR="00352FFF" w:rsidRPr="00352FFF" w:rsidRDefault="00352FFF" w:rsidP="00352FFF">
      <w:pPr>
        <w:spacing w:after="240" w:line="495" w:lineRule="atLeast"/>
        <w:outlineLvl w:val="0"/>
        <w:rPr>
          <w:rFonts w:ascii="Arial" w:eastAsia="Times New Roman" w:hAnsi="Arial" w:cs="Arial"/>
          <w:b/>
          <w:bCs/>
          <w:color w:val="000000"/>
          <w:kern w:val="36"/>
          <w:sz w:val="22"/>
          <w:szCs w:val="22"/>
          <w:u w:val="single"/>
          <w14:ligatures w14:val="none"/>
        </w:rPr>
      </w:pPr>
      <w:r w:rsidRPr="00352FFF">
        <w:rPr>
          <w:rFonts w:ascii="Arial" w:eastAsia="Times New Roman" w:hAnsi="Arial" w:cs="Arial"/>
          <w:b/>
          <w:bCs/>
          <w:color w:val="000000"/>
          <w:kern w:val="36"/>
          <w:sz w:val="22"/>
          <w:szCs w:val="22"/>
          <w:u w:val="single"/>
          <w14:ligatures w14:val="none"/>
        </w:rPr>
        <w:t>Reference list</w:t>
      </w:r>
    </w:p>
    <w:p w14:paraId="263F416A"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r w:rsidRPr="00352FFF">
        <w:rPr>
          <w:rFonts w:ascii="Arial" w:eastAsia="Times New Roman" w:hAnsi="Arial" w:cs="Arial"/>
          <w:color w:val="000000"/>
          <w:kern w:val="0"/>
          <w:sz w:val="22"/>
          <w:szCs w:val="22"/>
          <w14:ligatures w14:val="none"/>
        </w:rPr>
        <w:t>Aguilar, S. (2014). CREDITOS Y TABLA DE CONTENIDOS. </w:t>
      </w:r>
      <w:proofErr w:type="spellStart"/>
      <w:r w:rsidRPr="00352FFF">
        <w:rPr>
          <w:rFonts w:ascii="Arial" w:eastAsia="Times New Roman" w:hAnsi="Arial" w:cs="Arial"/>
          <w:i/>
          <w:iCs/>
          <w:color w:val="000000"/>
          <w:kern w:val="0"/>
          <w:sz w:val="22"/>
          <w:szCs w:val="22"/>
          <w14:ligatures w14:val="none"/>
        </w:rPr>
        <w:t>Revista</w:t>
      </w:r>
      <w:proofErr w:type="spellEnd"/>
      <w:r w:rsidRPr="00352FFF">
        <w:rPr>
          <w:rFonts w:ascii="Arial" w:eastAsia="Times New Roman" w:hAnsi="Arial" w:cs="Arial"/>
          <w:i/>
          <w:iCs/>
          <w:color w:val="000000"/>
          <w:kern w:val="0"/>
          <w:sz w:val="22"/>
          <w:szCs w:val="22"/>
          <w14:ligatures w14:val="none"/>
        </w:rPr>
        <w:t xml:space="preserve"> de </w:t>
      </w:r>
      <w:proofErr w:type="spellStart"/>
      <w:r w:rsidRPr="00352FFF">
        <w:rPr>
          <w:rFonts w:ascii="Arial" w:eastAsia="Times New Roman" w:hAnsi="Arial" w:cs="Arial"/>
          <w:i/>
          <w:iCs/>
          <w:color w:val="000000"/>
          <w:kern w:val="0"/>
          <w:sz w:val="22"/>
          <w:szCs w:val="22"/>
          <w14:ligatures w14:val="none"/>
        </w:rPr>
        <w:t>Biología</w:t>
      </w:r>
      <w:proofErr w:type="spellEnd"/>
      <w:r w:rsidRPr="00352FFF">
        <w:rPr>
          <w:rFonts w:ascii="Arial" w:eastAsia="Times New Roman" w:hAnsi="Arial" w:cs="Arial"/>
          <w:i/>
          <w:iCs/>
          <w:color w:val="000000"/>
          <w:kern w:val="0"/>
          <w:sz w:val="22"/>
          <w:szCs w:val="22"/>
          <w14:ligatures w14:val="none"/>
        </w:rPr>
        <w:t xml:space="preserve"> Tropical</w:t>
      </w:r>
      <w:r w:rsidRPr="00352FFF">
        <w:rPr>
          <w:rFonts w:ascii="Arial" w:eastAsia="Times New Roman" w:hAnsi="Arial" w:cs="Arial"/>
          <w:color w:val="000000"/>
          <w:kern w:val="0"/>
          <w:sz w:val="22"/>
          <w:szCs w:val="22"/>
          <w14:ligatures w14:val="none"/>
        </w:rPr>
        <w:t xml:space="preserve">, 62(3), p.1.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://doi.org/10.15517/rbt.v62i0.16109.</w:t>
      </w:r>
    </w:p>
    <w:p w14:paraId="63BD3E12"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r w:rsidRPr="00352FFF">
        <w:rPr>
          <w:rFonts w:ascii="Arial" w:eastAsia="Times New Roman" w:hAnsi="Arial" w:cs="Arial"/>
          <w:color w:val="000000"/>
          <w:kern w:val="0"/>
          <w:sz w:val="22"/>
          <w:szCs w:val="22"/>
          <w14:ligatures w14:val="none"/>
        </w:rPr>
        <w:t>Arkema, K.K., Fisher, D.M., Wyatt, K., Wood, S.A. and Payne, H.J. (2021). Advancing Sustainable Development and Protected Area Management with Social Media-Based Tourism Data. </w:t>
      </w:r>
      <w:r w:rsidRPr="00352FFF">
        <w:rPr>
          <w:rFonts w:ascii="Arial" w:eastAsia="Times New Roman" w:hAnsi="Arial" w:cs="Arial"/>
          <w:i/>
          <w:iCs/>
          <w:color w:val="000000"/>
          <w:kern w:val="0"/>
          <w:sz w:val="22"/>
          <w:szCs w:val="22"/>
          <w14:ligatures w14:val="none"/>
        </w:rPr>
        <w:t>Sustainability</w:t>
      </w:r>
      <w:r w:rsidRPr="00352FFF">
        <w:rPr>
          <w:rFonts w:ascii="Arial" w:eastAsia="Times New Roman" w:hAnsi="Arial" w:cs="Arial"/>
          <w:color w:val="000000"/>
          <w:kern w:val="0"/>
          <w:sz w:val="22"/>
          <w:szCs w:val="22"/>
          <w14:ligatures w14:val="none"/>
        </w:rPr>
        <w:t xml:space="preserve">, 13(5), p.2427.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://doi.org/10.3390/su13052427.</w:t>
      </w:r>
    </w:p>
    <w:p w14:paraId="6E032C13" w14:textId="50C276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proofErr w:type="spellStart"/>
      <w:r w:rsidRPr="00352FFF">
        <w:rPr>
          <w:rFonts w:ascii="Arial" w:eastAsia="Times New Roman" w:hAnsi="Arial" w:cs="Arial"/>
          <w:color w:val="000000"/>
          <w:kern w:val="0"/>
          <w:sz w:val="22"/>
          <w:szCs w:val="22"/>
          <w14:ligatures w14:val="none"/>
        </w:rPr>
        <w:t>Balceiro</w:t>
      </w:r>
      <w:proofErr w:type="spellEnd"/>
      <w:r w:rsidRPr="00352FFF">
        <w:rPr>
          <w:rFonts w:ascii="Arial" w:eastAsia="Times New Roman" w:hAnsi="Arial" w:cs="Arial"/>
          <w:color w:val="000000"/>
          <w:kern w:val="0"/>
          <w:sz w:val="22"/>
          <w:szCs w:val="22"/>
          <w14:ligatures w14:val="none"/>
        </w:rPr>
        <w:t>, M. (2022). </w:t>
      </w:r>
      <w:r w:rsidRPr="00352FFF">
        <w:rPr>
          <w:rFonts w:ascii="Arial" w:eastAsia="Times New Roman" w:hAnsi="Arial" w:cs="Arial"/>
          <w:i/>
          <w:iCs/>
          <w:color w:val="000000"/>
          <w:kern w:val="0"/>
          <w:sz w:val="22"/>
          <w:szCs w:val="22"/>
          <w14:ligatures w14:val="none"/>
        </w:rPr>
        <w:t>The Cruise Industry Hinders Caribbean Development</w:t>
      </w:r>
      <w:r w:rsidRPr="00352FFF">
        <w:rPr>
          <w:rFonts w:ascii="Arial" w:eastAsia="Times New Roman" w:hAnsi="Arial" w:cs="Arial"/>
          <w:color w:val="000000"/>
          <w:kern w:val="0"/>
          <w:sz w:val="22"/>
          <w:szCs w:val="22"/>
          <w14:ligatures w14:val="none"/>
        </w:rPr>
        <w:t xml:space="preserve">. </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online</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 xml:space="preserve"> www.diplomaticourier.com. Available at: https://www.diplomaticourier.com/posts/the-cruise-industry-hinders-caribbean-development </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Accessed 11 Jan. 2026</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 xml:space="preserve">. </w:t>
      </w:r>
    </w:p>
    <w:p w14:paraId="0ABED88E"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r w:rsidRPr="00352FFF">
        <w:rPr>
          <w:rFonts w:ascii="Arial" w:eastAsia="Times New Roman" w:hAnsi="Arial" w:cs="Arial"/>
          <w:color w:val="000000"/>
          <w:kern w:val="0"/>
          <w:sz w:val="22"/>
          <w:szCs w:val="22"/>
          <w14:ligatures w14:val="none"/>
        </w:rPr>
        <w:t>Cortés-</w:t>
      </w:r>
      <w:proofErr w:type="spellStart"/>
      <w:r w:rsidRPr="00352FFF">
        <w:rPr>
          <w:rFonts w:ascii="Arial" w:eastAsia="Times New Roman" w:hAnsi="Arial" w:cs="Arial"/>
          <w:color w:val="000000"/>
          <w:kern w:val="0"/>
          <w:sz w:val="22"/>
          <w:szCs w:val="22"/>
          <w14:ligatures w14:val="none"/>
        </w:rPr>
        <w:t>Useche</w:t>
      </w:r>
      <w:proofErr w:type="spellEnd"/>
      <w:r w:rsidRPr="00352FFF">
        <w:rPr>
          <w:rFonts w:ascii="Arial" w:eastAsia="Times New Roman" w:hAnsi="Arial" w:cs="Arial"/>
          <w:color w:val="000000"/>
          <w:kern w:val="0"/>
          <w:sz w:val="22"/>
          <w:szCs w:val="22"/>
          <w14:ligatures w14:val="none"/>
        </w:rPr>
        <w:t>, C., Hernández-Delgado, E.A., Calle-</w:t>
      </w:r>
      <w:proofErr w:type="spellStart"/>
      <w:r w:rsidRPr="00352FFF">
        <w:rPr>
          <w:rFonts w:ascii="Arial" w:eastAsia="Times New Roman" w:hAnsi="Arial" w:cs="Arial"/>
          <w:color w:val="000000"/>
          <w:kern w:val="0"/>
          <w:sz w:val="22"/>
          <w:szCs w:val="22"/>
          <w14:ligatures w14:val="none"/>
        </w:rPr>
        <w:t>Triviño</w:t>
      </w:r>
      <w:proofErr w:type="spellEnd"/>
      <w:r w:rsidRPr="00352FFF">
        <w:rPr>
          <w:rFonts w:ascii="Arial" w:eastAsia="Times New Roman" w:hAnsi="Arial" w:cs="Arial"/>
          <w:color w:val="000000"/>
          <w:kern w:val="0"/>
          <w:sz w:val="22"/>
          <w:szCs w:val="22"/>
          <w14:ligatures w14:val="none"/>
        </w:rPr>
        <w:t xml:space="preserve">, J., </w:t>
      </w:r>
      <w:proofErr w:type="spellStart"/>
      <w:r w:rsidRPr="00352FFF">
        <w:rPr>
          <w:rFonts w:ascii="Arial" w:eastAsia="Times New Roman" w:hAnsi="Arial" w:cs="Arial"/>
          <w:color w:val="000000"/>
          <w:kern w:val="0"/>
          <w:sz w:val="22"/>
          <w:szCs w:val="22"/>
          <w14:ligatures w14:val="none"/>
        </w:rPr>
        <w:t>Sellares</w:t>
      </w:r>
      <w:proofErr w:type="spellEnd"/>
      <w:r w:rsidRPr="00352FFF">
        <w:rPr>
          <w:rFonts w:ascii="Arial" w:eastAsia="Times New Roman" w:hAnsi="Arial" w:cs="Arial"/>
          <w:color w:val="000000"/>
          <w:kern w:val="0"/>
          <w:sz w:val="22"/>
          <w:szCs w:val="22"/>
          <w14:ligatures w14:val="none"/>
        </w:rPr>
        <w:t xml:space="preserve"> </w:t>
      </w:r>
      <w:proofErr w:type="spellStart"/>
      <w:r w:rsidRPr="00352FFF">
        <w:rPr>
          <w:rFonts w:ascii="Arial" w:eastAsia="Times New Roman" w:hAnsi="Arial" w:cs="Arial"/>
          <w:color w:val="000000"/>
          <w:kern w:val="0"/>
          <w:sz w:val="22"/>
          <w:szCs w:val="22"/>
          <w14:ligatures w14:val="none"/>
        </w:rPr>
        <w:t>Blasco</w:t>
      </w:r>
      <w:proofErr w:type="spellEnd"/>
      <w:r w:rsidRPr="00352FFF">
        <w:rPr>
          <w:rFonts w:ascii="Arial" w:eastAsia="Times New Roman" w:hAnsi="Arial" w:cs="Arial"/>
          <w:color w:val="000000"/>
          <w:kern w:val="0"/>
          <w:sz w:val="22"/>
          <w:szCs w:val="22"/>
          <w14:ligatures w14:val="none"/>
        </w:rPr>
        <w:t xml:space="preserve">, R., </w:t>
      </w:r>
      <w:proofErr w:type="spellStart"/>
      <w:r w:rsidRPr="00352FFF">
        <w:rPr>
          <w:rFonts w:ascii="Arial" w:eastAsia="Times New Roman" w:hAnsi="Arial" w:cs="Arial"/>
          <w:color w:val="000000"/>
          <w:kern w:val="0"/>
          <w:sz w:val="22"/>
          <w:szCs w:val="22"/>
          <w14:ligatures w14:val="none"/>
        </w:rPr>
        <w:t>Galván</w:t>
      </w:r>
      <w:proofErr w:type="spellEnd"/>
      <w:r w:rsidRPr="00352FFF">
        <w:rPr>
          <w:rFonts w:ascii="Arial" w:eastAsia="Times New Roman" w:hAnsi="Arial" w:cs="Arial"/>
          <w:color w:val="000000"/>
          <w:kern w:val="0"/>
          <w:sz w:val="22"/>
          <w:szCs w:val="22"/>
          <w14:ligatures w14:val="none"/>
        </w:rPr>
        <w:t>, V. and Arias-González, J.E. (2021). Conservation actions and ecological context: optimizing coral reef local management in the Dominican Republic. </w:t>
      </w:r>
      <w:proofErr w:type="spellStart"/>
      <w:r w:rsidRPr="00352FFF">
        <w:rPr>
          <w:rFonts w:ascii="Arial" w:eastAsia="Times New Roman" w:hAnsi="Arial" w:cs="Arial"/>
          <w:i/>
          <w:iCs/>
          <w:color w:val="000000"/>
          <w:kern w:val="0"/>
          <w:sz w:val="22"/>
          <w:szCs w:val="22"/>
          <w14:ligatures w14:val="none"/>
        </w:rPr>
        <w:t>PeerJ</w:t>
      </w:r>
      <w:proofErr w:type="spellEnd"/>
      <w:r w:rsidRPr="00352FFF">
        <w:rPr>
          <w:rFonts w:ascii="Arial" w:eastAsia="Times New Roman" w:hAnsi="Arial" w:cs="Arial"/>
          <w:color w:val="000000"/>
          <w:kern w:val="0"/>
          <w:sz w:val="22"/>
          <w:szCs w:val="22"/>
          <w14:ligatures w14:val="none"/>
        </w:rPr>
        <w:t xml:space="preserve">, 9, p.e10925.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://doi.org/10.7717/peerj.10925.</w:t>
      </w:r>
    </w:p>
    <w:p w14:paraId="5686789B" w14:textId="4507D5C1"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proofErr w:type="spellStart"/>
      <w:r w:rsidRPr="00352FFF">
        <w:rPr>
          <w:rFonts w:ascii="Arial" w:eastAsia="Times New Roman" w:hAnsi="Arial" w:cs="Arial"/>
          <w:color w:val="000000"/>
          <w:kern w:val="0"/>
          <w:sz w:val="22"/>
          <w:szCs w:val="22"/>
          <w14:ligatures w14:val="none"/>
        </w:rPr>
        <w:t>Froyd</w:t>
      </w:r>
      <w:proofErr w:type="spellEnd"/>
      <w:r w:rsidRPr="00352FFF">
        <w:rPr>
          <w:rFonts w:ascii="Arial" w:eastAsia="Times New Roman" w:hAnsi="Arial" w:cs="Arial"/>
          <w:color w:val="000000"/>
          <w:kern w:val="0"/>
          <w:sz w:val="22"/>
          <w:szCs w:val="22"/>
          <w14:ligatures w14:val="none"/>
        </w:rPr>
        <w:t>, J.N. (2024). </w:t>
      </w:r>
      <w:r w:rsidRPr="00352FFF">
        <w:rPr>
          <w:rFonts w:ascii="Arial" w:eastAsia="Times New Roman" w:hAnsi="Arial" w:cs="Arial"/>
          <w:i/>
          <w:iCs/>
          <w:color w:val="000000"/>
          <w:kern w:val="0"/>
          <w:sz w:val="22"/>
          <w:szCs w:val="22"/>
          <w14:ligatures w14:val="none"/>
        </w:rPr>
        <w:t>CARIBBEAN TOURISM GROWTH RATE SLOWS DOWN</w:t>
      </w:r>
      <w:r w:rsidRPr="00352FFF">
        <w:rPr>
          <w:rFonts w:ascii="Arial" w:eastAsia="Times New Roman" w:hAnsi="Arial" w:cs="Arial"/>
          <w:color w:val="000000"/>
          <w:kern w:val="0"/>
          <w:sz w:val="22"/>
          <w:szCs w:val="22"/>
          <w14:ligatures w14:val="none"/>
        </w:rPr>
        <w:t xml:space="preserve">. </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online</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 xml:space="preserve"> Tourism-review.com. Available at: https://www.tourism-review.com/the-growth-of-caribbean-tourism-slowed-down-news14439 </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Accessed 11 Jan. 2026</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 xml:space="preserve">. </w:t>
      </w:r>
    </w:p>
    <w:p w14:paraId="7FCDB4E9"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r w:rsidRPr="00352FFF">
        <w:rPr>
          <w:rFonts w:ascii="Arial" w:eastAsia="Times New Roman" w:hAnsi="Arial" w:cs="Arial"/>
          <w:color w:val="000000"/>
          <w:kern w:val="0"/>
          <w:sz w:val="22"/>
          <w:szCs w:val="22"/>
          <w14:ligatures w14:val="none"/>
        </w:rPr>
        <w:t>Gómez-</w:t>
      </w:r>
      <w:proofErr w:type="spellStart"/>
      <w:r w:rsidRPr="00352FFF">
        <w:rPr>
          <w:rFonts w:ascii="Arial" w:eastAsia="Times New Roman" w:hAnsi="Arial" w:cs="Arial"/>
          <w:color w:val="000000"/>
          <w:kern w:val="0"/>
          <w:sz w:val="22"/>
          <w:szCs w:val="22"/>
          <w14:ligatures w14:val="none"/>
        </w:rPr>
        <w:t>Andújar</w:t>
      </w:r>
      <w:proofErr w:type="spellEnd"/>
      <w:r w:rsidRPr="00352FFF">
        <w:rPr>
          <w:rFonts w:ascii="Arial" w:eastAsia="Times New Roman" w:hAnsi="Arial" w:cs="Arial"/>
          <w:color w:val="000000"/>
          <w:kern w:val="0"/>
          <w:sz w:val="22"/>
          <w:szCs w:val="22"/>
          <w14:ligatures w14:val="none"/>
        </w:rPr>
        <w:t>, N.X. and Hernandez-Delgado, E.A. (2020). Spatial benthic community analysis of shallow coral reefs to support coastal management in Culebra Island, Puerto Rico. </w:t>
      </w:r>
      <w:proofErr w:type="spellStart"/>
      <w:r w:rsidRPr="00352FFF">
        <w:rPr>
          <w:rFonts w:ascii="Arial" w:eastAsia="Times New Roman" w:hAnsi="Arial" w:cs="Arial"/>
          <w:i/>
          <w:iCs/>
          <w:color w:val="000000"/>
          <w:kern w:val="0"/>
          <w:sz w:val="22"/>
          <w:szCs w:val="22"/>
          <w14:ligatures w14:val="none"/>
        </w:rPr>
        <w:t>PeerJ</w:t>
      </w:r>
      <w:proofErr w:type="spellEnd"/>
      <w:r w:rsidRPr="00352FFF">
        <w:rPr>
          <w:rFonts w:ascii="Arial" w:eastAsia="Times New Roman" w:hAnsi="Arial" w:cs="Arial"/>
          <w:color w:val="000000"/>
          <w:kern w:val="0"/>
          <w:sz w:val="22"/>
          <w:szCs w:val="22"/>
          <w14:ligatures w14:val="none"/>
        </w:rPr>
        <w:t xml:space="preserve">, 8, p.e10080.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://doi.org/10.7717/peerj.10080.</w:t>
      </w:r>
    </w:p>
    <w:p w14:paraId="11A25059"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proofErr w:type="spellStart"/>
      <w:r w:rsidRPr="00352FFF">
        <w:rPr>
          <w:rFonts w:ascii="Arial" w:eastAsia="Times New Roman" w:hAnsi="Arial" w:cs="Arial"/>
          <w:color w:val="000000"/>
          <w:kern w:val="0"/>
          <w:sz w:val="22"/>
          <w:szCs w:val="22"/>
          <w14:ligatures w14:val="none"/>
        </w:rPr>
        <w:t>Hassanali</w:t>
      </w:r>
      <w:proofErr w:type="spellEnd"/>
      <w:r w:rsidRPr="00352FFF">
        <w:rPr>
          <w:rFonts w:ascii="Arial" w:eastAsia="Times New Roman" w:hAnsi="Arial" w:cs="Arial"/>
          <w:color w:val="000000"/>
          <w:kern w:val="0"/>
          <w:sz w:val="22"/>
          <w:szCs w:val="22"/>
          <w14:ligatures w14:val="none"/>
        </w:rPr>
        <w:t>, K. (2022). Examining Institutional Arrangements toward Coordinated Regional Ocean Governance and Blue Economy Policy Development in the Caribbean Community (CARICOM). </w:t>
      </w:r>
      <w:r w:rsidRPr="00352FFF">
        <w:rPr>
          <w:rFonts w:ascii="Arial" w:eastAsia="Times New Roman" w:hAnsi="Arial" w:cs="Arial"/>
          <w:i/>
          <w:iCs/>
          <w:color w:val="000000"/>
          <w:kern w:val="0"/>
          <w:sz w:val="22"/>
          <w:szCs w:val="22"/>
          <w14:ligatures w14:val="none"/>
        </w:rPr>
        <w:t>Coastal Management</w:t>
      </w:r>
      <w:r w:rsidRPr="00352FFF">
        <w:rPr>
          <w:rFonts w:ascii="Arial" w:eastAsia="Times New Roman" w:hAnsi="Arial" w:cs="Arial"/>
          <w:color w:val="000000"/>
          <w:kern w:val="0"/>
          <w:sz w:val="22"/>
          <w:szCs w:val="22"/>
          <w14:ligatures w14:val="none"/>
        </w:rPr>
        <w:t xml:space="preserve">, 50(5), pp.1–23.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://doi.org/10.1080/08920753.2022.2082835.</w:t>
      </w:r>
    </w:p>
    <w:p w14:paraId="1AF129FF" w14:textId="5CB96D8B"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proofErr w:type="spellStart"/>
      <w:r w:rsidRPr="00352FFF">
        <w:rPr>
          <w:rFonts w:ascii="Arial" w:eastAsia="Times New Roman" w:hAnsi="Arial" w:cs="Arial"/>
          <w:color w:val="000000"/>
          <w:kern w:val="0"/>
          <w:sz w:val="22"/>
          <w:szCs w:val="22"/>
          <w14:ligatures w14:val="none"/>
        </w:rPr>
        <w:t>Hocevar</w:t>
      </w:r>
      <w:proofErr w:type="spellEnd"/>
      <w:r w:rsidRPr="00352FFF">
        <w:rPr>
          <w:rFonts w:ascii="Arial" w:eastAsia="Times New Roman" w:hAnsi="Arial" w:cs="Arial"/>
          <w:color w:val="000000"/>
          <w:kern w:val="0"/>
          <w:sz w:val="22"/>
          <w:szCs w:val="22"/>
          <w14:ligatures w14:val="none"/>
        </w:rPr>
        <w:t>, J. (2016). </w:t>
      </w:r>
      <w:r w:rsidRPr="00352FFF">
        <w:rPr>
          <w:rFonts w:ascii="Arial" w:eastAsia="Times New Roman" w:hAnsi="Arial" w:cs="Arial"/>
          <w:i/>
          <w:iCs/>
          <w:color w:val="000000"/>
          <w:kern w:val="0"/>
          <w:sz w:val="22"/>
          <w:szCs w:val="22"/>
          <w14:ligatures w14:val="none"/>
        </w:rPr>
        <w:t>What’s Killing Coral Reefs? And How Can We Stop It?</w:t>
      </w:r>
      <w:r w:rsidRPr="00352FFF">
        <w:rPr>
          <w:rFonts w:ascii="Arial" w:eastAsia="Times New Roman" w:hAnsi="Arial" w:cs="Arial"/>
          <w:color w:val="000000"/>
          <w:kern w:val="0"/>
          <w:sz w:val="22"/>
          <w:szCs w:val="22"/>
          <w14:ligatures w14:val="none"/>
        </w:rPr>
        <w:t> </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online</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 xml:space="preserve"> Greenpeace USA. Available at: https://www.greenpeace.org/usa/whats-killing-coral-reefs-and-how-can-we-stop-it </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Accessed 11 Jan. 2026</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 xml:space="preserve">. </w:t>
      </w:r>
    </w:p>
    <w:p w14:paraId="30E4CFF0"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proofErr w:type="spellStart"/>
      <w:r w:rsidRPr="00352FFF">
        <w:rPr>
          <w:rFonts w:ascii="Arial" w:eastAsia="Times New Roman" w:hAnsi="Arial" w:cs="Arial"/>
          <w:color w:val="000000"/>
          <w:kern w:val="0"/>
          <w:sz w:val="22"/>
          <w:szCs w:val="22"/>
          <w14:ligatures w14:val="none"/>
        </w:rPr>
        <w:t>Jno</w:t>
      </w:r>
      <w:proofErr w:type="spellEnd"/>
      <w:r w:rsidRPr="00352FFF">
        <w:rPr>
          <w:rFonts w:ascii="Arial" w:eastAsia="Times New Roman" w:hAnsi="Arial" w:cs="Arial"/>
          <w:color w:val="000000"/>
          <w:kern w:val="0"/>
          <w:sz w:val="22"/>
          <w:szCs w:val="22"/>
          <w14:ligatures w14:val="none"/>
        </w:rPr>
        <w:t>-Baptiste, B. (2024). Issues and Challenges of the Preservation of an Intangible Cultural Heritage in a Small Island State of the Caribbean: Institutionalizing the Creole Language in Dominica. </w:t>
      </w:r>
      <w:r w:rsidRPr="00352FFF">
        <w:rPr>
          <w:rFonts w:ascii="Arial" w:eastAsia="Times New Roman" w:hAnsi="Arial" w:cs="Arial"/>
          <w:i/>
          <w:iCs/>
          <w:color w:val="000000"/>
          <w:kern w:val="0"/>
          <w:sz w:val="22"/>
          <w:szCs w:val="22"/>
          <w14:ligatures w14:val="none"/>
        </w:rPr>
        <w:t>Creole Cultures, Vol. 2</w:t>
      </w:r>
      <w:r w:rsidRPr="00352FFF">
        <w:rPr>
          <w:rFonts w:ascii="Arial" w:eastAsia="Times New Roman" w:hAnsi="Arial" w:cs="Arial"/>
          <w:color w:val="000000"/>
          <w:kern w:val="0"/>
          <w:sz w:val="22"/>
          <w:szCs w:val="22"/>
          <w14:ligatures w14:val="none"/>
        </w:rPr>
        <w:t xml:space="preserve">, 2, pp.205–218.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://doi.org/10.1007/978-3-031-55237-3_10.</w:t>
      </w:r>
    </w:p>
    <w:p w14:paraId="5509FBC9"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r w:rsidRPr="00352FFF">
        <w:rPr>
          <w:rFonts w:ascii="Arial" w:eastAsia="Times New Roman" w:hAnsi="Arial" w:cs="Arial"/>
          <w:color w:val="000000"/>
          <w:kern w:val="0"/>
          <w:sz w:val="22"/>
          <w:szCs w:val="22"/>
          <w14:ligatures w14:val="none"/>
        </w:rPr>
        <w:lastRenderedPageBreak/>
        <w:t>Jordan, E.J. and Vogt, C.A. (2017). Residents’ Perceptions of Stress Related to Cruise Tourism Development. </w:t>
      </w:r>
      <w:r w:rsidRPr="00352FFF">
        <w:rPr>
          <w:rFonts w:ascii="Arial" w:eastAsia="Times New Roman" w:hAnsi="Arial" w:cs="Arial"/>
          <w:i/>
          <w:iCs/>
          <w:color w:val="000000"/>
          <w:kern w:val="0"/>
          <w:sz w:val="22"/>
          <w:szCs w:val="22"/>
          <w14:ligatures w14:val="none"/>
        </w:rPr>
        <w:t>Tourism Planning &amp; Development</w:t>
      </w:r>
      <w:r w:rsidRPr="00352FFF">
        <w:rPr>
          <w:rFonts w:ascii="Arial" w:eastAsia="Times New Roman" w:hAnsi="Arial" w:cs="Arial"/>
          <w:color w:val="000000"/>
          <w:kern w:val="0"/>
          <w:sz w:val="22"/>
          <w:szCs w:val="22"/>
          <w14:ligatures w14:val="none"/>
        </w:rPr>
        <w:t xml:space="preserve">, 14(4), pp.527–547.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://doi.org/10.1080/21568316.2017.1287123.</w:t>
      </w:r>
    </w:p>
    <w:p w14:paraId="7B0D2070"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r w:rsidRPr="00352FFF">
        <w:rPr>
          <w:rFonts w:ascii="Arial" w:eastAsia="Times New Roman" w:hAnsi="Arial" w:cs="Arial"/>
          <w:color w:val="000000"/>
          <w:kern w:val="0"/>
          <w:sz w:val="22"/>
          <w:szCs w:val="22"/>
          <w14:ligatures w14:val="none"/>
        </w:rPr>
        <w:t>Jordan, L.-A. (2013). A critical assessment of Trinidad and Tobago as a cruise homeport: doorway to the South American cruise market? </w:t>
      </w:r>
      <w:r w:rsidRPr="00352FFF">
        <w:rPr>
          <w:rFonts w:ascii="Arial" w:eastAsia="Times New Roman" w:hAnsi="Arial" w:cs="Arial"/>
          <w:i/>
          <w:iCs/>
          <w:color w:val="000000"/>
          <w:kern w:val="0"/>
          <w:sz w:val="22"/>
          <w:szCs w:val="22"/>
          <w14:ligatures w14:val="none"/>
        </w:rPr>
        <w:t>Maritime Policy &amp; Management</w:t>
      </w:r>
      <w:r w:rsidRPr="00352FFF">
        <w:rPr>
          <w:rFonts w:ascii="Arial" w:eastAsia="Times New Roman" w:hAnsi="Arial" w:cs="Arial"/>
          <w:color w:val="000000"/>
          <w:kern w:val="0"/>
          <w:sz w:val="22"/>
          <w:szCs w:val="22"/>
          <w14:ligatures w14:val="none"/>
        </w:rPr>
        <w:t xml:space="preserve">, 40(4), pp.367–383.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://doi.org/10.1080/03088839.2013.777980.</w:t>
      </w:r>
    </w:p>
    <w:p w14:paraId="41A26166" w14:textId="31D1F83C"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r w:rsidRPr="00352FFF">
        <w:rPr>
          <w:rFonts w:ascii="Arial" w:eastAsia="Times New Roman" w:hAnsi="Arial" w:cs="Arial"/>
          <w:color w:val="000000"/>
          <w:kern w:val="0"/>
          <w:sz w:val="22"/>
          <w:szCs w:val="22"/>
          <w14:ligatures w14:val="none"/>
        </w:rPr>
        <w:t>Marine Conservation Society. (2021). </w:t>
      </w:r>
      <w:r w:rsidRPr="00352FFF">
        <w:rPr>
          <w:rFonts w:ascii="Arial" w:eastAsia="Times New Roman" w:hAnsi="Arial" w:cs="Arial"/>
          <w:i/>
          <w:iCs/>
          <w:color w:val="000000"/>
          <w:kern w:val="0"/>
          <w:sz w:val="22"/>
          <w:szCs w:val="22"/>
          <w14:ligatures w14:val="none"/>
        </w:rPr>
        <w:t>The people and places of Montserrat</w:t>
      </w:r>
      <w:r w:rsidRPr="00352FFF">
        <w:rPr>
          <w:rFonts w:ascii="Arial" w:eastAsia="Times New Roman" w:hAnsi="Arial" w:cs="Arial"/>
          <w:color w:val="000000"/>
          <w:kern w:val="0"/>
          <w:sz w:val="22"/>
          <w:szCs w:val="22"/>
          <w14:ligatures w14:val="none"/>
        </w:rPr>
        <w:t xml:space="preserve">. </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online</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 xml:space="preserve"> Available at: https://www.mcsuk.org/news/the-people-and-places-of-montserrat/ </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Accessed 11 Jan. 2026</w:t>
      </w:r>
      <w:r>
        <w:rPr>
          <w:rFonts w:ascii="Arial" w:eastAsia="Times New Roman" w:hAnsi="Arial" w:cs="Arial"/>
          <w:color w:val="000000"/>
          <w:kern w:val="0"/>
          <w:sz w:val="22"/>
          <w:szCs w:val="22"/>
          <w14:ligatures w14:val="none"/>
        </w:rPr>
        <w:t>)</w:t>
      </w:r>
      <w:r w:rsidRPr="00352FFF">
        <w:rPr>
          <w:rFonts w:ascii="Arial" w:eastAsia="Times New Roman" w:hAnsi="Arial" w:cs="Arial"/>
          <w:color w:val="000000"/>
          <w:kern w:val="0"/>
          <w:sz w:val="22"/>
          <w:szCs w:val="22"/>
          <w14:ligatures w14:val="none"/>
        </w:rPr>
        <w:t>. Image reference.</w:t>
      </w:r>
    </w:p>
    <w:p w14:paraId="0D7F5183"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r w:rsidRPr="00352FFF">
        <w:rPr>
          <w:rFonts w:ascii="Arial" w:eastAsia="Times New Roman" w:hAnsi="Arial" w:cs="Arial"/>
          <w:color w:val="000000"/>
          <w:kern w:val="0"/>
          <w:sz w:val="22"/>
          <w:szCs w:val="22"/>
          <w14:ligatures w14:val="none"/>
        </w:rPr>
        <w:t>Murray, K. M. (2018). </w:t>
      </w:r>
      <w:r w:rsidRPr="00352FFF">
        <w:rPr>
          <w:rFonts w:ascii="Arial" w:eastAsia="Times New Roman" w:hAnsi="Arial" w:cs="Arial"/>
          <w:i/>
          <w:iCs/>
          <w:color w:val="000000"/>
          <w:kern w:val="0"/>
          <w:sz w:val="22"/>
          <w:szCs w:val="22"/>
          <w14:ligatures w14:val="none"/>
        </w:rPr>
        <w:t>Understanding the Impacts of Cruise Ship Tourism on Marginalized Populations: The Case of Jamaica</w:t>
      </w:r>
      <w:r w:rsidRPr="00352FFF">
        <w:rPr>
          <w:rFonts w:ascii="Arial" w:eastAsia="Times New Roman" w:hAnsi="Arial" w:cs="Arial"/>
          <w:color w:val="000000"/>
          <w:kern w:val="0"/>
          <w:sz w:val="22"/>
          <w:szCs w:val="22"/>
          <w14:ligatures w14:val="none"/>
        </w:rPr>
        <w:t>. ProQuest Dissertations &amp; Theses. </w:t>
      </w:r>
    </w:p>
    <w:p w14:paraId="6866BEB1"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proofErr w:type="spellStart"/>
      <w:r w:rsidRPr="00352FFF">
        <w:rPr>
          <w:rFonts w:ascii="Arial" w:eastAsia="Times New Roman" w:hAnsi="Arial" w:cs="Arial"/>
          <w:color w:val="000000"/>
          <w:kern w:val="0"/>
          <w:sz w:val="22"/>
          <w:szCs w:val="22"/>
          <w14:ligatures w14:val="none"/>
        </w:rPr>
        <w:t>Nezha</w:t>
      </w:r>
      <w:proofErr w:type="spellEnd"/>
      <w:r w:rsidRPr="00352FFF">
        <w:rPr>
          <w:rFonts w:ascii="Arial" w:eastAsia="Times New Roman" w:hAnsi="Arial" w:cs="Arial"/>
          <w:color w:val="000000"/>
          <w:kern w:val="0"/>
          <w:sz w:val="22"/>
          <w:szCs w:val="22"/>
          <w14:ligatures w14:val="none"/>
        </w:rPr>
        <w:t xml:space="preserve"> </w:t>
      </w:r>
      <w:proofErr w:type="spellStart"/>
      <w:r w:rsidRPr="00352FFF">
        <w:rPr>
          <w:rFonts w:ascii="Arial" w:eastAsia="Times New Roman" w:hAnsi="Arial" w:cs="Arial"/>
          <w:color w:val="000000"/>
          <w:kern w:val="0"/>
          <w:sz w:val="22"/>
          <w:szCs w:val="22"/>
          <w14:ligatures w14:val="none"/>
        </w:rPr>
        <w:t>Mejjad</w:t>
      </w:r>
      <w:proofErr w:type="spellEnd"/>
      <w:r w:rsidRPr="00352FFF">
        <w:rPr>
          <w:rFonts w:ascii="Arial" w:eastAsia="Times New Roman" w:hAnsi="Arial" w:cs="Arial"/>
          <w:color w:val="000000"/>
          <w:kern w:val="0"/>
          <w:sz w:val="22"/>
          <w:szCs w:val="22"/>
          <w14:ligatures w14:val="none"/>
        </w:rPr>
        <w:t xml:space="preserve">, A. </w:t>
      </w:r>
      <w:proofErr w:type="spellStart"/>
      <w:r w:rsidRPr="00352FFF">
        <w:rPr>
          <w:rFonts w:ascii="Arial" w:eastAsia="Times New Roman" w:hAnsi="Arial" w:cs="Arial"/>
          <w:color w:val="000000"/>
          <w:kern w:val="0"/>
          <w:sz w:val="22"/>
          <w:szCs w:val="22"/>
          <w14:ligatures w14:val="none"/>
        </w:rPr>
        <w:t>Laissaoui</w:t>
      </w:r>
      <w:proofErr w:type="spellEnd"/>
      <w:r w:rsidRPr="00352FFF">
        <w:rPr>
          <w:rFonts w:ascii="Arial" w:eastAsia="Times New Roman" w:hAnsi="Arial" w:cs="Arial"/>
          <w:color w:val="000000"/>
          <w:kern w:val="0"/>
          <w:sz w:val="22"/>
          <w:szCs w:val="22"/>
          <w14:ligatures w14:val="none"/>
        </w:rPr>
        <w:t xml:space="preserve">, </w:t>
      </w:r>
      <w:proofErr w:type="spellStart"/>
      <w:r w:rsidRPr="00352FFF">
        <w:rPr>
          <w:rFonts w:ascii="Arial" w:eastAsia="Times New Roman" w:hAnsi="Arial" w:cs="Arial"/>
          <w:color w:val="000000"/>
          <w:kern w:val="0"/>
          <w:sz w:val="22"/>
          <w:szCs w:val="22"/>
          <w14:ligatures w14:val="none"/>
        </w:rPr>
        <w:t>Fekri</w:t>
      </w:r>
      <w:proofErr w:type="spellEnd"/>
      <w:r w:rsidRPr="00352FFF">
        <w:rPr>
          <w:rFonts w:ascii="Arial" w:eastAsia="Times New Roman" w:hAnsi="Arial" w:cs="Arial"/>
          <w:color w:val="000000"/>
          <w:kern w:val="0"/>
          <w:sz w:val="22"/>
          <w:szCs w:val="22"/>
          <w14:ligatures w14:val="none"/>
        </w:rPr>
        <w:t xml:space="preserve">, A. and </w:t>
      </w:r>
      <w:proofErr w:type="spellStart"/>
      <w:r w:rsidRPr="00352FFF">
        <w:rPr>
          <w:rFonts w:ascii="Arial" w:eastAsia="Times New Roman" w:hAnsi="Arial" w:cs="Arial"/>
          <w:color w:val="000000"/>
          <w:kern w:val="0"/>
          <w:sz w:val="22"/>
          <w:szCs w:val="22"/>
          <w14:ligatures w14:val="none"/>
        </w:rPr>
        <w:t>Ouafa</w:t>
      </w:r>
      <w:proofErr w:type="spellEnd"/>
      <w:r w:rsidRPr="00352FFF">
        <w:rPr>
          <w:rFonts w:ascii="Arial" w:eastAsia="Times New Roman" w:hAnsi="Arial" w:cs="Arial"/>
          <w:color w:val="000000"/>
          <w:kern w:val="0"/>
          <w:sz w:val="22"/>
          <w:szCs w:val="22"/>
          <w14:ligatures w14:val="none"/>
        </w:rPr>
        <w:t xml:space="preserve"> El </w:t>
      </w:r>
      <w:proofErr w:type="spellStart"/>
      <w:r w:rsidRPr="00352FFF">
        <w:rPr>
          <w:rFonts w:ascii="Arial" w:eastAsia="Times New Roman" w:hAnsi="Arial" w:cs="Arial"/>
          <w:color w:val="000000"/>
          <w:kern w:val="0"/>
          <w:sz w:val="22"/>
          <w:szCs w:val="22"/>
          <w14:ligatures w14:val="none"/>
        </w:rPr>
        <w:t>Hammoumi</w:t>
      </w:r>
      <w:proofErr w:type="spellEnd"/>
      <w:r w:rsidRPr="00352FFF">
        <w:rPr>
          <w:rFonts w:ascii="Arial" w:eastAsia="Times New Roman" w:hAnsi="Arial" w:cs="Arial"/>
          <w:color w:val="000000"/>
          <w:kern w:val="0"/>
          <w:sz w:val="22"/>
          <w:szCs w:val="22"/>
          <w14:ligatures w14:val="none"/>
        </w:rPr>
        <w:t xml:space="preserve"> (2023). Marine plastic pollution in Morocco: state of the knowledge on origin, occurrence, fate, and management. </w:t>
      </w:r>
      <w:r w:rsidRPr="00352FFF">
        <w:rPr>
          <w:rFonts w:ascii="Arial" w:eastAsia="Times New Roman" w:hAnsi="Arial" w:cs="Arial"/>
          <w:i/>
          <w:iCs/>
          <w:color w:val="000000"/>
          <w:kern w:val="0"/>
          <w:sz w:val="22"/>
          <w:szCs w:val="22"/>
          <w14:ligatures w14:val="none"/>
        </w:rPr>
        <w:t>Environmental Science and Pollution Research</w:t>
      </w:r>
      <w:r w:rsidRPr="00352FFF">
        <w:rPr>
          <w:rFonts w:ascii="Arial" w:eastAsia="Times New Roman" w:hAnsi="Arial" w:cs="Arial"/>
          <w:color w:val="000000"/>
          <w:kern w:val="0"/>
          <w:sz w:val="22"/>
          <w:szCs w:val="22"/>
          <w14:ligatures w14:val="none"/>
        </w:rPr>
        <w:t xml:space="preserve">, 30(49).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://doi.org/10.1007/s11356-023-26973-8.</w:t>
      </w:r>
    </w:p>
    <w:p w14:paraId="48AE7DAB"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r w:rsidRPr="00352FFF">
        <w:rPr>
          <w:rFonts w:ascii="Arial" w:eastAsia="Times New Roman" w:hAnsi="Arial" w:cs="Arial"/>
          <w:color w:val="000000"/>
          <w:kern w:val="0"/>
          <w:sz w:val="22"/>
          <w:szCs w:val="22"/>
          <w14:ligatures w14:val="none"/>
        </w:rPr>
        <w:t>STONICH, S.C. (2008). ENHANCING COMMUNITY-BASED TOURISM DEVELOPMENT AND CONSERVATION IN THE WESTERN CARIBBEAN. </w:t>
      </w:r>
      <w:r w:rsidRPr="00352FFF">
        <w:rPr>
          <w:rFonts w:ascii="Arial" w:eastAsia="Times New Roman" w:hAnsi="Arial" w:cs="Arial"/>
          <w:i/>
          <w:iCs/>
          <w:color w:val="000000"/>
          <w:kern w:val="0"/>
          <w:sz w:val="22"/>
          <w:szCs w:val="22"/>
          <w14:ligatures w14:val="none"/>
        </w:rPr>
        <w:t>NAPA Bulletin</w:t>
      </w:r>
      <w:r w:rsidRPr="00352FFF">
        <w:rPr>
          <w:rFonts w:ascii="Arial" w:eastAsia="Times New Roman" w:hAnsi="Arial" w:cs="Arial"/>
          <w:color w:val="000000"/>
          <w:kern w:val="0"/>
          <w:sz w:val="22"/>
          <w:szCs w:val="22"/>
          <w14:ligatures w14:val="none"/>
        </w:rPr>
        <w:t xml:space="preserve">, 23(1), pp.77–86.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://doi.org/10.1525/napa.2005.23.1.77.</w:t>
      </w:r>
    </w:p>
    <w:p w14:paraId="6917DC24"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proofErr w:type="spellStart"/>
      <w:r w:rsidRPr="00352FFF">
        <w:rPr>
          <w:rFonts w:ascii="Arial" w:eastAsia="Times New Roman" w:hAnsi="Arial" w:cs="Arial"/>
          <w:color w:val="000000"/>
          <w:kern w:val="0"/>
          <w:sz w:val="22"/>
          <w:szCs w:val="22"/>
          <w14:ligatures w14:val="none"/>
        </w:rPr>
        <w:t>Telemaque</w:t>
      </w:r>
      <w:proofErr w:type="spellEnd"/>
      <w:r w:rsidRPr="00352FFF">
        <w:rPr>
          <w:rFonts w:ascii="Arial" w:eastAsia="Times New Roman" w:hAnsi="Arial" w:cs="Arial"/>
          <w:color w:val="000000"/>
          <w:kern w:val="0"/>
          <w:sz w:val="22"/>
          <w:szCs w:val="22"/>
          <w14:ligatures w14:val="none"/>
        </w:rPr>
        <w:t>, D.T. (2022). Challenges confronting efficient port performance of selected countries in the Eastern Caribbean: what are the opportunities for Antigua and Barbuda? </w:t>
      </w:r>
      <w:r w:rsidRPr="00352FFF">
        <w:rPr>
          <w:rFonts w:ascii="Arial" w:eastAsia="Times New Roman" w:hAnsi="Arial" w:cs="Arial"/>
          <w:i/>
          <w:iCs/>
          <w:color w:val="000000"/>
          <w:kern w:val="0"/>
          <w:sz w:val="22"/>
          <w:szCs w:val="22"/>
          <w14:ligatures w14:val="none"/>
        </w:rPr>
        <w:t>Worldwide Hospitality and Tourism Themes</w:t>
      </w:r>
      <w:r w:rsidRPr="00352FFF">
        <w:rPr>
          <w:rFonts w:ascii="Arial" w:eastAsia="Times New Roman" w:hAnsi="Arial" w:cs="Arial"/>
          <w:color w:val="000000"/>
          <w:kern w:val="0"/>
          <w:sz w:val="22"/>
          <w:szCs w:val="22"/>
          <w14:ligatures w14:val="none"/>
        </w:rPr>
        <w:t xml:space="preserve">, 14(2), pp.169–178.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://doi.org/10.1108/whatt-12-2021-0154.</w:t>
      </w:r>
    </w:p>
    <w:p w14:paraId="536534CF"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proofErr w:type="spellStart"/>
      <w:r w:rsidRPr="00352FFF">
        <w:rPr>
          <w:rFonts w:ascii="Arial" w:eastAsia="Times New Roman" w:hAnsi="Arial" w:cs="Arial"/>
          <w:color w:val="000000"/>
          <w:kern w:val="0"/>
          <w:sz w:val="22"/>
          <w:szCs w:val="22"/>
          <w14:ligatures w14:val="none"/>
        </w:rPr>
        <w:t>Tenny</w:t>
      </w:r>
      <w:proofErr w:type="spellEnd"/>
      <w:r w:rsidRPr="00352FFF">
        <w:rPr>
          <w:rFonts w:ascii="Arial" w:eastAsia="Times New Roman" w:hAnsi="Arial" w:cs="Arial"/>
          <w:color w:val="000000"/>
          <w:kern w:val="0"/>
          <w:sz w:val="22"/>
          <w:szCs w:val="22"/>
          <w14:ligatures w14:val="none"/>
        </w:rPr>
        <w:t>, L. (1998). Second CTO conservation confab explores tourism’s impacts. (Caribbean Tourism Organization’s second annual Sustainable Tourism Conference). </w:t>
      </w:r>
      <w:r w:rsidRPr="00352FFF">
        <w:rPr>
          <w:rFonts w:ascii="Arial" w:eastAsia="Times New Roman" w:hAnsi="Arial" w:cs="Arial"/>
          <w:i/>
          <w:iCs/>
          <w:color w:val="000000"/>
          <w:kern w:val="0"/>
          <w:sz w:val="22"/>
          <w:szCs w:val="22"/>
          <w14:ligatures w14:val="none"/>
        </w:rPr>
        <w:t>Travel Weekly</w:t>
      </w:r>
      <w:r w:rsidRPr="00352FFF">
        <w:rPr>
          <w:rFonts w:ascii="Arial" w:eastAsia="Times New Roman" w:hAnsi="Arial" w:cs="Arial"/>
          <w:color w:val="000000"/>
          <w:kern w:val="0"/>
          <w:sz w:val="22"/>
          <w:szCs w:val="22"/>
          <w14:ligatures w14:val="none"/>
        </w:rPr>
        <w:t>, </w:t>
      </w:r>
      <w:r w:rsidRPr="00352FFF">
        <w:rPr>
          <w:rFonts w:ascii="Arial" w:eastAsia="Times New Roman" w:hAnsi="Arial" w:cs="Arial"/>
          <w:i/>
          <w:iCs/>
          <w:color w:val="000000"/>
          <w:kern w:val="0"/>
          <w:sz w:val="22"/>
          <w:szCs w:val="22"/>
          <w14:ligatures w14:val="none"/>
        </w:rPr>
        <w:t>57</w:t>
      </w:r>
      <w:r w:rsidRPr="00352FFF">
        <w:rPr>
          <w:rFonts w:ascii="Arial" w:eastAsia="Times New Roman" w:hAnsi="Arial" w:cs="Arial"/>
          <w:color w:val="000000"/>
          <w:kern w:val="0"/>
          <w:sz w:val="22"/>
          <w:szCs w:val="22"/>
          <w14:ligatures w14:val="none"/>
        </w:rPr>
        <w:t>(38), C9. </w:t>
      </w:r>
    </w:p>
    <w:p w14:paraId="6CA7B9F8"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proofErr w:type="spellStart"/>
      <w:r w:rsidRPr="00352FFF">
        <w:rPr>
          <w:rFonts w:ascii="Arial" w:eastAsia="Times New Roman" w:hAnsi="Arial" w:cs="Arial"/>
          <w:color w:val="000000"/>
          <w:kern w:val="0"/>
          <w:sz w:val="22"/>
          <w:szCs w:val="22"/>
          <w14:ligatures w14:val="none"/>
        </w:rPr>
        <w:t>Vukić</w:t>
      </w:r>
      <w:proofErr w:type="spellEnd"/>
      <w:r w:rsidRPr="00352FFF">
        <w:rPr>
          <w:rFonts w:ascii="Arial" w:eastAsia="Times New Roman" w:hAnsi="Arial" w:cs="Arial"/>
          <w:color w:val="000000"/>
          <w:kern w:val="0"/>
          <w:sz w:val="22"/>
          <w:szCs w:val="22"/>
          <w14:ligatures w14:val="none"/>
        </w:rPr>
        <w:t xml:space="preserve">, L., </w:t>
      </w:r>
      <w:proofErr w:type="spellStart"/>
      <w:r w:rsidRPr="00352FFF">
        <w:rPr>
          <w:rFonts w:ascii="Arial" w:eastAsia="Times New Roman" w:hAnsi="Arial" w:cs="Arial"/>
          <w:color w:val="000000"/>
          <w:kern w:val="0"/>
          <w:sz w:val="22"/>
          <w:szCs w:val="22"/>
          <w14:ligatures w14:val="none"/>
        </w:rPr>
        <w:t>Peronja</w:t>
      </w:r>
      <w:proofErr w:type="spellEnd"/>
      <w:r w:rsidRPr="00352FFF">
        <w:rPr>
          <w:rFonts w:ascii="Arial" w:eastAsia="Times New Roman" w:hAnsi="Arial" w:cs="Arial"/>
          <w:color w:val="000000"/>
          <w:kern w:val="0"/>
          <w:sz w:val="22"/>
          <w:szCs w:val="22"/>
          <w14:ligatures w14:val="none"/>
        </w:rPr>
        <w:t xml:space="preserve">, I. and </w:t>
      </w:r>
      <w:proofErr w:type="spellStart"/>
      <w:r w:rsidRPr="00352FFF">
        <w:rPr>
          <w:rFonts w:ascii="Arial" w:eastAsia="Times New Roman" w:hAnsi="Arial" w:cs="Arial"/>
          <w:color w:val="000000"/>
          <w:kern w:val="0"/>
          <w:sz w:val="22"/>
          <w:szCs w:val="22"/>
          <w14:ligatures w14:val="none"/>
        </w:rPr>
        <w:t>Mihanović</w:t>
      </w:r>
      <w:proofErr w:type="spellEnd"/>
      <w:r w:rsidRPr="00352FFF">
        <w:rPr>
          <w:rFonts w:ascii="Arial" w:eastAsia="Times New Roman" w:hAnsi="Arial" w:cs="Arial"/>
          <w:color w:val="000000"/>
          <w:kern w:val="0"/>
          <w:sz w:val="22"/>
          <w:szCs w:val="22"/>
          <w14:ligatures w14:val="none"/>
        </w:rPr>
        <w:t>, V. (2021). Attitudes of the Local Population and Business Stakeholders on the Impact of Cruise Tourism on Destination. </w:t>
      </w:r>
      <w:proofErr w:type="spellStart"/>
      <w:r w:rsidRPr="00352FFF">
        <w:rPr>
          <w:rFonts w:ascii="Arial" w:eastAsia="Times New Roman" w:hAnsi="Arial" w:cs="Arial"/>
          <w:i/>
          <w:iCs/>
          <w:color w:val="000000"/>
          <w:kern w:val="0"/>
          <w:sz w:val="22"/>
          <w:szCs w:val="22"/>
          <w14:ligatures w14:val="none"/>
        </w:rPr>
        <w:t>Naše</w:t>
      </w:r>
      <w:proofErr w:type="spellEnd"/>
      <w:r w:rsidRPr="00352FFF">
        <w:rPr>
          <w:rFonts w:ascii="Arial" w:eastAsia="Times New Roman" w:hAnsi="Arial" w:cs="Arial"/>
          <w:i/>
          <w:iCs/>
          <w:color w:val="000000"/>
          <w:kern w:val="0"/>
          <w:sz w:val="22"/>
          <w:szCs w:val="22"/>
          <w14:ligatures w14:val="none"/>
        </w:rPr>
        <w:t xml:space="preserve"> more</w:t>
      </w:r>
      <w:r w:rsidRPr="00352FFF">
        <w:rPr>
          <w:rFonts w:ascii="Arial" w:eastAsia="Times New Roman" w:hAnsi="Arial" w:cs="Arial"/>
          <w:color w:val="000000"/>
          <w:kern w:val="0"/>
          <w:sz w:val="22"/>
          <w:szCs w:val="22"/>
          <w14:ligatures w14:val="none"/>
        </w:rPr>
        <w:t xml:space="preserve">, 68(1), pp.41–47.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://doi.org/10.17818/nm/2021/1.5.</w:t>
      </w:r>
    </w:p>
    <w:p w14:paraId="799657F3"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r w:rsidRPr="00352FFF">
        <w:rPr>
          <w:rFonts w:ascii="Arial" w:eastAsia="Times New Roman" w:hAnsi="Arial" w:cs="Arial"/>
          <w:color w:val="000000"/>
          <w:kern w:val="0"/>
          <w:sz w:val="22"/>
          <w:szCs w:val="22"/>
          <w14:ligatures w14:val="none"/>
        </w:rPr>
        <w:t>Wensink, C.M. and Pienkowski, M.W. (2013). To Hell and Back: towards protecting our natural assets through tourism? </w:t>
      </w:r>
      <w:r w:rsidRPr="00352FFF">
        <w:rPr>
          <w:rFonts w:ascii="Arial" w:eastAsia="Times New Roman" w:hAnsi="Arial" w:cs="Arial"/>
          <w:i/>
          <w:iCs/>
          <w:color w:val="000000"/>
          <w:kern w:val="0"/>
          <w:sz w:val="22"/>
          <w:szCs w:val="22"/>
          <w14:ligatures w14:val="none"/>
        </w:rPr>
        <w:t>Journal of Heritage Tourism</w:t>
      </w:r>
      <w:r w:rsidRPr="00352FFF">
        <w:rPr>
          <w:rFonts w:ascii="Arial" w:eastAsia="Times New Roman" w:hAnsi="Arial" w:cs="Arial"/>
          <w:color w:val="000000"/>
          <w:kern w:val="0"/>
          <w:sz w:val="22"/>
          <w:szCs w:val="22"/>
          <w14:ligatures w14:val="none"/>
        </w:rPr>
        <w:t xml:space="preserve">, 8(1), pp.89–98.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://doi.org/10.1080/1743873x.2013.765752.</w:t>
      </w:r>
    </w:p>
    <w:p w14:paraId="17B90508" w14:textId="77777777" w:rsidR="00352FFF" w:rsidRPr="00352FFF" w:rsidRDefault="00352FFF" w:rsidP="00352FFF">
      <w:pPr>
        <w:spacing w:after="240" w:line="330" w:lineRule="atLeast"/>
        <w:rPr>
          <w:rFonts w:ascii="Arial" w:eastAsia="Times New Roman" w:hAnsi="Arial" w:cs="Arial"/>
          <w:color w:val="000000"/>
          <w:kern w:val="0"/>
          <w:sz w:val="22"/>
          <w:szCs w:val="22"/>
          <w14:ligatures w14:val="none"/>
        </w:rPr>
      </w:pPr>
      <w:r w:rsidRPr="00352FFF">
        <w:rPr>
          <w:rFonts w:ascii="Arial" w:eastAsia="Times New Roman" w:hAnsi="Arial" w:cs="Arial"/>
          <w:color w:val="000000"/>
          <w:kern w:val="0"/>
          <w:sz w:val="22"/>
          <w:szCs w:val="22"/>
          <w14:ligatures w14:val="none"/>
        </w:rPr>
        <w:t>Zhu, Q. and Rahman, R. (2025). Designing ethical souvenirs to sustain the cultural integrity of Dunhuang heritage. </w:t>
      </w:r>
      <w:r w:rsidRPr="00352FFF">
        <w:rPr>
          <w:rFonts w:ascii="Arial" w:eastAsia="Times New Roman" w:hAnsi="Arial" w:cs="Arial"/>
          <w:i/>
          <w:iCs/>
          <w:color w:val="000000"/>
          <w:kern w:val="0"/>
          <w:sz w:val="22"/>
          <w:szCs w:val="22"/>
          <w14:ligatures w14:val="none"/>
        </w:rPr>
        <w:t>PLOS One</w:t>
      </w:r>
      <w:r w:rsidRPr="00352FFF">
        <w:rPr>
          <w:rFonts w:ascii="Arial" w:eastAsia="Times New Roman" w:hAnsi="Arial" w:cs="Arial"/>
          <w:color w:val="000000"/>
          <w:kern w:val="0"/>
          <w:sz w:val="22"/>
          <w:szCs w:val="22"/>
          <w14:ligatures w14:val="none"/>
        </w:rPr>
        <w:t xml:space="preserve">, 20(12), p.e0338506. </w:t>
      </w:r>
      <w:proofErr w:type="spellStart"/>
      <w:r w:rsidRPr="00352FFF">
        <w:rPr>
          <w:rFonts w:ascii="Arial" w:eastAsia="Times New Roman" w:hAnsi="Arial" w:cs="Arial"/>
          <w:color w:val="000000"/>
          <w:kern w:val="0"/>
          <w:sz w:val="22"/>
          <w:szCs w:val="22"/>
          <w14:ligatures w14:val="none"/>
        </w:rPr>
        <w:t>doi:https</w:t>
      </w:r>
      <w:proofErr w:type="spellEnd"/>
      <w:r w:rsidRPr="00352FFF">
        <w:rPr>
          <w:rFonts w:ascii="Arial" w:eastAsia="Times New Roman" w:hAnsi="Arial" w:cs="Arial"/>
          <w:color w:val="000000"/>
          <w:kern w:val="0"/>
          <w:sz w:val="22"/>
          <w:szCs w:val="22"/>
          <w14:ligatures w14:val="none"/>
        </w:rPr>
        <w:t>://doi.org/10.1371/journal.pone.0338506.</w:t>
      </w:r>
    </w:p>
    <w:p w14:paraId="6B9BEF22" w14:textId="77777777" w:rsidR="00352FFF" w:rsidRPr="00352FFF" w:rsidRDefault="00352FFF" w:rsidP="00352FFF">
      <w:pPr>
        <w:rPr>
          <w:rFonts w:ascii="Arial" w:hAnsi="Arial" w:cs="Arial"/>
          <w:color w:val="000000" w:themeColor="text1"/>
          <w:sz w:val="22"/>
          <w:szCs w:val="22"/>
        </w:rPr>
      </w:pPr>
    </w:p>
    <w:sectPr w:rsidR="00352FFF" w:rsidRPr="00352FFF" w:rsidSect="00E131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2A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FE8"/>
    <w:rsid w:val="001F2D0F"/>
    <w:rsid w:val="00352FFF"/>
    <w:rsid w:val="00385FE8"/>
    <w:rsid w:val="003F57E0"/>
    <w:rsid w:val="0077204D"/>
    <w:rsid w:val="009B2DAF"/>
    <w:rsid w:val="00A134D3"/>
    <w:rsid w:val="00BF33F2"/>
    <w:rsid w:val="00D62E81"/>
    <w:rsid w:val="00DA07E4"/>
    <w:rsid w:val="00E13170"/>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58B94"/>
  <w15:chartTrackingRefBased/>
  <w15:docId w15:val="{EADBF167-5AAD-8649-939E-B2520C140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F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F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F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F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F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F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F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F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F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F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F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F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F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F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F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FE8"/>
    <w:rPr>
      <w:rFonts w:eastAsiaTheme="majorEastAsia" w:cstheme="majorBidi"/>
      <w:color w:val="272727" w:themeColor="text1" w:themeTint="D8"/>
    </w:rPr>
  </w:style>
  <w:style w:type="paragraph" w:styleId="Title">
    <w:name w:val="Title"/>
    <w:basedOn w:val="Normal"/>
    <w:next w:val="Normal"/>
    <w:link w:val="TitleChar"/>
    <w:uiPriority w:val="10"/>
    <w:qFormat/>
    <w:rsid w:val="00385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F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F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F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FE8"/>
    <w:pPr>
      <w:spacing w:before="160"/>
      <w:jc w:val="center"/>
    </w:pPr>
    <w:rPr>
      <w:i/>
      <w:iCs/>
      <w:color w:val="404040" w:themeColor="text1" w:themeTint="BF"/>
    </w:rPr>
  </w:style>
  <w:style w:type="character" w:customStyle="1" w:styleId="QuoteChar">
    <w:name w:val="Quote Char"/>
    <w:basedOn w:val="DefaultParagraphFont"/>
    <w:link w:val="Quote"/>
    <w:uiPriority w:val="29"/>
    <w:rsid w:val="00385FE8"/>
    <w:rPr>
      <w:i/>
      <w:iCs/>
      <w:color w:val="404040" w:themeColor="text1" w:themeTint="BF"/>
    </w:rPr>
  </w:style>
  <w:style w:type="paragraph" w:styleId="ListParagraph">
    <w:name w:val="List Paragraph"/>
    <w:basedOn w:val="Normal"/>
    <w:uiPriority w:val="34"/>
    <w:qFormat/>
    <w:rsid w:val="00385FE8"/>
    <w:pPr>
      <w:ind w:left="720"/>
      <w:contextualSpacing/>
    </w:pPr>
  </w:style>
  <w:style w:type="character" w:styleId="IntenseEmphasis">
    <w:name w:val="Intense Emphasis"/>
    <w:basedOn w:val="DefaultParagraphFont"/>
    <w:uiPriority w:val="21"/>
    <w:qFormat/>
    <w:rsid w:val="00385FE8"/>
    <w:rPr>
      <w:i/>
      <w:iCs/>
      <w:color w:val="0F4761" w:themeColor="accent1" w:themeShade="BF"/>
    </w:rPr>
  </w:style>
  <w:style w:type="paragraph" w:styleId="IntenseQuote">
    <w:name w:val="Intense Quote"/>
    <w:basedOn w:val="Normal"/>
    <w:next w:val="Normal"/>
    <w:link w:val="IntenseQuoteChar"/>
    <w:uiPriority w:val="30"/>
    <w:qFormat/>
    <w:rsid w:val="00385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FE8"/>
    <w:rPr>
      <w:i/>
      <w:iCs/>
      <w:color w:val="0F4761" w:themeColor="accent1" w:themeShade="BF"/>
    </w:rPr>
  </w:style>
  <w:style w:type="character" w:styleId="IntenseReference">
    <w:name w:val="Intense Reference"/>
    <w:basedOn w:val="DefaultParagraphFont"/>
    <w:uiPriority w:val="32"/>
    <w:qFormat/>
    <w:rsid w:val="00385FE8"/>
    <w:rPr>
      <w:b/>
      <w:bCs/>
      <w:smallCaps/>
      <w:color w:val="0F4761" w:themeColor="accent1" w:themeShade="BF"/>
      <w:spacing w:val="5"/>
    </w:rPr>
  </w:style>
  <w:style w:type="paragraph" w:customStyle="1" w:styleId="t-summary">
    <w:name w:val="t-summary"/>
    <w:basedOn w:val="Normal"/>
    <w:rsid w:val="00385FE8"/>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385FE8"/>
  </w:style>
  <w:style w:type="character" w:customStyle="1" w:styleId="text-white">
    <w:name w:val="text-white"/>
    <w:basedOn w:val="DefaultParagraphFont"/>
    <w:rsid w:val="00385FE8"/>
  </w:style>
  <w:style w:type="paragraph" w:styleId="NormalWeb">
    <w:name w:val="Normal (Web)"/>
    <w:basedOn w:val="Normal"/>
    <w:uiPriority w:val="99"/>
    <w:semiHidden/>
    <w:unhideWhenUsed/>
    <w:rsid w:val="00352FFF"/>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049285">
      <w:bodyDiv w:val="1"/>
      <w:marLeft w:val="0"/>
      <w:marRight w:val="0"/>
      <w:marTop w:val="0"/>
      <w:marBottom w:val="0"/>
      <w:divBdr>
        <w:top w:val="none" w:sz="0" w:space="0" w:color="auto"/>
        <w:left w:val="none" w:sz="0" w:space="0" w:color="auto"/>
        <w:bottom w:val="none" w:sz="0" w:space="0" w:color="auto"/>
        <w:right w:val="none" w:sz="0" w:space="0" w:color="auto"/>
      </w:divBdr>
    </w:div>
    <w:div w:id="368378667">
      <w:bodyDiv w:val="1"/>
      <w:marLeft w:val="0"/>
      <w:marRight w:val="0"/>
      <w:marTop w:val="0"/>
      <w:marBottom w:val="0"/>
      <w:divBdr>
        <w:top w:val="none" w:sz="0" w:space="0" w:color="auto"/>
        <w:left w:val="none" w:sz="0" w:space="0" w:color="auto"/>
        <w:bottom w:val="none" w:sz="0" w:space="0" w:color="auto"/>
        <w:right w:val="none" w:sz="0" w:space="0" w:color="auto"/>
      </w:divBdr>
    </w:div>
    <w:div w:id="621805676">
      <w:bodyDiv w:val="1"/>
      <w:marLeft w:val="0"/>
      <w:marRight w:val="0"/>
      <w:marTop w:val="0"/>
      <w:marBottom w:val="0"/>
      <w:divBdr>
        <w:top w:val="none" w:sz="0" w:space="0" w:color="auto"/>
        <w:left w:val="none" w:sz="0" w:space="0" w:color="auto"/>
        <w:bottom w:val="none" w:sz="0" w:space="0" w:color="auto"/>
        <w:right w:val="none" w:sz="0" w:space="0" w:color="auto"/>
      </w:divBdr>
    </w:div>
    <w:div w:id="664624027">
      <w:bodyDiv w:val="1"/>
      <w:marLeft w:val="0"/>
      <w:marRight w:val="0"/>
      <w:marTop w:val="0"/>
      <w:marBottom w:val="0"/>
      <w:divBdr>
        <w:top w:val="none" w:sz="0" w:space="0" w:color="auto"/>
        <w:left w:val="none" w:sz="0" w:space="0" w:color="auto"/>
        <w:bottom w:val="none" w:sz="0" w:space="0" w:color="auto"/>
        <w:right w:val="none" w:sz="0" w:space="0" w:color="auto"/>
      </w:divBdr>
    </w:div>
    <w:div w:id="912202713">
      <w:bodyDiv w:val="1"/>
      <w:marLeft w:val="0"/>
      <w:marRight w:val="0"/>
      <w:marTop w:val="0"/>
      <w:marBottom w:val="0"/>
      <w:divBdr>
        <w:top w:val="none" w:sz="0" w:space="0" w:color="auto"/>
        <w:left w:val="none" w:sz="0" w:space="0" w:color="auto"/>
        <w:bottom w:val="none" w:sz="0" w:space="0" w:color="auto"/>
        <w:right w:val="none" w:sz="0" w:space="0" w:color="auto"/>
      </w:divBdr>
    </w:div>
    <w:div w:id="1343435523">
      <w:bodyDiv w:val="1"/>
      <w:marLeft w:val="0"/>
      <w:marRight w:val="0"/>
      <w:marTop w:val="0"/>
      <w:marBottom w:val="0"/>
      <w:divBdr>
        <w:top w:val="none" w:sz="0" w:space="0" w:color="auto"/>
        <w:left w:val="none" w:sz="0" w:space="0" w:color="auto"/>
        <w:bottom w:val="none" w:sz="0" w:space="0" w:color="auto"/>
        <w:right w:val="none" w:sz="0" w:space="0" w:color="auto"/>
      </w:divBdr>
    </w:div>
    <w:div w:id="1368140037">
      <w:bodyDiv w:val="1"/>
      <w:marLeft w:val="0"/>
      <w:marRight w:val="0"/>
      <w:marTop w:val="0"/>
      <w:marBottom w:val="0"/>
      <w:divBdr>
        <w:top w:val="none" w:sz="0" w:space="0" w:color="auto"/>
        <w:left w:val="none" w:sz="0" w:space="0" w:color="auto"/>
        <w:bottom w:val="none" w:sz="0" w:space="0" w:color="auto"/>
        <w:right w:val="none" w:sz="0" w:space="0" w:color="auto"/>
      </w:divBdr>
    </w:div>
    <w:div w:id="1461801442">
      <w:bodyDiv w:val="1"/>
      <w:marLeft w:val="0"/>
      <w:marRight w:val="0"/>
      <w:marTop w:val="0"/>
      <w:marBottom w:val="0"/>
      <w:divBdr>
        <w:top w:val="none" w:sz="0" w:space="0" w:color="auto"/>
        <w:left w:val="none" w:sz="0" w:space="0" w:color="auto"/>
        <w:bottom w:val="none" w:sz="0" w:space="0" w:color="auto"/>
        <w:right w:val="none" w:sz="0" w:space="0" w:color="auto"/>
      </w:divBdr>
    </w:div>
    <w:div w:id="1464231745">
      <w:bodyDiv w:val="1"/>
      <w:marLeft w:val="0"/>
      <w:marRight w:val="0"/>
      <w:marTop w:val="0"/>
      <w:marBottom w:val="0"/>
      <w:divBdr>
        <w:top w:val="none" w:sz="0" w:space="0" w:color="auto"/>
        <w:left w:val="none" w:sz="0" w:space="0" w:color="auto"/>
        <w:bottom w:val="none" w:sz="0" w:space="0" w:color="auto"/>
        <w:right w:val="none" w:sz="0" w:space="0" w:color="auto"/>
      </w:divBdr>
    </w:div>
    <w:div w:id="1545095116">
      <w:bodyDiv w:val="1"/>
      <w:marLeft w:val="0"/>
      <w:marRight w:val="0"/>
      <w:marTop w:val="0"/>
      <w:marBottom w:val="0"/>
      <w:divBdr>
        <w:top w:val="none" w:sz="0" w:space="0" w:color="auto"/>
        <w:left w:val="none" w:sz="0" w:space="0" w:color="auto"/>
        <w:bottom w:val="none" w:sz="0" w:space="0" w:color="auto"/>
        <w:right w:val="none" w:sz="0" w:space="0" w:color="auto"/>
      </w:divBdr>
      <w:divsChild>
        <w:div w:id="975182545">
          <w:marLeft w:val="0"/>
          <w:marRight w:val="0"/>
          <w:marTop w:val="0"/>
          <w:marBottom w:val="0"/>
          <w:divBdr>
            <w:top w:val="none" w:sz="0" w:space="0" w:color="auto"/>
            <w:left w:val="none" w:sz="0" w:space="0" w:color="auto"/>
            <w:bottom w:val="none" w:sz="0" w:space="0" w:color="auto"/>
            <w:right w:val="none" w:sz="0" w:space="0" w:color="auto"/>
          </w:divBdr>
        </w:div>
      </w:divsChild>
    </w:div>
    <w:div w:id="1699237806">
      <w:bodyDiv w:val="1"/>
      <w:marLeft w:val="0"/>
      <w:marRight w:val="0"/>
      <w:marTop w:val="0"/>
      <w:marBottom w:val="0"/>
      <w:divBdr>
        <w:top w:val="none" w:sz="0" w:space="0" w:color="auto"/>
        <w:left w:val="none" w:sz="0" w:space="0" w:color="auto"/>
        <w:bottom w:val="none" w:sz="0" w:space="0" w:color="auto"/>
        <w:right w:val="none" w:sz="0" w:space="0" w:color="auto"/>
      </w:divBdr>
    </w:div>
    <w:div w:id="1701735817">
      <w:bodyDiv w:val="1"/>
      <w:marLeft w:val="0"/>
      <w:marRight w:val="0"/>
      <w:marTop w:val="0"/>
      <w:marBottom w:val="0"/>
      <w:divBdr>
        <w:top w:val="none" w:sz="0" w:space="0" w:color="auto"/>
        <w:left w:val="none" w:sz="0" w:space="0" w:color="auto"/>
        <w:bottom w:val="none" w:sz="0" w:space="0" w:color="auto"/>
        <w:right w:val="none" w:sz="0" w:space="0" w:color="auto"/>
      </w:divBdr>
    </w:div>
    <w:div w:id="1735618362">
      <w:bodyDiv w:val="1"/>
      <w:marLeft w:val="0"/>
      <w:marRight w:val="0"/>
      <w:marTop w:val="0"/>
      <w:marBottom w:val="0"/>
      <w:divBdr>
        <w:top w:val="none" w:sz="0" w:space="0" w:color="auto"/>
        <w:left w:val="none" w:sz="0" w:space="0" w:color="auto"/>
        <w:bottom w:val="none" w:sz="0" w:space="0" w:color="auto"/>
        <w:right w:val="none" w:sz="0" w:space="0" w:color="auto"/>
      </w:divBdr>
      <w:divsChild>
        <w:div w:id="802163435">
          <w:marLeft w:val="0"/>
          <w:marRight w:val="0"/>
          <w:marTop w:val="0"/>
          <w:marBottom w:val="0"/>
          <w:divBdr>
            <w:top w:val="none" w:sz="0" w:space="0" w:color="auto"/>
            <w:left w:val="none" w:sz="0" w:space="0" w:color="auto"/>
            <w:bottom w:val="none" w:sz="0" w:space="0" w:color="auto"/>
            <w:right w:val="none" w:sz="0" w:space="0" w:color="auto"/>
          </w:divBdr>
        </w:div>
      </w:divsChild>
    </w:div>
    <w:div w:id="2047296310">
      <w:bodyDiv w:val="1"/>
      <w:marLeft w:val="0"/>
      <w:marRight w:val="0"/>
      <w:marTop w:val="0"/>
      <w:marBottom w:val="0"/>
      <w:divBdr>
        <w:top w:val="none" w:sz="0" w:space="0" w:color="auto"/>
        <w:left w:val="none" w:sz="0" w:space="0" w:color="auto"/>
        <w:bottom w:val="none" w:sz="0" w:space="0" w:color="auto"/>
        <w:right w:val="none" w:sz="0" w:space="0" w:color="auto"/>
      </w:divBdr>
    </w:div>
    <w:div w:id="204940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2865</Words>
  <Characters>16332</Characters>
  <Application>Microsoft Office Word</Application>
  <DocSecurity>0</DocSecurity>
  <Lines>136</Lines>
  <Paragraphs>38</Paragraphs>
  <ScaleCrop>false</ScaleCrop>
  <Company/>
  <LinksUpToDate>false</LinksUpToDate>
  <CharactersWithSpaces>19159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mugford</dc:creator>
  <cp:keywords/>
  <dc:description/>
  <cp:lastModifiedBy>nia mugford</cp:lastModifiedBy>
  <cp:revision>2</cp:revision>
  <dcterms:created xsi:type="dcterms:W3CDTF">2026-01-15T01:09:00Z</dcterms:created>
  <dcterms:modified xsi:type="dcterms:W3CDTF">2026-01-15T01:09:00Z</dcterms:modified>
</cp:coreProperties>
</file>