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B8E52" w14:textId="7E0301A3" w:rsidR="00E94796" w:rsidRPr="006177FB" w:rsidRDefault="00BB571E" w:rsidP="007B71A5">
      <w:pPr>
        <w:spacing w:line="480" w:lineRule="auto"/>
        <w:rPr>
          <w:rFonts w:asciiTheme="majorHAnsi" w:hAnsiTheme="majorHAnsi" w:cstheme="majorHAnsi"/>
          <w:color w:val="373A3C"/>
        </w:rPr>
      </w:pPr>
      <w:r w:rsidRPr="006177FB">
        <w:rPr>
          <w:rFonts w:asciiTheme="majorHAnsi" w:hAnsiTheme="majorHAnsi" w:cstheme="majorHAnsi"/>
          <w:color w:val="373A3C"/>
        </w:rPr>
        <w:t>Excercise</w:t>
      </w:r>
      <w:r w:rsidR="00E94796" w:rsidRPr="006177FB">
        <w:rPr>
          <w:rFonts w:asciiTheme="majorHAnsi" w:hAnsiTheme="majorHAnsi" w:cstheme="majorHAnsi"/>
          <w:color w:val="373A3C"/>
        </w:rPr>
        <w:t xml:space="preserve"> </w:t>
      </w:r>
      <w:r w:rsidRPr="006177FB">
        <w:rPr>
          <w:rFonts w:asciiTheme="majorHAnsi" w:hAnsiTheme="majorHAnsi" w:cstheme="majorHAnsi"/>
          <w:color w:val="373A3C"/>
        </w:rPr>
        <w:t>Six</w:t>
      </w:r>
    </w:p>
    <w:p w14:paraId="7D44C93B" w14:textId="0EC8F7EA" w:rsidR="00F27FA2" w:rsidRPr="006177FB" w:rsidRDefault="00E157A2" w:rsidP="006177FB">
      <w:pPr>
        <w:spacing w:line="480" w:lineRule="auto"/>
        <w:ind w:left="2160" w:firstLine="720"/>
        <w:rPr>
          <w:b/>
        </w:rPr>
      </w:pPr>
      <w:r w:rsidRPr="006177FB">
        <w:rPr>
          <w:rFonts w:ascii="Arial" w:hAnsi="Arial" w:cs="Arial"/>
          <w:b/>
          <w:color w:val="373A3C"/>
        </w:rPr>
        <w:t xml:space="preserve">The </w:t>
      </w:r>
      <w:r w:rsidRPr="006177FB">
        <w:rPr>
          <w:b/>
        </w:rPr>
        <w:t>C</w:t>
      </w:r>
      <w:r w:rsidR="0003237D" w:rsidRPr="006177FB">
        <w:rPr>
          <w:b/>
        </w:rPr>
        <w:t xml:space="preserve">enotaph of </w:t>
      </w:r>
      <w:r w:rsidRPr="006177FB">
        <w:rPr>
          <w:b/>
        </w:rPr>
        <w:t>M</w:t>
      </w:r>
      <w:r w:rsidR="0003237D" w:rsidRPr="006177FB">
        <w:rPr>
          <w:b/>
        </w:rPr>
        <w:t xml:space="preserve">arcus </w:t>
      </w:r>
      <w:proofErr w:type="spellStart"/>
      <w:r w:rsidRPr="006177FB">
        <w:rPr>
          <w:b/>
        </w:rPr>
        <w:t>C</w:t>
      </w:r>
      <w:r w:rsidR="0003237D" w:rsidRPr="006177FB">
        <w:rPr>
          <w:b/>
        </w:rPr>
        <w:t>aelius</w:t>
      </w:r>
      <w:proofErr w:type="spellEnd"/>
    </w:p>
    <w:p w14:paraId="4C0BB806" w14:textId="1FD2141A" w:rsidR="00965176" w:rsidRDefault="000A1ABE" w:rsidP="007B71A5">
      <w:pPr>
        <w:spacing w:line="480" w:lineRule="auto"/>
      </w:pPr>
      <w:r>
        <w:t xml:space="preserve">It is evident that the </w:t>
      </w:r>
      <w:r w:rsidR="0003237D">
        <w:t xml:space="preserve">cenotaph of Marcus </w:t>
      </w:r>
      <w:proofErr w:type="spellStart"/>
      <w:r w:rsidR="0003237D">
        <w:t>Caelius</w:t>
      </w:r>
      <w:proofErr w:type="spellEnd"/>
      <w:r w:rsidR="0003237D">
        <w:t xml:space="preserve"> is an important historical artefact</w:t>
      </w:r>
      <w:r w:rsidR="006572BE">
        <w:t>,</w:t>
      </w:r>
      <w:r w:rsidR="0003237D">
        <w:t xml:space="preserve"> as many historians and scholars refer to it in their work when they are discussing </w:t>
      </w:r>
      <w:r w:rsidR="009510C9">
        <w:t>R</w:t>
      </w:r>
      <w:r w:rsidR="0003237D">
        <w:t xml:space="preserve">oman history. </w:t>
      </w:r>
      <w:r w:rsidR="009510C9">
        <w:t>With scholars discussing the cenotaph in a range of subjects within Roman history, I will briefly give a few examples of this.</w:t>
      </w:r>
      <w:r w:rsidR="007B2AA3">
        <w:br/>
        <w:t>In Roman warfare it is not always possible to retrieve the bodies of fallen soldiers and in many cases</w:t>
      </w:r>
      <w:r w:rsidR="0053754C">
        <w:t>,</w:t>
      </w:r>
      <w:r w:rsidR="007B2AA3">
        <w:t xml:space="preserve"> it stole the opportunities for Roman soldiers to be given some customary burials.</w:t>
      </w:r>
      <w:r w:rsidR="007B2AA3">
        <w:rPr>
          <w:rStyle w:val="FootnoteReference"/>
        </w:rPr>
        <w:footnoteReference w:id="1"/>
      </w:r>
      <w:r w:rsidR="007B2AA3">
        <w:t xml:space="preserve"> </w:t>
      </w:r>
      <w:r w:rsidR="00EB22B0">
        <w:t>With this being said</w:t>
      </w:r>
      <w:r w:rsidR="00274733">
        <w:t>,</w:t>
      </w:r>
      <w:r w:rsidR="006D57A3">
        <w:t xml:space="preserve"> </w:t>
      </w:r>
      <w:r w:rsidR="00A0217D">
        <w:t>Val</w:t>
      </w:r>
      <w:r w:rsidR="001B1A6F">
        <w:t xml:space="preserve">erie Hope mentions in her </w:t>
      </w:r>
      <w:r w:rsidR="00D90A16">
        <w:t>work that</w:t>
      </w:r>
      <w:r w:rsidR="00EB22B0">
        <w:t xml:space="preserve"> there has been clear evidence found that in some cases</w:t>
      </w:r>
      <w:r w:rsidR="00ED2758">
        <w:t>,</w:t>
      </w:r>
      <w:r w:rsidR="00EB22B0">
        <w:t xml:space="preserve"> cenotaphs had been erected to honour the dead, one example being a cenotaph set up </w:t>
      </w:r>
      <w:r w:rsidR="002228A9">
        <w:t>b</w:t>
      </w:r>
      <w:r w:rsidR="00EB22B0">
        <w:t xml:space="preserve">y </w:t>
      </w:r>
      <w:r w:rsidR="005366B4">
        <w:t xml:space="preserve">the brother of fallen </w:t>
      </w:r>
      <w:r w:rsidR="00EE3E0C">
        <w:t xml:space="preserve">centurion Marcus </w:t>
      </w:r>
      <w:proofErr w:type="spellStart"/>
      <w:r w:rsidR="00EE3E0C">
        <w:t>Caelius</w:t>
      </w:r>
      <w:proofErr w:type="spellEnd"/>
      <w:r w:rsidR="00EE3E0C">
        <w:t>,</w:t>
      </w:r>
      <w:r w:rsidR="00EB22B0">
        <w:t xml:space="preserve"> who had died in battle </w:t>
      </w:r>
      <w:r w:rsidR="001479E5">
        <w:t>and</w:t>
      </w:r>
      <w:r w:rsidR="00EB22B0">
        <w:t xml:space="preserve"> his body never returned.</w:t>
      </w:r>
      <w:r w:rsidR="00EB22B0">
        <w:rPr>
          <w:rStyle w:val="FootnoteReference"/>
        </w:rPr>
        <w:footnoteReference w:id="2"/>
      </w:r>
      <w:r w:rsidR="00EB22B0">
        <w:t xml:space="preserve"> </w:t>
      </w:r>
      <w:r w:rsidR="00570211" w:rsidRPr="00570211">
        <w:t>Michele George</w:t>
      </w:r>
      <w:r w:rsidR="00553D28">
        <w:t xml:space="preserve"> describes how t</w:t>
      </w:r>
      <w:r w:rsidR="00180F8C">
        <w:t>he cenotaph</w:t>
      </w:r>
      <w:r w:rsidR="00DA6500" w:rsidRPr="00DA6500">
        <w:t xml:space="preserve"> of Marcus </w:t>
      </w:r>
      <w:proofErr w:type="spellStart"/>
      <w:r w:rsidR="00DA6500" w:rsidRPr="00DA6500">
        <w:t>Caelius</w:t>
      </w:r>
      <w:proofErr w:type="spellEnd"/>
      <w:r w:rsidR="00180F8C">
        <w:t xml:space="preserve"> was an extremely rare and unique find, as th</w:t>
      </w:r>
      <w:r w:rsidR="002B0942">
        <w:t>is</w:t>
      </w:r>
      <w:r w:rsidR="00180F8C">
        <w:t xml:space="preserve"> cenotaph is the earliest known example of any soldier being presented with his </w:t>
      </w:r>
      <w:proofErr w:type="spellStart"/>
      <w:r w:rsidR="002B6FE3">
        <w:t>li</w:t>
      </w:r>
      <w:r w:rsidR="00CB461B">
        <w:t>b</w:t>
      </w:r>
      <w:r w:rsidR="000A66CA">
        <w:t>erti</w:t>
      </w:r>
      <w:proofErr w:type="spellEnd"/>
      <w:r w:rsidR="00180F8C">
        <w:t>.</w:t>
      </w:r>
      <w:r w:rsidR="00180F8C">
        <w:rPr>
          <w:rStyle w:val="FootnoteReference"/>
        </w:rPr>
        <w:footnoteReference w:id="3"/>
      </w:r>
      <w:r w:rsidR="00E157A2">
        <w:t xml:space="preserve"> </w:t>
      </w:r>
      <w:r w:rsidR="00E157A2">
        <w:br/>
      </w:r>
      <w:r w:rsidR="00B87F03">
        <w:t xml:space="preserve">Peter Wells describes the importance of </w:t>
      </w:r>
      <w:r w:rsidR="002A602C">
        <w:t>i</w:t>
      </w:r>
      <w:r w:rsidR="00E157A2">
        <w:t>nscriptions</w:t>
      </w:r>
      <w:r w:rsidR="002A602C">
        <w:t xml:space="preserve"> in his book</w:t>
      </w:r>
      <w:r w:rsidR="00B364E8">
        <w:t>,</w:t>
      </w:r>
      <w:r w:rsidR="002A602C">
        <w:t xml:space="preserve"> The Barbarians Speak</w:t>
      </w:r>
      <w:r w:rsidR="0060489A">
        <w:t>.</w:t>
      </w:r>
      <w:r w:rsidR="00E157A2">
        <w:t xml:space="preserve"> </w:t>
      </w:r>
      <w:r w:rsidR="0060489A">
        <w:t>H</w:t>
      </w:r>
      <w:r w:rsidR="00F57501">
        <w:t>e mentions how</w:t>
      </w:r>
      <w:r w:rsidR="005A11E2">
        <w:t xml:space="preserve"> the</w:t>
      </w:r>
      <w:r w:rsidR="008638E1">
        <w:t xml:space="preserve"> </w:t>
      </w:r>
      <w:r w:rsidR="005A11E2">
        <w:t xml:space="preserve">use of </w:t>
      </w:r>
      <w:r w:rsidR="008638E1">
        <w:t>inscr</w:t>
      </w:r>
      <w:r w:rsidR="005A11E2">
        <w:t>iptions were</w:t>
      </w:r>
      <w:r w:rsidR="00ED6249">
        <w:t xml:space="preserve"> an</w:t>
      </w:r>
      <w:r w:rsidR="008638E1">
        <w:t xml:space="preserve"> </w:t>
      </w:r>
      <w:r w:rsidR="00E157A2">
        <w:t>extremely valuable trait the Romans had</w:t>
      </w:r>
      <w:r w:rsidR="00DF028D">
        <w:t>,</w:t>
      </w:r>
      <w:r w:rsidR="00E157A2">
        <w:t xml:space="preserve"> as it gave them the ability to document information such as military strength, enemy movements and </w:t>
      </w:r>
      <w:r w:rsidR="00DC229B">
        <w:t>tomb stone</w:t>
      </w:r>
      <w:r w:rsidR="00E157A2">
        <w:t xml:space="preserve"> inscriptions</w:t>
      </w:r>
      <w:r w:rsidR="00DF028D">
        <w:t>.</w:t>
      </w:r>
      <w:r w:rsidR="00E157A2">
        <w:t xml:space="preserve"> </w:t>
      </w:r>
      <w:r w:rsidR="0036179C">
        <w:t>T</w:t>
      </w:r>
      <w:r w:rsidR="00E157A2">
        <w:t xml:space="preserve">he example of the cenotaph belonging to Marcus </w:t>
      </w:r>
      <w:proofErr w:type="spellStart"/>
      <w:r w:rsidR="00E157A2">
        <w:t>Caelius</w:t>
      </w:r>
      <w:proofErr w:type="spellEnd"/>
      <w:r w:rsidR="00E157A2">
        <w:t xml:space="preserve"> a perfect case for this</w:t>
      </w:r>
      <w:r w:rsidR="000A22E2">
        <w:t>.</w:t>
      </w:r>
      <w:r w:rsidR="00E157A2">
        <w:rPr>
          <w:rStyle w:val="FootnoteReference"/>
        </w:rPr>
        <w:footnoteReference w:id="4"/>
      </w:r>
      <w:r w:rsidR="007B71A5">
        <w:br/>
      </w:r>
      <w:r w:rsidR="00457362">
        <w:t>Scholars from different backgrounds and areas of</w:t>
      </w:r>
      <w:r w:rsidR="000A5EEB">
        <w:t xml:space="preserve"> expertise </w:t>
      </w:r>
      <w:r w:rsidR="00314F7B">
        <w:t>often</w:t>
      </w:r>
      <w:r w:rsidR="000A5EEB">
        <w:t xml:space="preserve"> refer to this artefact</w:t>
      </w:r>
      <w:r w:rsidR="00314F7B">
        <w:t>,</w:t>
      </w:r>
      <w:r w:rsidR="00B51A43">
        <w:t xml:space="preserve"> and</w:t>
      </w:r>
      <w:r w:rsidR="00457362">
        <w:t xml:space="preserve"> </w:t>
      </w:r>
      <w:r w:rsidR="000A5EEB">
        <w:t>w</w:t>
      </w:r>
      <w:r w:rsidR="007B71A5">
        <w:t>ith the examples I</w:t>
      </w:r>
      <w:r w:rsidR="00912C8E">
        <w:t xml:space="preserve"> have given</w:t>
      </w:r>
      <w:r w:rsidR="00A61A17">
        <w:t>,</w:t>
      </w:r>
      <w:r w:rsidR="003F71CB">
        <w:t xml:space="preserve"> </w:t>
      </w:r>
      <w:r w:rsidR="00FA362F">
        <w:t xml:space="preserve">I believe I have </w:t>
      </w:r>
      <w:r w:rsidR="00D63FE5">
        <w:t>briefly</w:t>
      </w:r>
      <w:r w:rsidR="00A61A17">
        <w:t xml:space="preserve"> shown</w:t>
      </w:r>
      <w:bookmarkStart w:id="0" w:name="_GoBack"/>
      <w:bookmarkEnd w:id="0"/>
      <w:r w:rsidR="00D63FE5">
        <w:t xml:space="preserve"> different types and areas of </w:t>
      </w:r>
      <w:r w:rsidR="00991BB4">
        <w:t xml:space="preserve">uses scholars have had </w:t>
      </w:r>
      <w:r w:rsidR="006A3823">
        <w:t xml:space="preserve">on this topic. </w:t>
      </w:r>
      <w:r w:rsidR="00D63FE5">
        <w:t xml:space="preserve"> </w:t>
      </w:r>
      <w:r w:rsidR="00A4394E">
        <w:t xml:space="preserve"> </w:t>
      </w:r>
    </w:p>
    <w:p w14:paraId="79BE2B5B" w14:textId="77777777" w:rsidR="00965176" w:rsidRDefault="00965176" w:rsidP="007B71A5">
      <w:pPr>
        <w:spacing w:line="480" w:lineRule="auto"/>
      </w:pPr>
      <w:r>
        <w:br w:type="page"/>
      </w:r>
    </w:p>
    <w:p w14:paraId="67C85EF8" w14:textId="7F47E91C" w:rsidR="00F27FA2" w:rsidRDefault="00965176" w:rsidP="007B2AA3">
      <w:r w:rsidRPr="00965176">
        <w:rPr>
          <w:b/>
        </w:rPr>
        <w:lastRenderedPageBreak/>
        <w:t xml:space="preserve">Bibliography </w:t>
      </w:r>
      <w:r w:rsidRPr="00965176">
        <w:rPr>
          <w:b/>
        </w:rPr>
        <w:br/>
      </w:r>
      <w:r w:rsidRPr="00965176">
        <w:rPr>
          <w:b/>
        </w:rPr>
        <w:br/>
        <w:t xml:space="preserve">Secondary Sources </w:t>
      </w:r>
    </w:p>
    <w:p w14:paraId="04C6C9D1" w14:textId="6292A2AA" w:rsidR="00965176" w:rsidRDefault="009053ED" w:rsidP="007B2AA3">
      <w:r>
        <w:t>George</w:t>
      </w:r>
      <w:r w:rsidR="00FF2FF5">
        <w:t xml:space="preserve">, M. 2013. </w:t>
      </w:r>
      <w:r w:rsidR="004818B1">
        <w:rPr>
          <w:i/>
        </w:rPr>
        <w:t>Roman Slavery and Roman Material Culture</w:t>
      </w:r>
      <w:r w:rsidR="00AF1358">
        <w:t xml:space="preserve">. </w:t>
      </w:r>
      <w:r w:rsidR="00F212EF">
        <w:t>Toron</w:t>
      </w:r>
      <w:r w:rsidR="001C15C4">
        <w:t>to: University of Toronto Press</w:t>
      </w:r>
      <w:r w:rsidR="00F2688D">
        <w:t>.</w:t>
      </w:r>
    </w:p>
    <w:p w14:paraId="2E773983" w14:textId="582D5934" w:rsidR="00F2688D" w:rsidRDefault="00F2688D" w:rsidP="007B2AA3">
      <w:r>
        <w:t>Hope</w:t>
      </w:r>
      <w:r w:rsidR="00ED40B4">
        <w:t>, V</w:t>
      </w:r>
      <w:r w:rsidR="00826C46">
        <w:t>. 2003. ‘</w:t>
      </w:r>
      <w:r w:rsidR="004C6CE5">
        <w:t>Trophies and Tombstones: Commemorating the Roman Soldier</w:t>
      </w:r>
      <w:r w:rsidR="00083AF7">
        <w:t xml:space="preserve">’ </w:t>
      </w:r>
      <w:r w:rsidR="00083AF7" w:rsidRPr="008A7E43">
        <w:rPr>
          <w:i/>
        </w:rPr>
        <w:t>JSTOR</w:t>
      </w:r>
      <w:r w:rsidR="004F07C3">
        <w:t>, 35. 1,</w:t>
      </w:r>
      <w:r w:rsidR="00962F11">
        <w:t xml:space="preserve"> 88-89.</w:t>
      </w:r>
    </w:p>
    <w:p w14:paraId="5EC3F96E" w14:textId="432CE52A" w:rsidR="009511FD" w:rsidRPr="00947C0E" w:rsidRDefault="00B47781" w:rsidP="007B2AA3">
      <w:r>
        <w:t>Wells</w:t>
      </w:r>
      <w:r w:rsidR="00944D7B">
        <w:t>, P</w:t>
      </w:r>
      <w:r w:rsidR="00DC241A">
        <w:t xml:space="preserve">. 1999. </w:t>
      </w:r>
      <w:r w:rsidR="00DC241A" w:rsidRPr="00BD556D">
        <w:rPr>
          <w:i/>
        </w:rPr>
        <w:t xml:space="preserve">The Barbarians Speak: How </w:t>
      </w:r>
      <w:proofErr w:type="gramStart"/>
      <w:r w:rsidR="00DC241A" w:rsidRPr="00BD556D">
        <w:rPr>
          <w:i/>
        </w:rPr>
        <w:t>The</w:t>
      </w:r>
      <w:proofErr w:type="gramEnd"/>
      <w:r w:rsidR="00DC241A" w:rsidRPr="00BD556D">
        <w:rPr>
          <w:i/>
        </w:rPr>
        <w:t xml:space="preserve"> Con</w:t>
      </w:r>
      <w:r w:rsidR="00BD556D" w:rsidRPr="00BD556D">
        <w:rPr>
          <w:i/>
        </w:rPr>
        <w:t>quered People Shaped Roman Europe</w:t>
      </w:r>
      <w:r w:rsidR="00947C0E">
        <w:rPr>
          <w:i/>
        </w:rPr>
        <w:t>.</w:t>
      </w:r>
      <w:r w:rsidR="00947C0E">
        <w:t xml:space="preserve"> </w:t>
      </w:r>
      <w:r w:rsidR="003C08D1">
        <w:t>Oxfordshire: Princeton University Press</w:t>
      </w:r>
      <w:r w:rsidR="0045322E">
        <w:t>.</w:t>
      </w:r>
    </w:p>
    <w:p w14:paraId="1CF3E87E" w14:textId="77777777" w:rsidR="00F5508C" w:rsidRPr="004818B1" w:rsidRDefault="00F5508C" w:rsidP="007B2AA3"/>
    <w:sectPr w:rsidR="00F5508C" w:rsidRPr="004818B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7E5521" w14:textId="77777777" w:rsidR="00A203DF" w:rsidRDefault="00A203DF" w:rsidP="007B2AA3">
      <w:pPr>
        <w:spacing w:after="0" w:line="240" w:lineRule="auto"/>
      </w:pPr>
      <w:r>
        <w:separator/>
      </w:r>
    </w:p>
  </w:endnote>
  <w:endnote w:type="continuationSeparator" w:id="0">
    <w:p w14:paraId="44775301" w14:textId="77777777" w:rsidR="00A203DF" w:rsidRDefault="00A203DF" w:rsidP="007B2A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37D23F" w14:textId="77777777" w:rsidR="00A203DF" w:rsidRDefault="00A203DF" w:rsidP="007B2AA3">
      <w:pPr>
        <w:spacing w:after="0" w:line="240" w:lineRule="auto"/>
      </w:pPr>
      <w:r>
        <w:separator/>
      </w:r>
    </w:p>
  </w:footnote>
  <w:footnote w:type="continuationSeparator" w:id="0">
    <w:p w14:paraId="22029B78" w14:textId="77777777" w:rsidR="00A203DF" w:rsidRDefault="00A203DF" w:rsidP="007B2AA3">
      <w:pPr>
        <w:spacing w:after="0" w:line="240" w:lineRule="auto"/>
      </w:pPr>
      <w:r>
        <w:continuationSeparator/>
      </w:r>
    </w:p>
  </w:footnote>
  <w:footnote w:id="1">
    <w:p w14:paraId="4EF37B85" w14:textId="1888BB1C" w:rsidR="007B2AA3" w:rsidRDefault="007B2AA3">
      <w:pPr>
        <w:pStyle w:val="FootnoteText"/>
      </w:pPr>
      <w:r>
        <w:rPr>
          <w:rStyle w:val="FootnoteReference"/>
        </w:rPr>
        <w:footnoteRef/>
      </w:r>
      <w:r>
        <w:t xml:space="preserve"> Hope 2003</w:t>
      </w:r>
      <w:r w:rsidR="00CD7937">
        <w:t>:</w:t>
      </w:r>
      <w:r>
        <w:t>88-89</w:t>
      </w:r>
    </w:p>
  </w:footnote>
  <w:footnote w:id="2">
    <w:p w14:paraId="15C40AA2" w14:textId="1895E607" w:rsidR="00EB22B0" w:rsidRDefault="00EB22B0">
      <w:pPr>
        <w:pStyle w:val="FootnoteText"/>
      </w:pPr>
      <w:r>
        <w:rPr>
          <w:rStyle w:val="FootnoteReference"/>
        </w:rPr>
        <w:footnoteRef/>
      </w:r>
      <w:r>
        <w:t xml:space="preserve"> Ibid </w:t>
      </w:r>
    </w:p>
  </w:footnote>
  <w:footnote w:id="3">
    <w:p w14:paraId="7AC96E0F" w14:textId="210B4CE0" w:rsidR="00180F8C" w:rsidRDefault="00180F8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F2558">
        <w:t>George 2013 180-182</w:t>
      </w:r>
    </w:p>
  </w:footnote>
  <w:footnote w:id="4">
    <w:p w14:paraId="0F009909" w14:textId="5D501DF4" w:rsidR="00E157A2" w:rsidRDefault="00E157A2">
      <w:pPr>
        <w:pStyle w:val="FootnoteText"/>
      </w:pPr>
      <w:r>
        <w:rPr>
          <w:rStyle w:val="FootnoteReference"/>
        </w:rPr>
        <w:footnoteRef/>
      </w:r>
      <w:r>
        <w:t xml:space="preserve"> Wells 1999 67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7459B9" w14:textId="74F24EE1" w:rsidR="00486914" w:rsidRDefault="009A295C">
    <w:pPr>
      <w:pStyle w:val="Header"/>
    </w:pPr>
    <w:r>
      <w:t xml:space="preserve">Lee Perkins </w:t>
    </w:r>
    <w:r>
      <w:tab/>
      <w:t>Study Skills</w:t>
    </w:r>
    <w:r w:rsidR="00E94796">
      <w:tab/>
    </w:r>
    <w:r>
      <w:t>1711094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7FA2"/>
    <w:rsid w:val="0003237D"/>
    <w:rsid w:val="00083AF7"/>
    <w:rsid w:val="000A1ABE"/>
    <w:rsid w:val="000A22E2"/>
    <w:rsid w:val="000A5EEB"/>
    <w:rsid w:val="000A66CA"/>
    <w:rsid w:val="000E412C"/>
    <w:rsid w:val="001273F7"/>
    <w:rsid w:val="001479E5"/>
    <w:rsid w:val="00180F8C"/>
    <w:rsid w:val="001B1A6F"/>
    <w:rsid w:val="001C15C4"/>
    <w:rsid w:val="002228A9"/>
    <w:rsid w:val="00274733"/>
    <w:rsid w:val="00285BA3"/>
    <w:rsid w:val="002A602C"/>
    <w:rsid w:val="002B0942"/>
    <w:rsid w:val="002B6FE3"/>
    <w:rsid w:val="00314F7B"/>
    <w:rsid w:val="0033705D"/>
    <w:rsid w:val="0036179C"/>
    <w:rsid w:val="003C08D1"/>
    <w:rsid w:val="003F71CB"/>
    <w:rsid w:val="0045322E"/>
    <w:rsid w:val="00457362"/>
    <w:rsid w:val="004818B1"/>
    <w:rsid w:val="00486914"/>
    <w:rsid w:val="004C6CE5"/>
    <w:rsid w:val="004F07C3"/>
    <w:rsid w:val="00532E63"/>
    <w:rsid w:val="005366B4"/>
    <w:rsid w:val="00537246"/>
    <w:rsid w:val="0053754C"/>
    <w:rsid w:val="00553D28"/>
    <w:rsid w:val="00570211"/>
    <w:rsid w:val="005A11E2"/>
    <w:rsid w:val="0060489A"/>
    <w:rsid w:val="006177FB"/>
    <w:rsid w:val="006572BE"/>
    <w:rsid w:val="00670AE3"/>
    <w:rsid w:val="0068044E"/>
    <w:rsid w:val="006A3823"/>
    <w:rsid w:val="006D57A3"/>
    <w:rsid w:val="007B2AA3"/>
    <w:rsid w:val="007B71A5"/>
    <w:rsid w:val="00826C46"/>
    <w:rsid w:val="00842E28"/>
    <w:rsid w:val="008638E1"/>
    <w:rsid w:val="00882CF4"/>
    <w:rsid w:val="008978F9"/>
    <w:rsid w:val="008A7E43"/>
    <w:rsid w:val="008D1F8A"/>
    <w:rsid w:val="009053ED"/>
    <w:rsid w:val="00912C8E"/>
    <w:rsid w:val="00944D7B"/>
    <w:rsid w:val="00947916"/>
    <w:rsid w:val="00947C0E"/>
    <w:rsid w:val="009510C9"/>
    <w:rsid w:val="009511FD"/>
    <w:rsid w:val="00962F11"/>
    <w:rsid w:val="00965176"/>
    <w:rsid w:val="00991BB4"/>
    <w:rsid w:val="009970D4"/>
    <w:rsid w:val="009A295C"/>
    <w:rsid w:val="009B2751"/>
    <w:rsid w:val="00A0217D"/>
    <w:rsid w:val="00A06A40"/>
    <w:rsid w:val="00A203DF"/>
    <w:rsid w:val="00A4394E"/>
    <w:rsid w:val="00A46E11"/>
    <w:rsid w:val="00A61A17"/>
    <w:rsid w:val="00AB6E57"/>
    <w:rsid w:val="00AC07C2"/>
    <w:rsid w:val="00AF1358"/>
    <w:rsid w:val="00AF1D56"/>
    <w:rsid w:val="00B364E8"/>
    <w:rsid w:val="00B47781"/>
    <w:rsid w:val="00B51A43"/>
    <w:rsid w:val="00B87F03"/>
    <w:rsid w:val="00BB571E"/>
    <w:rsid w:val="00BD556D"/>
    <w:rsid w:val="00BF2558"/>
    <w:rsid w:val="00C13636"/>
    <w:rsid w:val="00C167FC"/>
    <w:rsid w:val="00CB461B"/>
    <w:rsid w:val="00CD7937"/>
    <w:rsid w:val="00D63FE5"/>
    <w:rsid w:val="00D90A16"/>
    <w:rsid w:val="00DA6500"/>
    <w:rsid w:val="00DC229B"/>
    <w:rsid w:val="00DC241A"/>
    <w:rsid w:val="00DD7485"/>
    <w:rsid w:val="00DF028D"/>
    <w:rsid w:val="00DF4C28"/>
    <w:rsid w:val="00E157A2"/>
    <w:rsid w:val="00E174CD"/>
    <w:rsid w:val="00E375D4"/>
    <w:rsid w:val="00E4554F"/>
    <w:rsid w:val="00E94796"/>
    <w:rsid w:val="00EA4807"/>
    <w:rsid w:val="00EB22B0"/>
    <w:rsid w:val="00ED2758"/>
    <w:rsid w:val="00ED40B4"/>
    <w:rsid w:val="00ED6249"/>
    <w:rsid w:val="00EE3E0C"/>
    <w:rsid w:val="00F212EF"/>
    <w:rsid w:val="00F2688D"/>
    <w:rsid w:val="00F27FA2"/>
    <w:rsid w:val="00F5508C"/>
    <w:rsid w:val="00F57501"/>
    <w:rsid w:val="00F73EFF"/>
    <w:rsid w:val="00F8259C"/>
    <w:rsid w:val="00FA362F"/>
    <w:rsid w:val="00FF2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044B92"/>
  <w15:chartTrackingRefBased/>
  <w15:docId w15:val="{0A9C3BB4-661E-44FD-8B9C-D2A252D19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7B2AA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B2AA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B2AA3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4869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6914"/>
  </w:style>
  <w:style w:type="paragraph" w:styleId="Footer">
    <w:name w:val="footer"/>
    <w:basedOn w:val="Normal"/>
    <w:link w:val="FooterChar"/>
    <w:uiPriority w:val="99"/>
    <w:unhideWhenUsed/>
    <w:rsid w:val="004869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69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F95706-2780-4F65-BA2D-E81C9FCBB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2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perkins</dc:creator>
  <cp:keywords/>
  <dc:description/>
  <cp:lastModifiedBy>lee perkins</cp:lastModifiedBy>
  <cp:revision>102</cp:revision>
  <dcterms:created xsi:type="dcterms:W3CDTF">2018-03-20T20:18:00Z</dcterms:created>
  <dcterms:modified xsi:type="dcterms:W3CDTF">2018-03-21T22:17:00Z</dcterms:modified>
</cp:coreProperties>
</file>