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32ADA34" wp14:paraId="2C078E63" wp14:textId="3775ADEB">
      <w:pPr>
        <w:pStyle w:val="Normal"/>
        <w:rPr>
          <w:rFonts w:ascii="Arial" w:hAnsi="Arial" w:eastAsia="Arial" w:cs="Arial"/>
          <w:sz w:val="28"/>
          <w:szCs w:val="28"/>
        </w:rPr>
      </w:pPr>
      <w:r w:rsidRPr="732ADA34" w:rsidR="433BA429">
        <w:rPr>
          <w:rFonts w:ascii="Arial" w:hAnsi="Arial" w:eastAsia="Arial" w:cs="Arial"/>
          <w:sz w:val="28"/>
          <w:szCs w:val="28"/>
        </w:rPr>
        <w:t>Starting from the Egyptian tomb TT99 in Thebes (Senneferi), describe the architecture and finds of this tomb. How does this material culture illustrates the position this person had in the ancient Egyptian society.</w:t>
      </w:r>
    </w:p>
    <w:p w:rsidR="732ADA34" w:rsidP="732ADA34" w:rsidRDefault="732ADA34" w14:paraId="30D34BE0" w14:textId="5D98BECB">
      <w:pPr>
        <w:pStyle w:val="Normal"/>
        <w:rPr>
          <w:rFonts w:ascii="Arial" w:hAnsi="Arial" w:eastAsia="Arial" w:cs="Arial"/>
          <w:sz w:val="28"/>
          <w:szCs w:val="28"/>
        </w:rPr>
      </w:pPr>
    </w:p>
    <w:p w:rsidR="1DD6698E" w:rsidP="732ADA34" w:rsidRDefault="1DD6698E" w14:paraId="24DE4E3D" w14:textId="576FC2CE">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732ADA34" w:rsidR="1DD6698E">
        <w:rPr>
          <w:rFonts w:ascii="Arial" w:hAnsi="Arial" w:eastAsia="Arial" w:cs="Arial"/>
          <w:sz w:val="24"/>
          <w:szCs w:val="24"/>
        </w:rPr>
        <w:t xml:space="preserve">This essay will focus on Tomb TT99, this is a tomb in </w:t>
      </w:r>
      <w:r w:rsidRPr="732ADA34" w:rsidR="5DFFDE91">
        <w:rPr>
          <w:rFonts w:ascii="Arial" w:hAnsi="Arial" w:eastAsia="Arial" w:cs="Arial"/>
          <w:sz w:val="24"/>
          <w:szCs w:val="24"/>
        </w:rPr>
        <w:t xml:space="preserve">the </w:t>
      </w:r>
      <w:r w:rsidRPr="732ADA34" w:rsidR="5DFFDE91">
        <w:rPr>
          <w:rFonts w:ascii="Arial" w:hAnsi="Arial" w:eastAsia="Arial" w:cs="Arial"/>
          <w:b w:val="0"/>
          <w:bCs w:val="0"/>
          <w:i w:val="0"/>
          <w:iCs w:val="0"/>
          <w:caps w:val="0"/>
          <w:smallCaps w:val="0"/>
          <w:color w:val="000000" w:themeColor="text1" w:themeTint="FF" w:themeShade="FF"/>
          <w:sz w:val="24"/>
          <w:szCs w:val="24"/>
        </w:rPr>
        <w:t xml:space="preserve">upper enclosure of </w:t>
      </w:r>
      <w:r w:rsidRPr="732ADA34" w:rsidR="29246C63">
        <w:rPr>
          <w:rFonts w:ascii="Arial" w:hAnsi="Arial" w:eastAsia="Arial" w:cs="Arial"/>
          <w:b w:val="0"/>
          <w:bCs w:val="0"/>
          <w:i w:val="0"/>
          <w:iCs w:val="0"/>
          <w:caps w:val="0"/>
          <w:smallCaps w:val="0"/>
          <w:color w:val="000000" w:themeColor="text1" w:themeTint="FF" w:themeShade="FF"/>
          <w:sz w:val="24"/>
          <w:szCs w:val="24"/>
        </w:rPr>
        <w:t>Sheik</w:t>
      </w:r>
      <w:r w:rsidRPr="732ADA34" w:rsidR="5DFFDE91">
        <w:rPr>
          <w:rFonts w:ascii="Arial" w:hAnsi="Arial" w:eastAsia="Arial" w:cs="Arial"/>
          <w:b w:val="0"/>
          <w:bCs w:val="0"/>
          <w:i w:val="0"/>
          <w:iCs w:val="0"/>
          <w:caps w:val="0"/>
          <w:smallCaps w:val="0"/>
          <w:color w:val="000000" w:themeColor="text1" w:themeTint="FF" w:themeShade="FF"/>
          <w:sz w:val="24"/>
          <w:szCs w:val="24"/>
        </w:rPr>
        <w:t xml:space="preserve"> </w:t>
      </w:r>
      <w:r w:rsidRPr="732ADA34" w:rsidR="37D5BC46">
        <w:rPr>
          <w:rFonts w:ascii="Arial" w:hAnsi="Arial" w:eastAsia="Arial" w:cs="Arial"/>
          <w:b w:val="0"/>
          <w:bCs w:val="0"/>
          <w:i w:val="0"/>
          <w:iCs w:val="0"/>
          <w:caps w:val="0"/>
          <w:smallCaps w:val="0"/>
          <w:color w:val="000000" w:themeColor="text1" w:themeTint="FF" w:themeShade="FF"/>
          <w:sz w:val="24"/>
          <w:szCs w:val="24"/>
        </w:rPr>
        <w:t>Abdel</w:t>
      </w:r>
      <w:r w:rsidRPr="732ADA34" w:rsidR="5DFFDE91">
        <w:rPr>
          <w:rFonts w:ascii="Arial" w:hAnsi="Arial" w:eastAsia="Arial" w:cs="Arial"/>
          <w:b w:val="0"/>
          <w:bCs w:val="0"/>
          <w:i w:val="0"/>
          <w:iCs w:val="0"/>
          <w:caps w:val="0"/>
          <w:smallCaps w:val="0"/>
          <w:color w:val="000000" w:themeColor="text1" w:themeTint="FF" w:themeShade="FF"/>
          <w:sz w:val="24"/>
          <w:szCs w:val="24"/>
        </w:rPr>
        <w:t xml:space="preserve"> </w:t>
      </w:r>
      <w:r w:rsidRPr="732ADA34" w:rsidR="129FD070">
        <w:rPr>
          <w:rFonts w:ascii="Arial" w:hAnsi="Arial" w:eastAsia="Arial" w:cs="Arial"/>
          <w:b w:val="0"/>
          <w:bCs w:val="0"/>
          <w:i w:val="0"/>
          <w:iCs w:val="0"/>
          <w:caps w:val="0"/>
          <w:smallCaps w:val="0"/>
          <w:color w:val="000000" w:themeColor="text1" w:themeTint="FF" w:themeShade="FF"/>
          <w:sz w:val="24"/>
          <w:szCs w:val="24"/>
        </w:rPr>
        <w:t>Qurna</w:t>
      </w:r>
      <w:r w:rsidRPr="732ADA34" w:rsidR="5DFFDE91">
        <w:rPr>
          <w:rFonts w:ascii="Arial" w:hAnsi="Arial" w:eastAsia="Arial" w:cs="Arial"/>
          <w:b w:val="0"/>
          <w:bCs w:val="0"/>
          <w:i w:val="0"/>
          <w:iCs w:val="0"/>
          <w:caps w:val="0"/>
          <w:smallCaps w:val="0"/>
          <w:color w:val="000000" w:themeColor="text1" w:themeTint="FF" w:themeShade="FF"/>
          <w:sz w:val="24"/>
          <w:szCs w:val="24"/>
        </w:rPr>
        <w:t>, in west bank</w:t>
      </w:r>
      <w:r w:rsidRPr="732ADA34" w:rsidR="0F2EBE48">
        <w:rPr>
          <w:rFonts w:ascii="Arial" w:hAnsi="Arial" w:eastAsia="Arial" w:cs="Arial"/>
          <w:b w:val="0"/>
          <w:bCs w:val="0"/>
          <w:i w:val="0"/>
          <w:iCs w:val="0"/>
          <w:caps w:val="0"/>
          <w:smallCaps w:val="0"/>
          <w:color w:val="000000" w:themeColor="text1" w:themeTint="FF" w:themeShade="FF"/>
          <w:sz w:val="24"/>
          <w:szCs w:val="24"/>
        </w:rPr>
        <w:t xml:space="preserve"> of</w:t>
      </w:r>
      <w:r w:rsidRPr="732ADA34" w:rsidR="5DFFDE91">
        <w:rPr>
          <w:rFonts w:ascii="Arial" w:hAnsi="Arial" w:eastAsia="Arial" w:cs="Arial"/>
          <w:b w:val="0"/>
          <w:bCs w:val="0"/>
          <w:i w:val="0"/>
          <w:iCs w:val="0"/>
          <w:caps w:val="0"/>
          <w:smallCaps w:val="0"/>
          <w:color w:val="000000" w:themeColor="text1" w:themeTint="FF" w:themeShade="FF"/>
          <w:sz w:val="24"/>
          <w:szCs w:val="24"/>
        </w:rPr>
        <w:t xml:space="preserve"> Luxor formally known as Thebes</w:t>
      </w:r>
      <w:r w:rsidRPr="732ADA34" w:rsidR="2B946D74">
        <w:rPr>
          <w:rFonts w:ascii="Arial" w:hAnsi="Arial" w:eastAsia="Arial" w:cs="Arial"/>
          <w:b w:val="0"/>
          <w:bCs w:val="0"/>
          <w:i w:val="0"/>
          <w:iCs w:val="0"/>
          <w:caps w:val="0"/>
          <w:smallCaps w:val="0"/>
          <w:color w:val="000000" w:themeColor="text1" w:themeTint="FF" w:themeShade="FF"/>
          <w:sz w:val="24"/>
          <w:szCs w:val="24"/>
        </w:rPr>
        <w:t xml:space="preserve">. It was </w:t>
      </w:r>
      <w:r w:rsidRPr="732ADA34" w:rsidR="2837CE1E">
        <w:rPr>
          <w:rFonts w:ascii="Arial" w:hAnsi="Arial" w:eastAsia="Arial" w:cs="Arial"/>
          <w:b w:val="0"/>
          <w:bCs w:val="0"/>
          <w:i w:val="0"/>
          <w:iCs w:val="0"/>
          <w:caps w:val="0"/>
          <w:smallCaps w:val="0"/>
          <w:color w:val="000000" w:themeColor="text1" w:themeTint="FF" w:themeShade="FF"/>
          <w:sz w:val="24"/>
          <w:szCs w:val="24"/>
        </w:rPr>
        <w:t>claimed to have been</w:t>
      </w:r>
      <w:r w:rsidRPr="732ADA34" w:rsidR="2B946D74">
        <w:rPr>
          <w:rFonts w:ascii="Arial" w:hAnsi="Arial" w:eastAsia="Arial" w:cs="Arial"/>
          <w:b w:val="0"/>
          <w:bCs w:val="0"/>
          <w:i w:val="0"/>
          <w:iCs w:val="0"/>
          <w:caps w:val="0"/>
          <w:smallCaps w:val="0"/>
          <w:color w:val="000000" w:themeColor="text1" w:themeTint="FF" w:themeShade="FF"/>
          <w:sz w:val="24"/>
          <w:szCs w:val="24"/>
        </w:rPr>
        <w:t xml:space="preserve"> found in 1895 </w:t>
      </w:r>
      <w:r w:rsidRPr="732ADA34" w:rsidR="2CEC82C5">
        <w:rPr>
          <w:rFonts w:ascii="Arial" w:hAnsi="Arial" w:eastAsia="Arial" w:cs="Arial"/>
          <w:b w:val="0"/>
          <w:bCs w:val="0"/>
          <w:i w:val="0"/>
          <w:iCs w:val="0"/>
          <w:caps w:val="0"/>
          <w:smallCaps w:val="0"/>
          <w:color w:val="000000" w:themeColor="text1" w:themeTint="FF" w:themeShade="FF"/>
          <w:sz w:val="24"/>
          <w:szCs w:val="24"/>
        </w:rPr>
        <w:t>by British Archaeologist Percy Newberry</w:t>
      </w:r>
      <w:r w:rsidRPr="732ADA34" w:rsidR="0C4BA1B0">
        <w:rPr>
          <w:rFonts w:ascii="Times New Roman" w:hAnsi="Times New Roman" w:eastAsia="Times New Roman" w:cs="Times New Roman"/>
          <w:noProof w:val="0"/>
          <w:sz w:val="24"/>
          <w:szCs w:val="24"/>
          <w:lang w:val="en-GB"/>
        </w:rPr>
        <w:t xml:space="preserve"> (Strudwick, 2026)</w:t>
      </w:r>
      <w:r w:rsidRPr="732ADA34" w:rsidR="06C4E891">
        <w:rPr>
          <w:rFonts w:ascii="Arial" w:hAnsi="Arial" w:eastAsia="Arial" w:cs="Arial"/>
          <w:b w:val="0"/>
          <w:bCs w:val="0"/>
          <w:i w:val="0"/>
          <w:iCs w:val="0"/>
          <w:caps w:val="0"/>
          <w:smallCaps w:val="0"/>
          <w:color w:val="000000" w:themeColor="text1" w:themeTint="FF" w:themeShade="FF"/>
          <w:sz w:val="24"/>
          <w:szCs w:val="24"/>
        </w:rPr>
        <w:t xml:space="preserve">. Percy Newberry was </w:t>
      </w:r>
      <w:r w:rsidRPr="732ADA34" w:rsidR="06C4E891">
        <w:rPr>
          <w:rFonts w:ascii="Arial" w:hAnsi="Arial" w:eastAsia="Arial" w:cs="Arial"/>
          <w:b w:val="0"/>
          <w:bCs w:val="0"/>
          <w:i w:val="0"/>
          <w:iCs w:val="0"/>
          <w:caps w:val="0"/>
          <w:smallCaps w:val="0"/>
          <w:color w:val="000000" w:themeColor="text1" w:themeTint="FF" w:themeShade="FF"/>
          <w:sz w:val="24"/>
          <w:szCs w:val="24"/>
        </w:rPr>
        <w:t>a</w:t>
      </w:r>
      <w:r w:rsidRPr="732ADA34" w:rsidR="3D7E166E">
        <w:rPr>
          <w:rFonts w:ascii="Arial" w:hAnsi="Arial" w:eastAsia="Arial" w:cs="Arial"/>
          <w:b w:val="0"/>
          <w:bCs w:val="0"/>
          <w:i w:val="0"/>
          <w:iCs w:val="0"/>
          <w:caps w:val="0"/>
          <w:smallCaps w:val="0"/>
          <w:color w:val="000000" w:themeColor="text1" w:themeTint="FF" w:themeShade="FF"/>
          <w:sz w:val="24"/>
          <w:szCs w:val="24"/>
        </w:rPr>
        <w:t>n</w:t>
      </w:r>
      <w:r w:rsidRPr="732ADA34" w:rsidR="06C4E891">
        <w:rPr>
          <w:rFonts w:ascii="Arial" w:hAnsi="Arial" w:eastAsia="Arial" w:cs="Arial"/>
          <w:b w:val="0"/>
          <w:bCs w:val="0"/>
          <w:i w:val="0"/>
          <w:iCs w:val="0"/>
          <w:caps w:val="0"/>
          <w:smallCaps w:val="0"/>
          <w:color w:val="000000" w:themeColor="text1" w:themeTint="FF" w:themeShade="FF"/>
          <w:sz w:val="24"/>
          <w:szCs w:val="24"/>
        </w:rPr>
        <w:t xml:space="preserve"> archaeologist and botanist who studied </w:t>
      </w:r>
      <w:r w:rsidRPr="732ADA34" w:rsidR="5A79B6C0">
        <w:rPr>
          <w:rFonts w:ascii="Arial" w:hAnsi="Arial" w:eastAsia="Arial" w:cs="Arial"/>
          <w:b w:val="0"/>
          <w:bCs w:val="0"/>
          <w:i w:val="0"/>
          <w:iCs w:val="0"/>
          <w:caps w:val="0"/>
          <w:smallCaps w:val="0"/>
          <w:color w:val="000000" w:themeColor="text1" w:themeTint="FF" w:themeShade="FF"/>
          <w:sz w:val="24"/>
          <w:szCs w:val="24"/>
        </w:rPr>
        <w:t xml:space="preserve">Egyptology under </w:t>
      </w:r>
      <w:r w:rsidRPr="732ADA34" w:rsidR="6351941D">
        <w:rPr>
          <w:rFonts w:ascii="Arial" w:hAnsi="Arial" w:eastAsia="Arial" w:cs="Arial"/>
          <w:b w:val="0"/>
          <w:bCs w:val="0"/>
          <w:i w:val="0"/>
          <w:iCs w:val="0"/>
          <w:caps w:val="0"/>
          <w:smallCaps w:val="0"/>
          <w:color w:val="000000" w:themeColor="text1" w:themeTint="FF" w:themeShade="FF"/>
          <w:sz w:val="24"/>
          <w:szCs w:val="24"/>
        </w:rPr>
        <w:t>archaeologist Reginald S. Poole</w:t>
      </w:r>
      <w:r w:rsidRPr="732ADA34" w:rsidR="00A1F332">
        <w:rPr>
          <w:rFonts w:ascii="Arial" w:hAnsi="Arial" w:eastAsia="Arial" w:cs="Arial"/>
          <w:b w:val="0"/>
          <w:bCs w:val="0"/>
          <w:i w:val="0"/>
          <w:iCs w:val="0"/>
          <w:caps w:val="0"/>
          <w:smallCaps w:val="0"/>
          <w:color w:val="000000" w:themeColor="text1" w:themeTint="FF" w:themeShade="FF"/>
          <w:sz w:val="24"/>
          <w:szCs w:val="24"/>
        </w:rPr>
        <w:t xml:space="preserve">. </w:t>
      </w:r>
      <w:r w:rsidRPr="732ADA34" w:rsidR="7C5A89A7">
        <w:rPr>
          <w:rFonts w:ascii="Arial" w:hAnsi="Arial" w:eastAsia="Arial" w:cs="Arial"/>
          <w:b w:val="0"/>
          <w:bCs w:val="0"/>
          <w:i w:val="0"/>
          <w:iCs w:val="0"/>
          <w:caps w:val="0"/>
          <w:smallCaps w:val="0"/>
          <w:color w:val="000000" w:themeColor="text1" w:themeTint="FF" w:themeShade="FF"/>
          <w:sz w:val="24"/>
          <w:szCs w:val="24"/>
        </w:rPr>
        <w:t xml:space="preserve">He was also able to start the investigation towards finding out </w:t>
      </w:r>
      <w:r w:rsidRPr="732ADA34" w:rsidR="7629B043">
        <w:rPr>
          <w:rFonts w:ascii="Arial" w:hAnsi="Arial" w:eastAsia="Arial" w:cs="Arial"/>
          <w:b w:val="0"/>
          <w:bCs w:val="0"/>
          <w:i w:val="0"/>
          <w:iCs w:val="0"/>
          <w:caps w:val="0"/>
          <w:smallCaps w:val="0"/>
          <w:color w:val="000000" w:themeColor="text1" w:themeTint="FF" w:themeShade="FF"/>
          <w:sz w:val="24"/>
          <w:szCs w:val="24"/>
        </w:rPr>
        <w:t xml:space="preserve">who tomb TT99 </w:t>
      </w:r>
      <w:r w:rsidRPr="732ADA34" w:rsidR="5551A1F0">
        <w:rPr>
          <w:rFonts w:ascii="Arial" w:hAnsi="Arial" w:eastAsia="Arial" w:cs="Arial"/>
          <w:b w:val="0"/>
          <w:bCs w:val="0"/>
          <w:i w:val="0"/>
          <w:iCs w:val="0"/>
          <w:caps w:val="0"/>
          <w:smallCaps w:val="0"/>
          <w:color w:val="000000" w:themeColor="text1" w:themeTint="FF" w:themeShade="FF"/>
          <w:sz w:val="24"/>
          <w:szCs w:val="24"/>
        </w:rPr>
        <w:t>belonged to a</w:t>
      </w:r>
      <w:r w:rsidRPr="732ADA34" w:rsidR="405F2524">
        <w:rPr>
          <w:rFonts w:ascii="Arial" w:hAnsi="Arial" w:eastAsia="Arial" w:cs="Arial"/>
          <w:b w:val="0"/>
          <w:bCs w:val="0"/>
          <w:i w:val="0"/>
          <w:iCs w:val="0"/>
          <w:caps w:val="0"/>
          <w:smallCaps w:val="0"/>
          <w:color w:val="000000" w:themeColor="text1" w:themeTint="FF" w:themeShade="FF"/>
          <w:sz w:val="24"/>
          <w:szCs w:val="24"/>
        </w:rPr>
        <w:t>nd what age it was</w:t>
      </w:r>
      <w:r w:rsidRPr="732ADA34" w:rsidR="59CF099C">
        <w:rPr>
          <w:rFonts w:ascii="Times New Roman" w:hAnsi="Times New Roman" w:eastAsia="Times New Roman" w:cs="Times New Roman"/>
          <w:sz w:val="24"/>
          <w:szCs w:val="24"/>
        </w:rPr>
        <w:t xml:space="preserve"> (Tutankhamun Spatial Archive, 2019)</w:t>
      </w:r>
      <w:r w:rsidRPr="732ADA34" w:rsidR="3E96CF87">
        <w:rPr>
          <w:rFonts w:ascii="Arial" w:hAnsi="Arial" w:eastAsia="Arial" w:cs="Arial"/>
          <w:b w:val="0"/>
          <w:bCs w:val="0"/>
          <w:i w:val="0"/>
          <w:iCs w:val="0"/>
          <w:caps w:val="0"/>
          <w:smallCaps w:val="0"/>
          <w:color w:val="000000" w:themeColor="text1" w:themeTint="FF" w:themeShade="FF"/>
          <w:sz w:val="24"/>
          <w:szCs w:val="24"/>
        </w:rPr>
        <w:t>. This</w:t>
      </w:r>
      <w:r w:rsidRPr="732ADA34" w:rsidR="7716D9A8">
        <w:rPr>
          <w:rFonts w:ascii="Arial" w:hAnsi="Arial" w:eastAsia="Arial" w:cs="Arial"/>
          <w:b w:val="0"/>
          <w:bCs w:val="0"/>
          <w:i w:val="0"/>
          <w:iCs w:val="0"/>
          <w:caps w:val="0"/>
          <w:smallCaps w:val="0"/>
          <w:color w:val="000000" w:themeColor="text1" w:themeTint="FF" w:themeShade="FF"/>
          <w:sz w:val="24"/>
          <w:szCs w:val="24"/>
        </w:rPr>
        <w:t xml:space="preserve"> w</w:t>
      </w:r>
      <w:r w:rsidRPr="732ADA34" w:rsidR="7716D9A8">
        <w:rPr>
          <w:rFonts w:ascii="Arial" w:hAnsi="Arial" w:eastAsia="Arial" w:cs="Arial"/>
          <w:b w:val="0"/>
          <w:bCs w:val="0"/>
          <w:i w:val="0"/>
          <w:iCs w:val="0"/>
          <w:caps w:val="0"/>
          <w:smallCaps w:val="0"/>
          <w:color w:val="000000" w:themeColor="text1" w:themeTint="FF" w:themeShade="FF"/>
          <w:sz w:val="24"/>
          <w:szCs w:val="24"/>
        </w:rPr>
        <w:t xml:space="preserve">as done when he was able to </w:t>
      </w:r>
      <w:r w:rsidRPr="732ADA34" w:rsidR="7716D9A8">
        <w:rPr>
          <w:rFonts w:ascii="Arial" w:hAnsi="Arial" w:eastAsia="Arial" w:cs="Arial"/>
          <w:b w:val="0"/>
          <w:bCs w:val="0"/>
          <w:i w:val="0"/>
          <w:iCs w:val="0"/>
          <w:caps w:val="0"/>
          <w:smallCaps w:val="0"/>
          <w:color w:val="000000" w:themeColor="text1" w:themeTint="FF" w:themeShade="FF"/>
          <w:sz w:val="24"/>
          <w:szCs w:val="24"/>
        </w:rPr>
        <w:t>showcase</w:t>
      </w:r>
      <w:r w:rsidRPr="732ADA34" w:rsidR="7716D9A8">
        <w:rPr>
          <w:rFonts w:ascii="Arial" w:hAnsi="Arial" w:eastAsia="Arial" w:cs="Arial"/>
          <w:b w:val="0"/>
          <w:bCs w:val="0"/>
          <w:i w:val="0"/>
          <w:iCs w:val="0"/>
          <w:caps w:val="0"/>
          <w:smallCaps w:val="0"/>
          <w:color w:val="000000" w:themeColor="text1" w:themeTint="FF" w:themeShade="FF"/>
          <w:sz w:val="24"/>
          <w:szCs w:val="24"/>
        </w:rPr>
        <w:t xml:space="preserve"> the similarities between tomb finds and the nearby </w:t>
      </w:r>
      <w:r w:rsidRPr="732ADA34" w:rsidR="524F0B7C">
        <w:rPr>
          <w:rFonts w:ascii="Arial" w:hAnsi="Arial" w:eastAsia="Arial" w:cs="Arial"/>
          <w:b w:val="0"/>
          <w:bCs w:val="0"/>
          <w:i w:val="0"/>
          <w:iCs w:val="0"/>
          <w:caps w:val="0"/>
          <w:smallCaps w:val="0"/>
          <w:color w:val="000000" w:themeColor="text1" w:themeTint="FF" w:themeShade="FF"/>
          <w:sz w:val="24"/>
          <w:szCs w:val="24"/>
        </w:rPr>
        <w:t>Silsila shrine of Senneferi</w:t>
      </w:r>
      <w:r w:rsidRPr="732ADA34" w:rsidR="5AAE25C7">
        <w:rPr>
          <w:rFonts w:ascii="Arial" w:hAnsi="Arial" w:eastAsia="Arial" w:cs="Arial"/>
          <w:b w:val="0"/>
          <w:bCs w:val="0"/>
          <w:i w:val="0"/>
          <w:iCs w:val="0"/>
          <w:caps w:val="0"/>
          <w:smallCaps w:val="0"/>
          <w:color w:val="000000" w:themeColor="text1" w:themeTint="FF" w:themeShade="FF"/>
          <w:sz w:val="24"/>
          <w:szCs w:val="24"/>
        </w:rPr>
        <w:t xml:space="preserve">. </w:t>
      </w:r>
      <w:r w:rsidRPr="732ADA34" w:rsidR="3AC84EC9">
        <w:rPr>
          <w:rFonts w:ascii="Arial" w:hAnsi="Arial" w:eastAsia="Arial" w:cs="Arial"/>
          <w:b w:val="0"/>
          <w:bCs w:val="0"/>
          <w:i w:val="0"/>
          <w:iCs w:val="0"/>
          <w:caps w:val="0"/>
          <w:smallCaps w:val="0"/>
          <w:color w:val="000000" w:themeColor="text1" w:themeTint="FF" w:themeShade="FF"/>
          <w:sz w:val="24"/>
          <w:szCs w:val="24"/>
        </w:rPr>
        <w:t xml:space="preserve">There was a second </w:t>
      </w:r>
      <w:r w:rsidRPr="732ADA34" w:rsidR="39D06059">
        <w:rPr>
          <w:rFonts w:ascii="Arial" w:hAnsi="Arial" w:eastAsia="Arial" w:cs="Arial"/>
          <w:b w:val="0"/>
          <w:bCs w:val="0"/>
          <w:i w:val="0"/>
          <w:iCs w:val="0"/>
          <w:caps w:val="0"/>
          <w:smallCaps w:val="0"/>
          <w:color w:val="000000" w:themeColor="text1" w:themeTint="FF" w:themeShade="FF"/>
          <w:sz w:val="24"/>
          <w:szCs w:val="24"/>
        </w:rPr>
        <w:t xml:space="preserve">excavation in 1903 by Robert Mond who detailed “mummy pits” and </w:t>
      </w:r>
      <w:r w:rsidRPr="732ADA34" w:rsidR="564C7B9D">
        <w:rPr>
          <w:rFonts w:ascii="Arial" w:hAnsi="Arial" w:eastAsia="Arial" w:cs="Arial"/>
          <w:b w:val="0"/>
          <w:bCs w:val="0"/>
          <w:i w:val="0"/>
          <w:iCs w:val="0"/>
          <w:caps w:val="0"/>
          <w:smallCaps w:val="0"/>
          <w:color w:val="000000" w:themeColor="text1" w:themeTint="FF" w:themeShade="FF"/>
          <w:sz w:val="24"/>
          <w:szCs w:val="24"/>
        </w:rPr>
        <w:t xml:space="preserve">finds within the </w:t>
      </w:r>
      <w:r w:rsidRPr="732ADA34" w:rsidR="564C7B9D">
        <w:rPr>
          <w:rFonts w:ascii="Arial" w:hAnsi="Arial" w:eastAsia="Arial" w:cs="Arial"/>
          <w:b w:val="0"/>
          <w:bCs w:val="0"/>
          <w:i w:val="0"/>
          <w:iCs w:val="0"/>
          <w:caps w:val="0"/>
          <w:smallCaps w:val="0"/>
          <w:color w:val="000000" w:themeColor="text1" w:themeTint="FF" w:themeShade="FF"/>
          <w:sz w:val="24"/>
          <w:szCs w:val="24"/>
        </w:rPr>
        <w:t xml:space="preserve">tomb. Mond furthered this by giving detailed sketches </w:t>
      </w:r>
      <w:r w:rsidRPr="732ADA34" w:rsidR="3F5D6B7C">
        <w:rPr>
          <w:rFonts w:ascii="Arial" w:hAnsi="Arial" w:eastAsia="Arial" w:cs="Arial"/>
          <w:b w:val="0"/>
          <w:bCs w:val="0"/>
          <w:i w:val="0"/>
          <w:iCs w:val="0"/>
          <w:caps w:val="0"/>
          <w:smallCaps w:val="0"/>
          <w:color w:val="000000" w:themeColor="text1" w:themeTint="FF" w:themeShade="FF"/>
          <w:sz w:val="24"/>
          <w:szCs w:val="24"/>
        </w:rPr>
        <w:t xml:space="preserve">of two shafts that were in the tomb. There </w:t>
      </w:r>
      <w:r w:rsidRPr="732ADA34" w:rsidR="7FFC29CE">
        <w:rPr>
          <w:rFonts w:ascii="Arial" w:hAnsi="Arial" w:eastAsia="Arial" w:cs="Arial"/>
          <w:b w:val="0"/>
          <w:bCs w:val="0"/>
          <w:i w:val="0"/>
          <w:iCs w:val="0"/>
          <w:caps w:val="0"/>
          <w:smallCaps w:val="0"/>
          <w:color w:val="000000" w:themeColor="text1" w:themeTint="FF" w:themeShade="FF"/>
          <w:sz w:val="24"/>
          <w:szCs w:val="24"/>
        </w:rPr>
        <w:t>were furth</w:t>
      </w:r>
      <w:r w:rsidRPr="732ADA34" w:rsidR="7FFC29CE">
        <w:rPr>
          <w:rFonts w:ascii="Arial" w:hAnsi="Arial" w:eastAsia="Arial" w:cs="Arial"/>
          <w:b w:val="0"/>
          <w:bCs w:val="0"/>
          <w:i w:val="0"/>
          <w:iCs w:val="0"/>
          <w:caps w:val="0"/>
          <w:smallCaps w:val="0"/>
          <w:color w:val="000000" w:themeColor="text1" w:themeTint="FF" w:themeShade="FF"/>
          <w:sz w:val="24"/>
          <w:szCs w:val="24"/>
        </w:rPr>
        <w:t>er exca</w:t>
      </w:r>
      <w:r w:rsidRPr="732ADA34" w:rsidR="7FFC29CE">
        <w:rPr>
          <w:rFonts w:ascii="Arial" w:hAnsi="Arial" w:eastAsia="Arial" w:cs="Arial"/>
          <w:b w:val="0"/>
          <w:bCs w:val="0"/>
          <w:i w:val="0"/>
          <w:iCs w:val="0"/>
          <w:caps w:val="0"/>
          <w:smallCaps w:val="0"/>
          <w:color w:val="000000" w:themeColor="text1" w:themeTint="FF" w:themeShade="FF"/>
          <w:sz w:val="24"/>
          <w:szCs w:val="24"/>
        </w:rPr>
        <w:t>vations all the way till 2002</w:t>
      </w:r>
      <w:r w:rsidRPr="732ADA34" w:rsidR="7A8FF7D7">
        <w:rPr>
          <w:rFonts w:ascii="Arial" w:hAnsi="Arial" w:eastAsia="Arial" w:cs="Arial"/>
          <w:b w:val="0"/>
          <w:bCs w:val="0"/>
          <w:i w:val="0"/>
          <w:iCs w:val="0"/>
          <w:caps w:val="0"/>
          <w:smallCaps w:val="0"/>
          <w:color w:val="000000" w:themeColor="text1" w:themeTint="FF" w:themeShade="FF"/>
          <w:sz w:val="24"/>
          <w:szCs w:val="24"/>
        </w:rPr>
        <w:t>. Within</w:t>
      </w:r>
      <w:r w:rsidRPr="732ADA34" w:rsidR="7B97D9BB">
        <w:rPr>
          <w:rFonts w:ascii="Arial" w:hAnsi="Arial" w:eastAsia="Arial" w:cs="Arial"/>
          <w:b w:val="0"/>
          <w:bCs w:val="0"/>
          <w:i w:val="0"/>
          <w:iCs w:val="0"/>
          <w:caps w:val="0"/>
          <w:smallCaps w:val="0"/>
          <w:color w:val="000000" w:themeColor="text1" w:themeTint="FF" w:themeShade="FF"/>
          <w:sz w:val="24"/>
          <w:szCs w:val="24"/>
        </w:rPr>
        <w:t xml:space="preserve"> this </w:t>
      </w:r>
      <w:r w:rsidRPr="732ADA34" w:rsidR="25D19200">
        <w:rPr>
          <w:rFonts w:ascii="Arial" w:hAnsi="Arial" w:eastAsia="Arial" w:cs="Arial"/>
          <w:b w:val="0"/>
          <w:bCs w:val="0"/>
          <w:i w:val="0"/>
          <w:iCs w:val="0"/>
          <w:caps w:val="0"/>
          <w:smallCaps w:val="0"/>
          <w:color w:val="000000" w:themeColor="text1" w:themeTint="FF" w:themeShade="FF"/>
          <w:sz w:val="24"/>
          <w:szCs w:val="24"/>
        </w:rPr>
        <w:t>time,</w:t>
      </w:r>
      <w:r w:rsidRPr="732ADA34" w:rsidR="7B97D9BB">
        <w:rPr>
          <w:rFonts w:ascii="Arial" w:hAnsi="Arial" w:eastAsia="Arial" w:cs="Arial"/>
          <w:b w:val="0"/>
          <w:bCs w:val="0"/>
          <w:i w:val="0"/>
          <w:iCs w:val="0"/>
          <w:caps w:val="0"/>
          <w:smallCaps w:val="0"/>
          <w:color w:val="000000" w:themeColor="text1" w:themeTint="FF" w:themeShade="FF"/>
          <w:sz w:val="24"/>
          <w:szCs w:val="24"/>
        </w:rPr>
        <w:t xml:space="preserve"> it was noted that the tomb had been inhabited at some point in its history with evidence showing it was</w:t>
      </w:r>
      <w:r w:rsidRPr="732ADA34" w:rsidR="689FAAA2">
        <w:rPr>
          <w:rFonts w:ascii="Arial" w:hAnsi="Arial" w:eastAsia="Arial" w:cs="Arial"/>
          <w:b w:val="0"/>
          <w:bCs w:val="0"/>
          <w:i w:val="0"/>
          <w:iCs w:val="0"/>
          <w:caps w:val="0"/>
          <w:smallCaps w:val="0"/>
          <w:color w:val="000000" w:themeColor="text1" w:themeTint="FF" w:themeShade="FF"/>
          <w:sz w:val="24"/>
          <w:szCs w:val="24"/>
        </w:rPr>
        <w:t xml:space="preserve"> a family of </w:t>
      </w:r>
      <w:r w:rsidRPr="732ADA34" w:rsidR="689FAAA2">
        <w:rPr>
          <w:rFonts w:ascii="Arial" w:hAnsi="Arial" w:eastAsia="Arial" w:cs="Arial"/>
          <w:b w:val="0"/>
          <w:bCs w:val="0"/>
          <w:i w:val="0"/>
          <w:iCs w:val="0"/>
          <w:caps w:val="0"/>
          <w:smallCaps w:val="0"/>
          <w:color w:val="000000" w:themeColor="text1" w:themeTint="FF" w:themeShade="FF"/>
          <w:sz w:val="24"/>
          <w:szCs w:val="24"/>
        </w:rPr>
        <w:t>Coptic</w:t>
      </w:r>
      <w:r w:rsidRPr="732ADA34" w:rsidR="689FAAA2">
        <w:rPr>
          <w:rFonts w:ascii="Arial" w:hAnsi="Arial" w:eastAsia="Arial" w:cs="Arial"/>
          <w:b w:val="0"/>
          <w:bCs w:val="0"/>
          <w:i w:val="0"/>
          <w:iCs w:val="0"/>
          <w:caps w:val="0"/>
          <w:smallCaps w:val="0"/>
          <w:color w:val="000000" w:themeColor="text1" w:themeTint="FF" w:themeShade="FF"/>
          <w:sz w:val="24"/>
          <w:szCs w:val="24"/>
        </w:rPr>
        <w:t xml:space="preserve"> weavers. </w:t>
      </w:r>
      <w:r w:rsidRPr="732ADA34" w:rsidR="646DCE31">
        <w:rPr>
          <w:rFonts w:ascii="Arial" w:hAnsi="Arial" w:eastAsia="Arial" w:cs="Arial"/>
          <w:b w:val="0"/>
          <w:bCs w:val="0"/>
          <w:i w:val="0"/>
          <w:iCs w:val="0"/>
          <w:caps w:val="0"/>
          <w:smallCaps w:val="0"/>
          <w:color w:val="000000" w:themeColor="text1" w:themeTint="FF" w:themeShade="FF"/>
          <w:sz w:val="24"/>
          <w:szCs w:val="24"/>
        </w:rPr>
        <w:t>It was agreed that Tomb TT99 was the bu</w:t>
      </w:r>
      <w:r w:rsidRPr="732ADA34" w:rsidR="540856CB">
        <w:rPr>
          <w:rFonts w:ascii="Arial" w:hAnsi="Arial" w:eastAsia="Arial" w:cs="Arial"/>
          <w:b w:val="0"/>
          <w:bCs w:val="0"/>
          <w:i w:val="0"/>
          <w:iCs w:val="0"/>
          <w:caps w:val="0"/>
          <w:smallCaps w:val="0"/>
          <w:color w:val="000000" w:themeColor="text1" w:themeTint="FF" w:themeShade="FF"/>
          <w:sz w:val="24"/>
          <w:szCs w:val="24"/>
        </w:rPr>
        <w:t xml:space="preserve">rial place of a </w:t>
      </w:r>
      <w:bookmarkStart w:name="_Int_mJmReTBp" w:id="1095948247"/>
      <w:r w:rsidRPr="732ADA34" w:rsidR="540856CB">
        <w:rPr>
          <w:rFonts w:ascii="Arial" w:hAnsi="Arial" w:eastAsia="Arial" w:cs="Arial"/>
          <w:b w:val="0"/>
          <w:bCs w:val="0"/>
          <w:i w:val="0"/>
          <w:iCs w:val="0"/>
          <w:caps w:val="0"/>
          <w:smallCaps w:val="0"/>
          <w:color w:val="000000" w:themeColor="text1" w:themeTint="FF" w:themeShade="FF"/>
          <w:sz w:val="24"/>
          <w:szCs w:val="24"/>
        </w:rPr>
        <w:t>high ranking</w:t>
      </w:r>
      <w:bookmarkEnd w:id="1095948247"/>
      <w:r w:rsidRPr="732ADA34" w:rsidR="540856CB">
        <w:rPr>
          <w:rFonts w:ascii="Arial" w:hAnsi="Arial" w:eastAsia="Arial" w:cs="Arial"/>
          <w:b w:val="0"/>
          <w:bCs w:val="0"/>
          <w:i w:val="0"/>
          <w:iCs w:val="0"/>
          <w:caps w:val="0"/>
          <w:smallCaps w:val="0"/>
          <w:color w:val="000000" w:themeColor="text1" w:themeTint="FF" w:themeShade="FF"/>
          <w:sz w:val="24"/>
          <w:szCs w:val="24"/>
        </w:rPr>
        <w:t xml:space="preserve"> 18</w:t>
      </w:r>
      <w:r w:rsidRPr="732ADA34" w:rsidR="540856CB">
        <w:rPr>
          <w:rFonts w:ascii="Arial" w:hAnsi="Arial" w:eastAsia="Arial" w:cs="Arial"/>
          <w:b w:val="0"/>
          <w:bCs w:val="0"/>
          <w:i w:val="0"/>
          <w:iCs w:val="0"/>
          <w:caps w:val="0"/>
          <w:smallCaps w:val="0"/>
          <w:color w:val="000000" w:themeColor="text1" w:themeTint="FF" w:themeShade="FF"/>
          <w:sz w:val="24"/>
          <w:szCs w:val="24"/>
          <w:vertAlign w:val="superscript"/>
        </w:rPr>
        <w:t>th</w:t>
      </w:r>
      <w:r w:rsidRPr="732ADA34" w:rsidR="540856CB">
        <w:rPr>
          <w:rFonts w:ascii="Arial" w:hAnsi="Arial" w:eastAsia="Arial" w:cs="Arial"/>
          <w:b w:val="0"/>
          <w:bCs w:val="0"/>
          <w:i w:val="0"/>
          <w:iCs w:val="0"/>
          <w:caps w:val="0"/>
          <w:smallCaps w:val="0"/>
          <w:color w:val="000000" w:themeColor="text1" w:themeTint="FF" w:themeShade="FF"/>
          <w:sz w:val="24"/>
          <w:szCs w:val="24"/>
        </w:rPr>
        <w:t xml:space="preserve"> century royal administrator named Se</w:t>
      </w:r>
      <w:r w:rsidRPr="732ADA34" w:rsidR="4B085AB1">
        <w:rPr>
          <w:rFonts w:ascii="Arial" w:hAnsi="Arial" w:eastAsia="Arial" w:cs="Arial"/>
          <w:b w:val="0"/>
          <w:bCs w:val="0"/>
          <w:i w:val="0"/>
          <w:iCs w:val="0"/>
          <w:caps w:val="0"/>
          <w:smallCaps w:val="0"/>
          <w:color w:val="000000" w:themeColor="text1" w:themeTint="FF" w:themeShade="FF"/>
          <w:sz w:val="24"/>
          <w:szCs w:val="24"/>
        </w:rPr>
        <w:t>nneferi</w:t>
      </w:r>
      <w:r w:rsidRPr="732ADA34" w:rsidR="50C30910">
        <w:rPr>
          <w:rFonts w:ascii="Arial" w:hAnsi="Arial" w:eastAsia="Arial" w:cs="Arial"/>
          <w:b w:val="0"/>
          <w:bCs w:val="0"/>
          <w:i w:val="0"/>
          <w:iCs w:val="0"/>
          <w:caps w:val="0"/>
          <w:smallCaps w:val="0"/>
          <w:color w:val="000000" w:themeColor="text1" w:themeTint="FF" w:themeShade="FF"/>
          <w:sz w:val="24"/>
          <w:szCs w:val="24"/>
        </w:rPr>
        <w:t>. This</w:t>
      </w:r>
      <w:r w:rsidRPr="732ADA34" w:rsidR="4B085AB1">
        <w:rPr>
          <w:rFonts w:ascii="Arial" w:hAnsi="Arial" w:eastAsia="Arial" w:cs="Arial"/>
          <w:b w:val="0"/>
          <w:bCs w:val="0"/>
          <w:i w:val="0"/>
          <w:iCs w:val="0"/>
          <w:caps w:val="0"/>
          <w:smallCaps w:val="0"/>
          <w:color w:val="000000" w:themeColor="text1" w:themeTint="FF" w:themeShade="FF"/>
          <w:sz w:val="24"/>
          <w:szCs w:val="24"/>
        </w:rPr>
        <w:t xml:space="preserve"> essay will sho</w:t>
      </w:r>
      <w:r w:rsidRPr="732ADA34" w:rsidR="79E2DA26">
        <w:rPr>
          <w:rFonts w:ascii="Arial" w:hAnsi="Arial" w:eastAsia="Arial" w:cs="Arial"/>
          <w:b w:val="0"/>
          <w:bCs w:val="0"/>
          <w:i w:val="0"/>
          <w:iCs w:val="0"/>
          <w:caps w:val="0"/>
          <w:smallCaps w:val="0"/>
          <w:color w:val="000000" w:themeColor="text1" w:themeTint="FF" w:themeShade="FF"/>
          <w:sz w:val="24"/>
          <w:szCs w:val="24"/>
        </w:rPr>
        <w:t xml:space="preserve">w how the architecture and burial relics of the deceased </w:t>
      </w:r>
      <w:bookmarkStart w:name="_Int_kL23EyU4" w:id="1266998277"/>
      <w:r w:rsidRPr="732ADA34" w:rsidR="79E2DA26">
        <w:rPr>
          <w:rFonts w:ascii="Arial" w:hAnsi="Arial" w:eastAsia="Arial" w:cs="Arial"/>
          <w:b w:val="0"/>
          <w:bCs w:val="0"/>
          <w:i w:val="0"/>
          <w:iCs w:val="0"/>
          <w:caps w:val="0"/>
          <w:smallCaps w:val="0"/>
          <w:color w:val="000000" w:themeColor="text1" w:themeTint="FF" w:themeShade="FF"/>
          <w:sz w:val="24"/>
          <w:szCs w:val="24"/>
        </w:rPr>
        <w:t>allowed for</w:t>
      </w:r>
      <w:bookmarkEnd w:id="1266998277"/>
      <w:r w:rsidRPr="732ADA34" w:rsidR="79E2DA26">
        <w:rPr>
          <w:rFonts w:ascii="Arial" w:hAnsi="Arial" w:eastAsia="Arial" w:cs="Arial"/>
          <w:b w:val="0"/>
          <w:bCs w:val="0"/>
          <w:i w:val="0"/>
          <w:iCs w:val="0"/>
          <w:caps w:val="0"/>
          <w:smallCaps w:val="0"/>
          <w:color w:val="000000" w:themeColor="text1" w:themeTint="FF" w:themeShade="FF"/>
          <w:sz w:val="24"/>
          <w:szCs w:val="24"/>
        </w:rPr>
        <w:t xml:space="preserve"> researchers to come to this agreement.</w:t>
      </w:r>
    </w:p>
    <w:p w:rsidR="732ADA34" w:rsidP="732ADA34" w:rsidRDefault="732ADA34" w14:paraId="75457B34" w14:textId="3A5EB19A">
      <w:pPr>
        <w:pStyle w:val="Normal"/>
        <w:rPr>
          <w:rFonts w:ascii="Arial" w:hAnsi="Arial" w:eastAsia="Arial" w:cs="Arial"/>
          <w:b w:val="0"/>
          <w:bCs w:val="0"/>
          <w:i w:val="0"/>
          <w:iCs w:val="0"/>
          <w:caps w:val="0"/>
          <w:smallCaps w:val="0"/>
          <w:color w:val="000000" w:themeColor="text1" w:themeTint="FF" w:themeShade="FF"/>
          <w:sz w:val="24"/>
          <w:szCs w:val="24"/>
        </w:rPr>
      </w:pPr>
    </w:p>
    <w:p w:rsidR="3F8F2346" w:rsidP="732ADA34" w:rsidRDefault="3F8F2346" w14:paraId="096AFDC2" w14:textId="6034989B">
      <w:pPr>
        <w:rPr>
          <w:rFonts w:ascii="Arial" w:hAnsi="Arial" w:eastAsia="Arial" w:cs="Arial"/>
          <w:b w:val="0"/>
          <w:bCs w:val="0"/>
          <w:i w:val="0"/>
          <w:iCs w:val="0"/>
          <w:caps w:val="0"/>
          <w:smallCaps w:val="0"/>
          <w:color w:val="000000" w:themeColor="text1" w:themeTint="FF" w:themeShade="FF"/>
          <w:sz w:val="32"/>
          <w:szCs w:val="32"/>
        </w:rPr>
      </w:pPr>
      <w:r w:rsidRPr="732ADA34" w:rsidR="3F8F2346">
        <w:rPr>
          <w:rFonts w:ascii="Arial" w:hAnsi="Arial" w:eastAsia="Arial" w:cs="Arial"/>
          <w:b w:val="0"/>
          <w:bCs w:val="0"/>
          <w:i w:val="0"/>
          <w:iCs w:val="0"/>
          <w:caps w:val="0"/>
          <w:smallCaps w:val="0"/>
          <w:color w:val="000000" w:themeColor="text1" w:themeTint="FF" w:themeShade="FF"/>
          <w:sz w:val="32"/>
          <w:szCs w:val="32"/>
        </w:rPr>
        <w:t xml:space="preserve">The Architecture of </w:t>
      </w:r>
      <w:r w:rsidRPr="732ADA34" w:rsidR="09A451ED">
        <w:rPr>
          <w:rFonts w:ascii="Arial" w:hAnsi="Arial" w:eastAsia="Arial" w:cs="Arial"/>
          <w:b w:val="0"/>
          <w:bCs w:val="0"/>
          <w:i w:val="0"/>
          <w:iCs w:val="0"/>
          <w:caps w:val="0"/>
          <w:smallCaps w:val="0"/>
          <w:color w:val="000000" w:themeColor="text1" w:themeTint="FF" w:themeShade="FF"/>
          <w:sz w:val="32"/>
          <w:szCs w:val="32"/>
        </w:rPr>
        <w:t>Tomb TT99</w:t>
      </w:r>
    </w:p>
    <w:p w:rsidR="5ADA9E4E" w:rsidP="732ADA34" w:rsidRDefault="5ADA9E4E" w14:paraId="7353181A" w14:textId="1D135F97">
      <w:pPr>
        <w:pStyle w:val="Normal"/>
        <w:rPr>
          <w:rFonts w:ascii="Arial" w:hAnsi="Arial" w:eastAsia="Arial" w:cs="Arial"/>
          <w:b w:val="0"/>
          <w:bCs w:val="0"/>
          <w:i w:val="0"/>
          <w:iCs w:val="0"/>
          <w:caps w:val="0"/>
          <w:smallCaps w:val="0"/>
          <w:color w:val="000000" w:themeColor="text1" w:themeTint="FF" w:themeShade="FF"/>
          <w:sz w:val="24"/>
          <w:szCs w:val="24"/>
        </w:rPr>
      </w:pPr>
      <w:r w:rsidRPr="732ADA34" w:rsidR="5ADA9E4E">
        <w:rPr>
          <w:rFonts w:ascii="Arial" w:hAnsi="Arial" w:eastAsia="Arial" w:cs="Arial"/>
          <w:b w:val="0"/>
          <w:bCs w:val="0"/>
          <w:i w:val="0"/>
          <w:iCs w:val="0"/>
          <w:caps w:val="0"/>
          <w:smallCaps w:val="0"/>
          <w:color w:val="000000" w:themeColor="text1" w:themeTint="FF" w:themeShade="FF"/>
          <w:sz w:val="24"/>
          <w:szCs w:val="24"/>
        </w:rPr>
        <w:t xml:space="preserve">The Architecture of a tomb </w:t>
      </w:r>
      <w:r w:rsidRPr="732ADA34" w:rsidR="5ADA9E4E">
        <w:rPr>
          <w:rFonts w:ascii="Arial" w:hAnsi="Arial" w:eastAsia="Arial" w:cs="Arial"/>
          <w:b w:val="0"/>
          <w:bCs w:val="0"/>
          <w:i w:val="0"/>
          <w:iCs w:val="0"/>
          <w:caps w:val="0"/>
          <w:smallCaps w:val="0"/>
          <w:color w:val="000000" w:themeColor="text1" w:themeTint="FF" w:themeShade="FF"/>
          <w:sz w:val="24"/>
          <w:szCs w:val="24"/>
        </w:rPr>
        <w:t>is able to</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tell a researcher a great deal of information about not only the person housed within the tomb as well as the </w:t>
      </w:r>
      <w:r w:rsidRPr="732ADA34" w:rsidR="5ADA9E4E">
        <w:rPr>
          <w:rFonts w:ascii="Arial" w:hAnsi="Arial" w:eastAsia="Arial" w:cs="Arial"/>
          <w:b w:val="0"/>
          <w:bCs w:val="0"/>
          <w:i w:val="0"/>
          <w:iCs w:val="0"/>
          <w:caps w:val="0"/>
          <w:smallCaps w:val="0"/>
          <w:color w:val="000000" w:themeColor="text1" w:themeTint="FF" w:themeShade="FF"/>
          <w:sz w:val="24"/>
          <w:szCs w:val="24"/>
        </w:rPr>
        <w:t>time period</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in which they lived and died. It was decided that Tomb TT99 was from the 18</w:t>
      </w:r>
      <w:r w:rsidRPr="732ADA34" w:rsidR="5ADA9E4E">
        <w:rPr>
          <w:rFonts w:ascii="Arial" w:hAnsi="Arial" w:eastAsia="Arial" w:cs="Arial"/>
          <w:b w:val="0"/>
          <w:bCs w:val="0"/>
          <w:i w:val="0"/>
          <w:iCs w:val="0"/>
          <w:caps w:val="0"/>
          <w:smallCaps w:val="0"/>
          <w:color w:val="000000" w:themeColor="text1" w:themeTint="FF" w:themeShade="FF"/>
          <w:sz w:val="24"/>
          <w:szCs w:val="24"/>
          <w:vertAlign w:val="superscript"/>
        </w:rPr>
        <w:t>th</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dynasty meaning it was built between 1550 and 1292 BCE factors such as the design and the layout of the tomb was able to </w:t>
      </w:r>
      <w:r w:rsidRPr="732ADA34" w:rsidR="5ADA9E4E">
        <w:rPr>
          <w:rFonts w:ascii="Arial" w:hAnsi="Arial" w:eastAsia="Arial" w:cs="Arial"/>
          <w:b w:val="0"/>
          <w:bCs w:val="0"/>
          <w:i w:val="0"/>
          <w:iCs w:val="0"/>
          <w:caps w:val="0"/>
          <w:smallCaps w:val="0"/>
          <w:color w:val="000000" w:themeColor="text1" w:themeTint="FF" w:themeShade="FF"/>
          <w:sz w:val="24"/>
          <w:szCs w:val="24"/>
        </w:rPr>
        <w:t>determine</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this</w:t>
      </w:r>
      <w:r w:rsidRPr="732ADA34" w:rsidR="4B2F4644">
        <w:rPr>
          <w:rFonts w:ascii="Times New Roman" w:hAnsi="Times New Roman" w:eastAsia="Times New Roman" w:cs="Times New Roman"/>
          <w:noProof w:val="0"/>
          <w:sz w:val="24"/>
          <w:szCs w:val="24"/>
          <w:lang w:val="en-GB"/>
        </w:rPr>
        <w:t xml:space="preserve"> (Strudwick and Strudwick, 2016)</w:t>
      </w:r>
      <w:r w:rsidRPr="732ADA34" w:rsidR="5ADA9E4E">
        <w:rPr>
          <w:rFonts w:ascii="Arial" w:hAnsi="Arial" w:eastAsia="Arial" w:cs="Arial"/>
          <w:b w:val="0"/>
          <w:bCs w:val="0"/>
          <w:i w:val="0"/>
          <w:iCs w:val="0"/>
          <w:caps w:val="0"/>
          <w:smallCaps w:val="0"/>
          <w:color w:val="000000" w:themeColor="text1" w:themeTint="FF" w:themeShade="FF"/>
          <w:sz w:val="24"/>
          <w:szCs w:val="24"/>
        </w:rPr>
        <w:t>.</w:t>
      </w:r>
    </w:p>
    <w:p w:rsidR="5ADA9E4E" w:rsidP="732ADA34" w:rsidRDefault="5ADA9E4E" w14:paraId="4BC5680C" w14:textId="76448D69">
      <w:pPr>
        <w:pStyle w:val="Normal"/>
        <w:rPr>
          <w:rFonts w:ascii="Arial" w:hAnsi="Arial" w:eastAsia="Arial" w:cs="Arial"/>
          <w:b w:val="0"/>
          <w:bCs w:val="0"/>
          <w:i w:val="0"/>
          <w:iCs w:val="0"/>
          <w:caps w:val="0"/>
          <w:smallCaps w:val="0"/>
          <w:color w:val="000000" w:themeColor="text1" w:themeTint="FF" w:themeShade="FF"/>
          <w:sz w:val="24"/>
          <w:szCs w:val="24"/>
        </w:rPr>
      </w:pPr>
      <w:r w:rsidRPr="732ADA34" w:rsidR="5ADA9E4E">
        <w:rPr>
          <w:rFonts w:ascii="Arial" w:hAnsi="Arial" w:eastAsia="Arial" w:cs="Arial"/>
          <w:b w:val="0"/>
          <w:bCs w:val="0"/>
          <w:i w:val="0"/>
          <w:iCs w:val="0"/>
          <w:caps w:val="0"/>
          <w:smallCaps w:val="0"/>
          <w:color w:val="000000" w:themeColor="text1" w:themeTint="FF" w:themeShade="FF"/>
          <w:sz w:val="24"/>
          <w:szCs w:val="24"/>
        </w:rPr>
        <w:t xml:space="preserve"> This tomb was built like many Theban tombs at the time meaning it had four main distinctive areas: the first being a superstructure. A superstructure is the area of the tomb that is above ground level. However, the superstructure of Tomb TT99 is different to that of a typical Theban tomb but </w:t>
      </w:r>
      <w:r w:rsidRPr="732ADA34" w:rsidR="5ADA9E4E">
        <w:rPr>
          <w:rFonts w:ascii="Arial" w:hAnsi="Arial" w:eastAsia="Arial" w:cs="Arial"/>
          <w:b w:val="0"/>
          <w:bCs w:val="0"/>
          <w:i w:val="0"/>
          <w:iCs w:val="0"/>
          <w:caps w:val="0"/>
          <w:smallCaps w:val="0"/>
          <w:color w:val="000000" w:themeColor="text1" w:themeTint="FF" w:themeShade="FF"/>
          <w:sz w:val="24"/>
          <w:szCs w:val="24"/>
        </w:rPr>
        <w:t>rather a</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w:t>
      </w:r>
      <w:r w:rsidRPr="732ADA34" w:rsidR="5ADA9E4E">
        <w:rPr>
          <w:rFonts w:ascii="Arial" w:hAnsi="Arial" w:eastAsia="Arial" w:cs="Arial"/>
          <w:b w:val="0"/>
          <w:bCs w:val="0"/>
          <w:i w:val="0"/>
          <w:iCs w:val="0"/>
          <w:caps w:val="0"/>
          <w:smallCaps w:val="0"/>
          <w:color w:val="000000" w:themeColor="text1" w:themeTint="FF" w:themeShade="FF"/>
          <w:sz w:val="24"/>
          <w:szCs w:val="24"/>
        </w:rPr>
        <w:t>free standing</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facade with a niche</w:t>
      </w:r>
      <w:r w:rsidRPr="732ADA34" w:rsidR="6747CE1C">
        <w:rPr>
          <w:rFonts w:ascii="Times New Roman" w:hAnsi="Times New Roman" w:eastAsia="Times New Roman" w:cs="Times New Roman"/>
          <w:sz w:val="24"/>
          <w:szCs w:val="24"/>
        </w:rPr>
        <w:t xml:space="preserve"> (</w:t>
      </w:r>
      <w:r w:rsidRPr="732ADA34" w:rsidR="6747CE1C">
        <w:rPr>
          <w:rFonts w:ascii="Times New Roman" w:hAnsi="Times New Roman" w:eastAsia="Times New Roman" w:cs="Times New Roman"/>
          <w:sz w:val="24"/>
          <w:szCs w:val="24"/>
        </w:rPr>
        <w:t>ScienceInsights</w:t>
      </w:r>
      <w:r w:rsidRPr="732ADA34" w:rsidR="6747CE1C">
        <w:rPr>
          <w:rFonts w:ascii="Times New Roman" w:hAnsi="Times New Roman" w:eastAsia="Times New Roman" w:cs="Times New Roman"/>
          <w:sz w:val="24"/>
          <w:szCs w:val="24"/>
        </w:rPr>
        <w:t>, 2026)</w:t>
      </w:r>
      <w:r w:rsidRPr="732ADA34" w:rsidR="5ADA9E4E">
        <w:rPr>
          <w:rFonts w:ascii="Arial" w:hAnsi="Arial" w:eastAsia="Arial" w:cs="Arial"/>
          <w:b w:val="0"/>
          <w:bCs w:val="0"/>
          <w:i w:val="0"/>
          <w:iCs w:val="0"/>
          <w:caps w:val="0"/>
          <w:smallCaps w:val="0"/>
          <w:color w:val="000000" w:themeColor="text1" w:themeTint="FF" w:themeShade="FF"/>
          <w:sz w:val="24"/>
          <w:szCs w:val="24"/>
        </w:rPr>
        <w:t>. This is an outer wall with a compartment built into the stone to allow for urns to be placed inside. The tomb also consists of a walled courtyard that surrounds the entirety of the Tomb it is rectangular in shape but was found to be uneven when measured post excavation. A third feature of the tomb is a chapel; the shape of the chapel is consistent with that of common 18</w:t>
      </w:r>
      <w:r w:rsidRPr="732ADA34" w:rsidR="5ADA9E4E">
        <w:rPr>
          <w:rFonts w:ascii="Arial" w:hAnsi="Arial" w:eastAsia="Arial" w:cs="Arial"/>
          <w:b w:val="0"/>
          <w:bCs w:val="0"/>
          <w:i w:val="0"/>
          <w:iCs w:val="0"/>
          <w:caps w:val="0"/>
          <w:smallCaps w:val="0"/>
          <w:color w:val="000000" w:themeColor="text1" w:themeTint="FF" w:themeShade="FF"/>
          <w:sz w:val="24"/>
          <w:szCs w:val="24"/>
          <w:vertAlign w:val="superscript"/>
        </w:rPr>
        <w:t>th</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dynasty designs. That being an </w:t>
      </w:r>
      <w:r w:rsidRPr="732ADA34" w:rsidR="5ADA9E4E">
        <w:rPr>
          <w:rFonts w:ascii="Arial" w:hAnsi="Arial" w:eastAsia="Arial" w:cs="Arial"/>
          <w:b w:val="0"/>
          <w:bCs w:val="0"/>
          <w:i w:val="0"/>
          <w:iCs w:val="0"/>
          <w:caps w:val="0"/>
          <w:smallCaps w:val="0"/>
          <w:color w:val="000000" w:themeColor="text1" w:themeTint="FF" w:themeShade="FF"/>
          <w:sz w:val="24"/>
          <w:szCs w:val="24"/>
        </w:rPr>
        <w:t>upside down</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T shape where there is a broader front room that tapers into a much </w:t>
      </w:r>
      <w:r w:rsidRPr="732ADA34" w:rsidR="5ADA9E4E">
        <w:rPr>
          <w:rFonts w:ascii="Arial" w:hAnsi="Arial" w:eastAsia="Arial" w:cs="Arial"/>
          <w:b w:val="0"/>
          <w:bCs w:val="0"/>
          <w:i w:val="0"/>
          <w:iCs w:val="0"/>
          <w:caps w:val="0"/>
          <w:smallCaps w:val="0"/>
          <w:color w:val="000000" w:themeColor="text1" w:themeTint="FF" w:themeShade="FF"/>
          <w:sz w:val="24"/>
          <w:szCs w:val="24"/>
        </w:rPr>
        <w:t>more narrow</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corridor that leads to either a smaller room or a shrine with pillars. The rear room of Tomb TT99 has two pillars that split the room into three sections the ceiling is sloped to match the Q</w:t>
      </w:r>
      <w:r w:rsidRPr="732ADA34" w:rsidR="5ADA9E4E">
        <w:rPr>
          <w:rFonts w:ascii="Arial" w:hAnsi="Arial" w:eastAsia="Arial" w:cs="Arial"/>
          <w:b w:val="0"/>
          <w:bCs w:val="0"/>
          <w:i w:val="0"/>
          <w:iCs w:val="0"/>
          <w:caps w:val="0"/>
          <w:smallCaps w:val="0"/>
          <w:color w:val="000000" w:themeColor="text1" w:themeTint="FF" w:themeShade="FF"/>
          <w:sz w:val="20"/>
          <w:szCs w:val="20"/>
        </w:rPr>
        <w:t>3</w:t>
      </w:r>
      <w:r w:rsidRPr="732ADA34" w:rsidR="5ADA9E4E">
        <w:rPr>
          <w:rFonts w:ascii="Arial" w:hAnsi="Arial" w:eastAsia="Arial" w:cs="Arial"/>
          <w:b w:val="0"/>
          <w:bCs w:val="0"/>
          <w:i w:val="0"/>
          <w:iCs w:val="0"/>
          <w:caps w:val="0"/>
          <w:smallCaps w:val="0"/>
          <w:color w:val="000000" w:themeColor="text1" w:themeTint="FF" w:themeShade="FF"/>
          <w:sz w:val="24"/>
          <w:szCs w:val="24"/>
        </w:rPr>
        <w:t>r hieroglyph a feature that was seen in very few Tombs in the new kingdom this may indicate that the tomb might have belonged to someone of high standing that was able to have something in their tomb that not many did however it may also show simply a stylistic choice of the tomb owner. The chapel like much of the rest of the Tomb is heavily decorated and while a great majority of the walls have major damage with not one wall having a complete picture archaeologist were still able to make out what the images were trying to convey with many of the paintings within the chapel showing the Senneferi with the gods either making offerings or worshipping. They also depict the life and official duties of Senneferi</w:t>
      </w:r>
      <w:r w:rsidRPr="732ADA34" w:rsidR="742808CB">
        <w:rPr>
          <w:rFonts w:ascii="Times New Roman" w:hAnsi="Times New Roman" w:eastAsia="Times New Roman" w:cs="Times New Roman"/>
          <w:noProof w:val="0"/>
          <w:sz w:val="24"/>
          <w:szCs w:val="24"/>
          <w:lang w:val="en-GB"/>
        </w:rPr>
        <w:t xml:space="preserve"> (Strudwick, 2016)</w:t>
      </w:r>
      <w:r w:rsidRPr="732ADA34" w:rsidR="5ADA9E4E">
        <w:rPr>
          <w:rFonts w:ascii="Arial" w:hAnsi="Arial" w:eastAsia="Arial" w:cs="Arial"/>
          <w:b w:val="0"/>
          <w:bCs w:val="0"/>
          <w:i w:val="0"/>
          <w:iCs w:val="0"/>
          <w:caps w:val="0"/>
          <w:smallCaps w:val="0"/>
          <w:color w:val="000000" w:themeColor="text1" w:themeTint="FF" w:themeShade="FF"/>
          <w:sz w:val="24"/>
          <w:szCs w:val="24"/>
        </w:rPr>
        <w:t>. The final feature of an 18</w:t>
      </w:r>
      <w:r w:rsidRPr="732ADA34" w:rsidR="5ADA9E4E">
        <w:rPr>
          <w:rFonts w:ascii="Arial" w:hAnsi="Arial" w:eastAsia="Arial" w:cs="Arial"/>
          <w:b w:val="0"/>
          <w:bCs w:val="0"/>
          <w:i w:val="0"/>
          <w:iCs w:val="0"/>
          <w:caps w:val="0"/>
          <w:smallCaps w:val="0"/>
          <w:color w:val="000000" w:themeColor="text1" w:themeTint="FF" w:themeShade="FF"/>
          <w:sz w:val="24"/>
          <w:szCs w:val="24"/>
          <w:vertAlign w:val="superscript"/>
        </w:rPr>
        <w:t>th</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century tomb that this tomb </w:t>
      </w:r>
      <w:r w:rsidRPr="732ADA34" w:rsidR="5ADA9E4E">
        <w:rPr>
          <w:rFonts w:ascii="Arial" w:hAnsi="Arial" w:eastAsia="Arial" w:cs="Arial"/>
          <w:b w:val="0"/>
          <w:bCs w:val="0"/>
          <w:i w:val="0"/>
          <w:iCs w:val="0"/>
          <w:caps w:val="0"/>
          <w:smallCaps w:val="0"/>
          <w:color w:val="000000" w:themeColor="text1" w:themeTint="FF" w:themeShade="FF"/>
          <w:sz w:val="24"/>
          <w:szCs w:val="24"/>
        </w:rPr>
        <w:t>contains</w:t>
      </w:r>
      <w:r w:rsidRPr="732ADA34" w:rsidR="5ADA9E4E">
        <w:rPr>
          <w:rFonts w:ascii="Arial" w:hAnsi="Arial" w:eastAsia="Arial" w:cs="Arial"/>
          <w:b w:val="0"/>
          <w:bCs w:val="0"/>
          <w:i w:val="0"/>
          <w:iCs w:val="0"/>
          <w:caps w:val="0"/>
          <w:smallCaps w:val="0"/>
          <w:color w:val="000000" w:themeColor="text1" w:themeTint="FF" w:themeShade="FF"/>
          <w:sz w:val="24"/>
          <w:szCs w:val="24"/>
        </w:rPr>
        <w:t xml:space="preserve"> is underground apartments these were past the chapel and were intended to be used for the burials themselves. There were many underground shafts found during the excavations these not only held the coffin and body of Senneferi but also an assemblage of funerary relics</w:t>
      </w:r>
      <w:r w:rsidRPr="732ADA34" w:rsidR="3FEA3814">
        <w:rPr>
          <w:rFonts w:ascii="Times New Roman" w:hAnsi="Times New Roman" w:eastAsia="Times New Roman" w:cs="Times New Roman"/>
          <w:sz w:val="24"/>
          <w:szCs w:val="24"/>
        </w:rPr>
        <w:t xml:space="preserve"> (</w:t>
      </w:r>
      <w:r w:rsidRPr="732ADA34" w:rsidR="3FEA3814">
        <w:rPr>
          <w:rFonts w:ascii="Times New Roman" w:hAnsi="Times New Roman" w:eastAsia="Times New Roman" w:cs="Times New Roman"/>
          <w:sz w:val="24"/>
          <w:szCs w:val="24"/>
        </w:rPr>
        <w:t>Madain</w:t>
      </w:r>
      <w:r w:rsidRPr="732ADA34" w:rsidR="3FEA3814">
        <w:rPr>
          <w:rFonts w:ascii="Times New Roman" w:hAnsi="Times New Roman" w:eastAsia="Times New Roman" w:cs="Times New Roman"/>
          <w:sz w:val="24"/>
          <w:szCs w:val="24"/>
        </w:rPr>
        <w:t xml:space="preserve"> Project, 2021)</w:t>
      </w:r>
      <w:r w:rsidRPr="732ADA34" w:rsidR="5ADA9E4E">
        <w:rPr>
          <w:rFonts w:ascii="Arial" w:hAnsi="Arial" w:eastAsia="Arial" w:cs="Arial"/>
          <w:b w:val="0"/>
          <w:bCs w:val="0"/>
          <w:i w:val="0"/>
          <w:iCs w:val="0"/>
          <w:caps w:val="0"/>
          <w:smallCaps w:val="0"/>
          <w:color w:val="000000" w:themeColor="text1" w:themeTint="FF" w:themeShade="FF"/>
          <w:sz w:val="24"/>
          <w:szCs w:val="24"/>
        </w:rPr>
        <w:t>. When excavating Archaeologists also found animal and further human remains in some of the shafts with the bones of children being found in shaft H of the tomb however due to the damage done to the remains and the lack of a complete skeleton it was difficult to decipher where the children had come from in relation to Senneferi and his Tomb.</w:t>
      </w:r>
    </w:p>
    <w:p w:rsidR="732ADA34" w:rsidP="732ADA34" w:rsidRDefault="732ADA34" w14:paraId="286BE171" w14:textId="7294B93B">
      <w:pPr>
        <w:rPr>
          <w:rFonts w:ascii="Arial" w:hAnsi="Arial" w:eastAsia="Arial" w:cs="Arial"/>
          <w:b w:val="0"/>
          <w:bCs w:val="0"/>
          <w:i w:val="0"/>
          <w:iCs w:val="0"/>
          <w:caps w:val="0"/>
          <w:smallCaps w:val="0"/>
          <w:noProof w:val="0"/>
          <w:color w:val="000000" w:themeColor="text1" w:themeTint="FF" w:themeShade="FF"/>
          <w:sz w:val="32"/>
          <w:szCs w:val="32"/>
          <w:lang w:val="en-GB"/>
        </w:rPr>
      </w:pPr>
    </w:p>
    <w:p w:rsidR="0384AF2C" w:rsidP="732ADA34" w:rsidRDefault="0384AF2C" w14:paraId="79508F00" w14:textId="0A3A6BD2">
      <w:pPr>
        <w:rPr>
          <w:rFonts w:ascii="Arial" w:hAnsi="Arial" w:eastAsia="Arial" w:cs="Arial"/>
          <w:b w:val="0"/>
          <w:bCs w:val="0"/>
          <w:i w:val="0"/>
          <w:iCs w:val="0"/>
          <w:caps w:val="0"/>
          <w:smallCaps w:val="0"/>
          <w:noProof w:val="0"/>
          <w:color w:val="000000" w:themeColor="text1" w:themeTint="FF" w:themeShade="FF"/>
          <w:sz w:val="32"/>
          <w:szCs w:val="32"/>
          <w:lang w:val="en-US"/>
        </w:rPr>
      </w:pPr>
      <w:r w:rsidRPr="732ADA34" w:rsidR="0384AF2C">
        <w:rPr>
          <w:rFonts w:ascii="Arial" w:hAnsi="Arial" w:eastAsia="Arial" w:cs="Arial"/>
          <w:b w:val="0"/>
          <w:bCs w:val="0"/>
          <w:i w:val="0"/>
          <w:iCs w:val="0"/>
          <w:caps w:val="0"/>
          <w:smallCaps w:val="0"/>
          <w:noProof w:val="0"/>
          <w:color w:val="000000" w:themeColor="text1" w:themeTint="FF" w:themeShade="FF"/>
          <w:sz w:val="32"/>
          <w:szCs w:val="32"/>
          <w:lang w:val="en-GB"/>
        </w:rPr>
        <w:t>The tomb finds of TT99</w:t>
      </w:r>
    </w:p>
    <w:p w:rsidR="0384AF2C" w:rsidP="732ADA34" w:rsidRDefault="0384AF2C" w14:paraId="2A37D471" w14:textId="5DA11436">
      <w:pPr>
        <w:rPr>
          <w:rFonts w:ascii="Arial" w:hAnsi="Arial" w:eastAsia="Arial" w:cs="Arial"/>
          <w:b w:val="0"/>
          <w:bCs w:val="0"/>
          <w:i w:val="0"/>
          <w:iCs w:val="0"/>
          <w:caps w:val="0"/>
          <w:smallCaps w:val="0"/>
          <w:noProof w:val="0"/>
          <w:color w:val="000000" w:themeColor="text1" w:themeTint="FF" w:themeShade="FF"/>
          <w:sz w:val="24"/>
          <w:szCs w:val="24"/>
          <w:lang w:val="en-US"/>
        </w:rPr>
      </w:pP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There were many interesting finds that were discovered during the many excavations of Tomb TT99 one of the most notable being Halaham inscription also known as the HLHM Ostracon. The HLHM Ostracon was a chunk of limestone found within Tomb TT99 it is inscribed on two sides with both hieroglyphic characters and Hieratic text this fragment is thought to be an Abecedary</w:t>
      </w:r>
      <w:r w:rsidRPr="732ADA34" w:rsidR="0384AF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(Ancient Egypt Online, 2010)</w:t>
      </w: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w:t>
      </w:r>
    </w:p>
    <w:p w:rsidR="0384AF2C" w:rsidP="732ADA34" w:rsidRDefault="0384AF2C" w14:paraId="664880A3" w14:textId="4CC9C069">
      <w:pPr>
        <w:rPr>
          <w:rFonts w:ascii="Arial" w:hAnsi="Arial" w:eastAsia="Arial" w:cs="Arial"/>
          <w:b w:val="0"/>
          <w:bCs w:val="0"/>
          <w:i w:val="0"/>
          <w:iCs w:val="0"/>
          <w:caps w:val="0"/>
          <w:smallCaps w:val="0"/>
          <w:noProof w:val="0"/>
          <w:color w:val="000000" w:themeColor="text1" w:themeTint="FF" w:themeShade="FF"/>
          <w:sz w:val="24"/>
          <w:szCs w:val="24"/>
          <w:lang w:val="en-US"/>
        </w:rPr>
      </w:pP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 xml:space="preserve"> Historically Ostracon were Greek and were made of pieces of broken pottery or flaked limestone they were used as a convenient, cheap and in abundance way to note down matters as well as allowing young students to practise writing on something that wouldn’t matter if they made a mistake</w:t>
      </w:r>
      <w:r w:rsidRPr="732ADA34" w:rsidR="0384AF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(World History Commons, 2026)</w:t>
      </w: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 xml:space="preserve">. The Greeks soon introduced the idea of the Ostracon to the Ancient Egyptians. while they also used it for note taking the Ancient Egyptians had a different way of using the Ostracon, it was used as a voting Ballot that decided whether or not a person should be banished from the community. The use of limestone shards was seen in many areas of Egyptian society from practising art to being used by administrators to calculate taxes and note take this may be one reason why the HLHM Ostracon was found within the tomb of Senneferi. </w:t>
      </w:r>
    </w:p>
    <w:p w:rsidR="0384AF2C" w:rsidP="732ADA34" w:rsidRDefault="0384AF2C" w14:paraId="6F40954B" w14:textId="35CD7C5A">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There are several burial shafts in Tomb TT99 that have been ground with goods inside them one of the ones with the most finds is Shaft H. not only does Shaft H have a great number of artifacts found within it but it also had one of the widest time spans of artifacts from the entire tomb as well as one of the most diverse contents. Large amounts of pottery was found in shaft H ranging through the Pharaonic late Roman and modern periods however most of the finds dated from the mid to late 18</w:t>
      </w:r>
      <w:r w:rsidRPr="732ADA34" w:rsidR="0384AF2C">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 xml:space="preserve"> dynasty with many of the pieces having characteristics of being made under the reign of Amenhotep II</w:t>
      </w:r>
      <w:r w:rsidRPr="732ADA34" w:rsidR="3B2487B7">
        <w:rPr>
          <w:rFonts w:ascii="Times New Roman" w:hAnsi="Times New Roman" w:eastAsia="Times New Roman" w:cs="Times New Roman"/>
          <w:noProof w:val="0"/>
          <w:sz w:val="24"/>
          <w:szCs w:val="24"/>
          <w:lang w:val="en-GB"/>
        </w:rPr>
        <w:t xml:space="preserve"> (Rose , 2016)</w:t>
      </w: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 Although it was not just pottery that was found within Shaft H Bone Fragments and skulls were also found. A much larger number of disarticulated bones were found in shaft H than in its counterpart shafts with 2007 bones being recovered for examination from these bones they were able to recover the remains of two children one of which was more well preserved that that of the other and is believed to be a child between the ages of three and four who died from natural causes while it is not stated who these children are it can be inferred that they might have been related to Senneferi in some capacity. A large number of animal bones were also uncovered including various types of birds, rabbits, sheep, cattle, a pig as well as the mummified head of a hyena. Very few othe the bones showed the type of ware that would be seen with the eating of the animal whereas others showed burning that is thought to have come from later occupants of the tomb rather than being an offering from the time of Senneferi’s death</w:t>
      </w:r>
      <w:r w:rsidRPr="732ADA34" w:rsidR="00D598C0">
        <w:rPr>
          <w:rFonts w:ascii="Times New Roman" w:hAnsi="Times New Roman" w:eastAsia="Times New Roman" w:cs="Times New Roman"/>
          <w:noProof w:val="0"/>
          <w:sz w:val="24"/>
          <w:szCs w:val="24"/>
          <w:lang w:val="en-GB"/>
        </w:rPr>
        <w:t xml:space="preserve"> (</w:t>
      </w:r>
      <w:r w:rsidRPr="732ADA34" w:rsidR="00D598C0">
        <w:rPr>
          <w:rFonts w:ascii="Times New Roman" w:hAnsi="Times New Roman" w:eastAsia="Times New Roman" w:cs="Times New Roman"/>
          <w:noProof w:val="0"/>
          <w:sz w:val="24"/>
          <w:szCs w:val="24"/>
          <w:lang w:val="en-GB"/>
        </w:rPr>
        <w:t>jstor</w:t>
      </w:r>
      <w:r w:rsidRPr="732ADA34" w:rsidR="00D598C0">
        <w:rPr>
          <w:rFonts w:ascii="Times New Roman" w:hAnsi="Times New Roman" w:eastAsia="Times New Roman" w:cs="Times New Roman"/>
          <w:noProof w:val="0"/>
          <w:sz w:val="24"/>
          <w:szCs w:val="24"/>
          <w:lang w:val="en-GB"/>
        </w:rPr>
        <w:t>, 2026)</w:t>
      </w:r>
      <w:r w:rsidRPr="732ADA34" w:rsidR="0384AF2C">
        <w:rPr>
          <w:rFonts w:ascii="Arial" w:hAnsi="Arial" w:eastAsia="Arial" w:cs="Arial"/>
          <w:b w:val="0"/>
          <w:bCs w:val="0"/>
          <w:i w:val="0"/>
          <w:iCs w:val="0"/>
          <w:caps w:val="0"/>
          <w:smallCaps w:val="0"/>
          <w:noProof w:val="0"/>
          <w:color w:val="000000" w:themeColor="text1" w:themeTint="FF" w:themeShade="FF"/>
          <w:sz w:val="24"/>
          <w:szCs w:val="24"/>
          <w:lang w:val="en-GB"/>
        </w:rPr>
        <w:t>. Considering the size of the Shafts and therefore the Tomb to allow for these offerings there is further evidence that the occupant of the tomb was of high standing as only someone with a great deal of money would be able to afford such a tomb.</w:t>
      </w:r>
    </w:p>
    <w:p w:rsidR="58E9ABF8" w:rsidP="732ADA34" w:rsidRDefault="58E9ABF8" w14:paraId="39C490FB" w14:textId="55753ADA">
      <w:pPr>
        <w:rPr>
          <w:rFonts w:ascii="Arial" w:hAnsi="Arial" w:eastAsia="Arial" w:cs="Arial"/>
          <w:b w:val="0"/>
          <w:bCs w:val="0"/>
          <w:i w:val="0"/>
          <w:iCs w:val="0"/>
          <w:caps w:val="0"/>
          <w:smallCaps w:val="0"/>
          <w:noProof w:val="0"/>
          <w:color w:val="000000" w:themeColor="text1" w:themeTint="FF" w:themeShade="FF"/>
          <w:sz w:val="32"/>
          <w:szCs w:val="32"/>
          <w:lang w:val="en-US"/>
        </w:rPr>
      </w:pPr>
      <w:r w:rsidRPr="732ADA34" w:rsidR="58E9ABF8">
        <w:rPr>
          <w:rFonts w:ascii="Arial" w:hAnsi="Arial" w:eastAsia="Arial" w:cs="Arial"/>
          <w:b w:val="0"/>
          <w:bCs w:val="0"/>
          <w:i w:val="0"/>
          <w:iCs w:val="0"/>
          <w:caps w:val="0"/>
          <w:smallCaps w:val="0"/>
          <w:noProof w:val="0"/>
          <w:color w:val="000000" w:themeColor="text1" w:themeTint="FF" w:themeShade="FF"/>
          <w:sz w:val="32"/>
          <w:szCs w:val="32"/>
          <w:lang w:val="en-GB"/>
        </w:rPr>
        <w:t xml:space="preserve">Analysis </w:t>
      </w:r>
    </w:p>
    <w:p w:rsidR="58E9ABF8" w:rsidP="732ADA34" w:rsidRDefault="58E9ABF8" w14:paraId="5649F70A" w14:textId="01984057">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many factors that can show that the Tomb of Senneferi was the resting place of someone high ranking. Factors such as Senneferi having a Tomb at all is one of them Tombs in ancient Egyptian were not cheap and therefore not every person could afford to have one, yet Senneferi has one and it is quite sizable which shows being of a high rank. The level of details within the artistry of the tomb and the tomb offerings also </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maintain</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 xml:space="preserve"> that he was of high standing as his entire tomb was decorated with paintings this again would not be possible if he </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was</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 xml:space="preserve"> not wealthy and part of the elite. Another factor that shows that Senneferi was a member if the nobility and close to royalty is the Hieratic jar labels, these were wine jars that were found within </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Senneferi’s</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 xml:space="preserve"> tomb that were stamped with the seal impression of the throne name of Thutmose III showing that the jars must have been given to a high ranking new kingdom official who had ties to royalty. They can also be used to signify the types of offerings given by royalty to their higher officials at the </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time .Very</w:t>
      </w:r>
      <w:r w:rsidRPr="732ADA34" w:rsidR="58E9ABF8">
        <w:rPr>
          <w:rFonts w:ascii="Arial" w:hAnsi="Arial" w:eastAsia="Arial" w:cs="Arial"/>
          <w:b w:val="0"/>
          <w:bCs w:val="0"/>
          <w:i w:val="0"/>
          <w:iCs w:val="0"/>
          <w:caps w:val="0"/>
          <w:smallCaps w:val="0"/>
          <w:noProof w:val="0"/>
          <w:color w:val="000000" w:themeColor="text1" w:themeTint="FF" w:themeShade="FF"/>
          <w:sz w:val="24"/>
          <w:szCs w:val="24"/>
          <w:lang w:val="en-GB"/>
        </w:rPr>
        <w:t xml:space="preserve"> few would have been given a funerary gift such as these they are printed with different hieroglyphic inscriptions that circl</w:t>
      </w:r>
      <w:r w:rsidRPr="732ADA34" w:rsidR="47736628">
        <w:rPr>
          <w:rFonts w:ascii="Arial" w:hAnsi="Arial" w:eastAsia="Arial" w:cs="Arial"/>
          <w:b w:val="0"/>
          <w:bCs w:val="0"/>
          <w:i w:val="0"/>
          <w:iCs w:val="0"/>
          <w:caps w:val="0"/>
          <w:smallCaps w:val="0"/>
          <w:noProof w:val="0"/>
          <w:color w:val="000000" w:themeColor="text1" w:themeTint="FF" w:themeShade="FF"/>
          <w:sz w:val="24"/>
          <w:szCs w:val="24"/>
          <w:lang w:val="en-GB"/>
        </w:rPr>
        <w:t>e the jars. as well as being a beautiful and rare pie</w:t>
      </w:r>
      <w:r w:rsidRPr="732ADA34" w:rsidR="252CADA7">
        <w:rPr>
          <w:rFonts w:ascii="Arial" w:hAnsi="Arial" w:eastAsia="Arial" w:cs="Arial"/>
          <w:b w:val="0"/>
          <w:bCs w:val="0"/>
          <w:i w:val="0"/>
          <w:iCs w:val="0"/>
          <w:caps w:val="0"/>
          <w:smallCaps w:val="0"/>
          <w:noProof w:val="0"/>
          <w:color w:val="000000" w:themeColor="text1" w:themeTint="FF" w:themeShade="FF"/>
          <w:sz w:val="24"/>
          <w:szCs w:val="24"/>
          <w:lang w:val="en-GB"/>
        </w:rPr>
        <w:t>ce of archaeological find these wine jars also</w:t>
      </w:r>
      <w:r w:rsidRPr="732ADA34" w:rsidR="4773662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2ADA34" w:rsidR="47736628">
        <w:rPr>
          <w:rFonts w:ascii="Arial" w:hAnsi="Arial" w:eastAsia="Arial" w:cs="Arial"/>
          <w:b w:val="0"/>
          <w:bCs w:val="0"/>
          <w:i w:val="0"/>
          <w:iCs w:val="0"/>
          <w:caps w:val="0"/>
          <w:smallCaps w:val="0"/>
          <w:noProof w:val="0"/>
          <w:color w:val="000000" w:themeColor="text1" w:themeTint="FF" w:themeShade="FF"/>
          <w:sz w:val="24"/>
          <w:szCs w:val="24"/>
          <w:lang w:val="en-GB"/>
        </w:rPr>
        <w:t>giv</w:t>
      </w:r>
      <w:r w:rsidRPr="732ADA34" w:rsidR="467708D4">
        <w:rPr>
          <w:rFonts w:ascii="Arial" w:hAnsi="Arial" w:eastAsia="Arial" w:cs="Arial"/>
          <w:b w:val="0"/>
          <w:bCs w:val="0"/>
          <w:i w:val="0"/>
          <w:iCs w:val="0"/>
          <w:caps w:val="0"/>
          <w:smallCaps w:val="0"/>
          <w:noProof w:val="0"/>
          <w:color w:val="000000" w:themeColor="text1" w:themeTint="FF" w:themeShade="FF"/>
          <w:sz w:val="24"/>
          <w:szCs w:val="24"/>
          <w:lang w:val="en-GB"/>
        </w:rPr>
        <w:t>e</w:t>
      </w:r>
      <w:r w:rsidRPr="732ADA34" w:rsidR="47736628">
        <w:rPr>
          <w:rFonts w:ascii="Arial" w:hAnsi="Arial" w:eastAsia="Arial" w:cs="Arial"/>
          <w:b w:val="0"/>
          <w:bCs w:val="0"/>
          <w:i w:val="0"/>
          <w:iCs w:val="0"/>
          <w:caps w:val="0"/>
          <w:smallCaps w:val="0"/>
          <w:noProof w:val="0"/>
          <w:color w:val="000000" w:themeColor="text1" w:themeTint="FF" w:themeShade="FF"/>
          <w:sz w:val="24"/>
          <w:szCs w:val="24"/>
          <w:lang w:val="en-GB"/>
        </w:rPr>
        <w:t xml:space="preserve"> researchers a</w:t>
      </w:r>
      <w:r w:rsidRPr="732ADA34" w:rsidR="2EEEBDB6">
        <w:rPr>
          <w:rFonts w:ascii="Arial" w:hAnsi="Arial" w:eastAsia="Arial" w:cs="Arial"/>
          <w:b w:val="0"/>
          <w:bCs w:val="0"/>
          <w:i w:val="0"/>
          <w:iCs w:val="0"/>
          <w:caps w:val="0"/>
          <w:smallCaps w:val="0"/>
          <w:noProof w:val="0"/>
          <w:color w:val="000000" w:themeColor="text1" w:themeTint="FF" w:themeShade="FF"/>
          <w:sz w:val="24"/>
          <w:szCs w:val="24"/>
          <w:lang w:val="en-GB"/>
        </w:rPr>
        <w:t xml:space="preserve"> general</w:t>
      </w:r>
      <w:r w:rsidRPr="732ADA34" w:rsidR="4773662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32ADA34" w:rsidR="47736628">
        <w:rPr>
          <w:rFonts w:ascii="Arial" w:hAnsi="Arial" w:eastAsia="Arial" w:cs="Arial"/>
          <w:b w:val="0"/>
          <w:bCs w:val="0"/>
          <w:i w:val="0"/>
          <w:iCs w:val="0"/>
          <w:caps w:val="0"/>
          <w:smallCaps w:val="0"/>
          <w:noProof w:val="0"/>
          <w:color w:val="000000" w:themeColor="text1" w:themeTint="FF" w:themeShade="FF"/>
          <w:sz w:val="24"/>
          <w:szCs w:val="24"/>
          <w:lang w:val="en-GB"/>
        </w:rPr>
        <w:t>time frame</w:t>
      </w:r>
      <w:r w:rsidRPr="732ADA34" w:rsidR="47736628">
        <w:rPr>
          <w:rFonts w:ascii="Arial" w:hAnsi="Arial" w:eastAsia="Arial" w:cs="Arial"/>
          <w:b w:val="0"/>
          <w:bCs w:val="0"/>
          <w:i w:val="0"/>
          <w:iCs w:val="0"/>
          <w:caps w:val="0"/>
          <w:smallCaps w:val="0"/>
          <w:noProof w:val="0"/>
          <w:color w:val="000000" w:themeColor="text1" w:themeTint="FF" w:themeShade="FF"/>
          <w:sz w:val="24"/>
          <w:szCs w:val="24"/>
          <w:lang w:val="en-GB"/>
        </w:rPr>
        <w:t xml:space="preserve"> for the times in which Senneferi may have been buried</w:t>
      </w:r>
      <w:r w:rsidRPr="732ADA34" w:rsidR="1807FEAD">
        <w:rPr>
          <w:rFonts w:ascii="Times New Roman" w:hAnsi="Times New Roman" w:eastAsia="Times New Roman" w:cs="Times New Roman"/>
          <w:noProof w:val="0"/>
          <w:sz w:val="24"/>
          <w:szCs w:val="24"/>
          <w:lang w:val="en-GB"/>
        </w:rPr>
        <w:t xml:space="preserve"> (Bohleke, 2016)</w:t>
      </w:r>
      <w:r w:rsidRPr="732ADA34" w:rsidR="1807FEAD">
        <w:rPr>
          <w:rFonts w:ascii="Arial" w:hAnsi="Arial" w:eastAsia="Arial" w:cs="Arial"/>
          <w:b w:val="0"/>
          <w:bCs w:val="0"/>
          <w:i w:val="0"/>
          <w:iCs w:val="0"/>
          <w:caps w:val="0"/>
          <w:smallCaps w:val="0"/>
          <w:noProof w:val="0"/>
          <w:color w:val="000000" w:themeColor="text1" w:themeTint="FF" w:themeShade="FF"/>
          <w:sz w:val="24"/>
          <w:szCs w:val="24"/>
          <w:lang w:val="en-GB"/>
        </w:rPr>
        <w:t>.</w:t>
      </w:r>
    </w:p>
    <w:p w:rsidR="620019F6" w:rsidP="732ADA34" w:rsidRDefault="620019F6" w14:paraId="3220F03E" w14:textId="5DD1CF79">
      <w:pPr>
        <w:pStyle w:val="Normal"/>
        <w:rPr>
          <w:rFonts w:ascii="Arial" w:hAnsi="Arial" w:eastAsia="Arial" w:cs="Arial"/>
          <w:b w:val="0"/>
          <w:bCs w:val="0"/>
          <w:i w:val="0"/>
          <w:iCs w:val="0"/>
          <w:caps w:val="0"/>
          <w:smallCaps w:val="0"/>
          <w:color w:val="000000" w:themeColor="text1" w:themeTint="FF" w:themeShade="FF"/>
          <w:sz w:val="24"/>
          <w:szCs w:val="24"/>
        </w:rPr>
      </w:pPr>
      <w:r w:rsidRPr="732ADA34" w:rsidR="620019F6">
        <w:rPr>
          <w:rFonts w:ascii="Arial" w:hAnsi="Arial" w:eastAsia="Arial" w:cs="Arial"/>
          <w:b w:val="0"/>
          <w:bCs w:val="0"/>
          <w:i w:val="0"/>
          <w:iCs w:val="0"/>
          <w:caps w:val="0"/>
          <w:smallCaps w:val="0"/>
          <w:color w:val="000000" w:themeColor="text1" w:themeTint="FF" w:themeShade="FF"/>
          <w:sz w:val="24"/>
          <w:szCs w:val="24"/>
        </w:rPr>
        <w:t>In conclusion there are many ways in which the identity of a person can be found after death and how the way in which they are laid to rest or the items they are buried with can paint a picture of who they were in life. For instance, the layout of Tomb TT99 showing that the person within must have lived and died during the 18</w:t>
      </w:r>
      <w:r w:rsidRPr="732ADA34" w:rsidR="620019F6">
        <w:rPr>
          <w:rFonts w:ascii="Arial" w:hAnsi="Arial" w:eastAsia="Arial" w:cs="Arial"/>
          <w:b w:val="0"/>
          <w:bCs w:val="0"/>
          <w:i w:val="0"/>
          <w:iCs w:val="0"/>
          <w:caps w:val="0"/>
          <w:smallCaps w:val="0"/>
          <w:color w:val="000000" w:themeColor="text1" w:themeTint="FF" w:themeShade="FF"/>
          <w:sz w:val="24"/>
          <w:szCs w:val="24"/>
          <w:vertAlign w:val="superscript"/>
        </w:rPr>
        <w:t>th</w:t>
      </w:r>
      <w:r w:rsidRPr="732ADA34" w:rsidR="620019F6">
        <w:rPr>
          <w:rFonts w:ascii="Arial" w:hAnsi="Arial" w:eastAsia="Arial" w:cs="Arial"/>
          <w:b w:val="0"/>
          <w:bCs w:val="0"/>
          <w:i w:val="0"/>
          <w:iCs w:val="0"/>
          <w:caps w:val="0"/>
          <w:smallCaps w:val="0"/>
          <w:color w:val="000000" w:themeColor="text1" w:themeTint="FF" w:themeShade="FF"/>
          <w:sz w:val="24"/>
          <w:szCs w:val="24"/>
        </w:rPr>
        <w:t xml:space="preserve"> dynasty. The paintings within depicted the work of a royal official showing that the person was of high standing and had connections to royalty this already without </w:t>
      </w:r>
      <w:r w:rsidRPr="732ADA34" w:rsidR="620019F6">
        <w:rPr>
          <w:rFonts w:ascii="Arial" w:hAnsi="Arial" w:eastAsia="Arial" w:cs="Arial"/>
          <w:b w:val="0"/>
          <w:bCs w:val="0"/>
          <w:i w:val="0"/>
          <w:iCs w:val="0"/>
          <w:caps w:val="0"/>
          <w:smallCaps w:val="0"/>
          <w:color w:val="000000" w:themeColor="text1" w:themeTint="FF" w:themeShade="FF"/>
          <w:sz w:val="24"/>
          <w:szCs w:val="24"/>
        </w:rPr>
        <w:t>actually knowing</w:t>
      </w:r>
      <w:r w:rsidRPr="732ADA34" w:rsidR="620019F6">
        <w:rPr>
          <w:rFonts w:ascii="Arial" w:hAnsi="Arial" w:eastAsia="Arial" w:cs="Arial"/>
          <w:b w:val="0"/>
          <w:bCs w:val="0"/>
          <w:i w:val="0"/>
          <w:iCs w:val="0"/>
          <w:caps w:val="0"/>
          <w:smallCaps w:val="0"/>
          <w:color w:val="000000" w:themeColor="text1" w:themeTint="FF" w:themeShade="FF"/>
          <w:sz w:val="24"/>
          <w:szCs w:val="24"/>
        </w:rPr>
        <w:t xml:space="preserve"> the identity of the person within the tomb tells their life story.</w:t>
      </w:r>
    </w:p>
    <w:p w:rsidR="2AC3EAA5" w:rsidP="732ADA34" w:rsidRDefault="2AC3EAA5" w14:paraId="26938D81" w14:textId="3B57DFC5">
      <w:pPr>
        <w:pStyle w:val="Heading1"/>
        <w:spacing w:before="0" w:beforeAutospacing="off" w:after="360" w:afterAutospacing="off" w:line="360" w:lineRule="auto"/>
        <w:jc w:val="left"/>
        <w:rPr>
          <w:rFonts w:ascii="Arial" w:hAnsi="Arial" w:eastAsia="Arial" w:cs="Arial" w:asciiTheme="minorAscii" w:hAnsiTheme="minorAscii" w:eastAsiaTheme="minorAscii" w:cstheme="minorAscii"/>
          <w:b w:val="0"/>
          <w:bCs w:val="0"/>
          <w:noProof w:val="0"/>
          <w:color w:val="auto"/>
          <w:sz w:val="32"/>
          <w:szCs w:val="32"/>
          <w:lang w:val="en-GB"/>
        </w:rPr>
      </w:pPr>
      <w:r w:rsidRPr="732ADA34" w:rsidR="2AC3EAA5">
        <w:rPr>
          <w:rFonts w:ascii="Arial" w:hAnsi="Arial" w:eastAsia="Arial" w:cs="Arial" w:asciiTheme="minorAscii" w:hAnsiTheme="minorAscii" w:eastAsiaTheme="minorAscii" w:cstheme="minorAscii"/>
          <w:b w:val="0"/>
          <w:bCs w:val="0"/>
          <w:noProof w:val="0"/>
          <w:color w:val="auto"/>
          <w:sz w:val="32"/>
          <w:szCs w:val="32"/>
          <w:lang w:val="en-GB"/>
        </w:rPr>
        <w:t>Reference list</w:t>
      </w:r>
    </w:p>
    <w:p w:rsidR="2AC3EAA5" w:rsidP="732ADA34" w:rsidRDefault="2AC3EAA5" w14:paraId="2425E906" w14:textId="3C8A2225">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 xml:space="preserve">Ancient Egypt Online (2010). </w:t>
      </w:r>
      <w:r w:rsidRPr="732ADA34" w:rsidR="2AC3EAA5">
        <w:rPr>
          <w:rFonts w:ascii="Arial" w:hAnsi="Arial" w:eastAsia="Arial" w:cs="Arial" w:asciiTheme="minorAscii" w:hAnsiTheme="minorAscii" w:eastAsiaTheme="minorAscii" w:cstheme="minorAscii"/>
          <w:i w:val="1"/>
          <w:iCs w:val="1"/>
          <w:noProof w:val="0"/>
          <w:sz w:val="24"/>
          <w:szCs w:val="24"/>
          <w:lang w:val="en-GB"/>
        </w:rPr>
        <w:t>Ostracon | Ancient Egypt Online</w:t>
      </w:r>
      <w:r w:rsidRPr="732ADA34" w:rsidR="2AC3EAA5">
        <w:rPr>
          <w:rFonts w:ascii="Arial" w:hAnsi="Arial" w:eastAsia="Arial" w:cs="Arial" w:asciiTheme="minorAscii" w:hAnsiTheme="minorAscii" w:eastAsiaTheme="minorAscii" w:cstheme="minorAscii"/>
          <w:noProof w:val="0"/>
          <w:sz w:val="24"/>
          <w:szCs w:val="24"/>
          <w:lang w:val="en-GB"/>
        </w:rPr>
        <w:t xml:space="preserve">. [online] Ancientegyptonline.co.uk. Available at: </w:t>
      </w:r>
      <w:hyperlink r:id="R7dc22ac3adfe4e82">
        <w:r w:rsidRPr="732ADA34" w:rsidR="2AC3EAA5">
          <w:rPr>
            <w:rStyle w:val="Hyperlink"/>
            <w:rFonts w:ascii="Arial" w:hAnsi="Arial" w:eastAsia="Arial" w:cs="Arial" w:asciiTheme="minorAscii" w:hAnsiTheme="minorAscii" w:eastAsiaTheme="minorAscii" w:cstheme="minorAscii"/>
            <w:noProof w:val="0"/>
            <w:sz w:val="24"/>
            <w:szCs w:val="24"/>
            <w:lang w:val="en-GB"/>
          </w:rPr>
          <w:t>https://ancientegyptonline.co.uk/ostracon/</w:t>
        </w:r>
      </w:hyperlink>
      <w:r w:rsidRPr="732ADA34" w:rsidR="2AC3EAA5">
        <w:rPr>
          <w:rFonts w:ascii="Arial" w:hAnsi="Arial" w:eastAsia="Arial" w:cs="Arial" w:asciiTheme="minorAscii" w:hAnsiTheme="minorAscii" w:eastAsiaTheme="minorAscii" w:cstheme="minorAscii"/>
          <w:noProof w:val="0"/>
          <w:sz w:val="24"/>
          <w:szCs w:val="24"/>
          <w:lang w:val="en-GB"/>
        </w:rPr>
        <w:t>.</w:t>
      </w:r>
    </w:p>
    <w:p w:rsidR="2AC3EAA5" w:rsidP="732ADA34" w:rsidRDefault="2AC3EAA5" w14:paraId="244819C1" w14:textId="33C6C5D9">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Bohleke</w:t>
      </w:r>
      <w:r w:rsidRPr="732ADA34" w:rsidR="2AC3EAA5">
        <w:rPr>
          <w:rFonts w:ascii="Arial" w:hAnsi="Arial" w:eastAsia="Arial" w:cs="Arial" w:asciiTheme="minorAscii" w:hAnsiTheme="minorAscii" w:eastAsiaTheme="minorAscii" w:cstheme="minorAscii"/>
          <w:noProof w:val="0"/>
          <w:sz w:val="24"/>
          <w:szCs w:val="24"/>
          <w:lang w:val="en-GB"/>
        </w:rPr>
        <w:t xml:space="preserve">, B. (2016). </w:t>
      </w:r>
      <w:r w:rsidRPr="732ADA34" w:rsidR="2AC3EAA5">
        <w:rPr>
          <w:rFonts w:ascii="Arial" w:hAnsi="Arial" w:eastAsia="Arial" w:cs="Arial" w:asciiTheme="minorAscii" w:hAnsiTheme="minorAscii" w:eastAsiaTheme="minorAscii" w:cstheme="minorAscii"/>
          <w:i w:val="1"/>
          <w:iCs w:val="1"/>
          <w:noProof w:val="0"/>
          <w:sz w:val="24"/>
          <w:szCs w:val="24"/>
          <w:lang w:val="en-GB"/>
        </w:rPr>
        <w:t>˜</w:t>
      </w:r>
      <w:r w:rsidRPr="732ADA34" w:rsidR="2AC3EAA5">
        <w:rPr>
          <w:rFonts w:ascii="Arial" w:hAnsi="Arial" w:eastAsia="Arial" w:cs="Arial" w:asciiTheme="minorAscii" w:hAnsiTheme="minorAscii" w:eastAsiaTheme="minorAscii" w:cstheme="minorAscii"/>
          <w:i w:val="1"/>
          <w:iCs w:val="1"/>
          <w:noProof w:val="0"/>
          <w:sz w:val="24"/>
          <w:szCs w:val="24"/>
          <w:lang w:val="en-GB"/>
        </w:rPr>
        <w:t>Theœ</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 Tomb of Pharaoh’s Chancellor Senneferi at Thebes (TT99)</w:t>
      </w:r>
      <w:r w:rsidRPr="732ADA34" w:rsidR="2AC3EAA5">
        <w:rPr>
          <w:rFonts w:ascii="Arial" w:hAnsi="Arial" w:eastAsia="Arial" w:cs="Arial" w:asciiTheme="minorAscii" w:hAnsiTheme="minorAscii" w:eastAsiaTheme="minorAscii" w:cstheme="minorAscii"/>
          <w:noProof w:val="0"/>
          <w:sz w:val="24"/>
          <w:szCs w:val="24"/>
          <w:lang w:val="en-GB"/>
        </w:rPr>
        <w:t>. Chapter 10 The hieratic jar labels.</w:t>
      </w:r>
    </w:p>
    <w:p w:rsidR="2AC3EAA5" w:rsidP="732ADA34" w:rsidRDefault="2AC3EAA5" w14:paraId="3204FA8C" w14:textId="0BE55EC7">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jstor</w:t>
      </w:r>
      <w:r w:rsidRPr="732ADA34" w:rsidR="2AC3EAA5">
        <w:rPr>
          <w:rFonts w:ascii="Arial" w:hAnsi="Arial" w:eastAsia="Arial" w:cs="Arial" w:asciiTheme="minorAscii" w:hAnsiTheme="minorAscii" w:eastAsiaTheme="minorAscii" w:cstheme="minorAscii"/>
          <w:noProof w:val="0"/>
          <w:sz w:val="24"/>
          <w:szCs w:val="24"/>
          <w:lang w:val="en-GB"/>
        </w:rPr>
        <w:t xml:space="preserve"> (2026). </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The human and animal </w:t>
      </w:r>
      <w:r w:rsidRPr="732ADA34" w:rsidR="2AC3EAA5">
        <w:rPr>
          <w:rFonts w:ascii="Arial" w:hAnsi="Arial" w:eastAsia="Arial" w:cs="Arial" w:asciiTheme="minorAscii" w:hAnsiTheme="minorAscii" w:eastAsiaTheme="minorAscii" w:cstheme="minorAscii"/>
          <w:i w:val="1"/>
          <w:iCs w:val="1"/>
          <w:noProof w:val="0"/>
          <w:sz w:val="24"/>
          <w:szCs w:val="24"/>
          <w:lang w:val="en-GB"/>
        </w:rPr>
        <w:t>remains</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 from Shafts I and H</w:t>
      </w:r>
      <w:r w:rsidRPr="732ADA34" w:rsidR="2AC3EAA5">
        <w:rPr>
          <w:rFonts w:ascii="Arial" w:hAnsi="Arial" w:eastAsia="Arial" w:cs="Arial" w:asciiTheme="minorAscii" w:hAnsiTheme="minorAscii" w:eastAsiaTheme="minorAscii" w:cstheme="minorAscii"/>
          <w:noProof w:val="0"/>
          <w:sz w:val="24"/>
          <w:szCs w:val="24"/>
          <w:lang w:val="en-GB"/>
        </w:rPr>
        <w:t xml:space="preserve">. [online] </w:t>
      </w:r>
      <w:r w:rsidRPr="732ADA34" w:rsidR="2AC3EAA5">
        <w:rPr>
          <w:rFonts w:ascii="Arial" w:hAnsi="Arial" w:eastAsia="Arial" w:cs="Arial" w:asciiTheme="minorAscii" w:hAnsiTheme="minorAscii" w:eastAsiaTheme="minorAscii" w:cstheme="minorAscii"/>
          <w:noProof w:val="0"/>
          <w:sz w:val="24"/>
          <w:szCs w:val="24"/>
          <w:lang w:val="en-GB"/>
        </w:rPr>
        <w:t>jstor</w:t>
      </w:r>
      <w:r w:rsidRPr="732ADA34" w:rsidR="2AC3EAA5">
        <w:rPr>
          <w:rFonts w:ascii="Arial" w:hAnsi="Arial" w:eastAsia="Arial" w:cs="Arial" w:asciiTheme="minorAscii" w:hAnsiTheme="minorAscii" w:eastAsiaTheme="minorAscii" w:cstheme="minorAscii"/>
          <w:noProof w:val="0"/>
          <w:sz w:val="24"/>
          <w:szCs w:val="24"/>
          <w:lang w:val="en-GB"/>
        </w:rPr>
        <w:t xml:space="preserve">. Available at: </w:t>
      </w:r>
      <w:hyperlink r:id="R7b6fe6f447664f0c">
        <w:r w:rsidRPr="732ADA34" w:rsidR="2AC3EAA5">
          <w:rPr>
            <w:rStyle w:val="Hyperlink"/>
            <w:rFonts w:ascii="Arial" w:hAnsi="Arial" w:eastAsia="Arial" w:cs="Arial" w:asciiTheme="minorAscii" w:hAnsiTheme="minorAscii" w:eastAsiaTheme="minorAscii" w:cstheme="minorAscii"/>
            <w:noProof w:val="0"/>
            <w:sz w:val="24"/>
            <w:szCs w:val="24"/>
            <w:lang w:val="en-GB"/>
          </w:rPr>
          <w:t>https://www-jstor-org.uwtsd.idm.oclc.org/stable/j.ctt1kw2b9v.22?seq=19</w:t>
        </w:r>
      </w:hyperlink>
      <w:r w:rsidRPr="732ADA34" w:rsidR="2AC3EAA5">
        <w:rPr>
          <w:rFonts w:ascii="Arial" w:hAnsi="Arial" w:eastAsia="Arial" w:cs="Arial" w:asciiTheme="minorAscii" w:hAnsiTheme="minorAscii" w:eastAsiaTheme="minorAscii" w:cstheme="minorAscii"/>
          <w:noProof w:val="0"/>
          <w:sz w:val="24"/>
          <w:szCs w:val="24"/>
          <w:lang w:val="en-GB"/>
        </w:rPr>
        <w:t xml:space="preserve"> [Accessed 20 Mar. 2026]. The Tomb of Pharaoh’s Chancellor Senneferi at Thebes (TT99), chapter 13.</w:t>
      </w:r>
    </w:p>
    <w:p w:rsidR="2AC3EAA5" w:rsidP="732ADA34" w:rsidRDefault="2AC3EAA5" w14:paraId="06E8E742" w14:textId="178F3873">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Madain</w:t>
      </w:r>
      <w:r w:rsidRPr="732ADA34" w:rsidR="2AC3EAA5">
        <w:rPr>
          <w:rFonts w:ascii="Arial" w:hAnsi="Arial" w:eastAsia="Arial" w:cs="Arial" w:asciiTheme="minorAscii" w:hAnsiTheme="minorAscii" w:eastAsiaTheme="minorAscii" w:cstheme="minorAscii"/>
          <w:noProof w:val="0"/>
          <w:sz w:val="24"/>
          <w:szCs w:val="24"/>
          <w:lang w:val="en-GB"/>
        </w:rPr>
        <w:t xml:space="preserve"> Project (2021). </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TT99 (Tomb of Senneferi) - </w:t>
      </w:r>
      <w:r w:rsidRPr="732ADA34" w:rsidR="2AC3EAA5">
        <w:rPr>
          <w:rFonts w:ascii="Arial" w:hAnsi="Arial" w:eastAsia="Arial" w:cs="Arial" w:asciiTheme="minorAscii" w:hAnsiTheme="minorAscii" w:eastAsiaTheme="minorAscii" w:cstheme="minorAscii"/>
          <w:i w:val="1"/>
          <w:iCs w:val="1"/>
          <w:noProof w:val="0"/>
          <w:sz w:val="24"/>
          <w:szCs w:val="24"/>
          <w:lang w:val="en-GB"/>
        </w:rPr>
        <w:t>Madain</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 Project (</w:t>
      </w:r>
      <w:r w:rsidRPr="732ADA34" w:rsidR="2AC3EAA5">
        <w:rPr>
          <w:rFonts w:ascii="Arial" w:hAnsi="Arial" w:eastAsia="Arial" w:cs="Arial" w:asciiTheme="minorAscii" w:hAnsiTheme="minorAscii" w:eastAsiaTheme="minorAscii" w:cstheme="minorAscii"/>
          <w:i w:val="1"/>
          <w:iCs w:val="1"/>
          <w:noProof w:val="0"/>
          <w:sz w:val="24"/>
          <w:szCs w:val="24"/>
          <w:lang w:val="en-GB"/>
        </w:rPr>
        <w:t>en</w:t>
      </w:r>
      <w:r w:rsidRPr="732ADA34" w:rsidR="2AC3EAA5">
        <w:rPr>
          <w:rFonts w:ascii="Arial" w:hAnsi="Arial" w:eastAsia="Arial" w:cs="Arial" w:asciiTheme="minorAscii" w:hAnsiTheme="minorAscii" w:eastAsiaTheme="minorAscii" w:cstheme="minorAscii"/>
          <w:i w:val="1"/>
          <w:iCs w:val="1"/>
          <w:noProof w:val="0"/>
          <w:sz w:val="24"/>
          <w:szCs w:val="24"/>
          <w:lang w:val="en-GB"/>
        </w:rPr>
        <w:t>)</w:t>
      </w:r>
      <w:r w:rsidRPr="732ADA34" w:rsidR="2AC3EAA5">
        <w:rPr>
          <w:rFonts w:ascii="Arial" w:hAnsi="Arial" w:eastAsia="Arial" w:cs="Arial" w:asciiTheme="minorAscii" w:hAnsiTheme="minorAscii" w:eastAsiaTheme="minorAscii" w:cstheme="minorAscii"/>
          <w:noProof w:val="0"/>
          <w:sz w:val="24"/>
          <w:szCs w:val="24"/>
          <w:lang w:val="en-GB"/>
        </w:rPr>
        <w:t xml:space="preserve">. [online] Madainproject.com. Available at: </w:t>
      </w:r>
      <w:hyperlink r:id="R9605d049ab054b8c">
        <w:r w:rsidRPr="732ADA34" w:rsidR="2AC3EAA5">
          <w:rPr>
            <w:rStyle w:val="Hyperlink"/>
            <w:rFonts w:ascii="Arial" w:hAnsi="Arial" w:eastAsia="Arial" w:cs="Arial" w:asciiTheme="minorAscii" w:hAnsiTheme="minorAscii" w:eastAsiaTheme="minorAscii" w:cstheme="minorAscii"/>
            <w:noProof w:val="0"/>
            <w:sz w:val="24"/>
            <w:szCs w:val="24"/>
            <w:lang w:val="en-GB"/>
          </w:rPr>
          <w:t>https://madainproject.com/tt99_(tomb_of_senneferi)#architecture</w:t>
        </w:r>
      </w:hyperlink>
      <w:r w:rsidRPr="732ADA34" w:rsidR="2AC3EAA5">
        <w:rPr>
          <w:rFonts w:ascii="Arial" w:hAnsi="Arial" w:eastAsia="Arial" w:cs="Arial" w:asciiTheme="minorAscii" w:hAnsiTheme="minorAscii" w:eastAsiaTheme="minorAscii" w:cstheme="minorAscii"/>
          <w:noProof w:val="0"/>
          <w:sz w:val="24"/>
          <w:szCs w:val="24"/>
          <w:lang w:val="en-GB"/>
        </w:rPr>
        <w:t xml:space="preserve"> [Accessed Mar. 2026].</w:t>
      </w:r>
    </w:p>
    <w:p w:rsidR="2AC3EAA5" w:rsidP="732ADA34" w:rsidRDefault="2AC3EAA5" w14:paraId="710E4755" w14:textId="4CE8F832">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Rose ,</w:t>
      </w:r>
      <w:r w:rsidRPr="732ADA34" w:rsidR="2AC3EAA5">
        <w:rPr>
          <w:rFonts w:ascii="Arial" w:hAnsi="Arial" w:eastAsia="Arial" w:cs="Arial" w:asciiTheme="minorAscii" w:hAnsiTheme="minorAscii" w:eastAsiaTheme="minorAscii" w:cstheme="minorAscii"/>
          <w:noProof w:val="0"/>
          <w:sz w:val="24"/>
          <w:szCs w:val="24"/>
          <w:lang w:val="en-GB"/>
        </w:rPr>
        <w:t xml:space="preserve"> P. (2016). </w:t>
      </w:r>
      <w:r w:rsidRPr="732ADA34" w:rsidR="2AC3EAA5">
        <w:rPr>
          <w:rFonts w:ascii="Arial" w:hAnsi="Arial" w:eastAsia="Arial" w:cs="Arial" w:asciiTheme="minorAscii" w:hAnsiTheme="minorAscii" w:eastAsiaTheme="minorAscii" w:cstheme="minorAscii"/>
          <w:i w:val="1"/>
          <w:iCs w:val="1"/>
          <w:noProof w:val="0"/>
          <w:sz w:val="24"/>
          <w:szCs w:val="24"/>
          <w:lang w:val="en-GB"/>
        </w:rPr>
        <w:t>˜</w:t>
      </w:r>
      <w:r w:rsidRPr="732ADA34" w:rsidR="2AC3EAA5">
        <w:rPr>
          <w:rFonts w:ascii="Arial" w:hAnsi="Arial" w:eastAsia="Arial" w:cs="Arial" w:asciiTheme="minorAscii" w:hAnsiTheme="minorAscii" w:eastAsiaTheme="minorAscii" w:cstheme="minorAscii"/>
          <w:i w:val="1"/>
          <w:iCs w:val="1"/>
          <w:noProof w:val="0"/>
          <w:sz w:val="24"/>
          <w:szCs w:val="24"/>
          <w:lang w:val="en-GB"/>
        </w:rPr>
        <w:t>Theœ</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 Tomb of Pharaoh’s Chancellor Senneferi at Thebes (TT99)</w:t>
      </w:r>
      <w:r w:rsidRPr="732ADA34" w:rsidR="2AC3EAA5">
        <w:rPr>
          <w:rFonts w:ascii="Arial" w:hAnsi="Arial" w:eastAsia="Arial" w:cs="Arial" w:asciiTheme="minorAscii" w:hAnsiTheme="minorAscii" w:eastAsiaTheme="minorAscii" w:cstheme="minorAscii"/>
          <w:noProof w:val="0"/>
          <w:sz w:val="24"/>
          <w:szCs w:val="24"/>
          <w:lang w:val="en-GB"/>
        </w:rPr>
        <w:t>. Chapter 12 The ceramics from Shaft H.</w:t>
      </w:r>
    </w:p>
    <w:p w:rsidR="2AC3EAA5" w:rsidP="732ADA34" w:rsidRDefault="2AC3EAA5" w14:paraId="24B2FB2C" w14:textId="266B9B18">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ScienceInsights</w:t>
      </w:r>
      <w:r w:rsidRPr="732ADA34" w:rsidR="2AC3EAA5">
        <w:rPr>
          <w:rFonts w:ascii="Arial" w:hAnsi="Arial" w:eastAsia="Arial" w:cs="Arial" w:asciiTheme="minorAscii" w:hAnsiTheme="minorAscii" w:eastAsiaTheme="minorAscii" w:cstheme="minorAscii"/>
          <w:noProof w:val="0"/>
          <w:sz w:val="24"/>
          <w:szCs w:val="24"/>
          <w:lang w:val="en-GB"/>
        </w:rPr>
        <w:t xml:space="preserve">. (2026). </w:t>
      </w:r>
      <w:r w:rsidRPr="732ADA34" w:rsidR="2AC3EAA5">
        <w:rPr>
          <w:rFonts w:ascii="Arial" w:hAnsi="Arial" w:eastAsia="Arial" w:cs="Arial" w:asciiTheme="minorAscii" w:hAnsiTheme="minorAscii" w:eastAsiaTheme="minorAscii" w:cstheme="minorAscii"/>
          <w:i w:val="1"/>
          <w:iCs w:val="1"/>
          <w:noProof w:val="0"/>
          <w:sz w:val="24"/>
          <w:szCs w:val="24"/>
          <w:lang w:val="en-GB"/>
        </w:rPr>
        <w:t>What Is a Superstructure? Definition and Examples</w:t>
      </w:r>
      <w:r w:rsidRPr="732ADA34" w:rsidR="2AC3EAA5">
        <w:rPr>
          <w:rFonts w:ascii="Arial" w:hAnsi="Arial" w:eastAsia="Arial" w:cs="Arial" w:asciiTheme="minorAscii" w:hAnsiTheme="minorAscii" w:eastAsiaTheme="minorAscii" w:cstheme="minorAscii"/>
          <w:noProof w:val="0"/>
          <w:sz w:val="24"/>
          <w:szCs w:val="24"/>
          <w:lang w:val="en-GB"/>
        </w:rPr>
        <w:t xml:space="preserve">. [online] Available at: </w:t>
      </w:r>
      <w:hyperlink r:id="Rb30046c419be4d8b">
        <w:r w:rsidRPr="732ADA34" w:rsidR="2AC3EAA5">
          <w:rPr>
            <w:rStyle w:val="Hyperlink"/>
            <w:rFonts w:ascii="Arial" w:hAnsi="Arial" w:eastAsia="Arial" w:cs="Arial" w:asciiTheme="minorAscii" w:hAnsiTheme="minorAscii" w:eastAsiaTheme="minorAscii" w:cstheme="minorAscii"/>
            <w:noProof w:val="0"/>
            <w:sz w:val="24"/>
            <w:szCs w:val="24"/>
            <w:lang w:val="en-GB"/>
          </w:rPr>
          <w:t>https://scienceinsights.org/what-is-a-superstructure-definition-and-examples/</w:t>
        </w:r>
      </w:hyperlink>
      <w:r w:rsidRPr="732ADA34" w:rsidR="2AC3EAA5">
        <w:rPr>
          <w:rFonts w:ascii="Arial" w:hAnsi="Arial" w:eastAsia="Arial" w:cs="Arial" w:asciiTheme="minorAscii" w:hAnsiTheme="minorAscii" w:eastAsiaTheme="minorAscii" w:cstheme="minorAscii"/>
          <w:noProof w:val="0"/>
          <w:sz w:val="24"/>
          <w:szCs w:val="24"/>
          <w:lang w:val="en-GB"/>
        </w:rPr>
        <w:t xml:space="preserve"> [Accessed Mar. 2026].</w:t>
      </w:r>
    </w:p>
    <w:p w:rsidR="2AC3EAA5" w:rsidP="732ADA34" w:rsidRDefault="2AC3EAA5" w14:paraId="0109FC3C" w14:textId="082D332B">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 xml:space="preserve">Strudwick, N. (2016). </w:t>
      </w:r>
      <w:r w:rsidRPr="732ADA34" w:rsidR="2AC3EAA5">
        <w:rPr>
          <w:rFonts w:ascii="Arial" w:hAnsi="Arial" w:eastAsia="Arial" w:cs="Arial" w:asciiTheme="minorAscii" w:hAnsiTheme="minorAscii" w:eastAsiaTheme="minorAscii" w:cstheme="minorAscii"/>
          <w:i w:val="1"/>
          <w:iCs w:val="1"/>
          <w:noProof w:val="0"/>
          <w:sz w:val="24"/>
          <w:szCs w:val="24"/>
          <w:lang w:val="en-GB"/>
        </w:rPr>
        <w:t>˜</w:t>
      </w:r>
      <w:r w:rsidRPr="732ADA34" w:rsidR="2AC3EAA5">
        <w:rPr>
          <w:rFonts w:ascii="Arial" w:hAnsi="Arial" w:eastAsia="Arial" w:cs="Arial" w:asciiTheme="minorAscii" w:hAnsiTheme="minorAscii" w:eastAsiaTheme="minorAscii" w:cstheme="minorAscii"/>
          <w:i w:val="1"/>
          <w:iCs w:val="1"/>
          <w:noProof w:val="0"/>
          <w:sz w:val="24"/>
          <w:szCs w:val="24"/>
          <w:lang w:val="en-GB"/>
        </w:rPr>
        <w:t>Theœ</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 Tomb of Pharaoh’s Chancellor Senneferi at Thebes (TT99)</w:t>
      </w:r>
      <w:r w:rsidRPr="732ADA34" w:rsidR="2AC3EAA5">
        <w:rPr>
          <w:rFonts w:ascii="Arial" w:hAnsi="Arial" w:eastAsia="Arial" w:cs="Arial" w:asciiTheme="minorAscii" w:hAnsiTheme="minorAscii" w:eastAsiaTheme="minorAscii" w:cstheme="minorAscii"/>
          <w:noProof w:val="0"/>
          <w:sz w:val="24"/>
          <w:szCs w:val="24"/>
          <w:lang w:val="en-GB"/>
        </w:rPr>
        <w:t xml:space="preserve">. Chapter 5 The decoration of the </w:t>
      </w:r>
      <w:r w:rsidRPr="732ADA34" w:rsidR="2AC3EAA5">
        <w:rPr>
          <w:rFonts w:ascii="Arial" w:hAnsi="Arial" w:eastAsia="Arial" w:cs="Arial" w:asciiTheme="minorAscii" w:hAnsiTheme="minorAscii" w:eastAsiaTheme="minorAscii" w:cstheme="minorAscii"/>
          <w:noProof w:val="0"/>
          <w:sz w:val="24"/>
          <w:szCs w:val="24"/>
          <w:lang w:val="en-GB"/>
        </w:rPr>
        <w:t>Chapel .</w:t>
      </w:r>
    </w:p>
    <w:p w:rsidR="2AC3EAA5" w:rsidP="732ADA34" w:rsidRDefault="2AC3EAA5" w14:paraId="645B088E" w14:textId="7A61D181">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 xml:space="preserve">Strudwick, N. (2026). </w:t>
      </w:r>
      <w:r w:rsidRPr="732ADA34" w:rsidR="2AC3EAA5">
        <w:rPr>
          <w:rFonts w:ascii="Arial" w:hAnsi="Arial" w:eastAsia="Arial" w:cs="Arial" w:asciiTheme="minorAscii" w:hAnsiTheme="minorAscii" w:eastAsiaTheme="minorAscii" w:cstheme="minorAscii"/>
          <w:i w:val="1"/>
          <w:iCs w:val="1"/>
          <w:noProof w:val="0"/>
          <w:sz w:val="24"/>
          <w:szCs w:val="24"/>
          <w:lang w:val="en-GB"/>
        </w:rPr>
        <w:t>Introduction</w:t>
      </w:r>
      <w:r w:rsidRPr="732ADA34" w:rsidR="2AC3EAA5">
        <w:rPr>
          <w:rFonts w:ascii="Arial" w:hAnsi="Arial" w:eastAsia="Arial" w:cs="Arial" w:asciiTheme="minorAscii" w:hAnsiTheme="minorAscii" w:eastAsiaTheme="minorAscii" w:cstheme="minorAscii"/>
          <w:noProof w:val="0"/>
          <w:sz w:val="24"/>
          <w:szCs w:val="24"/>
          <w:lang w:val="en-GB"/>
        </w:rPr>
        <w:t xml:space="preserve">. [online] </w:t>
      </w:r>
      <w:r w:rsidRPr="732ADA34" w:rsidR="2AC3EAA5">
        <w:rPr>
          <w:rFonts w:ascii="Arial" w:hAnsi="Arial" w:eastAsia="Arial" w:cs="Arial" w:asciiTheme="minorAscii" w:hAnsiTheme="minorAscii" w:eastAsiaTheme="minorAscii" w:cstheme="minorAscii"/>
          <w:noProof w:val="0"/>
          <w:sz w:val="24"/>
          <w:szCs w:val="24"/>
          <w:lang w:val="en-GB"/>
        </w:rPr>
        <w:t>jstor</w:t>
      </w:r>
      <w:r w:rsidRPr="732ADA34" w:rsidR="2AC3EAA5">
        <w:rPr>
          <w:rFonts w:ascii="Arial" w:hAnsi="Arial" w:eastAsia="Arial" w:cs="Arial" w:asciiTheme="minorAscii" w:hAnsiTheme="minorAscii" w:eastAsiaTheme="minorAscii" w:cstheme="minorAscii"/>
          <w:noProof w:val="0"/>
          <w:sz w:val="24"/>
          <w:szCs w:val="24"/>
          <w:lang w:val="en-GB"/>
        </w:rPr>
        <w:t xml:space="preserve">. Available at: </w:t>
      </w:r>
      <w:hyperlink r:id="Rc518a330d1954818">
        <w:r w:rsidRPr="732ADA34" w:rsidR="2AC3EAA5">
          <w:rPr>
            <w:rStyle w:val="Hyperlink"/>
            <w:rFonts w:ascii="Arial" w:hAnsi="Arial" w:eastAsia="Arial" w:cs="Arial" w:asciiTheme="minorAscii" w:hAnsiTheme="minorAscii" w:eastAsiaTheme="minorAscii" w:cstheme="minorAscii"/>
            <w:noProof w:val="0"/>
            <w:sz w:val="24"/>
            <w:szCs w:val="24"/>
            <w:lang w:val="en-GB"/>
          </w:rPr>
          <w:t>https://www-jstor-org.uwtsd.idm.oclc.org/stable/j.ctt1kw2b9v.10</w:t>
        </w:r>
      </w:hyperlink>
      <w:r w:rsidRPr="732ADA34" w:rsidR="2AC3EAA5">
        <w:rPr>
          <w:rFonts w:ascii="Arial" w:hAnsi="Arial" w:eastAsia="Arial" w:cs="Arial" w:asciiTheme="minorAscii" w:hAnsiTheme="minorAscii" w:eastAsiaTheme="minorAscii" w:cstheme="minorAscii"/>
          <w:noProof w:val="0"/>
          <w:sz w:val="24"/>
          <w:szCs w:val="24"/>
          <w:lang w:val="en-GB"/>
        </w:rPr>
        <w:t xml:space="preserve"> [Accessed Mar. 2026]. The Tomb of Pharaoh’s Chancellor Senneferi at Thebes (TT99) chapter </w:t>
      </w:r>
      <w:r w:rsidRPr="732ADA34" w:rsidR="2AC3EAA5">
        <w:rPr>
          <w:rFonts w:ascii="Arial" w:hAnsi="Arial" w:eastAsia="Arial" w:cs="Arial" w:asciiTheme="minorAscii" w:hAnsiTheme="minorAscii" w:eastAsiaTheme="minorAscii" w:cstheme="minorAscii"/>
          <w:noProof w:val="0"/>
          <w:sz w:val="24"/>
          <w:szCs w:val="24"/>
          <w:lang w:val="en-GB"/>
        </w:rPr>
        <w:t>1 .</w:t>
      </w:r>
    </w:p>
    <w:p w:rsidR="2AC3EAA5" w:rsidP="732ADA34" w:rsidRDefault="2AC3EAA5" w14:paraId="43DC7313" w14:textId="5C631600">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 xml:space="preserve">Strudwick, N. and Strudwick, H. (2016). </w:t>
      </w:r>
      <w:r w:rsidRPr="732ADA34" w:rsidR="2AC3EAA5">
        <w:rPr>
          <w:rFonts w:ascii="Arial" w:hAnsi="Arial" w:eastAsia="Arial" w:cs="Arial" w:asciiTheme="minorAscii" w:hAnsiTheme="minorAscii" w:eastAsiaTheme="minorAscii" w:cstheme="minorAscii"/>
          <w:i w:val="1"/>
          <w:iCs w:val="1"/>
          <w:noProof w:val="0"/>
          <w:sz w:val="24"/>
          <w:szCs w:val="24"/>
          <w:lang w:val="en-GB"/>
        </w:rPr>
        <w:t>˜</w:t>
      </w:r>
      <w:r w:rsidRPr="732ADA34" w:rsidR="2AC3EAA5">
        <w:rPr>
          <w:rFonts w:ascii="Arial" w:hAnsi="Arial" w:eastAsia="Arial" w:cs="Arial" w:asciiTheme="minorAscii" w:hAnsiTheme="minorAscii" w:eastAsiaTheme="minorAscii" w:cstheme="minorAscii"/>
          <w:i w:val="1"/>
          <w:iCs w:val="1"/>
          <w:noProof w:val="0"/>
          <w:sz w:val="24"/>
          <w:szCs w:val="24"/>
          <w:lang w:val="en-GB"/>
        </w:rPr>
        <w:t>Theœ</w:t>
      </w:r>
      <w:r w:rsidRPr="732ADA34" w:rsidR="2AC3EAA5">
        <w:rPr>
          <w:rFonts w:ascii="Arial" w:hAnsi="Arial" w:eastAsia="Arial" w:cs="Arial" w:asciiTheme="minorAscii" w:hAnsiTheme="minorAscii" w:eastAsiaTheme="minorAscii" w:cstheme="minorAscii"/>
          <w:i w:val="1"/>
          <w:iCs w:val="1"/>
          <w:noProof w:val="0"/>
          <w:sz w:val="24"/>
          <w:szCs w:val="24"/>
          <w:lang w:val="en-GB"/>
        </w:rPr>
        <w:t xml:space="preserve"> Tomb of Pharaoh’s Chancellor Senneferi at Thebes (TT99)</w:t>
      </w:r>
      <w:r w:rsidRPr="732ADA34" w:rsidR="2AC3EAA5">
        <w:rPr>
          <w:rFonts w:ascii="Arial" w:hAnsi="Arial" w:eastAsia="Arial" w:cs="Arial" w:asciiTheme="minorAscii" w:hAnsiTheme="minorAscii" w:eastAsiaTheme="minorAscii" w:cstheme="minorAscii"/>
          <w:noProof w:val="0"/>
          <w:sz w:val="24"/>
          <w:szCs w:val="24"/>
          <w:lang w:val="en-GB"/>
        </w:rPr>
        <w:t>. Chapter 4 The tomb, its architecture and history.</w:t>
      </w:r>
    </w:p>
    <w:p w:rsidR="2AC3EAA5" w:rsidP="732ADA34" w:rsidRDefault="2AC3EAA5" w14:paraId="547EB3F0" w14:textId="2D8DD265">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 xml:space="preserve">Tutankhamun Spatial Archive. (2019). </w:t>
      </w:r>
      <w:r w:rsidRPr="732ADA34" w:rsidR="2AC3EAA5">
        <w:rPr>
          <w:rFonts w:ascii="Arial" w:hAnsi="Arial" w:eastAsia="Arial" w:cs="Arial" w:asciiTheme="minorAscii" w:hAnsiTheme="minorAscii" w:eastAsiaTheme="minorAscii" w:cstheme="minorAscii"/>
          <w:i w:val="1"/>
          <w:iCs w:val="1"/>
          <w:noProof w:val="0"/>
          <w:sz w:val="24"/>
          <w:szCs w:val="24"/>
          <w:lang w:val="en-GB"/>
        </w:rPr>
        <w:t>Percy E. Newberry</w:t>
      </w:r>
      <w:r w:rsidRPr="732ADA34" w:rsidR="2AC3EAA5">
        <w:rPr>
          <w:rFonts w:ascii="Arial" w:hAnsi="Arial" w:eastAsia="Arial" w:cs="Arial" w:asciiTheme="minorAscii" w:hAnsiTheme="minorAscii" w:eastAsiaTheme="minorAscii" w:cstheme="minorAscii"/>
          <w:noProof w:val="0"/>
          <w:sz w:val="24"/>
          <w:szCs w:val="24"/>
          <w:lang w:val="en-GB"/>
        </w:rPr>
        <w:t xml:space="preserve">. [online] Available at: </w:t>
      </w:r>
      <w:hyperlink r:id="R798bd07c960d49d0">
        <w:r w:rsidRPr="732ADA34" w:rsidR="2AC3EAA5">
          <w:rPr>
            <w:rStyle w:val="Hyperlink"/>
            <w:rFonts w:ascii="Arial" w:hAnsi="Arial" w:eastAsia="Arial" w:cs="Arial" w:asciiTheme="minorAscii" w:hAnsiTheme="minorAscii" w:eastAsiaTheme="minorAscii" w:cstheme="minorAscii"/>
            <w:noProof w:val="0"/>
            <w:sz w:val="24"/>
            <w:szCs w:val="24"/>
            <w:lang w:val="en-GB"/>
          </w:rPr>
          <w:t>https://tutankhamun.griffith.ox.ac.uk/people/percy-e-newberry</w:t>
        </w:r>
      </w:hyperlink>
      <w:r w:rsidRPr="732ADA34" w:rsidR="2AC3EAA5">
        <w:rPr>
          <w:rFonts w:ascii="Arial" w:hAnsi="Arial" w:eastAsia="Arial" w:cs="Arial" w:asciiTheme="minorAscii" w:hAnsiTheme="minorAscii" w:eastAsiaTheme="minorAscii" w:cstheme="minorAscii"/>
          <w:noProof w:val="0"/>
          <w:sz w:val="24"/>
          <w:szCs w:val="24"/>
          <w:lang w:val="en-GB"/>
        </w:rPr>
        <w:t xml:space="preserve"> [Accessed Mar. 2026].</w:t>
      </w:r>
    </w:p>
    <w:p w:rsidR="2AC3EAA5" w:rsidP="732ADA34" w:rsidRDefault="2AC3EAA5" w14:paraId="19E62E55" w14:textId="08E8824F">
      <w:pPr>
        <w:spacing w:before="0" w:beforeAutospacing="off" w:after="240" w:afterAutospacing="off" w:line="360" w:lineRule="auto"/>
        <w:rPr>
          <w:rFonts w:ascii="Arial" w:hAnsi="Arial" w:eastAsia="Arial" w:cs="Arial" w:asciiTheme="minorAscii" w:hAnsiTheme="minorAscii" w:eastAsiaTheme="minorAscii" w:cstheme="minorAscii"/>
          <w:noProof w:val="0"/>
          <w:sz w:val="24"/>
          <w:szCs w:val="24"/>
          <w:lang w:val="en-GB"/>
        </w:rPr>
      </w:pPr>
      <w:r w:rsidRPr="732ADA34" w:rsidR="2AC3EAA5">
        <w:rPr>
          <w:rFonts w:ascii="Arial" w:hAnsi="Arial" w:eastAsia="Arial" w:cs="Arial" w:asciiTheme="minorAscii" w:hAnsiTheme="minorAscii" w:eastAsiaTheme="minorAscii" w:cstheme="minorAscii"/>
          <w:noProof w:val="0"/>
          <w:sz w:val="24"/>
          <w:szCs w:val="24"/>
          <w:lang w:val="en-GB"/>
        </w:rPr>
        <w:t xml:space="preserve">World History Commons (2026). </w:t>
      </w:r>
      <w:r w:rsidRPr="732ADA34" w:rsidR="2AC3EAA5">
        <w:rPr>
          <w:rFonts w:ascii="Arial" w:hAnsi="Arial" w:eastAsia="Arial" w:cs="Arial" w:asciiTheme="minorAscii" w:hAnsiTheme="minorAscii" w:eastAsiaTheme="minorAscii" w:cstheme="minorAscii"/>
          <w:i w:val="1"/>
          <w:iCs w:val="1"/>
          <w:noProof w:val="0"/>
          <w:sz w:val="24"/>
          <w:szCs w:val="24"/>
          <w:lang w:val="en-GB"/>
        </w:rPr>
        <w:t>Ostracon | World History Commons</w:t>
      </w:r>
      <w:r w:rsidRPr="732ADA34" w:rsidR="2AC3EAA5">
        <w:rPr>
          <w:rFonts w:ascii="Arial" w:hAnsi="Arial" w:eastAsia="Arial" w:cs="Arial" w:asciiTheme="minorAscii" w:hAnsiTheme="minorAscii" w:eastAsiaTheme="minorAscii" w:cstheme="minorAscii"/>
          <w:noProof w:val="0"/>
          <w:sz w:val="24"/>
          <w:szCs w:val="24"/>
          <w:lang w:val="en-GB"/>
        </w:rPr>
        <w:t xml:space="preserve">. [online] Worldhistorycommons.org. Available at: </w:t>
      </w:r>
      <w:hyperlink r:id="R6c1dff1f27a74468">
        <w:r w:rsidRPr="732ADA34" w:rsidR="2AC3EAA5">
          <w:rPr>
            <w:rStyle w:val="Hyperlink"/>
            <w:rFonts w:ascii="Arial" w:hAnsi="Arial" w:eastAsia="Arial" w:cs="Arial" w:asciiTheme="minorAscii" w:hAnsiTheme="minorAscii" w:eastAsiaTheme="minorAscii" w:cstheme="minorAscii"/>
            <w:noProof w:val="0"/>
            <w:sz w:val="24"/>
            <w:szCs w:val="24"/>
            <w:lang w:val="en-GB"/>
          </w:rPr>
          <w:t>https://worldhistorycommons.org/ostracon</w:t>
        </w:r>
      </w:hyperlink>
      <w:r w:rsidRPr="732ADA34" w:rsidR="2AC3EAA5">
        <w:rPr>
          <w:rFonts w:ascii="Arial" w:hAnsi="Arial" w:eastAsia="Arial" w:cs="Arial" w:asciiTheme="minorAscii" w:hAnsiTheme="minorAscii" w:eastAsiaTheme="minorAscii" w:cstheme="minorAscii"/>
          <w:noProof w:val="0"/>
          <w:sz w:val="24"/>
          <w:szCs w:val="24"/>
          <w:lang w:val="en-GB"/>
        </w:rPr>
        <w:t xml:space="preserve"> [Accessed Mar. 2026].</w:t>
      </w:r>
    </w:p>
    <w:p w:rsidR="732ADA34" w:rsidP="732ADA34" w:rsidRDefault="732ADA34" w14:paraId="6A97B05C" w14:textId="5E804D74">
      <w:pPr>
        <w:rPr>
          <w:rFonts w:ascii="Arial" w:hAnsi="Arial" w:eastAsia="Arial" w:cs="Arial"/>
          <w:b w:val="0"/>
          <w:bCs w:val="0"/>
          <w:i w:val="0"/>
          <w:iCs w:val="0"/>
          <w:caps w:val="0"/>
          <w:smallCaps w:val="0"/>
          <w:color w:val="000000" w:themeColor="text1" w:themeTint="FF" w:themeShade="FF"/>
          <w:sz w:val="24"/>
          <w:szCs w:val="24"/>
        </w:rPr>
      </w:pPr>
    </w:p>
    <w:p w:rsidR="732ADA34" w:rsidP="732ADA34" w:rsidRDefault="732ADA34" w14:paraId="2B8FF573" w14:textId="778FA3AA">
      <w:pPr>
        <w:pStyle w:val="Normal"/>
        <w:rPr>
          <w:rFonts w:ascii="Arial" w:hAnsi="Arial" w:eastAsia="Arial" w:cs="Arial"/>
          <w:b w:val="0"/>
          <w:bCs w:val="0"/>
          <w:i w:val="0"/>
          <w:iCs w:val="0"/>
          <w:caps w:val="0"/>
          <w:smallCaps w:val="0"/>
          <w:color w:val="000000" w:themeColor="text1" w:themeTint="FF" w:themeShade="FF"/>
          <w:sz w:val="24"/>
          <w:szCs w:val="24"/>
        </w:rPr>
      </w:pPr>
    </w:p>
    <w:p w:rsidR="732ADA34" w:rsidP="732ADA34" w:rsidRDefault="732ADA34" w14:paraId="61E9C5E3" w14:textId="2BA05FAF">
      <w:pPr>
        <w:pStyle w:val="Normal"/>
        <w:rPr>
          <w:rFonts w:ascii="Arial" w:hAnsi="Arial" w:eastAsia="Arial" w:cs="Arial"/>
          <w:b w:val="0"/>
          <w:bCs w:val="0"/>
          <w:i w:val="0"/>
          <w:iCs w:val="0"/>
          <w:caps w:val="0"/>
          <w:smallCaps w:val="0"/>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kL23EyU4" int2:invalidationBookmarkName="" int2:hashCode="27RxiK11T2s3aJ" int2:id="w63BxuMn">
      <int2:state int2:type="gram" int2:value="Rejected"/>
    </int2:bookmark>
    <int2:bookmark int2:bookmarkName="_Int_mJmReTBp" int2:invalidationBookmarkName="" int2:hashCode="Z6siRZVk1Pcv2v" int2:id="nAiVoQBL">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A4E622"/>
    <w:rsid w:val="00A1F332"/>
    <w:rsid w:val="00D598C0"/>
    <w:rsid w:val="014DCFC3"/>
    <w:rsid w:val="01DA4E7C"/>
    <w:rsid w:val="031143FA"/>
    <w:rsid w:val="0384AF2C"/>
    <w:rsid w:val="04031561"/>
    <w:rsid w:val="055249AE"/>
    <w:rsid w:val="06C4E891"/>
    <w:rsid w:val="092F7BAA"/>
    <w:rsid w:val="09A451ED"/>
    <w:rsid w:val="0C4BA1B0"/>
    <w:rsid w:val="0F2EBE48"/>
    <w:rsid w:val="1210EA32"/>
    <w:rsid w:val="12311917"/>
    <w:rsid w:val="129FD070"/>
    <w:rsid w:val="12A016CE"/>
    <w:rsid w:val="131B9EB0"/>
    <w:rsid w:val="16597C9A"/>
    <w:rsid w:val="16CE1896"/>
    <w:rsid w:val="1807FEAD"/>
    <w:rsid w:val="1A4E507F"/>
    <w:rsid w:val="1D4FC51B"/>
    <w:rsid w:val="1DD6698E"/>
    <w:rsid w:val="1EC6E96D"/>
    <w:rsid w:val="1F7903A3"/>
    <w:rsid w:val="1FBAB392"/>
    <w:rsid w:val="21268EB8"/>
    <w:rsid w:val="2308AD10"/>
    <w:rsid w:val="249DED5B"/>
    <w:rsid w:val="252CADA7"/>
    <w:rsid w:val="25D19200"/>
    <w:rsid w:val="2837CE1E"/>
    <w:rsid w:val="285942A7"/>
    <w:rsid w:val="29246C63"/>
    <w:rsid w:val="29BC57E4"/>
    <w:rsid w:val="2AC3EAA5"/>
    <w:rsid w:val="2B946D74"/>
    <w:rsid w:val="2C4E1BC8"/>
    <w:rsid w:val="2CEC82C5"/>
    <w:rsid w:val="2DB40548"/>
    <w:rsid w:val="2EEEBDB6"/>
    <w:rsid w:val="30216236"/>
    <w:rsid w:val="336B6F32"/>
    <w:rsid w:val="3662E259"/>
    <w:rsid w:val="37D5BC46"/>
    <w:rsid w:val="39521F16"/>
    <w:rsid w:val="39CFA5B3"/>
    <w:rsid w:val="39D06059"/>
    <w:rsid w:val="3AC84EC9"/>
    <w:rsid w:val="3B2487B7"/>
    <w:rsid w:val="3C1A0E76"/>
    <w:rsid w:val="3D5C7722"/>
    <w:rsid w:val="3D7E166E"/>
    <w:rsid w:val="3E96CF87"/>
    <w:rsid w:val="3EBE36F6"/>
    <w:rsid w:val="3F5D6B7C"/>
    <w:rsid w:val="3F8F2346"/>
    <w:rsid w:val="3FEA3814"/>
    <w:rsid w:val="405F2524"/>
    <w:rsid w:val="4098DDCB"/>
    <w:rsid w:val="4270F8B9"/>
    <w:rsid w:val="431D8E7D"/>
    <w:rsid w:val="433BA429"/>
    <w:rsid w:val="467708D4"/>
    <w:rsid w:val="47736628"/>
    <w:rsid w:val="48DF8856"/>
    <w:rsid w:val="4B085AB1"/>
    <w:rsid w:val="4B2F4644"/>
    <w:rsid w:val="4D7178B2"/>
    <w:rsid w:val="4F021A91"/>
    <w:rsid w:val="50C30910"/>
    <w:rsid w:val="524F0B7C"/>
    <w:rsid w:val="530C31AC"/>
    <w:rsid w:val="540856CB"/>
    <w:rsid w:val="54737F31"/>
    <w:rsid w:val="5551A1F0"/>
    <w:rsid w:val="564C7B9D"/>
    <w:rsid w:val="56734A67"/>
    <w:rsid w:val="58E9ABF8"/>
    <w:rsid w:val="59CF099C"/>
    <w:rsid w:val="5A79B6C0"/>
    <w:rsid w:val="5A824CF0"/>
    <w:rsid w:val="5AAE25C7"/>
    <w:rsid w:val="5ADA9E4E"/>
    <w:rsid w:val="5CA4E622"/>
    <w:rsid w:val="5CEB7B25"/>
    <w:rsid w:val="5DFFDE91"/>
    <w:rsid w:val="5E5A5626"/>
    <w:rsid w:val="5F2215C6"/>
    <w:rsid w:val="5F2B0B82"/>
    <w:rsid w:val="61175370"/>
    <w:rsid w:val="61946DAB"/>
    <w:rsid w:val="61E390AE"/>
    <w:rsid w:val="620019F6"/>
    <w:rsid w:val="6351941D"/>
    <w:rsid w:val="646DCE31"/>
    <w:rsid w:val="655D2BDB"/>
    <w:rsid w:val="6747CE1C"/>
    <w:rsid w:val="67CC943E"/>
    <w:rsid w:val="689FAAA2"/>
    <w:rsid w:val="69439F5C"/>
    <w:rsid w:val="69EBCA89"/>
    <w:rsid w:val="6F04F874"/>
    <w:rsid w:val="732ADA34"/>
    <w:rsid w:val="742808CB"/>
    <w:rsid w:val="7629B043"/>
    <w:rsid w:val="7716D9A8"/>
    <w:rsid w:val="77665940"/>
    <w:rsid w:val="77A69704"/>
    <w:rsid w:val="783894B0"/>
    <w:rsid w:val="7883A70E"/>
    <w:rsid w:val="79E2DA26"/>
    <w:rsid w:val="7A36D6CD"/>
    <w:rsid w:val="7A8FF7D7"/>
    <w:rsid w:val="7B97D9BB"/>
    <w:rsid w:val="7C5A89A7"/>
    <w:rsid w:val="7D33ED99"/>
    <w:rsid w:val="7DDB8815"/>
    <w:rsid w:val="7ECFF1B3"/>
    <w:rsid w:val="7EDF8B40"/>
    <w:rsid w:val="7FFC2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E622"/>
  <w15:chartTrackingRefBased/>
  <w15:docId w15:val="{77BEB0B1-60E8-4278-94F1-9F8B471328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32ADA3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32ADA3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32ADA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ncientegyptonline.co.uk/ostracon/" TargetMode="External" Id="R7dc22ac3adfe4e82" /><Relationship Type="http://schemas.openxmlformats.org/officeDocument/2006/relationships/hyperlink" Target="https://www-jstor-org.uwtsd.idm.oclc.org/stable/j.ctt1kw2b9v.22?seq=19" TargetMode="External" Id="R7b6fe6f447664f0c" /><Relationship Type="http://schemas.openxmlformats.org/officeDocument/2006/relationships/hyperlink" Target="https://madainproject.com/tt99_(tomb_of_senneferi)#architecture" TargetMode="External" Id="R9605d049ab054b8c" /><Relationship Type="http://schemas.openxmlformats.org/officeDocument/2006/relationships/hyperlink" Target="https://scienceinsights.org/what-is-a-superstructure-definition-and-examples/" TargetMode="External" Id="Rb30046c419be4d8b" /><Relationship Type="http://schemas.openxmlformats.org/officeDocument/2006/relationships/hyperlink" Target="https://www-jstor-org.uwtsd.idm.oclc.org/stable/j.ctt1kw2b9v.10" TargetMode="External" Id="Rc518a330d1954818" /><Relationship Type="http://schemas.openxmlformats.org/officeDocument/2006/relationships/hyperlink" Target="https://tutankhamun.griffith.ox.ac.uk/people/percy-e-newberry" TargetMode="External" Id="R798bd07c960d49d0" /><Relationship Type="http://schemas.openxmlformats.org/officeDocument/2006/relationships/hyperlink" Target="https://worldhistorycommons.org/ostracon" TargetMode="External" Id="R6c1dff1f27a74468" /><Relationship Type="http://schemas.microsoft.com/office/2020/10/relationships/intelligence" Target="intelligence2.xml" Id="R9def6587359a41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2026-03-17T20:52:02.4896137Z</dcterms:created>
  <dcterms:modified xsi:type="dcterms:W3CDTF">2026-03-20T22:09:42.2660723Z</dcterms:modified>
  <dc:creator>Talia Pearson (2404304)</dc:creator>
  <lastModifiedBy>Talia Pearson (2404304)</lastModifiedBy>
</coreProperties>
</file>