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6795D1" w:rsidP="36B231C1" w:rsidRDefault="4E6795D1" w14:paraId="4175B2EF" w14:textId="338B1166" w14:noSpellErr="1">
      <w:pPr>
        <w:pStyle w:val="Normal"/>
        <w:bidi w:val="0"/>
        <w:spacing w:before="120" w:beforeAutospacing="off" w:after="120" w:afterAutospacing="off" w:line="259" w:lineRule="auto"/>
        <w:ind/>
        <w:jc w:val="center"/>
        <w:rPr>
          <w:rFonts w:ascii="Calibri" w:hAnsi="Calibri" w:eastAsia="Calibri" w:cs="Calibri" w:asciiTheme="minorAscii" w:hAnsiTheme="minorAscii" w:eastAsiaTheme="minorAscii" w:cstheme="minorAscii"/>
          <w:sz w:val="28"/>
          <w:szCs w:val="28"/>
          <w:u w:val="single"/>
        </w:rPr>
      </w:pPr>
      <w:r w:rsidRPr="36B231C1" w:rsidR="36B231C1">
        <w:rPr>
          <w:rFonts w:ascii="Calibri" w:hAnsi="Calibri" w:eastAsia="Calibri" w:cs="Calibri" w:asciiTheme="minorAscii" w:hAnsiTheme="minorAscii" w:eastAsiaTheme="minorAscii" w:cstheme="minorAscii"/>
          <w:sz w:val="28"/>
          <w:szCs w:val="28"/>
          <w:u w:val="single"/>
        </w:rPr>
        <w:t>Supporting the Development of Writing in the Literacy Numeracy Framework</w:t>
      </w:r>
    </w:p>
    <w:p w:rsidR="234CF680" w:rsidP="36B231C1" w:rsidRDefault="234CF680" w14:paraId="59287732" w14:textId="7B6FD7A8">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sz w:val="24"/>
          <w:szCs w:val="24"/>
          <w:u w:val="none"/>
        </w:rPr>
      </w:pPr>
      <w:r w:rsidRPr="36B231C1" w:rsidR="36B231C1">
        <w:rPr>
          <w:rFonts w:ascii="Calibri" w:hAnsi="Calibri" w:eastAsia="Calibri" w:cs="Calibri" w:asciiTheme="minorAscii" w:hAnsiTheme="minorAscii" w:eastAsiaTheme="minorAscii" w:cstheme="minorAscii"/>
        </w:rPr>
        <w:t xml:space="preserve">This assignment will be </w:t>
      </w:r>
      <w:r w:rsidRPr="36B231C1" w:rsidR="36B231C1">
        <w:rPr>
          <w:rFonts w:ascii="Calibri" w:hAnsi="Calibri" w:eastAsia="Calibri" w:cs="Calibri" w:asciiTheme="minorAscii" w:hAnsiTheme="minorAscii" w:eastAsiaTheme="minorAscii" w:cstheme="minorAscii"/>
        </w:rPr>
        <w:t>evaluating Talk for Writing, an approach</w:t>
      </w:r>
      <w:r w:rsidRPr="36B231C1" w:rsidR="36B231C1">
        <w:rPr>
          <w:rFonts w:ascii="Calibri" w:hAnsi="Calibri" w:eastAsia="Calibri" w:cs="Calibri" w:asciiTheme="minorAscii" w:hAnsiTheme="minorAscii" w:eastAsiaTheme="minorAscii" w:cstheme="minorAscii"/>
        </w:rPr>
        <w:t xml:space="preserve"> used to develop writing for  learners according to the Literacy Numeracy Framework (LNF). Literacy is a significant point within the curriculum, so much so that the LNF was introduced in 2013 partly due to the provision to develop literacy skills within many schools only being ‘adequate’. The LNF aimed to help pupils aged five to fourteen as there were concerns, they could be falling behind in key areas of education (Jones, 2015). With regards to literacy, the Welsh government (2014) expects learners to become accomplished in </w:t>
      </w:r>
      <w:proofErr w:type="spellStart"/>
      <w:r w:rsidRPr="36B231C1" w:rsidR="36B231C1">
        <w:rPr>
          <w:rFonts w:ascii="Calibri" w:hAnsi="Calibri" w:eastAsia="Calibri" w:cs="Calibri" w:asciiTheme="minorAscii" w:hAnsiTheme="minorAscii" w:eastAsiaTheme="minorAscii" w:cstheme="minorAscii"/>
        </w:rPr>
        <w:t>oracy</w:t>
      </w:r>
      <w:proofErr w:type="spellEnd"/>
      <w:r w:rsidRPr="36B231C1" w:rsidR="36B231C1">
        <w:rPr>
          <w:rFonts w:ascii="Calibri" w:hAnsi="Calibri" w:eastAsia="Calibri" w:cs="Calibri" w:asciiTheme="minorAscii" w:hAnsiTheme="minorAscii" w:eastAsiaTheme="minorAscii" w:cstheme="minorAscii"/>
        </w:rPr>
        <w:t>, reading and writing across the curriculum. The LNF organises what children should be taught into different elements and aspects that a teacher can then use to plan their lessons in order to embed literacy and numeracy into lessons throughout the curriculum. When releasing the new LNF, the Welsh government (2013) stated that having good literacy and numeracy skills was essential for reaching educational potential going into further and higher education as well as for succeeding in the job market. They found that previous skills frameworks had been ineffective due to reports from Estyn and designed the LNF based on research into effective teaching, assessment, recording and reporting practice, and the success of similar international systems (Welsh Government, 2013). A key aim of the LNF is to help teachers of all subjects to weave opportunities for learners to use literacy and numeracy into their teaching. This is important as being able to use skills previously focussed on in English and Maths lessons across the curriculum in a range of subjects will help learners to translate those skills in further areas outside of education. Estyn (2014) reported on a school that committed to raising standards in literacy and numeracy through implementing strategies to help develop pupils' skills in these areas which also in turn improved staff skills. The report stated that due to the efforts, the school had improved GCSE and A level results.</w:t>
      </w:r>
    </w:p>
    <w:p w:rsidR="234CF680" w:rsidP="36B231C1" w:rsidRDefault="234CF680" w14:paraId="68B15CE6" w14:textId="12DB1923">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sz w:val="24"/>
          <w:szCs w:val="24"/>
          <w:u w:val="none"/>
        </w:rPr>
      </w:pPr>
      <w:r w:rsidRPr="36B231C1" w:rsidR="36B231C1">
        <w:rPr>
          <w:rFonts w:ascii="Calibri" w:hAnsi="Calibri" w:eastAsia="Calibri" w:cs="Calibri" w:asciiTheme="minorAscii" w:hAnsiTheme="minorAscii" w:eastAsiaTheme="minorAscii" w:cstheme="minorAscii"/>
        </w:rPr>
        <w:t xml:space="preserve"> Literacy and language are important areas of learning for children in school. Although in the current curriculum language and literacy are mostly studied through English lessons, it permeates into the whole curriculum as a vehicle for learning (</w:t>
      </w:r>
      <w:proofErr w:type="spellStart"/>
      <w:r w:rsidRPr="36B231C1" w:rsidR="36B231C1">
        <w:rPr>
          <w:rFonts w:ascii="Calibri" w:hAnsi="Calibri" w:eastAsia="Calibri" w:cs="Calibri" w:asciiTheme="minorAscii" w:hAnsiTheme="minorAscii" w:eastAsiaTheme="minorAscii" w:cstheme="minorAscii"/>
        </w:rPr>
        <w:t>Bearne</w:t>
      </w:r>
      <w:proofErr w:type="spellEnd"/>
      <w:r w:rsidRPr="36B231C1" w:rsidR="36B231C1">
        <w:rPr>
          <w:rFonts w:ascii="Calibri" w:hAnsi="Calibri" w:eastAsia="Calibri" w:cs="Calibri" w:asciiTheme="minorAscii" w:hAnsiTheme="minorAscii" w:eastAsiaTheme="minorAscii" w:cstheme="minorAscii"/>
        </w:rPr>
        <w:t>, 1998). Other areas of the curriculum, such as mathematics, science and music have their own words and meanings which require literacy skills to be able to understand and interpret. Words such as ‘product’, ‘difference’ and ‘power’ are used in a non-mathematical concept but have a different meaning in a mathematical concept (</w:t>
      </w:r>
      <w:proofErr w:type="spellStart"/>
      <w:r w:rsidRPr="36B231C1" w:rsidR="36B231C1">
        <w:rPr>
          <w:rFonts w:ascii="Calibri" w:hAnsi="Calibri" w:eastAsia="Calibri" w:cs="Calibri" w:asciiTheme="minorAscii" w:hAnsiTheme="minorAscii" w:eastAsiaTheme="minorAscii" w:cstheme="minorAscii"/>
        </w:rPr>
        <w:t>Bearne</w:t>
      </w:r>
      <w:proofErr w:type="spellEnd"/>
      <w:r w:rsidRPr="36B231C1" w:rsidR="36B231C1">
        <w:rPr>
          <w:rFonts w:ascii="Calibri" w:hAnsi="Calibri" w:eastAsia="Calibri" w:cs="Calibri" w:asciiTheme="minorAscii" w:hAnsiTheme="minorAscii" w:eastAsiaTheme="minorAscii" w:cstheme="minorAscii"/>
        </w:rPr>
        <w:t xml:space="preserve">, 1998). Furthermore, the use of writing within mathematics lessons is not commonly practiced in school outside of writing math symbols, terms and numbers during exercises. Bushnell and Waugh (2017) stress the importance of fluency, reasoning and problem solving in mathematics and how writing is key to achieving these aims. Developing fluency helps children to describe their mathematical understanding. Developing this understanding helps them to explain their mathematics and having a deeper understanding allows them to communicate and reason mathematically and solve problems. Writing in mathematics lessons can help learners develop understanding in mathematics, just as it would in other subjects. This writing can be in the form of using labels or short sentences to add clarity to their work or using paragraphs to communicate their understanding of the topic (Bushnell and Waugh, 2017). In science, adults will often avoid using scientific language to children when explaining answers to questions such as ‘how does a plane get in the sky’ or ‘why is it easier to cycle on a bike with bigger wheels?’ because they do not think that children would be able to cope with the terms. </w:t>
      </w:r>
      <w:proofErr w:type="spellStart"/>
      <w:r w:rsidRPr="36B231C1" w:rsidR="36B231C1">
        <w:rPr>
          <w:rFonts w:ascii="Calibri" w:hAnsi="Calibri" w:eastAsia="Calibri" w:cs="Calibri" w:asciiTheme="minorAscii" w:hAnsiTheme="minorAscii" w:eastAsiaTheme="minorAscii" w:cstheme="minorAscii"/>
        </w:rPr>
        <w:t>Bearne</w:t>
      </w:r>
      <w:proofErr w:type="spellEnd"/>
      <w:r w:rsidRPr="36B231C1" w:rsidR="36B231C1">
        <w:rPr>
          <w:rFonts w:ascii="Calibri" w:hAnsi="Calibri" w:eastAsia="Calibri" w:cs="Calibri" w:asciiTheme="minorAscii" w:hAnsiTheme="minorAscii" w:eastAsiaTheme="minorAscii" w:cstheme="minorAscii"/>
        </w:rPr>
        <w:t xml:space="preserve"> (1998) includes two images of excerpts from fairy tales written by children in school that include the scientific terms ‘chromatography’ and ‘skull fragment’ to show that when children are taught these terms they are not only capable of remembering them but they can use them in other subjects to enrich their learning.</w:t>
      </w:r>
    </w:p>
    <w:p w:rsidR="36164C71" w:rsidP="36B231C1" w:rsidRDefault="36164C71" w14:paraId="31F8AB40" w14:textId="725D836E"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rPr>
        <w:t xml:space="preserve">  Wray (2004) concludes that so much material on teaching literacy is published because of the interest and importance in literacy, not just in education. The popular perception is that literacy is closely bound up to general education, as discussed previously, and success in life. Lacking literacy skills can hold an individual back in life. It can restrict their educational success, which can highly affect their opportunities in the job market when they are older. Furthermore, lacking literacy skills as a parent can hinder a parent’s ability to support their own child’s learning (National Literacy Trust, 2017). Every Child a Chance Trust (2009) stated that government statistics show th</w:t>
      </w:r>
      <w:r w:rsidRPr="36B231C1" w:rsidR="36B231C1">
        <w:rPr>
          <w:rFonts w:ascii="Calibri" w:hAnsi="Calibri" w:eastAsia="Calibri" w:cs="Calibri" w:asciiTheme="minorAscii" w:hAnsiTheme="minorAscii" w:eastAsiaTheme="minorAscii" w:cstheme="minorAscii"/>
        </w:rPr>
        <w:t>at</w:t>
      </w:r>
      <w:r w:rsidRPr="36B231C1" w:rsidR="36B231C1">
        <w:rPr>
          <w:rFonts w:ascii="Calibri" w:hAnsi="Calibri" w:eastAsia="Calibri" w:cs="Calibri" w:asciiTheme="minorAscii" w:hAnsiTheme="minorAscii" w:eastAsiaTheme="minorAscii" w:cstheme="minorAscii"/>
        </w:rPr>
        <w:t xml:space="preserve"> 6-7% of eleven-year olds leave primary school with poor literacy skills. Entering secondary school without an adequate level in literacy can cause an individual difficulty in fully accessing the curriculum, putting them behind in not only English, but other subjects taught. With regards to the job market, Every Child a Chance Trust (2009) reported that 42% of men who earn less than £200 per week and 53% of women who earn less than £150 per week have very low or low literacy skills, whereas only 24% of men and 39% of women in the respective categories have good literacy skills. Furthermore, </w:t>
      </w:r>
      <w:r w:rsidRPr="36B231C1" w:rsidR="36B231C1">
        <w:rPr>
          <w:rFonts w:ascii="Calibri" w:hAnsi="Calibri" w:eastAsia="Calibri" w:cs="Calibri" w:asciiTheme="minorAscii" w:hAnsiTheme="minorAscii" w:eastAsiaTheme="minorAscii" w:cstheme="minorAscii"/>
          <w:noProof w:val="0"/>
          <w:lang w:val="en-GB"/>
        </w:rPr>
        <w:t>75% of men and 63% of women with very low literacy skills, aged between 23 and 37, had never been promoted at work, compared to 41% of men and 31% of women with good literacy</w:t>
      </w:r>
      <w:r w:rsidRPr="36B231C1" w:rsidR="36B231C1">
        <w:rPr>
          <w:rFonts w:ascii="Calibri" w:hAnsi="Calibri" w:eastAsia="Calibri" w:cs="Calibri" w:asciiTheme="minorAscii" w:hAnsiTheme="minorAscii" w:eastAsiaTheme="minorAscii" w:cstheme="minorAscii"/>
          <w:noProof w:val="0"/>
          <w:lang w:val="en-GB"/>
        </w:rPr>
        <w:t xml:space="preserve"> skills</w:t>
      </w:r>
      <w:r w:rsidRPr="36B231C1" w:rsidR="36B231C1">
        <w:rPr>
          <w:rFonts w:ascii="Calibri" w:hAnsi="Calibri" w:eastAsia="Calibri" w:cs="Calibri" w:asciiTheme="minorAscii" w:hAnsiTheme="minorAscii" w:eastAsiaTheme="minorAscii" w:cstheme="minorAscii"/>
          <w:noProof w:val="0"/>
          <w:lang w:val="en-GB"/>
        </w:rPr>
        <w:t>. These statistics emphasise the importance of developing literacy skills throughout the curriculum as it is one of the areas of education that is shown to have a large impact on the learners’ future wage which will have a heavy influence on their future lifestyle.</w:t>
      </w:r>
    </w:p>
    <w:p w:rsidR="2C9A0E8C" w:rsidP="36B231C1" w:rsidRDefault="2C9A0E8C" w14:paraId="07440C64" w14:textId="6DF946D0">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  When teaching writing it is important that the child can not only be comfortable with the motor-skills necessary and be able to write down what they are told and be able to read it back. It is important to teach the meaning of the writing, so the learners understand the different contexts. </w:t>
      </w:r>
      <w:proofErr w:type="spellStart"/>
      <w:r w:rsidRPr="36B231C1" w:rsidR="36B231C1">
        <w:rPr>
          <w:rFonts w:ascii="Calibri" w:hAnsi="Calibri" w:eastAsia="Calibri" w:cs="Calibri" w:asciiTheme="minorAscii" w:hAnsiTheme="minorAscii" w:eastAsiaTheme="minorAscii" w:cstheme="minorAscii"/>
          <w:noProof w:val="0"/>
          <w:lang w:val="en-GB"/>
        </w:rPr>
        <w:t>Bearne</w:t>
      </w:r>
      <w:proofErr w:type="spellEnd"/>
      <w:r w:rsidRPr="36B231C1" w:rsidR="36B231C1">
        <w:rPr>
          <w:rFonts w:ascii="Calibri" w:hAnsi="Calibri" w:eastAsia="Calibri" w:cs="Calibri" w:asciiTheme="minorAscii" w:hAnsiTheme="minorAscii" w:eastAsiaTheme="minorAscii" w:cstheme="minorAscii"/>
          <w:noProof w:val="0"/>
          <w:lang w:val="en-GB"/>
        </w:rPr>
        <w:t xml:space="preserve"> (1998) notes that:</w:t>
      </w:r>
    </w:p>
    <w:p w:rsidR="2C9A0E8C" w:rsidP="36B231C1" w:rsidRDefault="2C9A0E8C" w14:paraId="6C2B300F" w14:textId="52D60EC2"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‘If, as Vygotsky (1978) pointed out, young children’s development as writers is only seen from a psychological point of view as the acquiring of a complicated motor skill, the need for this writing to have a meaning, which can be understood when it is read by those other than the writer, becomes secondary.’</w:t>
      </w:r>
    </w:p>
    <w:p w:rsidR="2C9A0E8C" w:rsidP="36B231C1" w:rsidRDefault="2C9A0E8C" w14:paraId="40F60011" w14:textId="5AE931BE"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Writing becomes a meaningless activity if learners do not understand the meaning of the text they are writing or the reason for writing it. Talk for Writing is an approach developed by Pie Corbett and Julia Strong based on the principles of how people learn. It aims to enable learners to be able to read and write independently for a variety of different audiences and purposes on a variety of subjects (talk4writing.co.uk, 2019). This approach focusses on teaching children different language rhythms and patterns that can be applied to different many different contexts. Corbett and Strong (2011) express the difficulty of being able to write any text without being familiar with the language patterns and rhythms involved. Furthermore, they believe it is impossible to be able to write a sentence pattern without being able to say it as the language needed for success in writing tasks should become a part of a child’s linguistic repertoire. Oral story telling became a significant aspect of this approach. Research of oral story telling focussed on four to five-year olds showed astounding results. In one sample group, only 2% were able to retell a whole story at the start of the year. By the end of the year this rose to 76% being able to retell a story in fluent standard English. In another study of primary aged pupils, using oral story telling helped 100% of the class to make progress in their writing, with 80% making three or more sublevels of progress within a year (Corbett and Strong, 2011).</w:t>
      </w:r>
    </w:p>
    <w:p w:rsidR="2C9A0E8C" w:rsidP="36B231C1" w:rsidRDefault="2C9A0E8C" w14:paraId="219286B0" w14:textId="46261D73"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  The Talk for Writing approach has four key stages – the baseline assessment and planning stage, the imitation stage, the innovation stage and the independent application and invention stage. For the baseline assessment and planning stage, teachers would use a ‘cold’ task. This stage requires no teaching, it is used to see what learners can do with their prior knowledge independently. The writing from this stage is then used by the teacher to work out what needs to be taught and to set targets for different groups and individual within the class</w:t>
      </w: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(talk4writing.co.</w:t>
      </w:r>
      <w:r w:rsidRPr="36B231C1" w:rsidR="36B231C1">
        <w:rPr>
          <w:rFonts w:ascii="Calibri" w:hAnsi="Calibri" w:eastAsia="Calibri" w:cs="Calibri" w:asciiTheme="minorAscii" w:hAnsiTheme="minorAscii" w:eastAsiaTheme="minorAscii" w:cstheme="minorAscii"/>
          <w:noProof w:val="0"/>
          <w:lang w:val="en-GB"/>
        </w:rPr>
        <w:t>uk</w:t>
      </w:r>
      <w:r w:rsidRPr="36B231C1" w:rsidR="36B231C1">
        <w:rPr>
          <w:rFonts w:ascii="Calibri" w:hAnsi="Calibri" w:eastAsia="Calibri" w:cs="Calibri" w:asciiTheme="minorAscii" w:hAnsiTheme="minorAscii" w:eastAsiaTheme="minorAscii" w:cstheme="minorAscii"/>
          <w:noProof w:val="0"/>
          <w:lang w:val="en-GB"/>
        </w:rPr>
        <w:t xml:space="preserve">/about, 2019). </w:t>
      </w:r>
    </w:p>
    <w:p w:rsidR="2C9A0E8C" w:rsidP="36B231C1" w:rsidRDefault="2C9A0E8C" w14:paraId="7486E169" w14:textId="7FC2E54E"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The imitation stage introduces the class to a model of text with an interesting purpose that is above the pupils’ current level but has structures and language patterns built into it that learners will need to use when writing. Learners should learn to talk using the language patterns in the text which shows their understanding and will then be given other models of text so they can analyse the language and writing patterns. The key in this stage is for children to practice their spelling and grammar patterns through rehearsal</w:t>
      </w:r>
      <w:r w:rsidRPr="36B231C1" w:rsidR="36B231C1">
        <w:rPr>
          <w:rFonts w:ascii="Calibri" w:hAnsi="Calibri" w:eastAsia="Calibri" w:cs="Calibri" w:asciiTheme="minorAscii" w:hAnsiTheme="minorAscii" w:eastAsiaTheme="minorAscii" w:cstheme="minorAscii"/>
          <w:noProof w:val="0"/>
          <w:lang w:val="en-GB"/>
        </w:rPr>
        <w:t>. Text maps can be used during this stage which can be an aid to orally reciting the text. Actions can also be added to reinforce specific language patterns and help learners remember them. Oral recitations should be practiced over the course of a few days, so it is ‘overlearned’, and the learners can recite the text with ease. However, it is also important for the learners to understand what the text means otherwise they are just remembering words that have no meaning to them and could be considered as a rote learning activity. Therefore, it is important to base the text on something the learners find interesting, have experienced or are learning about in a different subject (Corbett and Strong, 2011). Generative grammar is the underlying principle that allows this approach to be successful and it cannot work without an understanding of the text. It is the process of the brain internalising the different language patterns being repeated through the constant hearing of the words and phrases to the point that the individual learner can reuse the patterns to form different sentences (Corbett and Strong, 2011). For example, a child repeating the sentence ‘We need to discuss whether or not we should play football in P.E.’ could use the language pattern to form a new statement such as ‘We need to discuss whether or not we should go to Oakwood on the school trip’.</w:t>
      </w:r>
    </w:p>
    <w:p w:rsidR="2C9A0E8C" w:rsidP="36B231C1" w:rsidRDefault="2C9A0E8C" w14:paraId="6E4E08A4" w14:textId="3DD64C64"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 xml:space="preserve">Once students are familiar with the models of text they studied, the innovation stage begins. A teacher can present a new subject and lead students through planning, which with younger learners is based on changing the </w:t>
      </w:r>
      <w:r w:rsidRPr="36B231C1" w:rsidR="36B231C1">
        <w:rPr>
          <w:rFonts w:ascii="Calibri" w:hAnsi="Calibri" w:eastAsia="Calibri" w:cs="Calibri" w:asciiTheme="minorAscii" w:hAnsiTheme="minorAscii" w:eastAsiaTheme="minorAscii" w:cstheme="minorAscii"/>
          <w:noProof w:val="0"/>
          <w:lang w:val="en-GB"/>
        </w:rPr>
        <w:t>text</w:t>
      </w: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 xml:space="preserve">map </w:t>
      </w:r>
      <w:r w:rsidRPr="36B231C1" w:rsidR="36B231C1">
        <w:rPr>
          <w:rFonts w:ascii="Calibri" w:hAnsi="Calibri" w:eastAsia="Calibri" w:cs="Calibri" w:asciiTheme="minorAscii" w:hAnsiTheme="minorAscii" w:eastAsiaTheme="minorAscii" w:cstheme="minorAscii"/>
          <w:noProof w:val="0"/>
          <w:lang w:val="en-GB"/>
        </w:rPr>
        <w:t>to suit the new idea and retelling new versions while using the language structures and patterns previously shown and learned. Learners’ writing will be guided over several days and they would be writing bit by bit ensuring they are bringing all the elements together and making sure their writing is effective and accurate as they go along. Feedback should be given as they go so learners can continually improve throughout this stage to the point where they can look at and edit their own writing in pairs or on their own</w:t>
      </w: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(talk4writing.co.uk/about, 2019).</w:t>
      </w:r>
      <w:r w:rsidRPr="36B231C1" w:rsidR="36B231C1">
        <w:rPr>
          <w:rFonts w:ascii="Calibri" w:hAnsi="Calibri" w:eastAsia="Calibri" w:cs="Calibri" w:asciiTheme="minorAscii" w:hAnsiTheme="minorAscii" w:eastAsiaTheme="minorAscii" w:cstheme="minorAscii"/>
          <w:noProof w:val="0"/>
          <w:lang w:val="en-GB"/>
        </w:rPr>
        <w:t xml:space="preserve"> In this stage it is useful for all learners to have access to the original text with annotations, giving learners reminders about key themes of patterns or different techniques used to help guide their new text. Learners should be referring to the original often to see if they are using the language patterns correctly or to see if they have not included any that they could put in. It is also recommended that pairs stand up in front of the class to recite their text. (Corbett and Strong, 2011). Not only does this develop confidence, it allows other learners to give feedback so there is a range of feedback and ideas being streamed into the text. Furthermore, playing spelling and sentence games are also beneficial in this stage to give learners the oral and written practice they need for their text. Drama and roleplay games help build the learners’ oral ability and encourages them to access the new language patterns they have been learning (Corbett and Strong, 2011).</w:t>
      </w:r>
    </w:p>
    <w:p w:rsidR="2C9A0E8C" w:rsidP="36B231C1" w:rsidRDefault="2C9A0E8C" w14:paraId="64720ED8" w14:textId="2DF3696A"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 The independent application stage is where the learners independently apply the skills they have been developing. The learners are guided through the independent planning and drafting of their work before beginning this ‘hot’ task. In this stage, the writing topic should be something that students know about, have experienced or interests them as this will give their writing a sense of purpose. If the writing is non-fiction, it is important for students to write about something they have been taught under the curriculum to give it relevance and further their understanding of their studies. In this stage, the student’s writing should begin to look more like their own work rather than a copy of the previous models studied with younger learners making a few simple changes and older learners being able to manipulate the structures and patterns used to their advantage (talk4writing.co.uk/about, 2019). For example, if the first text studied in the imitation phase was instructions on looking after a dog and in the innovation stage the learners used that text to make instructions on looking after a cat, this stage could allow them to write their own instructions for looking after any animal they choose, based on their own interests or experience. This should result in learners each having their own individual texts for instructions on looking after a range of animals but using the same language patterns they have been learning. The teacher can still use shared writing guidelines for the class and after the innovation stage the teacher can focus the guidelines on aspects of the writing</w:t>
      </w:r>
      <w:r w:rsidRPr="36B231C1" w:rsidR="36B231C1">
        <w:rPr>
          <w:rFonts w:ascii="Calibri" w:hAnsi="Calibri" w:eastAsia="Calibri" w:cs="Calibri" w:asciiTheme="minorAscii" w:hAnsiTheme="minorAscii" w:eastAsiaTheme="minorAscii" w:cstheme="minorAscii"/>
          <w:noProof w:val="0"/>
          <w:lang w:val="en-GB"/>
        </w:rPr>
        <w:t>,</w:t>
      </w:r>
      <w:r w:rsidRPr="36B231C1" w:rsidR="36B231C1">
        <w:rPr>
          <w:rFonts w:ascii="Calibri" w:hAnsi="Calibri" w:eastAsia="Calibri" w:cs="Calibri" w:asciiTheme="minorAscii" w:hAnsiTheme="minorAscii" w:eastAsiaTheme="minorAscii" w:cstheme="minorAscii"/>
          <w:noProof w:val="0"/>
          <w:lang w:val="en-GB"/>
        </w:rPr>
        <w:t xml:space="preserve"> they feel need reinforcing.</w:t>
      </w:r>
      <w:r w:rsidRPr="36B231C1" w:rsidR="36B231C1">
        <w:rPr>
          <w:rFonts w:ascii="Calibri" w:hAnsi="Calibri" w:eastAsia="Calibri" w:cs="Calibri" w:asciiTheme="minorAscii" w:hAnsiTheme="minorAscii" w:eastAsiaTheme="minorAscii" w:cstheme="minorAscii"/>
          <w:noProof w:val="0"/>
          <w:lang w:val="en-GB"/>
        </w:rPr>
        <w:t xml:space="preserve"> The teacher can also include several different model texts by different writers to inspire the children to keep developing their writing (Corbett and Strong, 2011). For example, by showing the class different texts of instructions, learners’ can use the texts to influence their layout and language patterns in their own instructions. </w:t>
      </w:r>
    </w:p>
    <w:p w:rsidR="7785995E" w:rsidP="36B231C1" w:rsidRDefault="7785995E" w14:paraId="1F173C4F" w14:textId="27153094">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 xml:space="preserve">The Talk for Writing approach has elements </w:t>
      </w:r>
      <w:proofErr w:type="gramStart"/>
      <w:r w:rsidRPr="36B231C1" w:rsidR="36B231C1">
        <w:rPr>
          <w:rFonts w:ascii="Calibri" w:hAnsi="Calibri" w:eastAsia="Calibri" w:cs="Calibri" w:asciiTheme="minorAscii" w:hAnsiTheme="minorAscii" w:eastAsiaTheme="minorAscii" w:cstheme="minorAscii"/>
          <w:noProof w:val="0"/>
          <w:lang w:val="en-GB"/>
        </w:rPr>
        <w:t>similar to</w:t>
      </w:r>
      <w:proofErr w:type="gramEnd"/>
      <w:r w:rsidRPr="36B231C1" w:rsidR="36B231C1">
        <w:rPr>
          <w:rFonts w:ascii="Calibri" w:hAnsi="Calibri" w:eastAsia="Calibri" w:cs="Calibri" w:asciiTheme="minorAscii" w:hAnsiTheme="minorAscii" w:eastAsiaTheme="minorAscii" w:cstheme="minorAscii"/>
          <w:noProof w:val="0"/>
          <w:lang w:val="en-GB"/>
        </w:rPr>
        <w:t xml:space="preserve"> Self-Regulated Strategy Development (SRSD), the effectiveness for which is supported by ‘strong evidence’ in an analysis of research from the Department of Education in Washington. Strong SRSD elements include strategies and techniques to shape writing for different purposes, which is key to teaching writing so learners can write with meaning, and pupil self-evaluation and self-reinforcement, which is important when writing as it shows an understanding of the writing a learner is working on. (Beard, 2015). Talk for Writing practices have been shown to be similarly effective with SRSD and have similar theoretical foundations. Talk for Writing has its own distinctive elements also including the detail of attention paid to the mastery of model texts through the memorisation, which is adapting practices that are validated in teaching second languages (Beard, 2015).</w:t>
      </w:r>
      <w:r w:rsidRPr="36B231C1" w:rsidR="36B231C1">
        <w:rPr>
          <w:rFonts w:ascii="Calibri" w:hAnsi="Calibri" w:eastAsia="Calibri" w:cs="Calibri" w:asciiTheme="minorAscii" w:hAnsiTheme="minorAscii" w:eastAsiaTheme="minorAscii" w:cstheme="minorAscii"/>
          <w:noProof w:val="0"/>
          <w:lang w:val="en-GB"/>
        </w:rPr>
        <w:t xml:space="preserve"> </w:t>
      </w:r>
      <w:r w:rsidRPr="36B231C1" w:rsidR="36B231C1">
        <w:rPr>
          <w:rFonts w:ascii="Calibri" w:hAnsi="Calibri" w:eastAsia="Calibri" w:cs="Calibri" w:asciiTheme="minorAscii" w:hAnsiTheme="minorAscii" w:eastAsiaTheme="minorAscii" w:cstheme="minorAscii"/>
          <w:noProof w:val="0"/>
          <w:lang w:val="en-GB"/>
        </w:rPr>
        <w:t>The Department for Education (2008) investigated the effectiveness of Talk for Writing in primary school classes. In a case study on a year one class, the teacher found that listening back to spoken sentences and redrafting them orally allowed creativity to flow for the children without the pressure of writing down everything that came into their heads straight away. The idea throughout the class was the first thought may not be the best, but the last one could be fantastic, which would have taken the pressure off learners that took longer to create their own sentences in the innovation stage. The class used a mantra of: ‘Think it, say it, hear it, like it? Write it!’ to help replace duller words in the phrases with more exciting ones to develop and enrich the class’ vocabulary</w:t>
      </w:r>
      <w:r w:rsidRPr="36B231C1" w:rsidR="36B231C1">
        <w:rPr>
          <w:rFonts w:ascii="Calibri" w:hAnsi="Calibri" w:eastAsia="Calibri" w:cs="Calibri" w:asciiTheme="minorAscii" w:hAnsiTheme="minorAscii" w:eastAsiaTheme="minorAscii" w:cstheme="minorAscii"/>
          <w:noProof w:val="0"/>
          <w:lang w:val="en-GB"/>
        </w:rPr>
        <w:t>. The class was reported as being eager to record their ideas orally and listen back to them helping to motivate them to create something that is meaningful to them that is worth recording. (Department for Education, 2008). In the same report, they noted that Talk for Writing makes a strong contribution to all children, including those with additional learning needs, those who speak English as a second/additional language as well as more gifted and talented children. Children from different backgrounds get the opportunity to tell stories from their cultural heritage which can motivate them and keep them engaged during lesson. Children with additional learning needs can be supported in a variety of ways using this approach depending on the type of support they require such as technological aids or teaching assistants to act as a scribe if they are unable to write independently. Independence is encouraged through this approach allowing more gifted and talented students the creative freedom to experiment and take risks with their writing as playfulness with language and ideas is encouraged (Department of Education, 2008).</w:t>
      </w:r>
    </w:p>
    <w:p w:rsidR="7785995E" w:rsidP="36B231C1" w:rsidRDefault="7785995E" w14:paraId="7C27F853" w14:textId="3EA107E9" w14:noSpellErr="1">
      <w:pPr>
        <w:pStyle w:val="Normal"/>
        <w:spacing w:before="120" w:beforeAutospacing="off" w:after="160" w:afterAutospacing="off" w:line="360" w:lineRule="auto"/>
        <w:ind/>
        <w:rPr>
          <w:rFonts w:ascii="Calibri" w:hAnsi="Calibri" w:eastAsia="Calibri" w:cs="Calibri" w:asciiTheme="minorAscii" w:hAnsiTheme="minorAscii" w:eastAsiaTheme="minorAscii" w:cstheme="minorAscii"/>
          <w:noProof w:val="0"/>
          <w:lang w:val="en-GB"/>
        </w:rPr>
      </w:pPr>
      <w:r w:rsidRPr="36B231C1" w:rsidR="36B231C1">
        <w:rPr>
          <w:rFonts w:ascii="Calibri" w:hAnsi="Calibri" w:eastAsia="Calibri" w:cs="Calibri" w:asciiTheme="minorAscii" w:hAnsiTheme="minorAscii" w:eastAsiaTheme="minorAscii" w:cstheme="minorAscii"/>
          <w:noProof w:val="0"/>
          <w:lang w:val="en-GB"/>
        </w:rPr>
        <w:t>This approach supports writing in the curriculum which is a major element of literacy. Success in literacy can lead to success across the curriculum as it is an important aspect of learning and having better writing techniques and a stronger vocabulary can enrich learning in a range of different subjects. When Talk for Writing is used appropriately and effectively it helps learners understand the meaning of text and how different language structures and patterns can help convey the meaning and objective of their writing, rather than learners simply learning the mechanics to writing alone. It allows pupils to work independently as well as in pairs whilst receiving feedback from their teachers as well as their peers throughout the approach allowing them to develop their text to their potential, as well as gaining analysis skills when giving the feedback. The approach is inclusive and effective for children regardless of their English language skills and ability. The successes mentioned show the effectiveness this approach has on learners’ literacy skills which will improve their performance when they move up to secondary school and widen their career options as they get older.</w:t>
      </w:r>
    </w:p>
    <w:p w:rsidR="36B231C1" w:rsidP="36B231C1" w:rsidRDefault="36B231C1" w14:paraId="7E6D3A72" w14:textId="1A7B36C2">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u w:val="single"/>
          <w:lang w:val="en-GB"/>
        </w:rPr>
      </w:pPr>
      <w:r w:rsidRPr="36B231C1" w:rsidR="36B231C1">
        <w:rPr>
          <w:rFonts w:ascii="Calibri" w:hAnsi="Calibri" w:eastAsia="Calibri" w:cs="Calibri" w:asciiTheme="minorAscii" w:hAnsiTheme="minorAscii" w:eastAsiaTheme="minorAscii" w:cstheme="minorAscii"/>
          <w:noProof w:val="0"/>
          <w:u w:val="single"/>
          <w:lang w:val="en-GB"/>
        </w:rPr>
        <w:t>References</w:t>
      </w:r>
    </w:p>
    <w:p w:rsidR="36B231C1" w:rsidP="36B231C1" w:rsidRDefault="36B231C1" w14:paraId="65A047D0" w14:textId="7D78A504">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sz w:val="22"/>
          <w:szCs w:val="22"/>
          <w:lang w:val="en-GB"/>
        </w:rPr>
        <w:t xml:space="preserve">Beard, R., 2015, </w:t>
      </w:r>
      <w:r w:rsidRPr="36B231C1" w:rsidR="36B231C1">
        <w:rPr>
          <w:rFonts w:ascii="Calibri" w:hAnsi="Calibri" w:eastAsia="Calibri" w:cs="Calibri" w:asciiTheme="minorAscii" w:hAnsiTheme="minorAscii" w:eastAsiaTheme="minorAscii" w:cstheme="minorAscii"/>
          <w:i w:val="1"/>
          <w:iCs w:val="1"/>
          <w:noProof w:val="0"/>
          <w:sz w:val="22"/>
          <w:szCs w:val="22"/>
          <w:lang w:val="en-GB"/>
        </w:rPr>
        <w:t>Talk for Writing: Review of related research</w:t>
      </w:r>
      <w:r w:rsidRPr="36B231C1" w:rsidR="36B231C1">
        <w:rPr>
          <w:rFonts w:ascii="Calibri" w:hAnsi="Calibri" w:eastAsia="Calibri" w:cs="Calibri" w:asciiTheme="minorAscii" w:hAnsiTheme="minorAscii" w:eastAsiaTheme="minorAscii" w:cstheme="minorAscii"/>
          <w:i w:val="0"/>
          <w:iCs w:val="0"/>
          <w:noProof w:val="0"/>
          <w:sz w:val="22"/>
          <w:szCs w:val="22"/>
          <w:lang w:val="en-GB"/>
        </w:rPr>
        <w:t xml:space="preserve">, [online] available at </w:t>
      </w:r>
      <w:hyperlink r:id="R02b62578efad498d">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https://pdfs.semanticscholar.org/682f/ec9b92acdb7ca7268f4b5f1f03940385ec19.pdf</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14/04/19.</w:t>
      </w:r>
    </w:p>
    <w:p w:rsidR="36B231C1" w:rsidP="36B231C1" w:rsidRDefault="36B231C1" w14:paraId="7143854E" w14:textId="5F538519">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Department for Education, 2008,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Talk for writing</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[online] available at </w:t>
      </w:r>
      <w:hyperlink r:id="R6744adf051c14f09">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https://webarchive.nationalarchives.gov.uk/20130323063703/https://www.education.gov.uk/publications/eOrderingDownload/DCSF-00467-2008.pdf</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14/04/19.</w:t>
      </w:r>
    </w:p>
    <w:p w:rsidR="36B231C1" w:rsidP="36B231C1" w:rsidRDefault="36B231C1" w14:paraId="2D89D2B7" w14:textId="7DECCD50">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sz w:val="22"/>
          <w:szCs w:val="22"/>
          <w:lang w:val="en-GB"/>
        </w:rPr>
        <w:t xml:space="preserve">Estyn, 2014, </w:t>
      </w:r>
      <w:r w:rsidRPr="36B231C1" w:rsidR="36B231C1">
        <w:rPr>
          <w:rFonts w:ascii="Calibri" w:hAnsi="Calibri" w:eastAsia="Calibri" w:cs="Calibri" w:asciiTheme="minorAscii" w:hAnsiTheme="minorAscii" w:eastAsiaTheme="minorAscii" w:cstheme="minorAscii"/>
          <w:i w:val="1"/>
          <w:iCs w:val="1"/>
          <w:noProof w:val="0"/>
          <w:sz w:val="22"/>
          <w:szCs w:val="22"/>
          <w:lang w:val="en-GB"/>
        </w:rPr>
        <w:t>Raising standards in literacy and numeracy</w:t>
      </w:r>
      <w:r w:rsidRPr="36B231C1" w:rsidR="36B231C1">
        <w:rPr>
          <w:rFonts w:ascii="Calibri" w:hAnsi="Calibri" w:eastAsia="Calibri" w:cs="Calibri" w:asciiTheme="minorAscii" w:hAnsiTheme="minorAscii" w:eastAsiaTheme="minorAscii" w:cstheme="minorAscii"/>
          <w:i w:val="0"/>
          <w:iCs w:val="0"/>
          <w:noProof w:val="0"/>
          <w:sz w:val="22"/>
          <w:szCs w:val="22"/>
          <w:lang w:val="en-GB"/>
        </w:rPr>
        <w:t xml:space="preserve">, [online] available at </w:t>
      </w:r>
      <w:hyperlink r:id="R5b3874693c0e4fff">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https://www.estyn.gov.wales/effective-practice/raising-standards-literacy-and-numeracy</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10/04/19.</w:t>
      </w:r>
    </w:p>
    <w:p w:rsidR="36B231C1" w:rsidP="36B231C1" w:rsidRDefault="36B231C1" w14:paraId="4BF1C057" w14:textId="42B6DEF5">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sz w:val="22"/>
          <w:szCs w:val="22"/>
          <w:lang w:val="en-GB"/>
        </w:rPr>
        <w:t xml:space="preserve">Jones, A., 2015, </w:t>
      </w:r>
      <w:r w:rsidRPr="36B231C1" w:rsidR="36B231C1">
        <w:rPr>
          <w:rFonts w:ascii="Calibri" w:hAnsi="Calibri" w:eastAsia="Calibri" w:cs="Calibri" w:asciiTheme="minorAscii" w:hAnsiTheme="minorAscii" w:eastAsiaTheme="minorAscii" w:cstheme="minorAscii"/>
          <w:i w:val="1"/>
          <w:iCs w:val="1"/>
          <w:noProof w:val="0"/>
          <w:sz w:val="22"/>
          <w:szCs w:val="22"/>
          <w:lang w:val="en-GB"/>
        </w:rPr>
        <w:t>Estyn: Literacy and numeracy standards progress ‘modest’</w:t>
      </w:r>
      <w:r w:rsidRPr="36B231C1" w:rsidR="36B231C1">
        <w:rPr>
          <w:rFonts w:ascii="Calibri" w:hAnsi="Calibri" w:eastAsia="Calibri" w:cs="Calibri" w:asciiTheme="minorAscii" w:hAnsiTheme="minorAscii" w:eastAsiaTheme="minorAscii" w:cstheme="minorAscii"/>
          <w:i w:val="0"/>
          <w:iCs w:val="0"/>
          <w:noProof w:val="0"/>
          <w:sz w:val="22"/>
          <w:szCs w:val="22"/>
          <w:lang w:val="en-GB"/>
        </w:rPr>
        <w:t xml:space="preserve">, [online] available at </w:t>
      </w:r>
      <w:hyperlink r:id="Rfb13aec33a204f3b">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https://www.bbc.co.uk/news/uk-wales-30778644</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09/04/19.</w:t>
      </w:r>
    </w:p>
    <w:p w:rsidR="36B231C1" w:rsidP="36B231C1" w:rsidRDefault="36B231C1" w14:paraId="71DAD96C" w14:textId="3697878F">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Mallet, J., 2012, ‘The exploration of the implementation of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Talk for Writing</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in a Year 4 class’,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International Journal of Primary, Elementary and Early Years Education</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vol. 41, </w:t>
      </w:r>
      <w:proofErr w:type="spellStart"/>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iss</w:t>
      </w:r>
      <w:proofErr w:type="spellEnd"/>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1, pp. 23-31.</w:t>
      </w:r>
    </w:p>
    <w:p w:rsidR="36B231C1" w:rsidP="36B231C1" w:rsidRDefault="36B231C1" w14:paraId="13AAECFC" w14:textId="5203D1E0">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National Literacy Trust, 2017,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 xml:space="preserve">What is </w:t>
      </w:r>
      <w:proofErr w:type="gramStart"/>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Literacy?</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w:t>
      </w:r>
      <w:proofErr w:type="gramEnd"/>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[online] available at </w:t>
      </w:r>
      <w:hyperlink r:id="R5dc4fefe0c7847f5">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https://literacytrust.org.uk/information/what-is-literacy/</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10/04/19.</w:t>
      </w:r>
    </w:p>
    <w:p w:rsidR="36B231C1" w:rsidP="36B231C1" w:rsidRDefault="36B231C1" w14:paraId="67C7DCED" w14:textId="3E7A4C1D">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sz w:val="22"/>
          <w:szCs w:val="22"/>
          <w:lang w:val="en-GB"/>
        </w:rPr>
      </w:pPr>
      <w:r w:rsidRPr="36B231C1" w:rsidR="36B231C1">
        <w:rPr>
          <w:rFonts w:ascii="Calibri" w:hAnsi="Calibri" w:eastAsia="Calibri" w:cs="Calibri" w:asciiTheme="minorAscii" w:hAnsiTheme="minorAscii" w:eastAsiaTheme="minorAscii" w:cstheme="minorAscii"/>
          <w:noProof w:val="0"/>
          <w:sz w:val="22"/>
          <w:szCs w:val="22"/>
          <w:lang w:val="en-GB"/>
        </w:rPr>
        <w:t xml:space="preserve">Palmer, P. &amp; Corbett, P. (2003) </w:t>
      </w:r>
      <w:r w:rsidRPr="36B231C1" w:rsidR="36B231C1">
        <w:rPr>
          <w:rFonts w:ascii="Calibri" w:hAnsi="Calibri" w:eastAsia="Calibri" w:cs="Calibri" w:asciiTheme="minorAscii" w:hAnsiTheme="minorAscii" w:eastAsiaTheme="minorAscii" w:cstheme="minorAscii"/>
          <w:i w:val="1"/>
          <w:iCs w:val="1"/>
          <w:noProof w:val="0"/>
          <w:sz w:val="22"/>
          <w:szCs w:val="22"/>
          <w:lang w:val="en-GB"/>
        </w:rPr>
        <w:t xml:space="preserve">Literacy: What </w:t>
      </w:r>
      <w:proofErr w:type="gramStart"/>
      <w:r w:rsidRPr="36B231C1" w:rsidR="36B231C1">
        <w:rPr>
          <w:rFonts w:ascii="Calibri" w:hAnsi="Calibri" w:eastAsia="Calibri" w:cs="Calibri" w:asciiTheme="minorAscii" w:hAnsiTheme="minorAscii" w:eastAsiaTheme="minorAscii" w:cstheme="minorAscii"/>
          <w:i w:val="1"/>
          <w:iCs w:val="1"/>
          <w:noProof w:val="0"/>
          <w:sz w:val="22"/>
          <w:szCs w:val="22"/>
          <w:lang w:val="en-GB"/>
        </w:rPr>
        <w:t>Works?</w:t>
      </w:r>
      <w:r w:rsidRPr="36B231C1" w:rsidR="36B231C1">
        <w:rPr>
          <w:rFonts w:ascii="Calibri" w:hAnsi="Calibri" w:eastAsia="Calibri" w:cs="Calibri" w:asciiTheme="minorAscii" w:hAnsiTheme="minorAscii" w:eastAsiaTheme="minorAscii" w:cstheme="minorAscii"/>
          <w:i w:val="0"/>
          <w:iCs w:val="0"/>
          <w:noProof w:val="0"/>
          <w:sz w:val="22"/>
          <w:szCs w:val="22"/>
          <w:lang w:val="en-GB"/>
        </w:rPr>
        <w:t>,</w:t>
      </w:r>
      <w:proofErr w:type="gramEnd"/>
      <w:r w:rsidRPr="36B231C1" w:rsidR="36B231C1">
        <w:rPr>
          <w:rFonts w:ascii="Calibri" w:hAnsi="Calibri" w:eastAsia="Calibri" w:cs="Calibri" w:asciiTheme="minorAscii" w:hAnsiTheme="minorAscii" w:eastAsiaTheme="minorAscii" w:cstheme="minorAscii"/>
          <w:i w:val="0"/>
          <w:iCs w:val="0"/>
          <w:noProof w:val="0"/>
          <w:sz w:val="22"/>
          <w:szCs w:val="22"/>
          <w:lang w:val="en-GB"/>
        </w:rPr>
        <w:t xml:space="preserve"> Cheltenham: Nelson Thornes.</w:t>
      </w:r>
    </w:p>
    <w:p w:rsidR="36B231C1" w:rsidP="36B231C1" w:rsidRDefault="36B231C1" w14:paraId="10B7B3E5" w14:textId="222F7C07">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sz w:val="22"/>
          <w:szCs w:val="22"/>
          <w:u w:val="none"/>
          <w:lang w:val="en-GB"/>
        </w:rPr>
      </w:pPr>
      <w:r w:rsidRPr="36B231C1" w:rsidR="36B231C1">
        <w:rPr>
          <w:rFonts w:ascii="Calibri" w:hAnsi="Calibri" w:eastAsia="Calibri" w:cs="Calibri" w:asciiTheme="minorAscii" w:hAnsiTheme="minorAscii" w:eastAsiaTheme="minorAscii" w:cstheme="minorAscii"/>
          <w:noProof w:val="0"/>
          <w:sz w:val="22"/>
          <w:szCs w:val="22"/>
          <w:u w:val="none"/>
          <w:lang w:val="en-GB"/>
        </w:rPr>
        <w:t xml:space="preserve">Palmer, S., 2001, </w:t>
      </w:r>
      <w:r w:rsidRPr="36B231C1" w:rsidR="36B231C1">
        <w:rPr>
          <w:rFonts w:ascii="Calibri" w:hAnsi="Calibri" w:eastAsia="Calibri" w:cs="Calibri" w:asciiTheme="minorAscii" w:hAnsiTheme="minorAscii" w:eastAsiaTheme="minorAscii" w:cstheme="minorAscii"/>
          <w:i w:val="1"/>
          <w:iCs w:val="1"/>
          <w:noProof w:val="0"/>
          <w:sz w:val="22"/>
          <w:szCs w:val="22"/>
          <w:u w:val="none"/>
          <w:lang w:val="en-GB"/>
        </w:rPr>
        <w:t>How to Teach Writing Across the Curriculum at Key Stage 2</w:t>
      </w:r>
      <w:r w:rsidRPr="36B231C1" w:rsidR="36B231C1">
        <w:rPr>
          <w:rFonts w:ascii="Calibri" w:hAnsi="Calibri" w:eastAsia="Calibri" w:cs="Calibri" w:asciiTheme="minorAscii" w:hAnsiTheme="minorAscii" w:eastAsiaTheme="minorAscii" w:cstheme="minorAscii"/>
          <w:i w:val="0"/>
          <w:iCs w:val="0"/>
          <w:noProof w:val="0"/>
          <w:sz w:val="22"/>
          <w:szCs w:val="22"/>
          <w:u w:val="none"/>
          <w:lang w:val="en-GB"/>
        </w:rPr>
        <w:t>, London: David Fulton.</w:t>
      </w:r>
    </w:p>
    <w:p w:rsidR="36B231C1" w:rsidP="36B231C1" w:rsidRDefault="36B231C1" w14:paraId="77B4F172" w14:textId="575F23A8">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1"/>
          <w:iCs w:val="1"/>
          <w:noProof w:val="0"/>
          <w:sz w:val="22"/>
          <w:szCs w:val="22"/>
          <w:u w:val="none"/>
          <w:lang w:val="en-GB"/>
        </w:rPr>
      </w:pPr>
      <w:r w:rsidRPr="36B231C1" w:rsidR="36B231C1">
        <w:rPr>
          <w:rFonts w:ascii="Calibri" w:hAnsi="Calibri" w:eastAsia="Calibri" w:cs="Calibri" w:asciiTheme="minorAscii" w:hAnsiTheme="minorAscii" w:eastAsiaTheme="minorAscii" w:cstheme="minorAscii"/>
          <w:i w:val="0"/>
          <w:iCs w:val="0"/>
          <w:noProof w:val="0"/>
          <w:sz w:val="22"/>
          <w:szCs w:val="22"/>
          <w:u w:val="none"/>
          <w:lang w:val="en-GB"/>
        </w:rPr>
        <w:t xml:space="preserve">Pie, C., Strong, J., 2011, </w:t>
      </w:r>
      <w:r w:rsidRPr="36B231C1" w:rsidR="36B231C1">
        <w:rPr>
          <w:rFonts w:ascii="Calibri" w:hAnsi="Calibri" w:eastAsia="Calibri" w:cs="Calibri" w:asciiTheme="minorAscii" w:hAnsiTheme="minorAscii" w:eastAsiaTheme="minorAscii" w:cstheme="minorAscii"/>
          <w:i w:val="1"/>
          <w:iCs w:val="1"/>
          <w:noProof w:val="0"/>
          <w:sz w:val="22"/>
          <w:szCs w:val="22"/>
          <w:u w:val="none"/>
          <w:lang w:val="en-GB"/>
        </w:rPr>
        <w:t xml:space="preserve">Talk for Writing Across the Curriculum: How to teach non-fiction writing to </w:t>
      </w:r>
      <w:proofErr w:type="gramStart"/>
      <w:r w:rsidRPr="36B231C1" w:rsidR="36B231C1">
        <w:rPr>
          <w:rFonts w:ascii="Calibri" w:hAnsi="Calibri" w:eastAsia="Calibri" w:cs="Calibri" w:asciiTheme="minorAscii" w:hAnsiTheme="minorAscii" w:eastAsiaTheme="minorAscii" w:cstheme="minorAscii"/>
          <w:i w:val="1"/>
          <w:iCs w:val="1"/>
          <w:noProof w:val="0"/>
          <w:sz w:val="22"/>
          <w:szCs w:val="22"/>
          <w:u w:val="none"/>
          <w:lang w:val="en-GB"/>
        </w:rPr>
        <w:t>5-12 year</w:t>
      </w:r>
      <w:proofErr w:type="gramEnd"/>
      <w:r w:rsidRPr="36B231C1" w:rsidR="36B231C1">
        <w:rPr>
          <w:rFonts w:ascii="Calibri" w:hAnsi="Calibri" w:eastAsia="Calibri" w:cs="Calibri" w:asciiTheme="minorAscii" w:hAnsiTheme="minorAscii" w:eastAsiaTheme="minorAscii" w:cstheme="minorAscii"/>
          <w:i w:val="1"/>
          <w:iCs w:val="1"/>
          <w:noProof w:val="0"/>
          <w:sz w:val="22"/>
          <w:szCs w:val="22"/>
          <w:u w:val="none"/>
          <w:lang w:val="en-GB"/>
        </w:rPr>
        <w:t xml:space="preserve"> olds</w:t>
      </w:r>
      <w:r w:rsidRPr="36B231C1" w:rsidR="36B231C1">
        <w:rPr>
          <w:rFonts w:ascii="Calibri" w:hAnsi="Calibri" w:eastAsia="Calibri" w:cs="Calibri" w:asciiTheme="minorAscii" w:hAnsiTheme="minorAscii" w:eastAsiaTheme="minorAscii" w:cstheme="minorAscii"/>
          <w:i w:val="0"/>
          <w:iCs w:val="0"/>
          <w:noProof w:val="0"/>
          <w:sz w:val="22"/>
          <w:szCs w:val="22"/>
          <w:u w:val="none"/>
          <w:lang w:val="en-GB"/>
        </w:rPr>
        <w:t>, Maidenhead: Open University Press.</w:t>
      </w:r>
    </w:p>
    <w:p w:rsidR="36B231C1" w:rsidP="36B231C1" w:rsidRDefault="36B231C1" w14:paraId="7DB4DBBF" w14:textId="035FB5C1">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i w:val="0"/>
          <w:iCs w:val="0"/>
          <w:noProof w:val="0"/>
          <w:sz w:val="22"/>
          <w:szCs w:val="22"/>
          <w:u w:val="none"/>
          <w:lang w:val="en-GB"/>
        </w:rPr>
        <w:t xml:space="preserve">Talk for Writing, 2019, </w:t>
      </w:r>
      <w:r w:rsidRPr="36B231C1" w:rsidR="36B231C1">
        <w:rPr>
          <w:rFonts w:ascii="Calibri" w:hAnsi="Calibri" w:eastAsia="Calibri" w:cs="Calibri" w:asciiTheme="minorAscii" w:hAnsiTheme="minorAscii" w:eastAsiaTheme="minorAscii" w:cstheme="minorAscii"/>
          <w:i w:val="1"/>
          <w:iCs w:val="1"/>
          <w:noProof w:val="0"/>
          <w:sz w:val="22"/>
          <w:szCs w:val="22"/>
          <w:u w:val="none"/>
          <w:lang w:val="en-GB"/>
        </w:rPr>
        <w:t>The Talk for Writing Method</w:t>
      </w:r>
      <w:r w:rsidRPr="36B231C1" w:rsidR="36B231C1">
        <w:rPr>
          <w:rFonts w:ascii="Calibri" w:hAnsi="Calibri" w:eastAsia="Calibri" w:cs="Calibri" w:asciiTheme="minorAscii" w:hAnsiTheme="minorAscii" w:eastAsiaTheme="minorAscii" w:cstheme="minorAscii"/>
          <w:i w:val="0"/>
          <w:iCs w:val="0"/>
          <w:noProof w:val="0"/>
          <w:sz w:val="22"/>
          <w:szCs w:val="22"/>
          <w:u w:val="none"/>
          <w:lang w:val="en-GB"/>
        </w:rPr>
        <w:t xml:space="preserve">, [online] available at </w:t>
      </w:r>
      <w:hyperlink r:id="Rb1e0411fc01e49bc">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https://www.talk4writing.co.uk/about</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09/04/10.</w:t>
      </w:r>
    </w:p>
    <w:p w:rsidR="36B231C1" w:rsidP="36B231C1" w:rsidRDefault="36B231C1" w14:paraId="5AA6371E" w14:textId="36FF2574">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Wellington, J., Osborne, J., 2001,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Language and Literacy in Science Education</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Buckingham: Open University Press.</w:t>
      </w:r>
    </w:p>
    <w:p w:rsidR="36B231C1" w:rsidP="36B231C1" w:rsidRDefault="36B231C1" w14:paraId="20E8C379" w14:textId="5AE464B5">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Welsh Government, 2016,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Literacy – Writing across the curriculum</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[online] available at </w:t>
      </w:r>
      <w:hyperlink r:id="R9eac2ae46cc2489a">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https://learning.gov.wales/docs/learningwales/publications/170601-writing-across-the-curriculum.pdf</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09/04/19.</w:t>
      </w:r>
    </w:p>
    <w:p w:rsidR="36B231C1" w:rsidP="36B231C1" w:rsidRDefault="36B231C1" w14:paraId="4F4B2444" w14:textId="02F8E69E">
      <w:pPr>
        <w:pStyle w:val="Normal"/>
        <w:spacing w:before="120" w:beforeAutospacing="off" w:after="160" w:afterAutospacing="off" w:line="360"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Welsh Government, 2016,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National Literacy and Numeracy Framework</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[online] available at </w:t>
      </w:r>
      <w:hyperlink r:id="R869c84da7fac45d5">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https://learning.gov.wales/resources/browse-all/nlnf/?lang=en</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09/04/19.</w:t>
      </w:r>
    </w:p>
    <w:p w:rsidR="36B231C1" w:rsidP="36B231C1" w:rsidRDefault="36B231C1" w14:paraId="12157D88" w14:textId="21ECC50C">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Welsh Government, 2013,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National Literacy and Numeracy Framework: To support schools in introducing the National Literacy and Numeracy Framework</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[online] available at </w:t>
      </w:r>
      <w:hyperlink r:id="R9b61f7517c004552">
        <w:r w:rsidRPr="36B231C1" w:rsidR="36B231C1">
          <w:rPr>
            <w:rStyle w:val="Hyperlink"/>
            <w:rFonts w:ascii="Calibri" w:hAnsi="Calibri" w:eastAsia="Calibri" w:cs="Calibri" w:asciiTheme="minorAscii" w:hAnsiTheme="minorAscii" w:eastAsiaTheme="minorAscii" w:cstheme="minorAscii"/>
            <w:noProof w:val="0"/>
            <w:color w:val="0563C1"/>
            <w:sz w:val="22"/>
            <w:szCs w:val="22"/>
            <w:u w:val="single"/>
            <w:lang w:val="en-GB"/>
          </w:rPr>
          <w:t>https://learning.gov.wales/docs/learningwales/publications/130415-lnf-guidance-en.pdf</w:t>
        </w:r>
      </w:hyperlink>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accessed 10/04/19.</w:t>
      </w:r>
    </w:p>
    <w:p w:rsidR="36B231C1" w:rsidP="36B231C1" w:rsidRDefault="36B231C1" w14:paraId="6394B2FD" w14:textId="7147D718">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noProof w:val="0"/>
          <w:color w:val="auto"/>
          <w:sz w:val="22"/>
          <w:szCs w:val="22"/>
          <w:u w:val="none"/>
          <w:lang w:val="en-GB"/>
        </w:rPr>
        <w:t xml:space="preserve">Whitehead, M., 2007,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Developing Language and Literacy with young Children</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3</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vertAlign w:val="superscript"/>
          <w:lang w:val="en-GB"/>
        </w:rPr>
        <w:t>rd</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ed., London: Paul Chapman.</w:t>
      </w:r>
    </w:p>
    <w:p w:rsidR="36B231C1" w:rsidP="36B231C1" w:rsidRDefault="36B231C1" w14:paraId="0377F93F" w14:textId="53F44212">
      <w:pPr>
        <w:pStyle w:val="Normal"/>
        <w:spacing w:before="120" w:beforeAutospacing="off" w:after="160" w:afterAutospacing="off" w:line="360" w:lineRule="auto"/>
        <w:rPr>
          <w:rFonts w:ascii="Calibri" w:hAnsi="Calibri" w:eastAsia="Calibri" w:cs="Calibri" w:asciiTheme="minorAscii" w:hAnsiTheme="minorAscii" w:eastAsiaTheme="minorAscii" w:cstheme="minorAscii"/>
          <w:i w:val="0"/>
          <w:iCs w:val="0"/>
          <w:noProof w:val="0"/>
          <w:color w:val="auto"/>
          <w:sz w:val="22"/>
          <w:szCs w:val="22"/>
          <w:u w:val="none"/>
          <w:lang w:val="en-GB"/>
        </w:rPr>
      </w:pP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Wray, D., </w:t>
      </w:r>
      <w:r w:rsidRPr="36B231C1" w:rsidR="36B231C1">
        <w:rPr>
          <w:rFonts w:ascii="Calibri" w:hAnsi="Calibri" w:eastAsia="Calibri" w:cs="Calibri" w:asciiTheme="minorAscii" w:hAnsiTheme="minorAscii" w:eastAsiaTheme="minorAscii" w:cstheme="minorAscii"/>
          <w:i w:val="1"/>
          <w:iCs w:val="1"/>
          <w:noProof w:val="0"/>
          <w:color w:val="auto"/>
          <w:sz w:val="22"/>
          <w:szCs w:val="22"/>
          <w:u w:val="none"/>
          <w:lang w:val="en-GB"/>
        </w:rPr>
        <w:t>Teaching Literacy Across the Primary Curriculum</w:t>
      </w:r>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xml:space="preserve">, </w:t>
      </w:r>
      <w:proofErr w:type="spellStart"/>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s.l.</w:t>
      </w:r>
      <w:proofErr w:type="spellEnd"/>
      <w:r w:rsidRPr="36B231C1" w:rsidR="36B231C1">
        <w:rPr>
          <w:rFonts w:ascii="Calibri" w:hAnsi="Calibri" w:eastAsia="Calibri" w:cs="Calibri" w:asciiTheme="minorAscii" w:hAnsiTheme="minorAscii" w:eastAsiaTheme="minorAscii" w:cstheme="minorAscii"/>
          <w:i w:val="0"/>
          <w:iCs w:val="0"/>
          <w:noProof w:val="0"/>
          <w:color w:val="auto"/>
          <w:sz w:val="22"/>
          <w:szCs w:val="22"/>
          <w:u w:val="none"/>
          <w:lang w:val="en-GB"/>
        </w:rPr>
        <w:t>: Learning Matters.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EE4E11B"/>
  <w15:docId w15:val="{8adf545a-cc45-482f-bcc5-2f5012740d2f}"/>
  <w:rsids>
    <w:rsidRoot w:val="20F78E63"/>
    <w:rsid w:val="01A59CCB"/>
    <w:rsid w:val="20F78E63"/>
    <w:rsid w:val="234CF680"/>
    <w:rsid w:val="2BAB31BB"/>
    <w:rsid w:val="2C9A0E8C"/>
    <w:rsid w:val="36164C71"/>
    <w:rsid w:val="36B231C1"/>
    <w:rsid w:val="4E6795D1"/>
    <w:rsid w:val="7785995E"/>
    <w:rsid w:val="7E12E71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dfs.semanticscholar.org/682f/ec9b92acdb7ca7268f4b5f1f03940385ec19.pdf" TargetMode="External" Id="R02b62578efad498d" /><Relationship Type="http://schemas.openxmlformats.org/officeDocument/2006/relationships/hyperlink" Target="https://webarchive.nationalarchives.gov.uk/20130323063703/https://www.education.gov.uk/publications/eOrderingDownload/DCSF-00467-2008.pdf" TargetMode="External" Id="R6744adf051c14f09" /><Relationship Type="http://schemas.openxmlformats.org/officeDocument/2006/relationships/hyperlink" Target="https://www.estyn.gov.wales/effective-practice/raising-standards-literacy-and-numeracy" TargetMode="External" Id="R5b3874693c0e4fff" /><Relationship Type="http://schemas.openxmlformats.org/officeDocument/2006/relationships/hyperlink" Target="https://www.bbc.co.uk/news/uk-wales-30778644" TargetMode="External" Id="Rfb13aec33a204f3b" /><Relationship Type="http://schemas.openxmlformats.org/officeDocument/2006/relationships/hyperlink" Target="https://literacytrust.org.uk/information/what-is-literacy/" TargetMode="External" Id="R5dc4fefe0c7847f5" /><Relationship Type="http://schemas.openxmlformats.org/officeDocument/2006/relationships/hyperlink" Target="https://www.talk4writing.co.uk/about" TargetMode="External" Id="Rb1e0411fc01e49bc" /><Relationship Type="http://schemas.openxmlformats.org/officeDocument/2006/relationships/hyperlink" Target="https://learning.gov.wales/docs/learningwales/publications/170601-writing-across-the-curriculum.pdf" TargetMode="External" Id="R9eac2ae46cc2489a" /><Relationship Type="http://schemas.openxmlformats.org/officeDocument/2006/relationships/hyperlink" Target="https://learning.gov.wales/resources/browse-all/nlnf/?lang=en" TargetMode="External" Id="R869c84da7fac45d5" /><Relationship Type="http://schemas.openxmlformats.org/officeDocument/2006/relationships/hyperlink" Target="https://learning.gov.wales/docs/learningwales/publications/130415-lnf-guidance-en.pdf" TargetMode="External" Id="R9b61f7517c0045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Sanderson (1500893)</dc:creator>
  <keywords/>
  <dc:description/>
  <lastModifiedBy>Joseph Sanderson (1500893)</lastModifiedBy>
  <revision>10</revision>
  <dcterms:created xsi:type="dcterms:W3CDTF">2019-04-05T10:55:58.3412069Z</dcterms:created>
  <dcterms:modified xsi:type="dcterms:W3CDTF">2019-05-08T13:03:06.9851692Z</dcterms:modified>
</coreProperties>
</file>