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7A27DDB7" w:rsidR="00DD5969" w:rsidRPr="00C86756" w:rsidRDefault="00DD5969" w:rsidP="00DD5969">
      <w:pPr>
        <w:spacing w:before="212"/>
        <w:rPr>
          <w:rFonts w:ascii="Arial"/>
          <w:b/>
          <w:sz w:val="48"/>
          <w:szCs w:val="48"/>
        </w:rPr>
      </w:pPr>
      <w:r w:rsidRPr="00C86756">
        <w:rPr>
          <w:rFonts w:ascii="Arial"/>
          <w:b/>
          <w:sz w:val="48"/>
          <w:szCs w:val="48"/>
        </w:rPr>
        <w:t xml:space="preserve">MODULE </w:t>
      </w:r>
      <w:r w:rsidR="00643551" w:rsidRPr="00C86756">
        <w:rPr>
          <w:rFonts w:ascii="Arial"/>
          <w:b/>
          <w:sz w:val="48"/>
          <w:szCs w:val="48"/>
        </w:rPr>
        <w:t>CODE: ECAD</w:t>
      </w:r>
      <w:r w:rsidR="0000375B" w:rsidRPr="00C86756">
        <w:rPr>
          <w:rFonts w:ascii="Arial"/>
          <w:b/>
          <w:sz w:val="48"/>
          <w:szCs w:val="48"/>
        </w:rPr>
        <w:t>401</w:t>
      </w:r>
      <w:r w:rsidR="00C86756">
        <w:rPr>
          <w:rFonts w:ascii="Arial"/>
          <w:b/>
          <w:sz w:val="48"/>
          <w:szCs w:val="48"/>
        </w:rPr>
        <w:t>5</w:t>
      </w:r>
    </w:p>
    <w:p w14:paraId="5051A2D5" w14:textId="77777777" w:rsidR="00347EA1" w:rsidRPr="00C86756" w:rsidRDefault="00347EA1" w:rsidP="00DD5969">
      <w:pPr>
        <w:spacing w:before="212"/>
        <w:rPr>
          <w:rFonts w:ascii="Arial"/>
          <w:b/>
          <w:sz w:val="48"/>
          <w:szCs w:val="48"/>
        </w:rPr>
      </w:pPr>
    </w:p>
    <w:p w14:paraId="7681432B" w14:textId="314C055A" w:rsidR="00DD5969" w:rsidRPr="00DD5969" w:rsidRDefault="00DD5969" w:rsidP="00DD5969">
      <w:pPr>
        <w:spacing w:before="3"/>
        <w:rPr>
          <w:rFonts w:ascii="Arial"/>
          <w:b/>
          <w:sz w:val="48"/>
          <w:szCs w:val="48"/>
        </w:rPr>
      </w:pPr>
      <w:r w:rsidRPr="00DD5969">
        <w:rPr>
          <w:rFonts w:ascii="Arial"/>
          <w:b/>
          <w:sz w:val="48"/>
          <w:szCs w:val="48"/>
        </w:rPr>
        <w:t>STUDENT NAME:</w:t>
      </w:r>
      <w:r w:rsidR="00643551">
        <w:rPr>
          <w:rFonts w:ascii="Arial"/>
          <w:b/>
          <w:sz w:val="48"/>
          <w:szCs w:val="48"/>
        </w:rPr>
        <w:t xml:space="preserve"> Olivia Flower</w:t>
      </w:r>
    </w:p>
    <w:p w14:paraId="0D16D138" w14:textId="77777777" w:rsidR="00DD5969" w:rsidRPr="00DD5969" w:rsidRDefault="00DD5969" w:rsidP="00DD5969">
      <w:pPr>
        <w:spacing w:before="3"/>
        <w:rPr>
          <w:rFonts w:ascii="Arial"/>
          <w:b/>
          <w:sz w:val="48"/>
          <w:szCs w:val="48"/>
        </w:rPr>
      </w:pPr>
    </w:p>
    <w:p w14:paraId="18107AFF" w14:textId="45348EF1"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43551">
        <w:rPr>
          <w:rFonts w:ascii="Arial"/>
          <w:b/>
          <w:sz w:val="48"/>
          <w:szCs w:val="48"/>
        </w:rPr>
        <w:t xml:space="preserve"> 2404165</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4121D0F7" w14:textId="77777777" w:rsidR="00B103B9" w:rsidRDefault="00B103B9" w:rsidP="00DD5969"/>
    <w:p w14:paraId="154EB214" w14:textId="77777777" w:rsidR="00E243A8" w:rsidRDefault="00E243A8" w:rsidP="00DD5969"/>
    <w:p w14:paraId="187A0FDC" w14:textId="77777777" w:rsidR="00B103B9" w:rsidRDefault="00B103B9" w:rsidP="00DD5969"/>
    <w:p w14:paraId="5DE045AC" w14:textId="77777777" w:rsidR="00E10797" w:rsidRDefault="00E10797" w:rsidP="00DD5969"/>
    <w:p w14:paraId="790AB640" w14:textId="77777777" w:rsidR="00E10797" w:rsidRDefault="00E10797" w:rsidP="00DD5969"/>
    <w:p w14:paraId="31507470" w14:textId="77777777" w:rsidR="00C2550A" w:rsidRDefault="00C2550A" w:rsidP="00DD5969"/>
    <w:p w14:paraId="4DF22479" w14:textId="77777777" w:rsidR="000C541C" w:rsidRDefault="000C541C" w:rsidP="00DD5969"/>
    <w:p w14:paraId="1BDE1E8E" w14:textId="77777777" w:rsidR="00643551" w:rsidRDefault="00643551" w:rsidP="00DD5969"/>
    <w:p w14:paraId="44D84A95" w14:textId="77777777" w:rsidR="00643551" w:rsidRDefault="00643551" w:rsidP="00DD5969"/>
    <w:p w14:paraId="2329A29C" w14:textId="77777777" w:rsidR="00643551" w:rsidRDefault="00643551" w:rsidP="00DD5969"/>
    <w:p w14:paraId="0D8EBE82" w14:textId="77777777" w:rsidR="00643551" w:rsidRDefault="00643551" w:rsidP="00DD5969"/>
    <w:p w14:paraId="060B6ECF" w14:textId="77777777" w:rsidR="00643551" w:rsidRDefault="00643551" w:rsidP="00DD5969"/>
    <w:p w14:paraId="373A8386" w14:textId="77777777" w:rsidR="00643551" w:rsidRDefault="00643551" w:rsidP="00DD5969">
      <w:pPr>
        <w:rPr>
          <w:sz w:val="16"/>
          <w:szCs w:val="16"/>
        </w:rPr>
      </w:pPr>
    </w:p>
    <w:p w14:paraId="6E7759F1" w14:textId="77777777" w:rsidR="0000375B" w:rsidRDefault="0000375B">
      <w:pPr>
        <w:rPr>
          <w:sz w:val="16"/>
          <w:szCs w:val="16"/>
        </w:rPr>
      </w:pPr>
    </w:p>
    <w:p w14:paraId="053AAD8E" w14:textId="77777777" w:rsidR="0000375B" w:rsidRDefault="0000375B">
      <w:pPr>
        <w:rPr>
          <w:sz w:val="16"/>
          <w:szCs w:val="16"/>
        </w:rPr>
      </w:pP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154171D" w14:textId="77777777" w:rsidR="0000375B" w:rsidRDefault="0000375B">
      <w:pPr>
        <w:rPr>
          <w:b/>
          <w:bCs/>
        </w:rPr>
      </w:pPr>
      <w:r w:rsidRPr="0000375B">
        <w:rPr>
          <w:b/>
          <w:bCs/>
        </w:rPr>
        <w:lastRenderedPageBreak/>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0000375B">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0000375B">
        <w:tc>
          <w:tcPr>
            <w:tcW w:w="4508" w:type="dxa"/>
          </w:tcPr>
          <w:p w14:paraId="52EB84A3" w14:textId="77777777" w:rsidR="0000375B" w:rsidRDefault="0000375B" w:rsidP="00DD5969">
            <w:pPr>
              <w:rPr>
                <w:sz w:val="16"/>
                <w:szCs w:val="16"/>
              </w:rPr>
            </w:pPr>
          </w:p>
          <w:p w14:paraId="76BEE28D" w14:textId="244067ED" w:rsidR="0000375B" w:rsidRDefault="00643551" w:rsidP="00DD5969">
            <w:pPr>
              <w:rPr>
                <w:sz w:val="16"/>
                <w:szCs w:val="16"/>
              </w:rPr>
            </w:pPr>
            <w:r w:rsidRPr="00643551">
              <w:rPr>
                <w:sz w:val="16"/>
                <w:szCs w:val="16"/>
              </w:rPr>
              <w:t>Continue to develop your emerging critical engagement with texts by synthesising theory from different sources to support your decisions.</w:t>
            </w:r>
          </w:p>
          <w:p w14:paraId="0EDC9850" w14:textId="77777777" w:rsidR="0000375B" w:rsidRDefault="0000375B" w:rsidP="00DD5969">
            <w:pPr>
              <w:rPr>
                <w:sz w:val="16"/>
                <w:szCs w:val="16"/>
              </w:rPr>
            </w:pPr>
          </w:p>
        </w:tc>
        <w:tc>
          <w:tcPr>
            <w:tcW w:w="4508" w:type="dxa"/>
          </w:tcPr>
          <w:p w14:paraId="6AFD627D" w14:textId="77777777" w:rsidR="00643551" w:rsidRDefault="00643551" w:rsidP="00DD5969">
            <w:pPr>
              <w:rPr>
                <w:sz w:val="16"/>
                <w:szCs w:val="16"/>
              </w:rPr>
            </w:pPr>
          </w:p>
          <w:p w14:paraId="3FCBF01B" w14:textId="68644D7B" w:rsidR="0000375B" w:rsidRDefault="00643551" w:rsidP="00DD5969">
            <w:pPr>
              <w:rPr>
                <w:sz w:val="16"/>
                <w:szCs w:val="16"/>
              </w:rPr>
            </w:pPr>
            <w:r>
              <w:rPr>
                <w:sz w:val="16"/>
                <w:szCs w:val="16"/>
              </w:rPr>
              <w:t>Attempted to make specific critical engagement of texts such as commenting on the date the information was published.</w:t>
            </w:r>
          </w:p>
        </w:tc>
      </w:tr>
      <w:tr w:rsidR="0000375B" w14:paraId="2411A5A2" w14:textId="77777777" w:rsidTr="0000375B">
        <w:tc>
          <w:tcPr>
            <w:tcW w:w="4508" w:type="dxa"/>
          </w:tcPr>
          <w:p w14:paraId="4A120529" w14:textId="77777777" w:rsidR="0000375B" w:rsidRDefault="0000375B" w:rsidP="00DD5969">
            <w:pPr>
              <w:rPr>
                <w:sz w:val="16"/>
                <w:szCs w:val="16"/>
              </w:rPr>
            </w:pPr>
          </w:p>
          <w:p w14:paraId="73ED8D37" w14:textId="4B15B75B" w:rsidR="0000375B" w:rsidRDefault="00643551" w:rsidP="00DD5969">
            <w:pPr>
              <w:rPr>
                <w:sz w:val="16"/>
                <w:szCs w:val="16"/>
              </w:rPr>
            </w:pPr>
            <w:r>
              <w:rPr>
                <w:sz w:val="16"/>
                <w:szCs w:val="16"/>
              </w:rPr>
              <w:t>Use PEEL method to strengthen the structure of your paragraphs.</w:t>
            </w:r>
          </w:p>
          <w:p w14:paraId="2A59CA2F" w14:textId="77777777" w:rsidR="0000375B" w:rsidRDefault="0000375B" w:rsidP="00DD5969">
            <w:pPr>
              <w:rPr>
                <w:sz w:val="16"/>
                <w:szCs w:val="16"/>
              </w:rPr>
            </w:pPr>
          </w:p>
        </w:tc>
        <w:tc>
          <w:tcPr>
            <w:tcW w:w="4508" w:type="dxa"/>
          </w:tcPr>
          <w:p w14:paraId="6A0185D5" w14:textId="77777777" w:rsidR="0000375B" w:rsidRDefault="0000375B" w:rsidP="00DD5969">
            <w:pPr>
              <w:rPr>
                <w:sz w:val="16"/>
                <w:szCs w:val="16"/>
              </w:rPr>
            </w:pPr>
          </w:p>
          <w:p w14:paraId="68F35C78" w14:textId="4354DE4D" w:rsidR="00643551" w:rsidRDefault="00643551" w:rsidP="00DD5969">
            <w:pPr>
              <w:rPr>
                <w:sz w:val="16"/>
                <w:szCs w:val="16"/>
              </w:rPr>
            </w:pPr>
            <w:r>
              <w:rPr>
                <w:sz w:val="16"/>
                <w:szCs w:val="16"/>
              </w:rPr>
              <w:t>I attempted to focus on using PEEL as a structure for paragraphs, with my critical analysis coming at the end to lead into a paragraph of critical engagement.</w:t>
            </w:r>
          </w:p>
          <w:p w14:paraId="51AE3AC6" w14:textId="4B17827B" w:rsidR="00643551" w:rsidRDefault="00643551" w:rsidP="00DD5969">
            <w:pPr>
              <w:rPr>
                <w:sz w:val="16"/>
                <w:szCs w:val="16"/>
              </w:rPr>
            </w:pPr>
          </w:p>
        </w:tc>
      </w:tr>
      <w:tr w:rsidR="0000375B" w14:paraId="7E9C0FF5" w14:textId="77777777" w:rsidTr="0000375B">
        <w:tc>
          <w:tcPr>
            <w:tcW w:w="4508" w:type="dxa"/>
          </w:tcPr>
          <w:p w14:paraId="31E1404E" w14:textId="77777777" w:rsidR="0000375B" w:rsidRDefault="0000375B" w:rsidP="00DD5969">
            <w:pPr>
              <w:rPr>
                <w:sz w:val="16"/>
                <w:szCs w:val="16"/>
              </w:rPr>
            </w:pPr>
          </w:p>
          <w:p w14:paraId="49C39DFD" w14:textId="6910538F" w:rsidR="0000375B" w:rsidRDefault="00643551" w:rsidP="00DD5969">
            <w:pPr>
              <w:rPr>
                <w:sz w:val="16"/>
                <w:szCs w:val="16"/>
              </w:rPr>
            </w:pPr>
            <w:r w:rsidRPr="00643551">
              <w:rPr>
                <w:sz w:val="16"/>
                <w:szCs w:val="16"/>
              </w:rPr>
              <w:t>Consider the use of sub-headings to help you organise your writing.</w:t>
            </w:r>
          </w:p>
          <w:p w14:paraId="540BFA50" w14:textId="77777777" w:rsidR="0000375B" w:rsidRDefault="0000375B" w:rsidP="00DD5969">
            <w:pPr>
              <w:rPr>
                <w:sz w:val="16"/>
                <w:szCs w:val="16"/>
              </w:rPr>
            </w:pPr>
          </w:p>
        </w:tc>
        <w:tc>
          <w:tcPr>
            <w:tcW w:w="4508" w:type="dxa"/>
          </w:tcPr>
          <w:p w14:paraId="3891909A" w14:textId="77777777" w:rsidR="0000375B" w:rsidRDefault="0000375B" w:rsidP="00DD5969">
            <w:pPr>
              <w:rPr>
                <w:sz w:val="16"/>
                <w:szCs w:val="16"/>
              </w:rPr>
            </w:pPr>
          </w:p>
          <w:p w14:paraId="6A8EAD52" w14:textId="7576C4AE" w:rsidR="00643551" w:rsidRDefault="00643551" w:rsidP="00DD5969">
            <w:pPr>
              <w:rPr>
                <w:sz w:val="16"/>
                <w:szCs w:val="16"/>
              </w:rPr>
            </w:pPr>
            <w:r>
              <w:rPr>
                <w:sz w:val="16"/>
                <w:szCs w:val="16"/>
              </w:rPr>
              <w:t>I decided to use sub-headings were relevant to ensure the structure of my assignment was clear.</w:t>
            </w: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7C06BEEC" w14:textId="77777777" w:rsidR="00643551" w:rsidRPr="00643551" w:rsidRDefault="00643551" w:rsidP="00643551">
      <w:pPr>
        <w:spacing w:line="360" w:lineRule="auto"/>
        <w:rPr>
          <w:rFonts w:ascii="Calibri" w:hAnsi="Calibri" w:cs="Calibri"/>
          <w:b/>
          <w:bCs/>
          <w:sz w:val="28"/>
          <w:szCs w:val="28"/>
        </w:rPr>
      </w:pPr>
      <w:r w:rsidRPr="00643551">
        <w:rPr>
          <w:rFonts w:ascii="Calibri" w:hAnsi="Calibri" w:cs="Calibri"/>
          <w:b/>
          <w:bCs/>
          <w:sz w:val="28"/>
          <w:szCs w:val="28"/>
        </w:rPr>
        <w:lastRenderedPageBreak/>
        <w:t>Demonstrate how cross-curricular teaching and learning can influence in-depth skills and understanding. Underpin this with reference to relevant research, a detailed lesson plan and an enhanced provision material.</w:t>
      </w:r>
    </w:p>
    <w:p w14:paraId="5DA070B0" w14:textId="77777777" w:rsidR="00643551" w:rsidRPr="00B23F5D" w:rsidRDefault="00643551" w:rsidP="00643551">
      <w:pPr>
        <w:spacing w:line="360" w:lineRule="auto"/>
        <w:rPr>
          <w:rFonts w:ascii="Calibri" w:hAnsi="Calibri" w:cs="Calibri"/>
        </w:rPr>
      </w:pPr>
      <w:r w:rsidRPr="00B23F5D">
        <w:rPr>
          <w:rFonts w:ascii="Calibri" w:hAnsi="Calibri" w:cs="Calibri"/>
        </w:rPr>
        <w:t>The Welsh Government (2024) supports schools in aiding the development of children’s learning through reflecting the four purposes throughout the national curriculum for Wales, intending to achieve their national mission of improving pupils’ education across Wales. Cross-curricular teaching aims to achieve this by providing a learning experience through acknowledging numerous perspectives and building relevant skills to build understanding of the surrounding world (Barnes, 2015). A further focus is placed on the cross-curricular frameworks of Digital Competency, Literacy and Numeracy which are the pinnacle of learning in Wales (Welsh Government, 2025). However, this approach to education arguably divides opinions as the opportunities presented through cross-curricular learning such as the ability to deepen learners’ skills and understanding effectively equally provides challenges that educators might face in the delivery of education in Wales. Thus, this assignment will discuss the ways in which cross-curricular teaching learning influences learners’ skills through the wide range of learning opportunities available whilst also considering the potential challenges in delivering this form of child-centred education.</w:t>
      </w:r>
    </w:p>
    <w:p w14:paraId="6F0FFA68" w14:textId="77777777" w:rsidR="00643551" w:rsidRPr="00B23F5D" w:rsidRDefault="00643551" w:rsidP="00643551">
      <w:pPr>
        <w:spacing w:line="360" w:lineRule="auto"/>
        <w:rPr>
          <w:rFonts w:ascii="Calibri" w:hAnsi="Calibri" w:cs="Calibri"/>
        </w:rPr>
      </w:pPr>
    </w:p>
    <w:p w14:paraId="53066C41" w14:textId="77777777" w:rsidR="00643551" w:rsidRPr="00B23F5D" w:rsidRDefault="00643551" w:rsidP="00643551">
      <w:pPr>
        <w:spacing w:line="360" w:lineRule="auto"/>
        <w:rPr>
          <w:rFonts w:ascii="Calibri" w:hAnsi="Calibri" w:cs="Calibri"/>
          <w:sz w:val="28"/>
          <w:szCs w:val="28"/>
          <w:u w:val="single"/>
        </w:rPr>
      </w:pPr>
      <w:r w:rsidRPr="00B23F5D">
        <w:rPr>
          <w:rFonts w:ascii="Calibri" w:hAnsi="Calibri" w:cs="Calibri"/>
          <w:sz w:val="28"/>
          <w:szCs w:val="28"/>
          <w:u w:val="single"/>
        </w:rPr>
        <w:t>Digital Competency Framework</w:t>
      </w:r>
    </w:p>
    <w:p w14:paraId="3873D8D9" w14:textId="77777777" w:rsidR="00643551" w:rsidRPr="00B23F5D" w:rsidRDefault="00643551" w:rsidP="00643551">
      <w:pPr>
        <w:spacing w:line="360" w:lineRule="auto"/>
        <w:rPr>
          <w:rFonts w:ascii="Calibri" w:hAnsi="Calibri" w:cs="Calibri"/>
        </w:rPr>
      </w:pPr>
      <w:r w:rsidRPr="00B23F5D">
        <w:rPr>
          <w:rFonts w:ascii="Calibri" w:hAnsi="Calibri" w:cs="Calibri"/>
        </w:rPr>
        <w:t>The Welsh Government’s (2024) emphasis on developing pupils’ digital competence stems from the growing use of technology within society and, therefore, the future workplaces that pupils will enter. Hague and Payton (2010) cite a similar argument, suggesting that the transition to using digital technology more consistently within society means children are not fully aware of both the benefits and challenges of using technology. Hence, schools across Wales follow the Digital Competency Framework (DCF) to support the learning of in-depth skills to effectively use technology as capable individuals in society.</w:t>
      </w:r>
    </w:p>
    <w:p w14:paraId="4F52D180" w14:textId="77777777" w:rsidR="00643551" w:rsidRPr="00B23F5D" w:rsidRDefault="00643551" w:rsidP="00643551">
      <w:pPr>
        <w:spacing w:line="360" w:lineRule="auto"/>
        <w:rPr>
          <w:rFonts w:ascii="Calibri" w:hAnsi="Calibri" w:cs="Calibri"/>
        </w:rPr>
      </w:pPr>
    </w:p>
    <w:p w14:paraId="373BFF15" w14:textId="77777777" w:rsidR="00643551" w:rsidRPr="00B23F5D" w:rsidRDefault="00643551" w:rsidP="00643551">
      <w:pPr>
        <w:spacing w:line="360" w:lineRule="auto"/>
        <w:rPr>
          <w:rFonts w:ascii="Calibri" w:hAnsi="Calibri" w:cs="Calibri"/>
        </w:rPr>
      </w:pPr>
      <w:r w:rsidRPr="00B23F5D">
        <w:rPr>
          <w:rFonts w:ascii="Calibri" w:hAnsi="Calibri" w:cs="Calibri"/>
        </w:rPr>
        <w:t xml:space="preserve">One statement in the DCF focuses on learners in Progression Step Two developing strategies to research information through the use of keywords. This can be seen in the author’s </w:t>
      </w:r>
      <w:r w:rsidRPr="00B23F5D">
        <w:rPr>
          <w:rFonts w:ascii="Calibri" w:hAnsi="Calibri" w:cs="Calibri"/>
        </w:rPr>
        <w:lastRenderedPageBreak/>
        <w:t>enhanced provision (see Appendix</w:t>
      </w:r>
      <w:r w:rsidRPr="00B23F5D">
        <w:rPr>
          <w:rFonts w:ascii="Calibri" w:hAnsi="Calibri" w:cs="Calibri"/>
          <w:i/>
          <w:iCs/>
        </w:rPr>
        <w:t xml:space="preserve"> B</w:t>
      </w:r>
      <w:r w:rsidRPr="00B23F5D">
        <w:rPr>
          <w:rFonts w:ascii="Calibri" w:hAnsi="Calibri" w:cs="Calibri"/>
        </w:rPr>
        <w:t>), as pupils must make use of the internet to research facts about historic events in different cultures by using the keywords of the event being researched. This activity provides the opportunity to deepen learners’ understanding of different humanity related topics (like culture and history) whilst equally improving in-depth skills like the ability to research and analyse information. This arguably provides the opportunity for pupils to engage in practical activities which allows them to actively improve relevant skills to expand their understanding on how to use technology. Constructivist theorists like Dewey (1935) support this practical or experiential approach to learning, acknowledging how this approach engages learners further as they establish meaningful connections between the practical and theory (</w:t>
      </w:r>
      <w:proofErr w:type="spellStart"/>
      <w:r w:rsidRPr="00B23F5D">
        <w:rPr>
          <w:rFonts w:ascii="Calibri" w:hAnsi="Calibri" w:cs="Calibri"/>
        </w:rPr>
        <w:t>MacBlain</w:t>
      </w:r>
      <w:proofErr w:type="spellEnd"/>
      <w:r w:rsidRPr="00B23F5D">
        <w:rPr>
          <w:rFonts w:ascii="Calibri" w:hAnsi="Calibri" w:cs="Calibri"/>
        </w:rPr>
        <w:t xml:space="preserve">, 2010). However, more recent and relevant research than </w:t>
      </w:r>
      <w:proofErr w:type="spellStart"/>
      <w:r w:rsidRPr="00B23F5D">
        <w:rPr>
          <w:rFonts w:ascii="Calibri" w:hAnsi="Calibri" w:cs="Calibri"/>
        </w:rPr>
        <w:t>MacBlain</w:t>
      </w:r>
      <w:proofErr w:type="spellEnd"/>
      <w:r w:rsidRPr="00B23F5D">
        <w:rPr>
          <w:rFonts w:ascii="Calibri" w:hAnsi="Calibri" w:cs="Calibri"/>
        </w:rPr>
        <w:t xml:space="preserve"> (2010) criticises this approach to developing digital competency, arguing that experiential learning creates more barriers than opportunities to influence in-depth skills (Beauchamp, 2016).</w:t>
      </w:r>
    </w:p>
    <w:p w14:paraId="13B58B78" w14:textId="77777777" w:rsidR="00643551" w:rsidRPr="00B23F5D" w:rsidRDefault="00643551" w:rsidP="00643551">
      <w:pPr>
        <w:spacing w:line="360" w:lineRule="auto"/>
        <w:rPr>
          <w:rFonts w:ascii="Calibri" w:hAnsi="Calibri" w:cs="Calibri"/>
        </w:rPr>
      </w:pPr>
    </w:p>
    <w:p w14:paraId="36B42EF8" w14:textId="77777777" w:rsidR="00643551" w:rsidRPr="00B23F5D" w:rsidRDefault="00643551" w:rsidP="00643551">
      <w:pPr>
        <w:spacing w:line="360" w:lineRule="auto"/>
        <w:rPr>
          <w:rFonts w:ascii="Calibri" w:hAnsi="Calibri" w:cs="Calibri"/>
        </w:rPr>
      </w:pPr>
      <w:r w:rsidRPr="00B23F5D">
        <w:rPr>
          <w:rFonts w:ascii="Calibri" w:hAnsi="Calibri" w:cs="Calibri"/>
        </w:rPr>
        <w:t xml:space="preserve">Though experiential learning encourages pupils to challenge themselves, educators are arguably placed at a disadvantage in terms of preparation, as learning experiences that are not creative might not prove meaningful nor engaging for pupils (Estyn, 2018). Based on this, educators require time to carefully consider how they convey the learning through purposeful learning experiences, however this potentially presents a problem as Best </w:t>
      </w:r>
      <w:proofErr w:type="gramStart"/>
      <w:r w:rsidRPr="00B23F5D">
        <w:rPr>
          <w:rFonts w:ascii="Calibri" w:hAnsi="Calibri" w:cs="Calibri"/>
        </w:rPr>
        <w:t>For</w:t>
      </w:r>
      <w:proofErr w:type="gramEnd"/>
      <w:r w:rsidRPr="00B23F5D">
        <w:rPr>
          <w:rFonts w:ascii="Calibri" w:hAnsi="Calibri" w:cs="Calibri"/>
        </w:rPr>
        <w:t xml:space="preserve"> Teachers (2024) addresses how teachers face time constraints due to the pressures of meeting academic demands. Considering the strong emphasis on providing engaging and authentic experiences, the pressure on teachers to plan lessons to the standards set potentially affects their emotional wellbeing and subsequent performance in the classroom (NASUWT, 2025) and therefore establishes a challenge in the effective delivery of cross-curricular learning.</w:t>
      </w:r>
    </w:p>
    <w:p w14:paraId="397AB8A9" w14:textId="77777777" w:rsidR="00643551" w:rsidRPr="00B23F5D" w:rsidRDefault="00643551" w:rsidP="00643551">
      <w:pPr>
        <w:spacing w:line="360" w:lineRule="auto"/>
        <w:rPr>
          <w:rFonts w:ascii="Calibri" w:hAnsi="Calibri" w:cs="Calibri"/>
        </w:rPr>
      </w:pPr>
    </w:p>
    <w:p w14:paraId="340AF9B2" w14:textId="77777777" w:rsidR="00643551" w:rsidRPr="004B443D" w:rsidRDefault="00643551" w:rsidP="00643551">
      <w:pPr>
        <w:spacing w:line="360" w:lineRule="auto"/>
        <w:rPr>
          <w:rFonts w:ascii="Calibri" w:hAnsi="Calibri" w:cs="Calibri"/>
        </w:rPr>
      </w:pPr>
      <w:r w:rsidRPr="004B443D">
        <w:rPr>
          <w:rFonts w:ascii="Calibri" w:hAnsi="Calibri" w:cs="Calibri"/>
        </w:rPr>
        <w:t xml:space="preserve">Another potential challenge in the delivery of cross-curricular learning further scrutinises the expectations of teachers, more specifically the training necessary to provide adequate learning. One statement to be achieved within Progression Step Two of the DCF encourages learners to be able to create and arrange multimedia concepts via platforms, with a majority </w:t>
      </w:r>
      <w:r w:rsidRPr="004B443D">
        <w:rPr>
          <w:rFonts w:ascii="Calibri" w:hAnsi="Calibri" w:cs="Calibri"/>
        </w:rPr>
        <w:lastRenderedPageBreak/>
        <w:t>of schools in Wales utilising Hwb. This platform was used during a bridging experience, in which pupils designed their own snake on a drawing program.</w:t>
      </w:r>
    </w:p>
    <w:p w14:paraId="2419F463" w14:textId="77777777" w:rsidR="00643551" w:rsidRPr="00B23F5D" w:rsidRDefault="00643551" w:rsidP="00643551">
      <w:pPr>
        <w:spacing w:line="360" w:lineRule="auto"/>
        <w:rPr>
          <w:rFonts w:ascii="Calibri" w:hAnsi="Calibri" w:cs="Calibri"/>
        </w:rPr>
      </w:pPr>
      <w:r w:rsidRPr="004B443D">
        <w:rPr>
          <w:rFonts w:ascii="Calibri" w:hAnsi="Calibri" w:cs="Calibri"/>
        </w:rPr>
        <w:t> Though learners were evidently engaged in the lesson, it is important to note the delivery of the cross-curricular learning was impacted by the lack of support in training the educators to provide meaningful education. For instance, pupils spent longer logging in due to the unreliable features of technology and the lack of training for educators to deal with technical issues. This is identified as a common problem for educators as the lack of training to understand how to support technology in the classroom is a significant factor in educators’ lack of confidence to use technology more thoroughly (</w:t>
      </w:r>
      <w:proofErr w:type="spellStart"/>
      <w:r w:rsidRPr="004B443D">
        <w:rPr>
          <w:rFonts w:ascii="Calibri" w:hAnsi="Calibri" w:cs="Calibri"/>
        </w:rPr>
        <w:t>Meace</w:t>
      </w:r>
      <w:proofErr w:type="spellEnd"/>
      <w:r w:rsidRPr="004B443D">
        <w:rPr>
          <w:rFonts w:ascii="Calibri" w:hAnsi="Calibri" w:cs="Calibri"/>
        </w:rPr>
        <w:t xml:space="preserve">-Williams and Kopp, </w:t>
      </w:r>
      <w:r w:rsidRPr="00B23F5D">
        <w:rPr>
          <w:rFonts w:ascii="Calibri" w:hAnsi="Calibri" w:cs="Calibri"/>
        </w:rPr>
        <w:t>2022; Raja</w:t>
      </w:r>
      <w:r w:rsidRPr="004B443D">
        <w:rPr>
          <w:rFonts w:ascii="Calibri" w:hAnsi="Calibri" w:cs="Calibri"/>
        </w:rPr>
        <w:t xml:space="preserve"> and </w:t>
      </w:r>
      <w:proofErr w:type="spellStart"/>
      <w:r w:rsidRPr="004B443D">
        <w:rPr>
          <w:rFonts w:ascii="Calibri" w:hAnsi="Calibri" w:cs="Calibri"/>
        </w:rPr>
        <w:t>Nagasubramani</w:t>
      </w:r>
      <w:proofErr w:type="spellEnd"/>
      <w:r w:rsidRPr="004B443D">
        <w:rPr>
          <w:rFonts w:ascii="Calibri" w:hAnsi="Calibri" w:cs="Calibri"/>
        </w:rPr>
        <w:t>, 2018). This arguably creates challenges in the delivery of cross-curricular learning as initial technological problems may disrupt the lesson due to the lack of training in aiding educators to handle issues, thereby limiting the time spent on engaging in the work to develop any in-depth skills. A critical perspective, however, might suggest that this overlooks the capabilities of teachers and their experience in education.</w:t>
      </w:r>
    </w:p>
    <w:p w14:paraId="12C141D3" w14:textId="77777777" w:rsidR="00643551" w:rsidRPr="00B23F5D" w:rsidRDefault="00643551" w:rsidP="00643551">
      <w:pPr>
        <w:spacing w:line="360" w:lineRule="auto"/>
        <w:rPr>
          <w:rFonts w:ascii="Calibri" w:hAnsi="Calibri" w:cs="Calibri"/>
        </w:rPr>
      </w:pPr>
    </w:p>
    <w:p w14:paraId="1B06F68C" w14:textId="77777777" w:rsidR="00643551" w:rsidRPr="004B443D" w:rsidRDefault="00643551" w:rsidP="00643551">
      <w:pPr>
        <w:spacing w:line="360" w:lineRule="auto"/>
        <w:rPr>
          <w:rFonts w:ascii="Calibri" w:hAnsi="Calibri" w:cs="Calibri"/>
        </w:rPr>
      </w:pPr>
      <w:r w:rsidRPr="00B23F5D">
        <w:rPr>
          <w:rFonts w:ascii="Calibri" w:hAnsi="Calibri" w:cs="Calibri"/>
        </w:rPr>
        <w:t>Despite the evident lack of training for educators, the argument that providing cross-curricular may prove challenging is disputed based on how it arguably underestimates the abilities of educators being resourceful. An effective teacher has the ability to be adaptable as Collie and Martin (2016) state that a teacher responds and reflects on change to improve their own understanding of how pupils learn and to provide effective learning in future. Based on this, teachers are arguably capable of responding to the issues of technology and finding alternative ways of providing effective learning, thus cross-curricular teaching arguably influences the in-depth skills as teachers’ response to any potential challenges with technology deepens their own understanding of how to apply their knowledge from different contexts to overcome the issue. Therefore, the argument undermines educators’ ability to redirect the learning approach whilst still achieving the learning focus.</w:t>
      </w:r>
    </w:p>
    <w:p w14:paraId="752D29DB" w14:textId="77777777" w:rsidR="00643551" w:rsidRPr="00B23F5D" w:rsidRDefault="00643551" w:rsidP="00643551">
      <w:pPr>
        <w:spacing w:line="360" w:lineRule="auto"/>
        <w:rPr>
          <w:rFonts w:ascii="Calibri" w:hAnsi="Calibri" w:cs="Calibri"/>
        </w:rPr>
      </w:pPr>
    </w:p>
    <w:p w14:paraId="60AB9DF5" w14:textId="77777777" w:rsidR="00643551" w:rsidRPr="00B23F5D" w:rsidRDefault="00643551" w:rsidP="00643551">
      <w:pPr>
        <w:spacing w:line="360" w:lineRule="auto"/>
        <w:rPr>
          <w:rFonts w:ascii="Calibri" w:hAnsi="Calibri" w:cs="Calibri"/>
        </w:rPr>
      </w:pPr>
    </w:p>
    <w:p w14:paraId="26715527" w14:textId="77777777" w:rsidR="00643551" w:rsidRDefault="00643551" w:rsidP="00643551">
      <w:pPr>
        <w:spacing w:line="360" w:lineRule="auto"/>
        <w:rPr>
          <w:rFonts w:ascii="Calibri" w:hAnsi="Calibri" w:cs="Calibri"/>
          <w:sz w:val="28"/>
          <w:szCs w:val="28"/>
          <w:u w:val="single"/>
        </w:rPr>
      </w:pPr>
    </w:p>
    <w:p w14:paraId="32D7B352" w14:textId="6396ACD5" w:rsidR="00643551" w:rsidRPr="00E657BD" w:rsidRDefault="00643551" w:rsidP="00643551">
      <w:pPr>
        <w:spacing w:line="360" w:lineRule="auto"/>
        <w:rPr>
          <w:rFonts w:ascii="Calibri" w:hAnsi="Calibri" w:cs="Calibri"/>
          <w:sz w:val="28"/>
          <w:szCs w:val="28"/>
          <w:u w:val="single"/>
        </w:rPr>
      </w:pPr>
      <w:r w:rsidRPr="00B23F5D">
        <w:rPr>
          <w:rFonts w:ascii="Calibri" w:hAnsi="Calibri" w:cs="Calibri"/>
          <w:sz w:val="28"/>
          <w:szCs w:val="28"/>
          <w:u w:val="single"/>
        </w:rPr>
        <w:lastRenderedPageBreak/>
        <w:t>Literacy Framework</w:t>
      </w:r>
    </w:p>
    <w:p w14:paraId="1807192C" w14:textId="77777777" w:rsidR="00643551" w:rsidRPr="00B23F5D" w:rsidRDefault="00643551" w:rsidP="00643551">
      <w:pPr>
        <w:spacing w:line="360" w:lineRule="auto"/>
        <w:rPr>
          <w:rFonts w:ascii="Calibri" w:hAnsi="Calibri" w:cs="Calibri"/>
        </w:rPr>
      </w:pPr>
      <w:r w:rsidRPr="00B23F5D">
        <w:rPr>
          <w:rFonts w:ascii="Calibri" w:hAnsi="Calibri" w:cs="Calibri"/>
        </w:rPr>
        <w:t>Another key area that the Welsh Government (2024) emphasise in developing learners’ cross-curricular skills is Literacy, identifying how all aspects that encompass literacy (communication and languages) can provide learners with a foundational understanding of how they can communicate and subsequently influencing their understanding of how to express themselves. This understanding of how to communicate and express oneself allows learners to engage effectively in discussions, offering their opinion and considering the views of others which can benefit them significantly in future education and workplaces. For this reason, cross-curricular teaching and learning can arguably influence in-depth skills associated with Literacy such as communication and develop their learning on how to effectively do this with accurate grammar.</w:t>
      </w:r>
    </w:p>
    <w:p w14:paraId="635D724B" w14:textId="77777777" w:rsidR="00643551" w:rsidRPr="00B23F5D" w:rsidRDefault="00643551" w:rsidP="00643551">
      <w:pPr>
        <w:spacing w:line="360" w:lineRule="auto"/>
        <w:rPr>
          <w:rFonts w:ascii="Calibri" w:hAnsi="Calibri" w:cs="Calibri"/>
        </w:rPr>
      </w:pPr>
    </w:p>
    <w:p w14:paraId="12F681C3" w14:textId="77777777" w:rsidR="00643551" w:rsidRPr="00B23F5D" w:rsidRDefault="00643551" w:rsidP="00643551">
      <w:pPr>
        <w:spacing w:line="360" w:lineRule="auto"/>
        <w:rPr>
          <w:rFonts w:ascii="Calibri" w:hAnsi="Calibri" w:cs="Calibri"/>
        </w:rPr>
      </w:pPr>
      <w:r w:rsidRPr="00B23F5D">
        <w:rPr>
          <w:rFonts w:ascii="Calibri" w:hAnsi="Calibri" w:cs="Calibri"/>
        </w:rPr>
        <w:t>The Literacy Framework (Welsh Government, 2022) encourages learners in Progression Step Two to develop their ability to communicate in order to question key ideas. This arguably influences pupils’ in-depth skills associated with both Literacy and Science, such as critical analysis skills through questioning, as learners can establish a foundational understanding of how to decipher valid information. Kelly and Stead (2015) elaborates on this point, highlighting how a key focus of science is engaging in discussions by asking questions, thus emphasising the significance of teaching cross-curricular Literacy to apply to different contexts. Vale (2017) supports this notion, illustrating how learners can develop their ability to ask questions and then determine the answers through exploration and independent research, thereby having the opportunity to be able to make sense of the surrounding world through questioning information. This, therefore, influences learners’ skills in asking questions and being critical whilst equally reflecting the four purposes through supporting pupils in becoming “ethically informed” (Welsh Government, 2022) individuals in society. Based on this, cross-curricular learning further influences learners’ communicative skills in order to make judgments about the surrounding world. Despite this, there still remains criticisms regarding the focus on individual’s understanding.</w:t>
      </w:r>
    </w:p>
    <w:p w14:paraId="15DCD981" w14:textId="77777777" w:rsidR="00643551" w:rsidRPr="00B23F5D" w:rsidRDefault="00643551" w:rsidP="00643551">
      <w:pPr>
        <w:spacing w:line="360" w:lineRule="auto"/>
        <w:rPr>
          <w:rFonts w:ascii="Calibri" w:hAnsi="Calibri" w:cs="Calibri"/>
        </w:rPr>
      </w:pPr>
    </w:p>
    <w:p w14:paraId="5490DE2A" w14:textId="77777777" w:rsidR="00643551" w:rsidRPr="00B23F5D" w:rsidRDefault="00643551" w:rsidP="00643551">
      <w:pPr>
        <w:spacing w:line="360" w:lineRule="auto"/>
        <w:rPr>
          <w:rFonts w:ascii="Calibri" w:hAnsi="Calibri" w:cs="Calibri"/>
        </w:rPr>
      </w:pPr>
      <w:r w:rsidRPr="00B23F5D">
        <w:rPr>
          <w:rFonts w:ascii="Calibri" w:hAnsi="Calibri" w:cs="Calibri"/>
        </w:rPr>
        <w:lastRenderedPageBreak/>
        <w:t>A critical perspective of the approach to teaching Literacy through cross-curricular learning analyses the perception that individual and child-</w:t>
      </w:r>
      <w:proofErr w:type="spellStart"/>
      <w:r w:rsidRPr="00B23F5D">
        <w:rPr>
          <w:rFonts w:ascii="Calibri" w:hAnsi="Calibri" w:cs="Calibri"/>
        </w:rPr>
        <w:t>centered</w:t>
      </w:r>
      <w:proofErr w:type="spellEnd"/>
      <w:r w:rsidRPr="00B23F5D">
        <w:rPr>
          <w:rFonts w:ascii="Calibri" w:hAnsi="Calibri" w:cs="Calibri"/>
        </w:rPr>
        <w:t xml:space="preserve"> learning is the most effective method (Vale, 2017). Thomas and Lewis (2016) comments on theories put forward by Bruner (1990), who suggested that learners engage more effectively in their education when working independently with the support of ‘scaffolding’, thus possibly creating the challenge of educators potentially missing any misunderstandings. This can arguably create further challenges in the delivery of effective cross-curricular learning as the pupils may be challenged to an extent that they ultimately struggle to understand any content, potentially resulting in damage to their overall learning experience. Zeidner (2014) contributes to this criticism of Vale (2017) by highlighting how pupils who experience failure in their work endure feelings of anxiety, thus potentially reflecting the future repercussions if the delivery cross-curricular teaching continues to follow a child-</w:t>
      </w:r>
      <w:proofErr w:type="spellStart"/>
      <w:r w:rsidRPr="00B23F5D">
        <w:rPr>
          <w:rFonts w:ascii="Calibri" w:hAnsi="Calibri" w:cs="Calibri"/>
        </w:rPr>
        <w:t>centered</w:t>
      </w:r>
      <w:proofErr w:type="spellEnd"/>
      <w:r w:rsidRPr="00B23F5D">
        <w:rPr>
          <w:rFonts w:ascii="Calibri" w:hAnsi="Calibri" w:cs="Calibri"/>
        </w:rPr>
        <w:t xml:space="preserve"> approach.</w:t>
      </w:r>
    </w:p>
    <w:p w14:paraId="54A7C2DB" w14:textId="77777777" w:rsidR="00643551" w:rsidRPr="00B23F5D" w:rsidRDefault="00643551" w:rsidP="00643551">
      <w:pPr>
        <w:spacing w:line="360" w:lineRule="auto"/>
        <w:rPr>
          <w:rFonts w:ascii="Calibri" w:hAnsi="Calibri" w:cs="Calibri"/>
        </w:rPr>
      </w:pPr>
    </w:p>
    <w:p w14:paraId="42EB1DFB" w14:textId="77777777" w:rsidR="00643551" w:rsidRPr="00B23F5D" w:rsidRDefault="00643551" w:rsidP="00643551">
      <w:pPr>
        <w:spacing w:line="360" w:lineRule="auto"/>
        <w:rPr>
          <w:rFonts w:ascii="Calibri" w:hAnsi="Calibri" w:cs="Calibri"/>
          <w:sz w:val="28"/>
          <w:szCs w:val="28"/>
          <w:u w:val="single"/>
        </w:rPr>
      </w:pPr>
      <w:r w:rsidRPr="00B23F5D">
        <w:rPr>
          <w:rFonts w:ascii="Calibri" w:hAnsi="Calibri" w:cs="Calibri"/>
          <w:sz w:val="28"/>
          <w:szCs w:val="28"/>
          <w:u w:val="single"/>
        </w:rPr>
        <w:t>Numeracy Framework</w:t>
      </w:r>
    </w:p>
    <w:p w14:paraId="50E9F887" w14:textId="77777777" w:rsidR="00643551" w:rsidRPr="00B23F5D" w:rsidRDefault="00643551" w:rsidP="00643551">
      <w:pPr>
        <w:spacing w:line="360" w:lineRule="auto"/>
        <w:rPr>
          <w:rFonts w:ascii="Calibri" w:hAnsi="Calibri" w:cs="Calibri"/>
        </w:rPr>
      </w:pPr>
      <w:r w:rsidRPr="00B23F5D">
        <w:rPr>
          <w:rFonts w:ascii="Calibri" w:hAnsi="Calibri" w:cs="Calibri"/>
        </w:rPr>
        <w:t>There is a further focus on developing pupils’ mathematical and numeracy understanding at the centre of the Curriculum for Wales, originating from the need for learners to be able to apply their knowledge and understanding of generic mathematical concepts to real-life circumstances (Welsh Government, 2022). Furthermore, the progression of learners’ mathematical understanding can contribute to their overall abilities and skills as, for example, providing an answer to work out an equation through showing workings and evidence can contribute to pupils’ problem-solving skills as well as ability to reflect on any mistakes. Thus, mathematics and numeracy apply to all ages of learners across education in Wales as, in order to become “ambitious, capable” individuals (Government, 2024).</w:t>
      </w:r>
    </w:p>
    <w:p w14:paraId="3AF044C9" w14:textId="77777777" w:rsidR="00643551" w:rsidRPr="00B23F5D" w:rsidRDefault="00643551" w:rsidP="00643551">
      <w:pPr>
        <w:spacing w:line="360" w:lineRule="auto"/>
        <w:rPr>
          <w:rFonts w:ascii="Calibri" w:hAnsi="Calibri" w:cs="Calibri"/>
        </w:rPr>
      </w:pPr>
    </w:p>
    <w:p w14:paraId="2E8BA285" w14:textId="77777777" w:rsidR="00643551" w:rsidRDefault="00643551" w:rsidP="00643551">
      <w:pPr>
        <w:spacing w:line="360" w:lineRule="auto"/>
        <w:rPr>
          <w:rFonts w:ascii="Calibri" w:hAnsi="Calibri" w:cs="Calibri"/>
        </w:rPr>
      </w:pPr>
      <w:r w:rsidRPr="00B23F5D">
        <w:rPr>
          <w:rFonts w:ascii="Calibri" w:hAnsi="Calibri" w:cs="Calibri"/>
        </w:rPr>
        <w:t xml:space="preserve">The Numeracy Framework for education across Wales engages pupils at Progression Step Two to develop their understanding of reading time using relevant phrases (Welsh Government, 2022). This statement relates to the author’s lesson plan and enhanced provision resource (see Appendix </w:t>
      </w:r>
      <w:r w:rsidRPr="00B23F5D">
        <w:rPr>
          <w:rFonts w:ascii="Calibri" w:hAnsi="Calibri" w:cs="Calibri"/>
          <w:i/>
          <w:iCs/>
        </w:rPr>
        <w:t>A</w:t>
      </w:r>
      <w:r w:rsidRPr="00B23F5D">
        <w:rPr>
          <w:rFonts w:ascii="Calibri" w:hAnsi="Calibri" w:cs="Calibri"/>
        </w:rPr>
        <w:t xml:space="preserve"> and</w:t>
      </w:r>
      <w:r w:rsidRPr="00B23F5D">
        <w:rPr>
          <w:rFonts w:ascii="Calibri" w:hAnsi="Calibri" w:cs="Calibri"/>
          <w:i/>
          <w:iCs/>
        </w:rPr>
        <w:t xml:space="preserve"> B</w:t>
      </w:r>
      <w:r w:rsidRPr="00B23F5D">
        <w:rPr>
          <w:rFonts w:ascii="Calibri" w:hAnsi="Calibri" w:cs="Calibri"/>
        </w:rPr>
        <w:t xml:space="preserve">) as one area focuses on learners selecting a time from a list, drawing the hands on a clock template and spelling out the time they have chosen. To support learners in completing this, it is intended that demonstration clocks are </w:t>
      </w:r>
      <w:r w:rsidRPr="00B23F5D">
        <w:rPr>
          <w:rFonts w:ascii="Calibri" w:hAnsi="Calibri" w:cs="Calibri"/>
        </w:rPr>
        <w:lastRenderedPageBreak/>
        <w:t xml:space="preserve">provided as a resource to visually recreate and draw the time. McGrath (2010) addresses the use of resources like demonstration clocks, discussing how resources can offer the opportunity for visual learning as well as potential play-based learning. Though the author’s resource does not focus on play-based learning, it is strongly encouraged by Thomas and Lewis (2016), who emphasise the Government’s emphasis on play as a pinnacle aspect of learning for the foundation phase arguably signifies the important impact it can have on pupils' learning. Theories that contributed to the construction of play-based learning, such as Piaget (1936), express how the opportunity to play (though predominantly lessened during the later Progression steps) allows learners to effectively engage in meaningful learning experiences to develop their understanding of concepts and skills to contribute to their overall development (Ali </w:t>
      </w:r>
      <w:r w:rsidRPr="00B23F5D">
        <w:rPr>
          <w:rFonts w:ascii="Calibri" w:hAnsi="Calibri" w:cs="Calibri"/>
          <w:i/>
          <w:iCs/>
        </w:rPr>
        <w:t>et al</w:t>
      </w:r>
      <w:r w:rsidRPr="00B23F5D">
        <w:rPr>
          <w:rFonts w:ascii="Calibri" w:hAnsi="Calibri" w:cs="Calibri"/>
        </w:rPr>
        <w:t>. 2018). Additionally, the reported accessibility for teaching and learning resources arguably further depicts the convenience in using play-based approaches. Thus, opportunities like play-based learning can significantly influence the delivery and understanding of cross-curricular learning as pupils can develop meaningful connections between their primary focus to then apply to other areas of learning, specifically through the use of resources to engage them in their learning. An alternative perspective, however, may focus on the reality of accessing resources in Wales, which can further impact the use of play-based learning.</w:t>
      </w:r>
    </w:p>
    <w:p w14:paraId="3DE69771" w14:textId="77777777" w:rsidR="00643551" w:rsidRDefault="00643551" w:rsidP="00643551">
      <w:pPr>
        <w:spacing w:line="360" w:lineRule="auto"/>
        <w:rPr>
          <w:rFonts w:ascii="Calibri" w:hAnsi="Calibri" w:cs="Calibri"/>
        </w:rPr>
      </w:pPr>
    </w:p>
    <w:p w14:paraId="524C9CB2" w14:textId="77777777" w:rsidR="00643551" w:rsidRDefault="00643551" w:rsidP="00643551">
      <w:pPr>
        <w:spacing w:line="360" w:lineRule="auto"/>
        <w:rPr>
          <w:rFonts w:ascii="Calibri" w:hAnsi="Calibri" w:cs="Calibri"/>
        </w:rPr>
      </w:pPr>
      <w:r w:rsidRPr="00B23F5D">
        <w:rPr>
          <w:rFonts w:ascii="Calibri" w:hAnsi="Calibri" w:cs="Calibri"/>
        </w:rPr>
        <w:t xml:space="preserve">It is important to note that research conducted by Ali </w:t>
      </w:r>
      <w:r w:rsidRPr="00B23F5D">
        <w:rPr>
          <w:rFonts w:ascii="Calibri" w:hAnsi="Calibri" w:cs="Calibri"/>
          <w:i/>
          <w:iCs/>
        </w:rPr>
        <w:t>et al</w:t>
      </w:r>
      <w:r w:rsidRPr="00B23F5D">
        <w:rPr>
          <w:rFonts w:ascii="Calibri" w:hAnsi="Calibri" w:cs="Calibri"/>
        </w:rPr>
        <w:t xml:space="preserve">. (2018) obtained data from the education system in the United States, thus potentially lacking a reflection of current education across Wales. For example, the assumption that resources are easily accessible differs from reports of teachers in Wales who express how the lack of funding is evident in classrooms, with there being a significant impact on the learning opportunities and resources (Wightwick, 2023). Consequently, this illustrates a potential challenge in the delivery of cross-curricular learning as McGrath (2010) further highlights the importance of quality resources to enhance pupils’ learning opportunities. Due to potential funding problems, it can be disputed that the delivery of cross-curricular learning will be limited as the focus on repetition in children’s learning suggests the quality of resources may dwindle overtime, thus resulting in educators requiring funding to provide new and more relevant resources for learning. For this reason, one may argue that cross-curricular does not </w:t>
      </w:r>
      <w:r w:rsidRPr="00B23F5D">
        <w:rPr>
          <w:rFonts w:ascii="Calibri" w:hAnsi="Calibri" w:cs="Calibri"/>
        </w:rPr>
        <w:lastRenderedPageBreak/>
        <w:t>influence skills related to mathematics such as problem solving and reading time as well as pupils’ understanding as the lack of resources limits the quality of learning and engagement in potentially significant opportunities of learning.</w:t>
      </w:r>
    </w:p>
    <w:p w14:paraId="60243FEA" w14:textId="77777777" w:rsidR="00643551" w:rsidRDefault="00643551" w:rsidP="00643551">
      <w:pPr>
        <w:spacing w:line="360" w:lineRule="auto"/>
        <w:rPr>
          <w:rFonts w:ascii="Calibri" w:hAnsi="Calibri" w:cs="Calibri"/>
        </w:rPr>
      </w:pPr>
    </w:p>
    <w:p w14:paraId="69B4D962" w14:textId="77777777" w:rsidR="00643551" w:rsidRPr="00E34ACC" w:rsidRDefault="00643551" w:rsidP="00643551">
      <w:pPr>
        <w:spacing w:line="360" w:lineRule="auto"/>
        <w:rPr>
          <w:rFonts w:ascii="Calibri" w:hAnsi="Calibri" w:cs="Calibri"/>
        </w:rPr>
      </w:pPr>
      <w:r>
        <w:rPr>
          <w:rFonts w:ascii="Calibri" w:hAnsi="Calibri" w:cs="Calibri"/>
        </w:rPr>
        <w:t xml:space="preserve">To summarise, though there are evident challenges in the delivery of cross-curricular learning, it must be noted the impact depicts a significantly strong influence on the in-depth skills and understanding relating to specific areas of learning which can be effectively applied to several areas and contexts to encourage learners to make sense of the surrounding world. For instance, the opportunity for experiential and play-based learning expands through cross-curricular teaching and learning, thus reinforcing the author to reconsider the role this may play in the literacy element of the resource created. Moreover, the struggle in accessing reliable resources offers an important aspect to consider when planning, however as </w:t>
      </w:r>
      <w:r w:rsidRPr="00B23F5D">
        <w:rPr>
          <w:rFonts w:ascii="Calibri" w:hAnsi="Calibri" w:cs="Calibri"/>
        </w:rPr>
        <w:t xml:space="preserve">Ali </w:t>
      </w:r>
      <w:r w:rsidRPr="00B23F5D">
        <w:rPr>
          <w:rFonts w:ascii="Calibri" w:hAnsi="Calibri" w:cs="Calibri"/>
          <w:i/>
          <w:iCs/>
        </w:rPr>
        <w:t>et al</w:t>
      </w:r>
      <w:r w:rsidRPr="00B23F5D">
        <w:rPr>
          <w:rFonts w:ascii="Calibri" w:hAnsi="Calibri" w:cs="Calibri"/>
        </w:rPr>
        <w:t xml:space="preserve">. </w:t>
      </w:r>
      <w:r>
        <w:rPr>
          <w:rFonts w:ascii="Calibri" w:hAnsi="Calibri" w:cs="Calibri"/>
        </w:rPr>
        <w:t>(</w:t>
      </w:r>
      <w:r w:rsidRPr="00B23F5D">
        <w:rPr>
          <w:rFonts w:ascii="Calibri" w:hAnsi="Calibri" w:cs="Calibri"/>
        </w:rPr>
        <w:t>2018)</w:t>
      </w:r>
      <w:r>
        <w:rPr>
          <w:rFonts w:ascii="Calibri" w:hAnsi="Calibri" w:cs="Calibri"/>
        </w:rPr>
        <w:t xml:space="preserve"> mentions, resources are not limited to specifically designed concepts but can be any form of object like pencils to engage with. For this reason, the author intends to reflect </w:t>
      </w:r>
      <w:r w:rsidRPr="00E34ACC">
        <w:rPr>
          <w:rFonts w:ascii="Calibri" w:hAnsi="Calibri" w:cs="Calibri"/>
        </w:rPr>
        <w:t>on resources that encourage play-based learning when in the classroom.</w:t>
      </w:r>
    </w:p>
    <w:p w14:paraId="5A047B96" w14:textId="77777777" w:rsidR="00643551" w:rsidRPr="00E34ACC" w:rsidRDefault="00643551" w:rsidP="00643551">
      <w:pPr>
        <w:spacing w:line="360" w:lineRule="auto"/>
        <w:rPr>
          <w:rFonts w:ascii="Calibri" w:hAnsi="Calibri" w:cs="Calibri"/>
        </w:rPr>
      </w:pPr>
    </w:p>
    <w:p w14:paraId="79061469" w14:textId="77777777" w:rsidR="00643551" w:rsidRPr="00E34ACC" w:rsidRDefault="00643551" w:rsidP="00643551">
      <w:pPr>
        <w:spacing w:line="360" w:lineRule="auto"/>
        <w:rPr>
          <w:rFonts w:ascii="Calibri" w:hAnsi="Calibri" w:cs="Calibri"/>
        </w:rPr>
      </w:pPr>
    </w:p>
    <w:p w14:paraId="794A0810" w14:textId="77777777" w:rsidR="00643551" w:rsidRDefault="00643551" w:rsidP="00643551">
      <w:pPr>
        <w:spacing w:line="360" w:lineRule="auto"/>
        <w:rPr>
          <w:rFonts w:ascii="Calibri" w:hAnsi="Calibri" w:cs="Calibri"/>
          <w:sz w:val="28"/>
          <w:szCs w:val="28"/>
          <w:u w:val="single"/>
        </w:rPr>
      </w:pPr>
      <w:r w:rsidRPr="00E34ACC">
        <w:rPr>
          <w:rFonts w:ascii="Calibri" w:hAnsi="Calibri" w:cs="Calibri"/>
          <w:sz w:val="28"/>
          <w:szCs w:val="28"/>
          <w:u w:val="single"/>
        </w:rPr>
        <w:t>Reference List</w:t>
      </w:r>
    </w:p>
    <w:p w14:paraId="28243AD6" w14:textId="77777777" w:rsidR="00643551" w:rsidRDefault="00643551" w:rsidP="00643551">
      <w:pPr>
        <w:spacing w:line="360" w:lineRule="auto"/>
        <w:rPr>
          <w:rFonts w:ascii="Calibri" w:hAnsi="Calibri" w:cs="Calibri"/>
          <w:sz w:val="22"/>
          <w:szCs w:val="22"/>
        </w:rPr>
      </w:pPr>
      <w:r w:rsidRPr="00D9190E">
        <w:rPr>
          <w:rFonts w:ascii="Calibri" w:hAnsi="Calibri" w:cs="Calibri"/>
          <w:sz w:val="22"/>
          <w:szCs w:val="22"/>
        </w:rPr>
        <w:t xml:space="preserve">Ali, E., Constantino, K.M., Hussain, A. and Akhtar, Z. (2018) ‘The Effects of Play-Based Learning on Early Childhood Education and Development’, </w:t>
      </w:r>
      <w:r w:rsidRPr="00D9190E">
        <w:rPr>
          <w:rFonts w:ascii="Calibri" w:hAnsi="Calibri" w:cs="Calibri"/>
          <w:i/>
          <w:iCs/>
          <w:sz w:val="22"/>
          <w:szCs w:val="22"/>
        </w:rPr>
        <w:t>Journal of Evolution of Medical and Dental Sciences</w:t>
      </w:r>
      <w:r w:rsidRPr="00D9190E">
        <w:rPr>
          <w:rFonts w:ascii="Calibri" w:hAnsi="Calibri" w:cs="Calibri"/>
          <w:sz w:val="22"/>
          <w:szCs w:val="22"/>
        </w:rPr>
        <w:t>, 7 (43) DOI: 10.14260/</w:t>
      </w:r>
      <w:proofErr w:type="spellStart"/>
      <w:r w:rsidRPr="00D9190E">
        <w:rPr>
          <w:rFonts w:ascii="Calibri" w:hAnsi="Calibri" w:cs="Calibri"/>
          <w:sz w:val="22"/>
          <w:szCs w:val="22"/>
        </w:rPr>
        <w:t>jemds</w:t>
      </w:r>
      <w:proofErr w:type="spellEnd"/>
      <w:r w:rsidRPr="00D9190E">
        <w:rPr>
          <w:rFonts w:ascii="Calibri" w:hAnsi="Calibri" w:cs="Calibri"/>
          <w:sz w:val="22"/>
          <w:szCs w:val="22"/>
        </w:rPr>
        <w:t>/2018/0000</w:t>
      </w:r>
    </w:p>
    <w:p w14:paraId="10F1E24F" w14:textId="77777777" w:rsidR="00643551" w:rsidRDefault="00643551" w:rsidP="00643551">
      <w:pPr>
        <w:spacing w:line="360" w:lineRule="auto"/>
        <w:rPr>
          <w:rFonts w:ascii="Calibri" w:hAnsi="Calibri" w:cs="Calibri"/>
          <w:sz w:val="22"/>
          <w:szCs w:val="22"/>
        </w:rPr>
      </w:pPr>
      <w:r>
        <w:rPr>
          <w:rFonts w:ascii="Calibri" w:hAnsi="Calibri" w:cs="Calibri"/>
          <w:sz w:val="22"/>
          <w:szCs w:val="22"/>
        </w:rPr>
        <w:t xml:space="preserve">Barnes, J. (2015) </w:t>
      </w:r>
      <w:r w:rsidRPr="00D2151E">
        <w:rPr>
          <w:rFonts w:ascii="Calibri" w:hAnsi="Calibri" w:cs="Calibri"/>
          <w:i/>
          <w:iCs/>
          <w:sz w:val="22"/>
          <w:szCs w:val="22"/>
        </w:rPr>
        <w:t>The Primary Curriculum, A Creative Approach</w:t>
      </w:r>
      <w:r>
        <w:rPr>
          <w:rFonts w:ascii="Calibri" w:hAnsi="Calibri" w:cs="Calibri"/>
          <w:sz w:val="22"/>
          <w:szCs w:val="22"/>
        </w:rPr>
        <w:t>. 2</w:t>
      </w:r>
      <w:r w:rsidRPr="005966EF">
        <w:rPr>
          <w:rFonts w:ascii="Calibri" w:hAnsi="Calibri" w:cs="Calibri"/>
          <w:sz w:val="22"/>
          <w:szCs w:val="22"/>
          <w:vertAlign w:val="superscript"/>
        </w:rPr>
        <w:t>nd</w:t>
      </w:r>
      <w:r>
        <w:rPr>
          <w:rFonts w:ascii="Calibri" w:hAnsi="Calibri" w:cs="Calibri"/>
          <w:sz w:val="22"/>
          <w:szCs w:val="22"/>
        </w:rPr>
        <w:t xml:space="preserve"> </w:t>
      </w:r>
      <w:proofErr w:type="spellStart"/>
      <w:r>
        <w:rPr>
          <w:rFonts w:ascii="Calibri" w:hAnsi="Calibri" w:cs="Calibri"/>
          <w:sz w:val="22"/>
          <w:szCs w:val="22"/>
        </w:rPr>
        <w:t>edn</w:t>
      </w:r>
      <w:proofErr w:type="spellEnd"/>
      <w:r>
        <w:rPr>
          <w:rFonts w:ascii="Calibri" w:hAnsi="Calibri" w:cs="Calibri"/>
          <w:sz w:val="22"/>
          <w:szCs w:val="22"/>
        </w:rPr>
        <w:t>. London: Sage Publishing.</w:t>
      </w:r>
    </w:p>
    <w:p w14:paraId="2A83BDE1" w14:textId="77777777" w:rsidR="00643551" w:rsidRDefault="00643551" w:rsidP="00643551">
      <w:pPr>
        <w:spacing w:line="360" w:lineRule="auto"/>
        <w:rPr>
          <w:rFonts w:ascii="Calibri" w:hAnsi="Calibri" w:cs="Calibri"/>
          <w:sz w:val="22"/>
          <w:szCs w:val="22"/>
        </w:rPr>
      </w:pPr>
      <w:proofErr w:type="spellStart"/>
      <w:proofErr w:type="gramStart"/>
      <w:r w:rsidRPr="00D2151E">
        <w:rPr>
          <w:rFonts w:ascii="Calibri" w:hAnsi="Calibri" w:cs="Calibri"/>
          <w:sz w:val="22"/>
          <w:szCs w:val="22"/>
        </w:rPr>
        <w:t>Barnes,J</w:t>
      </w:r>
      <w:proofErr w:type="spellEnd"/>
      <w:r w:rsidRPr="00D2151E">
        <w:rPr>
          <w:rFonts w:ascii="Calibri" w:hAnsi="Calibri" w:cs="Calibri"/>
          <w:sz w:val="22"/>
          <w:szCs w:val="22"/>
        </w:rPr>
        <w:t>.</w:t>
      </w:r>
      <w:proofErr w:type="gramEnd"/>
      <w:r w:rsidRPr="00D2151E">
        <w:rPr>
          <w:rFonts w:ascii="Calibri" w:hAnsi="Calibri" w:cs="Calibri"/>
          <w:sz w:val="22"/>
          <w:szCs w:val="22"/>
        </w:rPr>
        <w:t xml:space="preserve"> (2015) </w:t>
      </w:r>
      <w:r w:rsidRPr="00D2151E">
        <w:rPr>
          <w:rFonts w:ascii="Calibri" w:hAnsi="Calibri" w:cs="Calibri"/>
          <w:i/>
          <w:iCs/>
          <w:sz w:val="22"/>
          <w:szCs w:val="22"/>
        </w:rPr>
        <w:t>Cross-Curricular Learning 3-14</w:t>
      </w:r>
      <w:r w:rsidRPr="00D2151E">
        <w:rPr>
          <w:rFonts w:ascii="Calibri" w:hAnsi="Calibri" w:cs="Calibri"/>
          <w:sz w:val="22"/>
          <w:szCs w:val="22"/>
        </w:rPr>
        <w:t xml:space="preserve">. 3rd </w:t>
      </w:r>
      <w:proofErr w:type="spellStart"/>
      <w:r w:rsidRPr="00D2151E">
        <w:rPr>
          <w:rFonts w:ascii="Calibri" w:hAnsi="Calibri" w:cs="Calibri"/>
          <w:sz w:val="22"/>
          <w:szCs w:val="22"/>
        </w:rPr>
        <w:t>edn</w:t>
      </w:r>
      <w:proofErr w:type="spellEnd"/>
      <w:r w:rsidRPr="00D2151E">
        <w:rPr>
          <w:rFonts w:ascii="Calibri" w:hAnsi="Calibri" w:cs="Calibri"/>
          <w:sz w:val="22"/>
          <w:szCs w:val="22"/>
        </w:rPr>
        <w:t>. London: Sage.</w:t>
      </w:r>
    </w:p>
    <w:p w14:paraId="1B1817AA" w14:textId="77777777" w:rsidR="00643551" w:rsidRPr="00D2151E" w:rsidRDefault="00643551" w:rsidP="00643551">
      <w:pPr>
        <w:spacing w:line="360" w:lineRule="auto"/>
        <w:rPr>
          <w:rFonts w:ascii="Calibri" w:hAnsi="Calibri" w:cs="Calibri"/>
          <w:sz w:val="22"/>
          <w:szCs w:val="22"/>
        </w:rPr>
      </w:pPr>
      <w:r w:rsidRPr="00D2151E">
        <w:rPr>
          <w:rFonts w:ascii="Calibri" w:hAnsi="Calibri" w:cs="Calibri"/>
          <w:sz w:val="22"/>
          <w:szCs w:val="22"/>
        </w:rPr>
        <w:t>Beauchamp (2016)</w:t>
      </w:r>
      <w:r w:rsidRPr="00D2151E">
        <w:rPr>
          <w:rFonts w:ascii="Calibri" w:hAnsi="Calibri" w:cs="Calibri"/>
          <w:i/>
          <w:iCs/>
          <w:sz w:val="22"/>
          <w:szCs w:val="22"/>
        </w:rPr>
        <w:t xml:space="preserve"> Computing and ICT in the Primary School: From Pedagogy to Practice</w:t>
      </w:r>
      <w:r w:rsidRPr="00D2151E">
        <w:rPr>
          <w:rFonts w:ascii="Calibri" w:hAnsi="Calibri" w:cs="Calibri"/>
          <w:sz w:val="22"/>
          <w:szCs w:val="22"/>
        </w:rPr>
        <w:t xml:space="preserve">. 2nd </w:t>
      </w:r>
      <w:proofErr w:type="spellStart"/>
      <w:r w:rsidRPr="00D2151E">
        <w:rPr>
          <w:rFonts w:ascii="Calibri" w:hAnsi="Calibri" w:cs="Calibri"/>
          <w:sz w:val="22"/>
          <w:szCs w:val="22"/>
        </w:rPr>
        <w:t>edn</w:t>
      </w:r>
      <w:proofErr w:type="spellEnd"/>
      <w:r w:rsidRPr="00D2151E">
        <w:rPr>
          <w:rFonts w:ascii="Calibri" w:hAnsi="Calibri" w:cs="Calibri"/>
          <w:sz w:val="22"/>
          <w:szCs w:val="22"/>
        </w:rPr>
        <w:t>. London: Routledge.</w:t>
      </w:r>
    </w:p>
    <w:p w14:paraId="06508DB5" w14:textId="77777777" w:rsidR="00643551" w:rsidRDefault="00643551" w:rsidP="00643551">
      <w:pPr>
        <w:spacing w:line="360" w:lineRule="auto"/>
        <w:rPr>
          <w:rFonts w:ascii="Calibri" w:hAnsi="Calibri" w:cs="Calibri"/>
          <w:sz w:val="22"/>
          <w:szCs w:val="22"/>
        </w:rPr>
      </w:pPr>
      <w:r>
        <w:rPr>
          <w:rFonts w:ascii="Calibri" w:hAnsi="Calibri" w:cs="Calibri"/>
          <w:sz w:val="22"/>
          <w:szCs w:val="22"/>
        </w:rPr>
        <w:t xml:space="preserve">Best For Teachers (2024) Addressing </w:t>
      </w:r>
      <w:proofErr w:type="gramStart"/>
      <w:r>
        <w:rPr>
          <w:rFonts w:ascii="Calibri" w:hAnsi="Calibri" w:cs="Calibri"/>
          <w:sz w:val="22"/>
          <w:szCs w:val="22"/>
        </w:rPr>
        <w:t>The</w:t>
      </w:r>
      <w:proofErr w:type="gramEnd"/>
      <w:r>
        <w:rPr>
          <w:rFonts w:ascii="Calibri" w:hAnsi="Calibri" w:cs="Calibri"/>
          <w:sz w:val="22"/>
          <w:szCs w:val="22"/>
        </w:rPr>
        <w:t xml:space="preserve"> Biggest Problem Facing Educators Today: Time. Available at: </w:t>
      </w:r>
      <w:hyperlink r:id="rId5" w:anchor=":~:text=Let%27s%20delve%20into%20why%20teachers%20lack%20the%20necessary,and%20administrators%20can%20implement%20to%20alleviate%20this%20issue." w:history="1">
        <w:r w:rsidRPr="008025FB">
          <w:rPr>
            <w:rStyle w:val="Hyperlink"/>
            <w:rFonts w:ascii="Calibri" w:hAnsi="Calibri" w:cs="Calibri"/>
            <w:sz w:val="22"/>
            <w:szCs w:val="22"/>
          </w:rPr>
          <w:t>Addressing The Biggest Problem Facing Educators Today: Time</w:t>
        </w:r>
      </w:hyperlink>
      <w:r>
        <w:rPr>
          <w:rFonts w:ascii="Calibri" w:hAnsi="Calibri" w:cs="Calibri"/>
          <w:sz w:val="22"/>
          <w:szCs w:val="22"/>
        </w:rPr>
        <w:t xml:space="preserve"> (Accessed: 23 February 2025).</w:t>
      </w:r>
    </w:p>
    <w:p w14:paraId="5B590E07" w14:textId="77777777" w:rsidR="00643551" w:rsidRDefault="00643551" w:rsidP="00643551">
      <w:pPr>
        <w:spacing w:line="360" w:lineRule="auto"/>
        <w:rPr>
          <w:rFonts w:ascii="Calibri" w:hAnsi="Calibri" w:cs="Calibri"/>
          <w:sz w:val="22"/>
          <w:szCs w:val="22"/>
        </w:rPr>
      </w:pPr>
      <w:r w:rsidRPr="00412382">
        <w:rPr>
          <w:rFonts w:ascii="Calibri" w:hAnsi="Calibri" w:cs="Calibri"/>
          <w:sz w:val="22"/>
          <w:szCs w:val="22"/>
        </w:rPr>
        <w:lastRenderedPageBreak/>
        <w:t xml:space="preserve">Collie, R.J and Martin, A.J (2016) ‘Adaptability: An Important Capacity for Effective Teaching’, </w:t>
      </w:r>
      <w:r w:rsidRPr="00412382">
        <w:rPr>
          <w:rFonts w:ascii="Calibri" w:hAnsi="Calibri" w:cs="Calibri"/>
          <w:i/>
          <w:iCs/>
          <w:sz w:val="22"/>
          <w:szCs w:val="22"/>
        </w:rPr>
        <w:t>Educational Practice and Theory</w:t>
      </w:r>
      <w:r w:rsidRPr="00412382">
        <w:rPr>
          <w:rFonts w:ascii="Calibri" w:hAnsi="Calibri" w:cs="Calibri"/>
          <w:sz w:val="22"/>
          <w:szCs w:val="22"/>
        </w:rPr>
        <w:t xml:space="preserve">, 38(1) pp. 4. Available at: </w:t>
      </w:r>
      <w:hyperlink r:id="rId6" w:history="1">
        <w:r w:rsidRPr="00412382">
          <w:rPr>
            <w:rStyle w:val="Hyperlink"/>
            <w:rFonts w:ascii="Calibri" w:hAnsi="Calibri" w:cs="Calibri"/>
            <w:sz w:val="22"/>
            <w:szCs w:val="22"/>
          </w:rPr>
          <w:t>(PDF) Adaptability: An Important Capacity for Effective Teachers</w:t>
        </w:r>
      </w:hyperlink>
      <w:r w:rsidRPr="00412382">
        <w:rPr>
          <w:rFonts w:ascii="Calibri" w:hAnsi="Calibri" w:cs="Calibri"/>
          <w:sz w:val="22"/>
          <w:szCs w:val="22"/>
        </w:rPr>
        <w:t xml:space="preserve"> (Accessed: 23 February 2025).</w:t>
      </w:r>
    </w:p>
    <w:p w14:paraId="027C0201" w14:textId="77777777" w:rsidR="00643551" w:rsidRDefault="00643551" w:rsidP="00643551">
      <w:pPr>
        <w:spacing w:line="360" w:lineRule="auto"/>
        <w:rPr>
          <w:rFonts w:ascii="Calibri" w:hAnsi="Calibri" w:cs="Calibri"/>
          <w:sz w:val="22"/>
          <w:szCs w:val="22"/>
        </w:rPr>
      </w:pPr>
      <w:r w:rsidRPr="00412382">
        <w:rPr>
          <w:rFonts w:ascii="Calibri" w:hAnsi="Calibri" w:cs="Calibri"/>
          <w:sz w:val="22"/>
          <w:szCs w:val="22"/>
        </w:rPr>
        <w:t xml:space="preserve">Estyn (2018) Providing enriched experiences to develop skills. Available at: </w:t>
      </w:r>
      <w:hyperlink r:id="rId7" w:history="1">
        <w:r w:rsidRPr="00412382">
          <w:rPr>
            <w:rStyle w:val="Hyperlink"/>
            <w:rFonts w:ascii="Calibri" w:hAnsi="Calibri" w:cs="Calibri"/>
            <w:sz w:val="22"/>
            <w:szCs w:val="22"/>
          </w:rPr>
          <w:t>Providing enriched experiences to develop skills - Estyn</w:t>
        </w:r>
      </w:hyperlink>
      <w:r w:rsidRPr="00412382">
        <w:rPr>
          <w:rFonts w:ascii="Calibri" w:hAnsi="Calibri" w:cs="Calibri"/>
          <w:sz w:val="22"/>
          <w:szCs w:val="22"/>
        </w:rPr>
        <w:t xml:space="preserve"> (Accessed: 22 February 2025).</w:t>
      </w:r>
    </w:p>
    <w:p w14:paraId="6A65A392" w14:textId="77777777" w:rsidR="00643551" w:rsidRDefault="00643551" w:rsidP="00643551">
      <w:pPr>
        <w:spacing w:line="360" w:lineRule="auto"/>
        <w:rPr>
          <w:rFonts w:ascii="Calibri" w:hAnsi="Calibri" w:cs="Calibri"/>
          <w:sz w:val="22"/>
          <w:szCs w:val="22"/>
        </w:rPr>
      </w:pPr>
      <w:r w:rsidRPr="00DC537E">
        <w:rPr>
          <w:rFonts w:ascii="Calibri" w:hAnsi="Calibri" w:cs="Calibri"/>
          <w:sz w:val="22"/>
          <w:szCs w:val="22"/>
        </w:rPr>
        <w:t xml:space="preserve">Kelly, L. and Stead, D. (2015) </w:t>
      </w:r>
      <w:r w:rsidRPr="00DC537E">
        <w:rPr>
          <w:rFonts w:ascii="Calibri" w:hAnsi="Calibri" w:cs="Calibri"/>
          <w:i/>
          <w:iCs/>
          <w:sz w:val="22"/>
          <w:szCs w:val="22"/>
        </w:rPr>
        <w:t>Enhancing Primary Science: Developing Effective Cross-Curricular Links</w:t>
      </w:r>
      <w:r w:rsidRPr="00DC537E">
        <w:rPr>
          <w:rFonts w:ascii="Calibri" w:hAnsi="Calibri" w:cs="Calibri"/>
          <w:sz w:val="22"/>
          <w:szCs w:val="22"/>
        </w:rPr>
        <w:t>. Open University Press.</w:t>
      </w:r>
      <w:r w:rsidRPr="00DC537E">
        <w:rPr>
          <w:rFonts w:ascii="Calibri" w:hAnsi="Calibri" w:cs="Calibri"/>
          <w:sz w:val="22"/>
          <w:szCs w:val="22"/>
        </w:rPr>
        <w:br/>
      </w:r>
      <w:proofErr w:type="spellStart"/>
      <w:r w:rsidRPr="00DC537E">
        <w:rPr>
          <w:rFonts w:ascii="Calibri" w:hAnsi="Calibri" w:cs="Calibri"/>
          <w:sz w:val="22"/>
          <w:szCs w:val="22"/>
        </w:rPr>
        <w:t>Meace</w:t>
      </w:r>
      <w:proofErr w:type="spellEnd"/>
      <w:r w:rsidRPr="00DC537E">
        <w:rPr>
          <w:rFonts w:ascii="Calibri" w:hAnsi="Calibri" w:cs="Calibri"/>
          <w:sz w:val="22"/>
          <w:szCs w:val="22"/>
        </w:rPr>
        <w:t xml:space="preserve">-Williams, S., Carroll, F. and Kopp, R. (2022) ‘Promoting Teacher Confidence with Technology through Risk Taking and Organisational Changes: A Welsh Perspective’, </w:t>
      </w:r>
      <w:r w:rsidRPr="00DC537E">
        <w:rPr>
          <w:rFonts w:ascii="Calibri" w:hAnsi="Calibri" w:cs="Calibri"/>
          <w:i/>
          <w:iCs/>
          <w:sz w:val="22"/>
          <w:szCs w:val="22"/>
        </w:rPr>
        <w:t>The 3rd Barcelona Conference on Education</w:t>
      </w:r>
      <w:r w:rsidRPr="00DC537E">
        <w:rPr>
          <w:rFonts w:ascii="Calibri" w:hAnsi="Calibri" w:cs="Calibri"/>
          <w:sz w:val="22"/>
          <w:szCs w:val="22"/>
        </w:rPr>
        <w:t>. Barcelona, 20 September 0 23 September. Barcelona: International Academic Forum (IAFOR). Available at:</w:t>
      </w:r>
      <w:hyperlink r:id="rId8" w:history="1">
        <w:r w:rsidRPr="00DC537E">
          <w:rPr>
            <w:rStyle w:val="Hyperlink"/>
            <w:rFonts w:ascii="Calibri" w:hAnsi="Calibri" w:cs="Calibri"/>
            <w:sz w:val="22"/>
            <w:szCs w:val="22"/>
          </w:rPr>
          <w:t xml:space="preserve"> https://pure.southwales.ac.uk/en/publications/promoting-teacher-confidence-with-technology-through-risk-taking-</w:t>
        </w:r>
      </w:hyperlink>
      <w:r w:rsidRPr="00DC537E">
        <w:rPr>
          <w:rFonts w:ascii="Calibri" w:hAnsi="Calibri" w:cs="Calibri"/>
          <w:sz w:val="22"/>
          <w:szCs w:val="22"/>
        </w:rPr>
        <w:t>.</w:t>
      </w:r>
      <w:r w:rsidRPr="00F82945">
        <w:rPr>
          <w:rFonts w:ascii="Calibri" w:hAnsi="Calibri" w:cs="Calibri"/>
          <w:sz w:val="22"/>
          <w:szCs w:val="22"/>
        </w:rPr>
        <w:br/>
        <w:t xml:space="preserve">NASUWT (2025) </w:t>
      </w:r>
      <w:r w:rsidRPr="00F82945">
        <w:rPr>
          <w:rFonts w:ascii="Calibri" w:hAnsi="Calibri" w:cs="Calibri"/>
          <w:i/>
          <w:iCs/>
          <w:sz w:val="22"/>
          <w:szCs w:val="22"/>
        </w:rPr>
        <w:t>Tackling Excessive Teacher Workload</w:t>
      </w:r>
      <w:r w:rsidRPr="00F82945">
        <w:rPr>
          <w:rFonts w:ascii="Calibri" w:hAnsi="Calibri" w:cs="Calibri"/>
          <w:sz w:val="22"/>
          <w:szCs w:val="22"/>
        </w:rPr>
        <w:t xml:space="preserve">. Available at: </w:t>
      </w:r>
      <w:hyperlink r:id="rId9" w:history="1">
        <w:r w:rsidRPr="00F82945">
          <w:rPr>
            <w:rStyle w:val="Hyperlink"/>
            <w:rFonts w:ascii="Calibri" w:hAnsi="Calibri" w:cs="Calibri"/>
            <w:sz w:val="22"/>
            <w:szCs w:val="22"/>
          </w:rPr>
          <w:t>NASUWT | Tackling Excessive Teacher Workload (England and Wales)</w:t>
        </w:r>
      </w:hyperlink>
      <w:r w:rsidRPr="00F82945">
        <w:rPr>
          <w:rFonts w:ascii="Calibri" w:hAnsi="Calibri" w:cs="Calibri"/>
          <w:sz w:val="22"/>
          <w:szCs w:val="22"/>
        </w:rPr>
        <w:t xml:space="preserve"> (Accessed: 21 </w:t>
      </w:r>
      <w:r>
        <w:rPr>
          <w:rFonts w:ascii="Calibri" w:hAnsi="Calibri" w:cs="Calibri"/>
          <w:sz w:val="22"/>
          <w:szCs w:val="22"/>
        </w:rPr>
        <w:t>February</w:t>
      </w:r>
      <w:r w:rsidRPr="00F82945">
        <w:rPr>
          <w:rFonts w:ascii="Calibri" w:hAnsi="Calibri" w:cs="Calibri"/>
          <w:sz w:val="22"/>
          <w:szCs w:val="22"/>
        </w:rPr>
        <w:t xml:space="preserve"> 2025).</w:t>
      </w:r>
      <w:r w:rsidRPr="00F82AE8">
        <w:rPr>
          <w:rFonts w:ascii="Calibri" w:hAnsi="Calibri" w:cs="Calibri"/>
          <w:sz w:val="22"/>
          <w:szCs w:val="22"/>
        </w:rPr>
        <w:br/>
        <w:t xml:space="preserve">Raja, R., </w:t>
      </w:r>
      <w:proofErr w:type="spellStart"/>
      <w:r w:rsidRPr="00F82AE8">
        <w:rPr>
          <w:rFonts w:ascii="Calibri" w:hAnsi="Calibri" w:cs="Calibri"/>
          <w:sz w:val="22"/>
          <w:szCs w:val="22"/>
        </w:rPr>
        <w:t>Nagasubramani</w:t>
      </w:r>
      <w:proofErr w:type="spellEnd"/>
      <w:r w:rsidRPr="00F82AE8">
        <w:rPr>
          <w:rFonts w:ascii="Calibri" w:hAnsi="Calibri" w:cs="Calibri"/>
          <w:sz w:val="22"/>
          <w:szCs w:val="22"/>
        </w:rPr>
        <w:t xml:space="preserve">, P.C (2018) Impact of Modern Technology in Education, Journal of Applied and Advanced Research (April). Available at: </w:t>
      </w:r>
      <w:hyperlink r:id="rId10" w:history="1">
        <w:r w:rsidRPr="00F82AE8">
          <w:rPr>
            <w:rStyle w:val="Hyperlink"/>
            <w:rFonts w:ascii="Calibri" w:hAnsi="Calibri" w:cs="Calibri"/>
            <w:sz w:val="22"/>
            <w:szCs w:val="22"/>
          </w:rPr>
          <w:t>(PDF) Impact of modern technology in education</w:t>
        </w:r>
      </w:hyperlink>
      <w:r w:rsidRPr="00F82AE8">
        <w:rPr>
          <w:rFonts w:ascii="Calibri" w:hAnsi="Calibri" w:cs="Calibri"/>
          <w:sz w:val="22"/>
          <w:szCs w:val="22"/>
        </w:rPr>
        <w:t xml:space="preserve"> (Accessed: 23 February 2023).</w:t>
      </w:r>
    </w:p>
    <w:p w14:paraId="5841159F" w14:textId="77777777" w:rsidR="00643551" w:rsidRPr="0029119C" w:rsidRDefault="00643551" w:rsidP="00643551">
      <w:pPr>
        <w:spacing w:line="360" w:lineRule="auto"/>
        <w:rPr>
          <w:rFonts w:ascii="Calibri" w:hAnsi="Calibri" w:cs="Calibri"/>
          <w:sz w:val="22"/>
          <w:szCs w:val="22"/>
        </w:rPr>
      </w:pPr>
      <w:r w:rsidRPr="0029119C">
        <w:rPr>
          <w:rFonts w:ascii="Calibri" w:hAnsi="Calibri" w:cs="Calibri"/>
          <w:sz w:val="22"/>
          <w:szCs w:val="22"/>
        </w:rPr>
        <w:t xml:space="preserve">Thomas, A. and Lewis, A. (2016) </w:t>
      </w:r>
      <w:r w:rsidRPr="0029119C">
        <w:rPr>
          <w:rFonts w:ascii="Calibri" w:hAnsi="Calibri" w:cs="Calibri"/>
          <w:i/>
          <w:iCs/>
          <w:sz w:val="22"/>
          <w:szCs w:val="22"/>
        </w:rPr>
        <w:t>An Introduction to the Foundation Phase</w:t>
      </w:r>
      <w:r w:rsidRPr="0029119C">
        <w:rPr>
          <w:rFonts w:ascii="Calibri" w:hAnsi="Calibri" w:cs="Calibri"/>
          <w:sz w:val="22"/>
          <w:szCs w:val="22"/>
        </w:rPr>
        <w:t>. London: Bloomsbury.</w:t>
      </w:r>
    </w:p>
    <w:p w14:paraId="53E74FB9" w14:textId="77777777" w:rsidR="00643551" w:rsidRDefault="00643551" w:rsidP="00643551">
      <w:pPr>
        <w:spacing w:line="360" w:lineRule="auto"/>
        <w:rPr>
          <w:rFonts w:ascii="Calibri" w:hAnsi="Calibri" w:cs="Calibri"/>
          <w:sz w:val="22"/>
          <w:szCs w:val="22"/>
        </w:rPr>
      </w:pPr>
      <w:r w:rsidRPr="0029119C">
        <w:rPr>
          <w:rFonts w:ascii="Calibri" w:hAnsi="Calibri" w:cs="Calibri"/>
          <w:sz w:val="22"/>
          <w:szCs w:val="22"/>
        </w:rPr>
        <w:t xml:space="preserve">Welsh Government (2022) </w:t>
      </w:r>
      <w:r w:rsidRPr="0029119C">
        <w:rPr>
          <w:rFonts w:ascii="Calibri" w:hAnsi="Calibri" w:cs="Calibri"/>
          <w:i/>
          <w:iCs/>
          <w:sz w:val="22"/>
          <w:szCs w:val="22"/>
        </w:rPr>
        <w:t xml:space="preserve">Cross-Curricular Skills Frameworks. </w:t>
      </w:r>
      <w:r w:rsidRPr="0029119C">
        <w:rPr>
          <w:rFonts w:ascii="Calibri" w:hAnsi="Calibri" w:cs="Calibri"/>
          <w:sz w:val="22"/>
          <w:szCs w:val="22"/>
        </w:rPr>
        <w:t xml:space="preserve">Available at: </w:t>
      </w:r>
      <w:hyperlink r:id="rId11" w:history="1">
        <w:r w:rsidRPr="0029119C">
          <w:rPr>
            <w:rStyle w:val="Hyperlink"/>
            <w:rFonts w:ascii="Calibri" w:hAnsi="Calibri" w:cs="Calibri"/>
            <w:sz w:val="22"/>
            <w:szCs w:val="22"/>
          </w:rPr>
          <w:t>Cross-curricular skills frameworks - Hwb</w:t>
        </w:r>
      </w:hyperlink>
      <w:r w:rsidRPr="0029119C">
        <w:rPr>
          <w:rFonts w:ascii="Calibri" w:hAnsi="Calibri" w:cs="Calibri"/>
          <w:sz w:val="22"/>
          <w:szCs w:val="22"/>
        </w:rPr>
        <w:t xml:space="preserve"> (Accessed: 20 February 2025).</w:t>
      </w:r>
      <w:r w:rsidRPr="0029119C">
        <w:rPr>
          <w:rFonts w:ascii="Calibri" w:hAnsi="Calibri" w:cs="Calibri"/>
          <w:sz w:val="22"/>
          <w:szCs w:val="22"/>
        </w:rPr>
        <w:br/>
        <w:t xml:space="preserve">Welsh Government (2024) Cross-cutting themes for designing your curriculum. Available at: </w:t>
      </w:r>
      <w:hyperlink r:id="rId12" w:history="1">
        <w:r w:rsidRPr="0029119C">
          <w:rPr>
            <w:rStyle w:val="Hyperlink"/>
            <w:rFonts w:ascii="Calibri" w:hAnsi="Calibri" w:cs="Calibri"/>
            <w:sz w:val="22"/>
            <w:szCs w:val="22"/>
          </w:rPr>
          <w:t>Cross-cutting themes for designing your curriculum - Hwb</w:t>
        </w:r>
      </w:hyperlink>
      <w:r w:rsidRPr="0029119C">
        <w:rPr>
          <w:rFonts w:ascii="Calibri" w:hAnsi="Calibri" w:cs="Calibri"/>
          <w:sz w:val="22"/>
          <w:szCs w:val="22"/>
        </w:rPr>
        <w:t xml:space="preserve"> (Accessed: 20 February 2025).</w:t>
      </w:r>
    </w:p>
    <w:p w14:paraId="6BEA59AD" w14:textId="77777777" w:rsidR="00643551" w:rsidRPr="00D9190E" w:rsidRDefault="00643551" w:rsidP="00643551">
      <w:pPr>
        <w:spacing w:line="360" w:lineRule="auto"/>
        <w:rPr>
          <w:rFonts w:ascii="Calibri" w:hAnsi="Calibri" w:cs="Calibri"/>
          <w:sz w:val="22"/>
          <w:szCs w:val="22"/>
        </w:rPr>
      </w:pPr>
      <w:r>
        <w:rPr>
          <w:rFonts w:ascii="Calibri" w:hAnsi="Calibri" w:cs="Calibri"/>
          <w:sz w:val="22"/>
          <w:szCs w:val="22"/>
        </w:rPr>
        <w:t xml:space="preserve">Wightwick, A. (2023) People Responsible for schools send a devastating warning to the Welsh Government about ‘inadequate funding’. Available at: </w:t>
      </w:r>
      <w:hyperlink r:id="rId13" w:history="1">
        <w:r w:rsidRPr="00374BB9">
          <w:rPr>
            <w:rStyle w:val="Hyperlink"/>
            <w:rFonts w:ascii="Calibri" w:hAnsi="Calibri" w:cs="Calibri"/>
            <w:sz w:val="22"/>
            <w:szCs w:val="22"/>
          </w:rPr>
          <w:t>People responsible for schools send a devastating warning to the Welsh Government about 'inadequate funding' - Wales Online</w:t>
        </w:r>
      </w:hyperlink>
      <w:r>
        <w:rPr>
          <w:rFonts w:ascii="Calibri" w:hAnsi="Calibri" w:cs="Calibri"/>
          <w:sz w:val="22"/>
          <w:szCs w:val="22"/>
        </w:rPr>
        <w:t xml:space="preserve"> (Accessed: 23 February 2025).</w:t>
      </w:r>
    </w:p>
    <w:p w14:paraId="5D1288CF" w14:textId="77777777" w:rsidR="0000375B" w:rsidRDefault="0000375B" w:rsidP="00643551">
      <w:pPr>
        <w:spacing w:line="360" w:lineRule="auto"/>
        <w:rPr>
          <w:b/>
          <w:bCs/>
        </w:rPr>
      </w:pPr>
    </w:p>
    <w:p w14:paraId="1D3D6E92" w14:textId="39A1726B" w:rsidR="00475528" w:rsidRPr="00475528" w:rsidRDefault="00475528" w:rsidP="00643551">
      <w:pPr>
        <w:spacing w:line="360" w:lineRule="auto"/>
        <w:rPr>
          <w:sz w:val="28"/>
          <w:szCs w:val="28"/>
          <w:u w:val="single"/>
        </w:rPr>
      </w:pPr>
      <w:r w:rsidRPr="00475528">
        <w:rPr>
          <w:sz w:val="28"/>
          <w:szCs w:val="28"/>
          <w:u w:val="single"/>
        </w:rPr>
        <w:t>Appendices</w:t>
      </w:r>
    </w:p>
    <w:p w14:paraId="394D5FC3" w14:textId="07659FB9" w:rsidR="00475528" w:rsidRPr="00475528" w:rsidRDefault="00475528" w:rsidP="00643551">
      <w:pPr>
        <w:spacing w:line="360" w:lineRule="auto"/>
        <w:rPr>
          <w:i/>
          <w:iCs/>
          <w:u w:val="single"/>
        </w:rPr>
      </w:pPr>
      <w:r w:rsidRPr="00475528">
        <w:rPr>
          <w:u w:val="single"/>
        </w:rPr>
        <w:t xml:space="preserve">Appendix </w:t>
      </w:r>
      <w:r w:rsidRPr="00475528">
        <w:rPr>
          <w:i/>
          <w:iCs/>
          <w:u w:val="single"/>
        </w:rPr>
        <w:t>A</w:t>
      </w:r>
    </w:p>
    <w:p w14:paraId="6D3C5311" w14:textId="7B042B38" w:rsidR="00475528" w:rsidRDefault="00475528" w:rsidP="00643551">
      <w:pPr>
        <w:spacing w:line="360" w:lineRule="auto"/>
      </w:pPr>
      <w:r>
        <w:rPr>
          <w:noProof/>
        </w:rPr>
        <w:lastRenderedPageBreak/>
        <w:drawing>
          <wp:inline distT="0" distB="0" distL="0" distR="0" wp14:anchorId="69FAF3A9" wp14:editId="00160803">
            <wp:extent cx="5731510" cy="4062730"/>
            <wp:effectExtent l="0" t="0" r="2540" b="0"/>
            <wp:docPr id="1850693581" name="Picture 1" descr="A screenshot of a schoo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93581" name="Picture 1" descr="A screenshot of a school application&#10;&#10;AI-generated content may be incorrect."/>
                    <pic:cNvPicPr/>
                  </pic:nvPicPr>
                  <pic:blipFill>
                    <a:blip r:embed="rId14"/>
                    <a:stretch>
                      <a:fillRect/>
                    </a:stretch>
                  </pic:blipFill>
                  <pic:spPr>
                    <a:xfrm>
                      <a:off x="0" y="0"/>
                      <a:ext cx="5731510" cy="4062730"/>
                    </a:xfrm>
                    <a:prstGeom prst="rect">
                      <a:avLst/>
                    </a:prstGeom>
                  </pic:spPr>
                </pic:pic>
              </a:graphicData>
            </a:graphic>
          </wp:inline>
        </w:drawing>
      </w:r>
    </w:p>
    <w:p w14:paraId="31E6A9A6" w14:textId="5F726ED7" w:rsidR="00475528" w:rsidRDefault="00475528" w:rsidP="00643551">
      <w:pPr>
        <w:spacing w:line="360" w:lineRule="auto"/>
      </w:pPr>
      <w:r>
        <w:rPr>
          <w:noProof/>
        </w:rPr>
        <w:drawing>
          <wp:inline distT="0" distB="0" distL="0" distR="0" wp14:anchorId="4413185B" wp14:editId="0B9DD0B5">
            <wp:extent cx="5731510" cy="4154805"/>
            <wp:effectExtent l="0" t="0" r="2540" b="0"/>
            <wp:docPr id="78742350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423502" name="Picture 1" descr="A screenshot of a computer program&#10;&#10;AI-generated content may be incorrect."/>
                    <pic:cNvPicPr/>
                  </pic:nvPicPr>
                  <pic:blipFill>
                    <a:blip r:embed="rId15"/>
                    <a:stretch>
                      <a:fillRect/>
                    </a:stretch>
                  </pic:blipFill>
                  <pic:spPr>
                    <a:xfrm>
                      <a:off x="0" y="0"/>
                      <a:ext cx="5731510" cy="4154805"/>
                    </a:xfrm>
                    <a:prstGeom prst="rect">
                      <a:avLst/>
                    </a:prstGeom>
                  </pic:spPr>
                </pic:pic>
              </a:graphicData>
            </a:graphic>
          </wp:inline>
        </w:drawing>
      </w:r>
    </w:p>
    <w:p w14:paraId="3563C458" w14:textId="00CBF2CE" w:rsidR="00475528" w:rsidRDefault="00475528" w:rsidP="00643551">
      <w:pPr>
        <w:spacing w:line="360" w:lineRule="auto"/>
      </w:pPr>
      <w:r>
        <w:rPr>
          <w:noProof/>
        </w:rPr>
        <w:lastRenderedPageBreak/>
        <w:drawing>
          <wp:inline distT="0" distB="0" distL="0" distR="0" wp14:anchorId="6EED93BB" wp14:editId="4E4D19BE">
            <wp:extent cx="5731510" cy="3678555"/>
            <wp:effectExtent l="0" t="0" r="2540" b="0"/>
            <wp:docPr id="678781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78100" name="Picture 1" descr="A screenshot of a computer&#10;&#10;AI-generated content may be incorrect."/>
                    <pic:cNvPicPr/>
                  </pic:nvPicPr>
                  <pic:blipFill>
                    <a:blip r:embed="rId16"/>
                    <a:stretch>
                      <a:fillRect/>
                    </a:stretch>
                  </pic:blipFill>
                  <pic:spPr>
                    <a:xfrm>
                      <a:off x="0" y="0"/>
                      <a:ext cx="5731510" cy="3678555"/>
                    </a:xfrm>
                    <a:prstGeom prst="rect">
                      <a:avLst/>
                    </a:prstGeom>
                  </pic:spPr>
                </pic:pic>
              </a:graphicData>
            </a:graphic>
          </wp:inline>
        </w:drawing>
      </w:r>
      <w:r>
        <w:rPr>
          <w:noProof/>
        </w:rPr>
        <w:drawing>
          <wp:inline distT="0" distB="0" distL="0" distR="0" wp14:anchorId="361612BC" wp14:editId="6403251B">
            <wp:extent cx="5731510" cy="3847465"/>
            <wp:effectExtent l="0" t="0" r="2540" b="635"/>
            <wp:docPr id="509615737" name="Picture 1" descr="A white and blu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15737" name="Picture 1" descr="A white and blue chart with black text&#10;&#10;AI-generated content may be incorrect."/>
                    <pic:cNvPicPr/>
                  </pic:nvPicPr>
                  <pic:blipFill>
                    <a:blip r:embed="rId17"/>
                    <a:stretch>
                      <a:fillRect/>
                    </a:stretch>
                  </pic:blipFill>
                  <pic:spPr>
                    <a:xfrm>
                      <a:off x="0" y="0"/>
                      <a:ext cx="5731510" cy="3847465"/>
                    </a:xfrm>
                    <a:prstGeom prst="rect">
                      <a:avLst/>
                    </a:prstGeom>
                  </pic:spPr>
                </pic:pic>
              </a:graphicData>
            </a:graphic>
          </wp:inline>
        </w:drawing>
      </w:r>
      <w:r>
        <w:rPr>
          <w:noProof/>
        </w:rPr>
        <w:lastRenderedPageBreak/>
        <w:drawing>
          <wp:inline distT="0" distB="0" distL="0" distR="0" wp14:anchorId="2B2E702D" wp14:editId="143DB62E">
            <wp:extent cx="5731510" cy="2642870"/>
            <wp:effectExtent l="0" t="0" r="2540" b="5080"/>
            <wp:docPr id="886188814"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188814" name="Picture 1" descr="A white rectangular box with black text&#10;&#10;AI-generated content may be incorrect."/>
                    <pic:cNvPicPr/>
                  </pic:nvPicPr>
                  <pic:blipFill>
                    <a:blip r:embed="rId18"/>
                    <a:stretch>
                      <a:fillRect/>
                    </a:stretch>
                  </pic:blipFill>
                  <pic:spPr>
                    <a:xfrm>
                      <a:off x="0" y="0"/>
                      <a:ext cx="5731510" cy="2642870"/>
                    </a:xfrm>
                    <a:prstGeom prst="rect">
                      <a:avLst/>
                    </a:prstGeom>
                  </pic:spPr>
                </pic:pic>
              </a:graphicData>
            </a:graphic>
          </wp:inline>
        </w:drawing>
      </w:r>
    </w:p>
    <w:p w14:paraId="19223F33" w14:textId="77777777" w:rsidR="00475528" w:rsidRDefault="00475528" w:rsidP="00643551">
      <w:pPr>
        <w:spacing w:line="360" w:lineRule="auto"/>
      </w:pPr>
    </w:p>
    <w:p w14:paraId="7F69AE9E" w14:textId="7E43D2D8" w:rsidR="00475528" w:rsidRDefault="00475528" w:rsidP="00643551">
      <w:pPr>
        <w:spacing w:line="360" w:lineRule="auto"/>
        <w:rPr>
          <w:i/>
          <w:iCs/>
          <w:sz w:val="28"/>
          <w:szCs w:val="28"/>
          <w:u w:val="single"/>
        </w:rPr>
      </w:pPr>
      <w:r w:rsidRPr="00475528">
        <w:rPr>
          <w:sz w:val="28"/>
          <w:szCs w:val="28"/>
          <w:u w:val="single"/>
        </w:rPr>
        <w:t xml:space="preserve">Appendix </w:t>
      </w:r>
      <w:r w:rsidRPr="00475528">
        <w:rPr>
          <w:i/>
          <w:iCs/>
          <w:sz w:val="28"/>
          <w:szCs w:val="28"/>
          <w:u w:val="single"/>
        </w:rPr>
        <w:t>B</w:t>
      </w:r>
    </w:p>
    <w:p w14:paraId="16DD42E5" w14:textId="7BAE88ED" w:rsidR="00475528" w:rsidRPr="00475528" w:rsidRDefault="00475528" w:rsidP="00643551">
      <w:pPr>
        <w:spacing w:line="360" w:lineRule="auto"/>
        <w:rPr>
          <w:sz w:val="28"/>
          <w:szCs w:val="28"/>
          <w:u w:val="single"/>
        </w:rPr>
      </w:pPr>
      <w:r>
        <w:rPr>
          <w:noProof/>
        </w:rPr>
        <w:drawing>
          <wp:inline distT="0" distB="0" distL="0" distR="0" wp14:anchorId="71C7F79D" wp14:editId="732FBA2D">
            <wp:extent cx="5731510" cy="4036060"/>
            <wp:effectExtent l="0" t="0" r="2540" b="2540"/>
            <wp:docPr id="655896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96454" name=""/>
                    <pic:cNvPicPr/>
                  </pic:nvPicPr>
                  <pic:blipFill>
                    <a:blip r:embed="rId19"/>
                    <a:stretch>
                      <a:fillRect/>
                    </a:stretch>
                  </pic:blipFill>
                  <pic:spPr>
                    <a:xfrm>
                      <a:off x="0" y="0"/>
                      <a:ext cx="5731510" cy="4036060"/>
                    </a:xfrm>
                    <a:prstGeom prst="rect">
                      <a:avLst/>
                    </a:prstGeom>
                  </pic:spPr>
                </pic:pic>
              </a:graphicData>
            </a:graphic>
          </wp:inline>
        </w:drawing>
      </w:r>
    </w:p>
    <w:sectPr w:rsidR="00475528" w:rsidRPr="004755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1433"/>
    <w:rsid w:val="000A2E17"/>
    <w:rsid w:val="000A470F"/>
    <w:rsid w:val="000A5027"/>
    <w:rsid w:val="000C144A"/>
    <w:rsid w:val="000C541C"/>
    <w:rsid w:val="000C68CB"/>
    <w:rsid w:val="000D5B34"/>
    <w:rsid w:val="0010406A"/>
    <w:rsid w:val="001073B8"/>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75528"/>
    <w:rsid w:val="004D474C"/>
    <w:rsid w:val="00533EF6"/>
    <w:rsid w:val="00536CFB"/>
    <w:rsid w:val="00543F5E"/>
    <w:rsid w:val="00584970"/>
    <w:rsid w:val="005B783A"/>
    <w:rsid w:val="005F42D0"/>
    <w:rsid w:val="005F7C42"/>
    <w:rsid w:val="0062310A"/>
    <w:rsid w:val="00643551"/>
    <w:rsid w:val="00664B16"/>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E2A35"/>
    <w:rsid w:val="00BE3554"/>
    <w:rsid w:val="00C129B8"/>
    <w:rsid w:val="00C24461"/>
    <w:rsid w:val="00C2550A"/>
    <w:rsid w:val="00C4699D"/>
    <w:rsid w:val="00C86756"/>
    <w:rsid w:val="00CF32AC"/>
    <w:rsid w:val="00D24ADF"/>
    <w:rsid w:val="00D26517"/>
    <w:rsid w:val="00DC55F3"/>
    <w:rsid w:val="00DD5969"/>
    <w:rsid w:val="00E10797"/>
    <w:rsid w:val="00E243A8"/>
    <w:rsid w:val="00E6747C"/>
    <w:rsid w:val="00E8649A"/>
    <w:rsid w:val="00EA0B9A"/>
    <w:rsid w:val="00EA15D1"/>
    <w:rsid w:val="00EA6220"/>
    <w:rsid w:val="00EC1771"/>
    <w:rsid w:val="00F808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355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southwales.ac.uk/en/publications/promoting-teacher-confidence-with-technology-through-risk-taking-" TargetMode="External"/><Relationship Id="rId13" Type="http://schemas.openxmlformats.org/officeDocument/2006/relationships/hyperlink" Target="https://www.walesonline.co.uk/news/education/people-responsible-schools-send-devastating-27297074" TargetMode="External"/><Relationship Id="rId18" Type="http://schemas.openxmlformats.org/officeDocument/2006/relationships/image" Target="media/image6.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estyn.gov.wales/improvement-resources/providing-enriched-experiences-to-develop-skills/" TargetMode="External"/><Relationship Id="rId12" Type="http://schemas.openxmlformats.org/officeDocument/2006/relationships/hyperlink" Target="https://hwb.gov.wales/curriculum-for-wales/designing-your-curriculum/cross-cutting-themes-for-designing-your-curriculum/" TargetMode="External"/><Relationship Id="rId17"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searchgate.net/publication/299592012_Adaptability_An_Important_Capacity_for_Effective_Teachers" TargetMode="External"/><Relationship Id="rId11" Type="http://schemas.openxmlformats.org/officeDocument/2006/relationships/hyperlink" Target="https://hwb.gov.wales/curriculum-for-wales/cross-curricular-skills-frameworks/" TargetMode="External"/><Relationship Id="rId5" Type="http://schemas.openxmlformats.org/officeDocument/2006/relationships/hyperlink" Target="https://www.maketeachingeasy.com/post/addressing-the-biggest-problem-facing-educators-today-time" TargetMode="External"/><Relationship Id="rId15" Type="http://schemas.openxmlformats.org/officeDocument/2006/relationships/image" Target="media/image3.png"/><Relationship Id="rId10" Type="http://schemas.openxmlformats.org/officeDocument/2006/relationships/hyperlink" Target="https://www.researchgate.net/publication/325086709_Impact_of_modern_technology_in_education" TargetMode="External"/><Relationship Id="rId19"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hyperlink" Target="https://www.nasuwt.org.uk/advice/conditions-of-service/workload/tackling-excessive-teacher-workload-england-wales.htm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Olivia Flower (2404165)</cp:lastModifiedBy>
  <cp:revision>3</cp:revision>
  <dcterms:created xsi:type="dcterms:W3CDTF">2025-03-03T15:14:00Z</dcterms:created>
  <dcterms:modified xsi:type="dcterms:W3CDTF">2025-03-03T17:28:00Z</dcterms:modified>
</cp:coreProperties>
</file>