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4B860" w14:textId="759A4B4E" w:rsidR="00403FFC" w:rsidRDefault="00403FFC" w:rsidP="00403FFC">
      <w:pPr>
        <w:spacing w:line="360" w:lineRule="auto"/>
        <w:rPr>
          <w:rFonts w:ascii="Arial" w:hAnsi="Arial" w:cs="Arial"/>
        </w:rPr>
      </w:pPr>
      <w:r w:rsidRPr="00625FC2">
        <w:rPr>
          <w:rFonts w:ascii="Arial" w:hAnsi="Arial" w:cs="Arial"/>
        </w:rPr>
        <w:t xml:space="preserve">What changes did the Coroners and Justice Act (2009) make to the defence of diminished responsibility? Did these amendments change the law in this area for the better? </w:t>
      </w:r>
    </w:p>
    <w:p w14:paraId="3B47D3AA" w14:textId="4D9002FD" w:rsidR="00403FFC" w:rsidRDefault="00403FFC" w:rsidP="00403FFC">
      <w:pPr>
        <w:spacing w:line="360" w:lineRule="auto"/>
        <w:rPr>
          <w:rFonts w:ascii="Arial" w:hAnsi="Arial" w:cs="Arial"/>
        </w:rPr>
      </w:pPr>
    </w:p>
    <w:p w14:paraId="28CF82C5" w14:textId="020302EB" w:rsidR="00403FFC" w:rsidRDefault="00403FFC" w:rsidP="00403FFC">
      <w:pPr>
        <w:spacing w:line="360" w:lineRule="auto"/>
        <w:rPr>
          <w:rFonts w:ascii="Arial" w:hAnsi="Arial" w:cs="Arial"/>
        </w:rPr>
      </w:pPr>
      <w:r>
        <w:rPr>
          <w:rFonts w:ascii="Arial" w:hAnsi="Arial" w:cs="Arial"/>
        </w:rPr>
        <w:t xml:space="preserve">This essay will be introduced by diminished responsibility, its meaning and how someone can be held accountable for manslaughter and not murder. It will follow the R v </w:t>
      </w:r>
      <w:proofErr w:type="spellStart"/>
      <w:r>
        <w:rPr>
          <w:rFonts w:ascii="Arial" w:hAnsi="Arial" w:cs="Arial"/>
        </w:rPr>
        <w:t>Bryne</w:t>
      </w:r>
      <w:proofErr w:type="spellEnd"/>
      <w:r>
        <w:rPr>
          <w:rFonts w:ascii="Arial" w:hAnsi="Arial" w:cs="Arial"/>
        </w:rPr>
        <w:t xml:space="preserve"> (1960) case where he pleaded guilty to diminished responsibility and explain the story behind the case and how it was a difficult case. Furthermore, the essay will be discussing the elements within diminished responsibility and how they have changed from Section 2 of the Homicide act and how they have been amended by Section 52 of the Coroners and Justice Act for the better. </w:t>
      </w:r>
    </w:p>
    <w:p w14:paraId="0EB971D5" w14:textId="77777777" w:rsidR="00403FFC" w:rsidRDefault="00403FFC" w:rsidP="00403FFC">
      <w:pPr>
        <w:spacing w:line="360" w:lineRule="auto"/>
        <w:rPr>
          <w:rFonts w:ascii="Arial" w:hAnsi="Arial" w:cs="Arial"/>
        </w:rPr>
      </w:pPr>
    </w:p>
    <w:p w14:paraId="7209C3EF" w14:textId="3658FB9C" w:rsidR="00403FFC" w:rsidRDefault="00403FFC" w:rsidP="00403FFC">
      <w:pPr>
        <w:spacing w:line="360" w:lineRule="auto"/>
        <w:rPr>
          <w:rFonts w:ascii="Arial" w:hAnsi="Arial" w:cs="Arial"/>
        </w:rPr>
      </w:pPr>
      <w:r>
        <w:rPr>
          <w:rFonts w:ascii="Arial" w:hAnsi="Arial" w:cs="Arial"/>
        </w:rPr>
        <w:t>Diminished responsibility is a defence to murder in criminal law. Section 2 of the Homicide Act 1957 as amended by Section 52 of the Coroners and Justice Act 2009, contains the defence of diminished responsibility. When a person claims diminished responsibility, they are essentially admitting that their mental state was so abnormal at the time of the offence, that it affected their judgement. As a result, since they had no intention of killing anyone, they should not be held accountable for murder. They should instead be held accountable for manslaughter (</w:t>
      </w:r>
      <w:proofErr w:type="spellStart"/>
      <w:r>
        <w:rPr>
          <w:rFonts w:ascii="Arial" w:hAnsi="Arial" w:cs="Arial"/>
        </w:rPr>
        <w:t>Ashmans</w:t>
      </w:r>
      <w:proofErr w:type="spellEnd"/>
      <w:r>
        <w:rPr>
          <w:rFonts w:ascii="Arial" w:hAnsi="Arial" w:cs="Arial"/>
        </w:rPr>
        <w:t xml:space="preserve"> Solicitors, 2022). </w:t>
      </w:r>
    </w:p>
    <w:p w14:paraId="56027678" w14:textId="5C565282" w:rsidR="00403FFC" w:rsidRPr="00403FFC" w:rsidRDefault="00403FFC" w:rsidP="00403FFC">
      <w:pPr>
        <w:tabs>
          <w:tab w:val="left" w:pos="3711"/>
        </w:tabs>
        <w:spacing w:line="360" w:lineRule="auto"/>
        <w:rPr>
          <w:rFonts w:ascii="Arial" w:hAnsi="Arial" w:cs="Arial"/>
          <w:color w:val="1F2937"/>
          <w:shd w:val="clear" w:color="auto" w:fill="FFFFFF"/>
        </w:rPr>
      </w:pPr>
      <w:r>
        <w:rPr>
          <w:rFonts w:ascii="Arial" w:hAnsi="Arial" w:cs="Arial"/>
        </w:rPr>
        <w:t xml:space="preserve">Section 2 of the </w:t>
      </w:r>
      <w:r>
        <w:rPr>
          <w:rFonts w:ascii="Arial" w:hAnsi="Arial" w:cs="Arial"/>
        </w:rPr>
        <w:t>H</w:t>
      </w:r>
      <w:r>
        <w:rPr>
          <w:rFonts w:ascii="Arial" w:hAnsi="Arial" w:cs="Arial"/>
        </w:rPr>
        <w:t xml:space="preserve">omicide </w:t>
      </w:r>
      <w:r>
        <w:rPr>
          <w:rFonts w:ascii="Arial" w:hAnsi="Arial" w:cs="Arial"/>
        </w:rPr>
        <w:t>A</w:t>
      </w:r>
      <w:r>
        <w:rPr>
          <w:rFonts w:ascii="Arial" w:hAnsi="Arial" w:cs="Arial"/>
        </w:rPr>
        <w:t>ct 1957 brought the idea of diminished responsibility into English law. It had been part of Scottish law for almost a century prior</w:t>
      </w:r>
      <w:r>
        <w:rPr>
          <w:rFonts w:ascii="Arial" w:hAnsi="Arial" w:cs="Arial"/>
        </w:rPr>
        <w:t xml:space="preserve">. </w:t>
      </w:r>
      <w:r w:rsidRPr="00625FC2">
        <w:rPr>
          <w:rFonts w:ascii="Arial" w:hAnsi="Arial" w:cs="Arial"/>
          <w:color w:val="1F2937"/>
          <w:shd w:val="clear" w:color="auto" w:fill="FFFFFF"/>
        </w:rPr>
        <w:t xml:space="preserve">Section 52 of the coroners and justice act 2009 made the defence of diminished responsibility more difficult to satisfy. </w:t>
      </w:r>
      <w:r>
        <w:rPr>
          <w:rFonts w:ascii="Arial" w:hAnsi="Arial" w:cs="Arial"/>
          <w:color w:val="1F2937"/>
          <w:shd w:val="clear" w:color="auto" w:fill="FFFFFF"/>
        </w:rPr>
        <w:t>There was no expectation that the application of the defence would alter as a result of the phrasing change, it was merely intended to clarify the law. In order to determine what may qualify as an aberration of mental functioning, the case law from the homicide act is still useful</w:t>
      </w:r>
      <w:r>
        <w:rPr>
          <w:rFonts w:ascii="Arial" w:hAnsi="Arial" w:cs="Arial"/>
          <w:color w:val="1F2937"/>
          <w:shd w:val="clear" w:color="auto" w:fill="FFFFFF"/>
        </w:rPr>
        <w:t xml:space="preserve"> </w:t>
      </w:r>
      <w:r>
        <w:rPr>
          <w:rFonts w:ascii="Arial" w:hAnsi="Arial" w:cs="Arial"/>
        </w:rPr>
        <w:t>(Sparks, Richard F, 1964, P.9).</w:t>
      </w:r>
    </w:p>
    <w:p w14:paraId="6D404C61" w14:textId="6664BB8A" w:rsidR="00403FFC" w:rsidRDefault="00403FFC" w:rsidP="00403FFC">
      <w:pPr>
        <w:spacing w:line="360" w:lineRule="auto"/>
        <w:rPr>
          <w:rFonts w:ascii="Arial" w:hAnsi="Arial" w:cs="Arial"/>
        </w:rPr>
      </w:pPr>
      <w:r>
        <w:rPr>
          <w:rFonts w:ascii="Arial" w:hAnsi="Arial" w:cs="Arial"/>
        </w:rPr>
        <w:t xml:space="preserve">The government decided against extending the insanity defence as recommended by the commission on capital punishment and instead passed on Section 2 of the Homicide Act 1957. Despite being used and applied consistently for more than fifty years, the argument and particularly the wording in the legislation had come under sustained attack. This then sparked a variety of reform ideas, which culminated in </w:t>
      </w:r>
      <w:r>
        <w:rPr>
          <w:rFonts w:ascii="Arial" w:hAnsi="Arial" w:cs="Arial"/>
        </w:rPr>
        <w:lastRenderedPageBreak/>
        <w:t xml:space="preserve">the passage of Section 52 of the Coroners and Justice Act 2009, which gave rise to a brand-new diminished responsibility defence (Mackay, R.D, 2010, P.1). </w:t>
      </w:r>
    </w:p>
    <w:p w14:paraId="13C90B6E" w14:textId="77777777" w:rsidR="00403FFC" w:rsidRDefault="00403FFC" w:rsidP="00403FFC">
      <w:pPr>
        <w:spacing w:line="360" w:lineRule="auto"/>
        <w:rPr>
          <w:rFonts w:ascii="Arial" w:hAnsi="Arial" w:cs="Arial"/>
        </w:rPr>
      </w:pPr>
      <w:r>
        <w:rPr>
          <w:rFonts w:ascii="Arial" w:hAnsi="Arial" w:cs="Arial"/>
        </w:rPr>
        <w:t xml:space="preserve">The word “abnormality of mind” is not used in psychiatry. As a result, courts have had to define its meaning in certain circumstances.  It has been discovered to include organic brain dysfunction, psychosis, psychopathy, and schizophrenia. On. On the other hand, depression, and premenstrual stress may also be present in uncommon circumstances (Bridge S, </w:t>
      </w:r>
      <w:proofErr w:type="spellStart"/>
      <w:proofErr w:type="gramStart"/>
      <w:r w:rsidRPr="00403FFC">
        <w:rPr>
          <w:rFonts w:ascii="Arial" w:hAnsi="Arial" w:cs="Arial"/>
          <w:i/>
          <w:iCs/>
        </w:rPr>
        <w:t>et,al</w:t>
      </w:r>
      <w:proofErr w:type="spellEnd"/>
      <w:proofErr w:type="gramEnd"/>
      <w:r>
        <w:rPr>
          <w:rFonts w:ascii="Arial" w:hAnsi="Arial" w:cs="Arial"/>
        </w:rPr>
        <w:t xml:space="preserve">, 2005, P146). </w:t>
      </w:r>
    </w:p>
    <w:p w14:paraId="7D2EDBD4" w14:textId="159C581B" w:rsidR="00403FFC" w:rsidRDefault="00403FFC" w:rsidP="00403FFC">
      <w:pPr>
        <w:spacing w:line="360" w:lineRule="auto"/>
        <w:rPr>
          <w:rFonts w:ascii="Arial" w:hAnsi="Arial" w:cs="Arial"/>
        </w:rPr>
      </w:pPr>
      <w:r>
        <w:rPr>
          <w:rFonts w:ascii="Arial" w:hAnsi="Arial" w:cs="Arial"/>
        </w:rPr>
        <w:t xml:space="preserve">An example of a person pleading, in this case, would be R v </w:t>
      </w:r>
      <w:proofErr w:type="spellStart"/>
      <w:r>
        <w:rPr>
          <w:rFonts w:ascii="Arial" w:hAnsi="Arial" w:cs="Arial"/>
        </w:rPr>
        <w:t>Bryne</w:t>
      </w:r>
      <w:proofErr w:type="spellEnd"/>
      <w:r>
        <w:rPr>
          <w:rFonts w:ascii="Arial" w:hAnsi="Arial" w:cs="Arial"/>
        </w:rPr>
        <w:t xml:space="preserve"> [1960] 2 QB 396. In this case, the defendant killed and raped a girl. In order to be found guilty of manslaughter rather than murder, he had pleaded diminished responsibility.  The judge had ordered that if he was normally obedient but occasionally struggled to resist, the argument of diminished responsibility was inapplicable. So, for that, he was convicted of murder. Furthermore, according to medical data, </w:t>
      </w:r>
      <w:proofErr w:type="spellStart"/>
      <w:r>
        <w:rPr>
          <w:rFonts w:ascii="Arial" w:hAnsi="Arial" w:cs="Arial"/>
        </w:rPr>
        <w:t>Bryne</w:t>
      </w:r>
      <w:proofErr w:type="spellEnd"/>
      <w:r>
        <w:rPr>
          <w:rFonts w:ascii="Arial" w:hAnsi="Arial" w:cs="Arial"/>
        </w:rPr>
        <w:t xml:space="preserve"> was a sexual psychopath whose behaviour became uncontrollable when motivated by sexual impulses but not in other situations (Oxbridge Notes, 2020). </w:t>
      </w:r>
    </w:p>
    <w:p w14:paraId="63E4F320" w14:textId="6E8E2C7C" w:rsidR="00403FFC" w:rsidRDefault="00403FFC" w:rsidP="00403FFC">
      <w:pPr>
        <w:spacing w:line="360" w:lineRule="auto"/>
        <w:rPr>
          <w:rFonts w:ascii="Arial" w:hAnsi="Arial" w:cs="Arial"/>
        </w:rPr>
      </w:pPr>
      <w:r>
        <w:rPr>
          <w:rFonts w:ascii="Arial" w:hAnsi="Arial" w:cs="Arial"/>
        </w:rPr>
        <w:t xml:space="preserve">In this case, the complainant must show that the defendant had a mental disorder that was brought on by a mental condition, and that it affected his capacity to take responsibility for his killing act. This took three medical experts to agree with what his condition was. The experts in this case considered him to be partially insane. After the trial judge had given them such instruction, the jury rejected the defence. In the end, they believed that the jury could have reached no other result than that section 2 of the homicide act 1957 was made out. The appeal will be granted, and the murder verdict will be changed to manslaughter. (Oxford university press, 2016). </w:t>
      </w:r>
    </w:p>
    <w:p w14:paraId="79CC8843" w14:textId="52340720" w:rsidR="00403FFC" w:rsidRDefault="00403FFC" w:rsidP="00403FFC">
      <w:pPr>
        <w:spacing w:line="360" w:lineRule="auto"/>
        <w:rPr>
          <w:rFonts w:ascii="Arial" w:hAnsi="Arial" w:cs="Arial"/>
        </w:rPr>
      </w:pPr>
      <w:r>
        <w:rPr>
          <w:rFonts w:ascii="Arial" w:hAnsi="Arial" w:cs="Arial"/>
        </w:rPr>
        <w:t xml:space="preserve">There are four main components of diminished responsibility, element one: is an abnormality of mental function, element two: is a recognised medical condition, element three: is a substantial impairment, and four is providing an explanation for the conduct.  </w:t>
      </w:r>
    </w:p>
    <w:p w14:paraId="5C35898B" w14:textId="1C0981AC" w:rsidR="00403FFC" w:rsidRDefault="00403FFC" w:rsidP="00403FFC">
      <w:pPr>
        <w:spacing w:line="360" w:lineRule="auto"/>
        <w:rPr>
          <w:rFonts w:ascii="Arial" w:hAnsi="Arial" w:cs="Arial"/>
        </w:rPr>
      </w:pPr>
      <w:r>
        <w:rPr>
          <w:rFonts w:ascii="Arial" w:hAnsi="Arial" w:cs="Arial"/>
        </w:rPr>
        <w:t xml:space="preserve">One of the elements that were changed by the coroners and justice act was the ‘ability of mental functioning’. As spoken about, under section 2 of the homicide act 1957, the phrase of ‘abnormality of mind’ was used. However, this phrase was further updated and renamed as ‘mental functioning’ by section 52 of the coroners and justice act. </w:t>
      </w:r>
    </w:p>
    <w:p w14:paraId="33C06E7D" w14:textId="27031DFD" w:rsidR="00403FFC" w:rsidRDefault="00403FFC" w:rsidP="00403FFC">
      <w:pPr>
        <w:spacing w:line="360" w:lineRule="auto"/>
        <w:rPr>
          <w:rFonts w:ascii="Arial" w:hAnsi="Arial" w:cs="Arial"/>
        </w:rPr>
      </w:pPr>
      <w:r>
        <w:rPr>
          <w:rFonts w:ascii="Arial" w:hAnsi="Arial" w:cs="Arial"/>
        </w:rPr>
        <w:lastRenderedPageBreak/>
        <w:t xml:space="preserve">The defences applicability is not significantly changed by the change in wording. Medical evidence will need to be presented in court in order to determine whether the defendant is suffering from an abnormality of mental functioning. On the other hand, the jury will decide if lessened blame should be accepted. </w:t>
      </w:r>
      <w:r w:rsidRPr="00403FFC">
        <w:rPr>
          <w:rFonts w:ascii="Arial" w:hAnsi="Arial" w:cs="Arial"/>
        </w:rPr>
        <w:t>But</w:t>
      </w:r>
      <w:r w:rsidRPr="00403FFC">
        <w:rPr>
          <w:rFonts w:ascii="Arial" w:hAnsi="Arial" w:cs="Arial"/>
        </w:rPr>
        <w:t xml:space="preserve"> the trial judge should withdraw a charge from the jury if there is uncontested medical proof of diminished responsibility and no other evidence can refute the defence.</w:t>
      </w:r>
      <w:r>
        <w:rPr>
          <w:rFonts w:ascii="Arial" w:hAnsi="Arial" w:cs="Arial"/>
        </w:rPr>
        <w:t xml:space="preserve"> A case where this occurred was R v Brennan (2014) (Claims, 2023).</w:t>
      </w:r>
    </w:p>
    <w:p w14:paraId="65D84EB4" w14:textId="294ECAE7" w:rsidR="00403FFC" w:rsidRPr="00403FFC" w:rsidRDefault="00403FFC" w:rsidP="00403FFC">
      <w:pPr>
        <w:spacing w:line="360" w:lineRule="auto"/>
        <w:rPr>
          <w:rFonts w:ascii="Arial" w:eastAsia="Times New Roman" w:hAnsi="Arial" w:cs="Arial"/>
          <w:lang w:eastAsia="en-GB"/>
        </w:rPr>
      </w:pPr>
      <w:r w:rsidRPr="00403FFC">
        <w:rPr>
          <w:rFonts w:ascii="Arial" w:eastAsia="Times New Roman" w:hAnsi="Arial" w:cs="Arial"/>
          <w:lang w:eastAsia="en-GB"/>
        </w:rPr>
        <w:t>The second element in the defence of diminished responsibility is a recognised medical condition. Once the ‘abnormality of mental functioning’ has been proven, it must be determined that the reason for this is a recognised medical condition rather than for instance being intoxicated. To provide a foundation for the defence, it is crucial to establish the connection between these two components.  A case that relates to this element is the Reynolds case (1988). In this case, the defendant who was a young woman had used a hammer to kill her mother. The defendant had postpartum depression, which was determined to be a recognised medical diagnosis for the purpose of diminished responsibility</w:t>
      </w:r>
      <w:r>
        <w:rPr>
          <w:rFonts w:ascii="Arial" w:eastAsia="Times New Roman" w:hAnsi="Arial" w:cs="Arial"/>
          <w:lang w:eastAsia="en-GB"/>
        </w:rPr>
        <w:t xml:space="preserve"> (tutor2u, 2021). </w:t>
      </w:r>
    </w:p>
    <w:p w14:paraId="0B933ED0" w14:textId="77777777" w:rsidR="00403FFC" w:rsidRDefault="00403FFC" w:rsidP="00403FFC">
      <w:pPr>
        <w:spacing w:line="360" w:lineRule="auto"/>
        <w:rPr>
          <w:rFonts w:ascii="Arial" w:eastAsia="Times New Roman" w:hAnsi="Arial" w:cs="Arial"/>
          <w:lang w:eastAsia="en-GB"/>
        </w:rPr>
      </w:pPr>
      <w:r w:rsidRPr="00403FFC">
        <w:rPr>
          <w:rFonts w:ascii="Arial" w:eastAsia="Times New Roman" w:hAnsi="Arial" w:cs="Arial"/>
          <w:lang w:eastAsia="en-GB"/>
        </w:rPr>
        <w:t xml:space="preserve">The third element is substantial impairment. If it has been proven that the defendant has a medical condition that has caused abnormality, it must also be demonstrated that the abnormality significantly damaged the defendant's mind in one of three ways. Those things are “(a) to understand the nature of D’s conduct; (b) to form a rational judgment; (c) to exercise self-control”. This lies under Section 52 of the coroners and justice act 2009 under (1A). </w:t>
      </w:r>
      <w:r w:rsidRPr="00403FFC">
        <w:rPr>
          <w:rFonts w:ascii="Arial" w:eastAsia="Times New Roman" w:hAnsi="Arial" w:cs="Arial"/>
          <w:i/>
          <w:iCs/>
          <w:lang w:eastAsia="en-GB"/>
        </w:rPr>
        <w:t>Section 52 of the Coroners and Justice 2009</w:t>
      </w:r>
      <w:r w:rsidRPr="00403FFC">
        <w:rPr>
          <w:rFonts w:ascii="Arial" w:eastAsia="Times New Roman" w:hAnsi="Arial" w:cs="Arial"/>
          <w:lang w:eastAsia="en-GB"/>
        </w:rPr>
        <w:t xml:space="preserve"> (C. 1)</w:t>
      </w:r>
      <w:r>
        <w:rPr>
          <w:rFonts w:ascii="Arial" w:eastAsia="Times New Roman" w:hAnsi="Arial" w:cs="Arial"/>
          <w:lang w:eastAsia="en-GB"/>
        </w:rPr>
        <w:t xml:space="preserve">. </w:t>
      </w:r>
    </w:p>
    <w:p w14:paraId="5DA3F63E" w14:textId="0BA9C911" w:rsidR="00403FFC" w:rsidRPr="00403FFC" w:rsidRDefault="00403FFC" w:rsidP="00403FFC">
      <w:pPr>
        <w:spacing w:line="360" w:lineRule="auto"/>
        <w:rPr>
          <w:rFonts w:ascii="Arial" w:eastAsia="Times New Roman" w:hAnsi="Arial" w:cs="Arial"/>
          <w:lang w:eastAsia="en-GB"/>
        </w:rPr>
      </w:pPr>
      <w:r>
        <w:rPr>
          <w:rFonts w:ascii="Arial" w:eastAsia="Times New Roman" w:hAnsi="Arial" w:cs="Arial"/>
          <w:lang w:eastAsia="en-GB"/>
        </w:rPr>
        <w:t xml:space="preserve">The word substantial also indicated that a substantial impairment of one of the three mental abilities does not require proof of the entire impairment. </w:t>
      </w:r>
    </w:p>
    <w:p w14:paraId="1774B4E9" w14:textId="1DC25DBB" w:rsidR="00403FFC" w:rsidRDefault="00403FFC" w:rsidP="00403FFC">
      <w:pPr>
        <w:spacing w:line="360" w:lineRule="auto"/>
        <w:rPr>
          <w:rFonts w:ascii="Arial" w:hAnsi="Arial" w:cs="Arial"/>
        </w:rPr>
      </w:pPr>
      <w:r>
        <w:rPr>
          <w:rFonts w:ascii="Arial" w:hAnsi="Arial" w:cs="Arial"/>
        </w:rPr>
        <w:t xml:space="preserve">With this element, it is vital that only one of these three ways, not all of them. They must be significantly affected by the unusual case for the defendant to be found guilty. For example, in the case of R v Golds [2016], in the framework of the diminished responsibility defence, the highest justices were entrusted with defining what amounted to a “substantial” mental impairment. Under Section 2 of the homicide Act 1957 which is amended by the coroners and justice act 2009, the defendant's capacity to comprehend his own behaviour, form reasonable judgements </w:t>
      </w:r>
      <w:r>
        <w:rPr>
          <w:rFonts w:ascii="Arial" w:hAnsi="Arial" w:cs="Arial"/>
        </w:rPr>
        <w:lastRenderedPageBreak/>
        <w:t xml:space="preserve">or exercise self-control must be “substantially impaired” by a recognised medical condition for the defence to be successful (Corker binning, 2016). </w:t>
      </w:r>
    </w:p>
    <w:p w14:paraId="6B1AFF28" w14:textId="41E0E90E" w:rsidR="00403FFC" w:rsidRDefault="00403FFC" w:rsidP="00403FFC">
      <w:pPr>
        <w:spacing w:line="360" w:lineRule="auto"/>
        <w:rPr>
          <w:rFonts w:ascii="Arial" w:hAnsi="Arial" w:cs="Arial"/>
        </w:rPr>
      </w:pPr>
      <w:r>
        <w:rPr>
          <w:rFonts w:ascii="Arial" w:hAnsi="Arial" w:cs="Arial"/>
        </w:rPr>
        <w:t xml:space="preserve">The fourth and final element is providing an explanation for the conduct. This component was a fresh requirement made by the coroners and justice act 2009. It entails the jury evaluating the motives for the defendant’s murder. The defence will only be admissible if the prosecution believes that the defendant was killed for one of the main reasons due to the abnormality at the time (Study Rocket, 2023).  </w:t>
      </w:r>
    </w:p>
    <w:p w14:paraId="60930597" w14:textId="77777777" w:rsidR="00403FFC" w:rsidRDefault="00403FFC" w:rsidP="00403FFC">
      <w:pPr>
        <w:spacing w:line="360" w:lineRule="auto"/>
        <w:rPr>
          <w:rFonts w:ascii="Arial" w:hAnsi="Arial" w:cs="Arial"/>
        </w:rPr>
      </w:pPr>
    </w:p>
    <w:p w14:paraId="017FDB32" w14:textId="7B50A9E7" w:rsidR="00403FFC" w:rsidRDefault="00403FFC" w:rsidP="00403FFC">
      <w:pPr>
        <w:spacing w:line="360" w:lineRule="auto"/>
        <w:rPr>
          <w:rFonts w:ascii="Arial" w:hAnsi="Arial" w:cs="Arial"/>
        </w:rPr>
      </w:pPr>
      <w:r>
        <w:rPr>
          <w:rFonts w:ascii="Arial" w:hAnsi="Arial" w:cs="Arial"/>
        </w:rPr>
        <w:t xml:space="preserve">In conclusion, overall, the law changed for the better. Regarding the amendments from Section 52 of the coroners and justice act 2009, there is a better understanding of medical conditions as to what can be classified as diminished responsibility. Depending on what their mental capacity is, could lead them to be in a properly supervised place where they could be detained in a hospital instead of being sentenced to prison. This could benefit the defendant as they would be getting the help they need. Whether the defendant is suffering from a mental illness or severe mental impairment, it would be appropriate for the defendant to be detained and treated for medical care. </w:t>
      </w:r>
    </w:p>
    <w:p w14:paraId="7A87E0CD" w14:textId="49C81ED2" w:rsidR="00403FFC" w:rsidRDefault="00403FFC" w:rsidP="00403FFC">
      <w:pPr>
        <w:spacing w:line="360" w:lineRule="auto"/>
        <w:rPr>
          <w:rFonts w:ascii="Arial" w:hAnsi="Arial" w:cs="Arial"/>
        </w:rPr>
      </w:pPr>
    </w:p>
    <w:p w14:paraId="1D532BFE" w14:textId="1ACB709D" w:rsidR="00403FFC" w:rsidRDefault="00403FFC" w:rsidP="00403FFC">
      <w:pPr>
        <w:spacing w:line="360" w:lineRule="auto"/>
        <w:rPr>
          <w:rFonts w:ascii="Arial" w:hAnsi="Arial" w:cs="Arial"/>
        </w:rPr>
      </w:pPr>
    </w:p>
    <w:p w14:paraId="5B672497" w14:textId="1EF39E22" w:rsidR="00403FFC" w:rsidRDefault="00403FFC" w:rsidP="00403FFC">
      <w:pPr>
        <w:spacing w:line="360" w:lineRule="auto"/>
        <w:rPr>
          <w:rFonts w:ascii="Arial" w:hAnsi="Arial" w:cs="Arial"/>
        </w:rPr>
      </w:pPr>
    </w:p>
    <w:p w14:paraId="030639B3" w14:textId="20E0361C" w:rsidR="00403FFC" w:rsidRDefault="00403FFC" w:rsidP="00403FFC">
      <w:pPr>
        <w:spacing w:line="360" w:lineRule="auto"/>
        <w:rPr>
          <w:rFonts w:ascii="Arial" w:hAnsi="Arial" w:cs="Arial"/>
        </w:rPr>
      </w:pPr>
    </w:p>
    <w:p w14:paraId="54889ED9" w14:textId="1842D109" w:rsidR="00403FFC" w:rsidRDefault="00403FFC" w:rsidP="00403FFC">
      <w:pPr>
        <w:spacing w:line="360" w:lineRule="auto"/>
        <w:rPr>
          <w:rFonts w:ascii="Arial" w:hAnsi="Arial" w:cs="Arial"/>
        </w:rPr>
      </w:pPr>
    </w:p>
    <w:p w14:paraId="565A16D1" w14:textId="592A33E1" w:rsidR="00403FFC" w:rsidRDefault="00403FFC" w:rsidP="00403FFC">
      <w:pPr>
        <w:spacing w:line="360" w:lineRule="auto"/>
        <w:rPr>
          <w:rFonts w:ascii="Arial" w:hAnsi="Arial" w:cs="Arial"/>
        </w:rPr>
      </w:pPr>
    </w:p>
    <w:p w14:paraId="4315246B" w14:textId="1D22E302" w:rsidR="00403FFC" w:rsidRDefault="00403FFC" w:rsidP="00403FFC">
      <w:pPr>
        <w:spacing w:line="360" w:lineRule="auto"/>
        <w:rPr>
          <w:rFonts w:ascii="Arial" w:hAnsi="Arial" w:cs="Arial"/>
        </w:rPr>
      </w:pPr>
    </w:p>
    <w:p w14:paraId="5E6B77CD" w14:textId="5BDFD687" w:rsidR="00403FFC" w:rsidRDefault="00403FFC" w:rsidP="00403FFC">
      <w:pPr>
        <w:spacing w:line="360" w:lineRule="auto"/>
        <w:rPr>
          <w:rFonts w:ascii="Arial" w:hAnsi="Arial" w:cs="Arial"/>
        </w:rPr>
      </w:pPr>
    </w:p>
    <w:p w14:paraId="3535D7D4" w14:textId="6DA5B13C" w:rsidR="00403FFC" w:rsidRDefault="00403FFC" w:rsidP="00403FFC">
      <w:pPr>
        <w:spacing w:line="360" w:lineRule="auto"/>
        <w:rPr>
          <w:rFonts w:ascii="Arial" w:hAnsi="Arial" w:cs="Arial"/>
        </w:rPr>
      </w:pPr>
    </w:p>
    <w:p w14:paraId="088D471B" w14:textId="2EED9779" w:rsidR="00403FFC" w:rsidRDefault="00403FFC" w:rsidP="00403FFC">
      <w:pPr>
        <w:spacing w:line="360" w:lineRule="auto"/>
        <w:rPr>
          <w:rFonts w:ascii="Arial" w:hAnsi="Arial" w:cs="Arial"/>
        </w:rPr>
      </w:pPr>
    </w:p>
    <w:p w14:paraId="6BD8CD6D" w14:textId="774DD1F2" w:rsidR="00403FFC" w:rsidRDefault="00403FFC" w:rsidP="00403FFC">
      <w:pPr>
        <w:spacing w:line="360" w:lineRule="auto"/>
        <w:rPr>
          <w:rFonts w:ascii="Arial" w:hAnsi="Arial" w:cs="Arial"/>
        </w:rPr>
      </w:pPr>
    </w:p>
    <w:p w14:paraId="7F7C1AC9" w14:textId="571C842F" w:rsidR="00403FFC" w:rsidRDefault="00403FFC" w:rsidP="00403FFC">
      <w:pPr>
        <w:spacing w:line="360" w:lineRule="auto"/>
        <w:rPr>
          <w:rFonts w:ascii="Arial" w:hAnsi="Arial" w:cs="Arial"/>
        </w:rPr>
      </w:pPr>
    </w:p>
    <w:p w14:paraId="7C07DFF4" w14:textId="55278E86" w:rsidR="00403FFC" w:rsidRDefault="00403FFC" w:rsidP="00403FFC">
      <w:pPr>
        <w:spacing w:line="360" w:lineRule="auto"/>
        <w:rPr>
          <w:rFonts w:ascii="Arial" w:hAnsi="Arial" w:cs="Arial"/>
        </w:rPr>
      </w:pPr>
    </w:p>
    <w:p w14:paraId="69938052" w14:textId="77777777" w:rsidR="00403FFC" w:rsidRDefault="00403FFC" w:rsidP="00403FFC">
      <w:pPr>
        <w:spacing w:line="360" w:lineRule="auto"/>
        <w:rPr>
          <w:rFonts w:ascii="Arial" w:hAnsi="Arial" w:cs="Arial"/>
        </w:rPr>
      </w:pPr>
    </w:p>
    <w:p w14:paraId="3F108026" w14:textId="77777777" w:rsidR="00403FFC" w:rsidRPr="00625FC2" w:rsidRDefault="00403FFC" w:rsidP="00403FFC">
      <w:pPr>
        <w:spacing w:line="360" w:lineRule="auto"/>
        <w:rPr>
          <w:rFonts w:ascii="Arial" w:hAnsi="Arial" w:cs="Arial"/>
        </w:rPr>
      </w:pPr>
    </w:p>
    <w:p w14:paraId="406F7751" w14:textId="0F413BDD" w:rsidR="00403FFC" w:rsidRDefault="00403FFC"/>
    <w:p w14:paraId="54A2542B" w14:textId="7283C903" w:rsidR="00403FFC" w:rsidRDefault="00403FFC"/>
    <w:p w14:paraId="44C37EA9" w14:textId="1ADEFBEE" w:rsidR="00403FFC" w:rsidRDefault="00403FFC"/>
    <w:p w14:paraId="77738777" w14:textId="2620CE4D" w:rsidR="00403FFC" w:rsidRDefault="00403FFC"/>
    <w:p w14:paraId="1F04D7C7" w14:textId="4893A3CC" w:rsidR="00403FFC" w:rsidRDefault="00403FFC"/>
    <w:p w14:paraId="62FFAC51" w14:textId="77777777" w:rsidR="00403FFC" w:rsidRDefault="00403FFC"/>
    <w:p w14:paraId="24A82047" w14:textId="05827CCA" w:rsidR="00403FFC" w:rsidRDefault="00403FFC"/>
    <w:p w14:paraId="79FA114B" w14:textId="09766821" w:rsidR="00403FFC" w:rsidRDefault="00403FFC"/>
    <w:p w14:paraId="58C4899B" w14:textId="77777777" w:rsidR="00403FFC" w:rsidRDefault="00403FFC" w:rsidP="00403FFC">
      <w:pPr>
        <w:rPr>
          <w:rFonts w:ascii="Arial" w:hAnsi="Arial" w:cs="Arial"/>
          <w:b/>
          <w:bCs/>
          <w:u w:val="single"/>
        </w:rPr>
      </w:pPr>
    </w:p>
    <w:p w14:paraId="1E857376" w14:textId="034A69AB" w:rsidR="00403FFC" w:rsidRPr="00403FFC" w:rsidRDefault="00403FFC" w:rsidP="00403FFC">
      <w:pPr>
        <w:rPr>
          <w:rFonts w:ascii="Arial" w:hAnsi="Arial" w:cs="Arial"/>
          <w:b/>
          <w:bCs/>
          <w:u w:val="single"/>
        </w:rPr>
      </w:pPr>
      <w:r w:rsidRPr="00403FFC">
        <w:rPr>
          <w:rFonts w:ascii="Arial" w:hAnsi="Arial" w:cs="Arial"/>
          <w:b/>
          <w:bCs/>
          <w:u w:val="single"/>
        </w:rPr>
        <w:t xml:space="preserve">Reference list </w:t>
      </w:r>
    </w:p>
    <w:p w14:paraId="43327190" w14:textId="77777777" w:rsidR="00403FFC" w:rsidRPr="00403FFC" w:rsidRDefault="00403FFC" w:rsidP="00403FFC">
      <w:pPr>
        <w:rPr>
          <w:rFonts w:ascii="Arial" w:hAnsi="Arial" w:cs="Arial"/>
        </w:rPr>
      </w:pPr>
    </w:p>
    <w:p w14:paraId="6B392AC7" w14:textId="77777777" w:rsidR="00403FFC" w:rsidRPr="00403FFC" w:rsidRDefault="00403FFC" w:rsidP="00403FFC">
      <w:pPr>
        <w:rPr>
          <w:rFonts w:ascii="Arial" w:hAnsi="Arial" w:cs="Arial"/>
        </w:rPr>
      </w:pPr>
      <w:proofErr w:type="spellStart"/>
      <w:r w:rsidRPr="00403FFC">
        <w:rPr>
          <w:rFonts w:ascii="Arial" w:hAnsi="Arial" w:cs="Arial"/>
        </w:rPr>
        <w:t>Ashmans</w:t>
      </w:r>
      <w:proofErr w:type="spellEnd"/>
      <w:r w:rsidRPr="00403FFC">
        <w:rPr>
          <w:rFonts w:ascii="Arial" w:hAnsi="Arial" w:cs="Arial"/>
        </w:rPr>
        <w:t xml:space="preserve"> Solicitors (2022) </w:t>
      </w:r>
      <w:r w:rsidRPr="00403FFC">
        <w:rPr>
          <w:rFonts w:ascii="Arial" w:hAnsi="Arial" w:cs="Arial"/>
          <w:i/>
          <w:iCs/>
        </w:rPr>
        <w:t>Murder trials: what is diminished responsibility?</w:t>
      </w:r>
      <w:r w:rsidRPr="00403FFC">
        <w:rPr>
          <w:rFonts w:ascii="Arial" w:hAnsi="Arial" w:cs="Arial"/>
        </w:rPr>
        <w:t xml:space="preserve"> </w:t>
      </w:r>
      <w:hyperlink r:id="rId7" w:history="1">
        <w:r w:rsidRPr="00403FFC">
          <w:rPr>
            <w:rStyle w:val="Hyperlink"/>
            <w:rFonts w:ascii="Arial" w:hAnsi="Arial" w:cs="Arial"/>
          </w:rPr>
          <w:t>https://www.ashmanssolicitors.com/articles/murder-trials-what-is-diminished-responsibility/</w:t>
        </w:r>
      </w:hyperlink>
      <w:r w:rsidRPr="00403FFC">
        <w:rPr>
          <w:rFonts w:ascii="Arial" w:hAnsi="Arial" w:cs="Arial"/>
        </w:rPr>
        <w:t xml:space="preserve"> (Accessed: 3</w:t>
      </w:r>
      <w:r w:rsidRPr="00403FFC">
        <w:rPr>
          <w:rFonts w:ascii="Arial" w:hAnsi="Arial" w:cs="Arial"/>
          <w:vertAlign w:val="superscript"/>
        </w:rPr>
        <w:t>rd</w:t>
      </w:r>
      <w:r w:rsidRPr="00403FFC">
        <w:rPr>
          <w:rFonts w:ascii="Arial" w:hAnsi="Arial" w:cs="Arial"/>
        </w:rPr>
        <w:t xml:space="preserve"> March 2023)</w:t>
      </w:r>
    </w:p>
    <w:p w14:paraId="09857A19" w14:textId="0C77DDED" w:rsidR="00403FFC" w:rsidRPr="00403FFC" w:rsidRDefault="00403FFC" w:rsidP="00403FFC">
      <w:pPr>
        <w:rPr>
          <w:rFonts w:ascii="Arial" w:hAnsi="Arial" w:cs="Arial"/>
        </w:rPr>
      </w:pPr>
    </w:p>
    <w:p w14:paraId="4F43EE8B" w14:textId="77777777" w:rsidR="00403FFC" w:rsidRPr="00403FFC" w:rsidRDefault="00403FFC" w:rsidP="00403FFC">
      <w:pPr>
        <w:rPr>
          <w:rFonts w:ascii="Arial" w:hAnsi="Arial" w:cs="Arial"/>
        </w:rPr>
      </w:pPr>
      <w:r w:rsidRPr="00403FFC">
        <w:rPr>
          <w:rFonts w:ascii="Arial" w:hAnsi="Arial" w:cs="Arial"/>
        </w:rPr>
        <w:t xml:space="preserve">Bridge, S, (2006) </w:t>
      </w:r>
      <w:proofErr w:type="gramStart"/>
      <w:r w:rsidRPr="00403FFC">
        <w:rPr>
          <w:rFonts w:ascii="Arial" w:hAnsi="Arial" w:cs="Arial"/>
        </w:rPr>
        <w:t>‘ A</w:t>
      </w:r>
      <w:proofErr w:type="gramEnd"/>
      <w:r w:rsidRPr="00403FFC">
        <w:rPr>
          <w:rFonts w:ascii="Arial" w:hAnsi="Arial" w:cs="Arial"/>
        </w:rPr>
        <w:t xml:space="preserve"> new homicide act for England and Wales?’ </w:t>
      </w:r>
      <w:r w:rsidRPr="00403FFC">
        <w:rPr>
          <w:rFonts w:ascii="Arial" w:hAnsi="Arial" w:cs="Arial"/>
          <w:i/>
          <w:iCs/>
        </w:rPr>
        <w:t>The law Commission consultation paper No 177</w:t>
      </w:r>
      <w:r w:rsidRPr="00403FFC">
        <w:rPr>
          <w:rFonts w:ascii="Arial" w:hAnsi="Arial" w:cs="Arial"/>
        </w:rPr>
        <w:t xml:space="preserve"> Available at: </w:t>
      </w:r>
      <w:hyperlink r:id="rId8" w:history="1">
        <w:r w:rsidRPr="00403FFC">
          <w:rPr>
            <w:rStyle w:val="Hyperlink"/>
            <w:rFonts w:ascii="Arial" w:hAnsi="Arial" w:cs="Arial"/>
          </w:rPr>
          <w:t>https://s3-eu-west-2.amazonaws.com/lawcom-prod-storage-11jsxou24uy7q/uploads/2015/03/cp177_Murder_Manslaughter_and_Infanticide_consultation_.pdf</w:t>
        </w:r>
      </w:hyperlink>
      <w:r w:rsidRPr="00403FFC">
        <w:rPr>
          <w:rFonts w:ascii="Arial" w:hAnsi="Arial" w:cs="Arial"/>
        </w:rPr>
        <w:t xml:space="preserve"> (Accessed: 5</w:t>
      </w:r>
      <w:r w:rsidRPr="00403FFC">
        <w:rPr>
          <w:rFonts w:ascii="Arial" w:hAnsi="Arial" w:cs="Arial"/>
          <w:vertAlign w:val="superscript"/>
        </w:rPr>
        <w:t>th</w:t>
      </w:r>
      <w:r w:rsidRPr="00403FFC">
        <w:rPr>
          <w:rFonts w:ascii="Arial" w:hAnsi="Arial" w:cs="Arial"/>
        </w:rPr>
        <w:t xml:space="preserve"> March 2023)</w:t>
      </w:r>
    </w:p>
    <w:p w14:paraId="6D898990" w14:textId="506F498E" w:rsidR="00403FFC" w:rsidRPr="00403FFC" w:rsidRDefault="00403FFC" w:rsidP="00403FFC">
      <w:pPr>
        <w:rPr>
          <w:rFonts w:ascii="Arial" w:hAnsi="Arial" w:cs="Arial"/>
        </w:rPr>
      </w:pPr>
    </w:p>
    <w:p w14:paraId="4EB042D0" w14:textId="2DD16A6B" w:rsidR="00403FFC" w:rsidRPr="00403FFC" w:rsidRDefault="00403FFC" w:rsidP="00403FFC">
      <w:pPr>
        <w:rPr>
          <w:rFonts w:ascii="Arial" w:hAnsi="Arial" w:cs="Arial"/>
        </w:rPr>
      </w:pPr>
      <w:r w:rsidRPr="00403FFC">
        <w:rPr>
          <w:rFonts w:ascii="Arial" w:hAnsi="Arial" w:cs="Arial"/>
        </w:rPr>
        <w:t xml:space="preserve">Claims.co.uk (2023) </w:t>
      </w:r>
      <w:r w:rsidRPr="00403FFC">
        <w:rPr>
          <w:rFonts w:ascii="Arial" w:hAnsi="Arial" w:cs="Arial"/>
          <w:i/>
          <w:iCs/>
        </w:rPr>
        <w:t xml:space="preserve">What is meant by diminished responsibility </w:t>
      </w:r>
      <w:hyperlink r:id="rId9" w:history="1">
        <w:r w:rsidRPr="00403FFC">
          <w:rPr>
            <w:rStyle w:val="Hyperlink"/>
            <w:rFonts w:ascii="Arial" w:hAnsi="Arial" w:cs="Arial"/>
          </w:rPr>
          <w:t>https://www.claims.co.uk/knowledge-base/court-proceedings/diminished-responsibility-criminal-law/</w:t>
        </w:r>
      </w:hyperlink>
      <w:r w:rsidRPr="00403FFC">
        <w:rPr>
          <w:rFonts w:ascii="Arial" w:hAnsi="Arial" w:cs="Arial"/>
          <w:i/>
          <w:iCs/>
        </w:rPr>
        <w:t xml:space="preserve"> </w:t>
      </w:r>
      <w:r w:rsidRPr="00403FFC">
        <w:rPr>
          <w:rFonts w:ascii="Arial" w:hAnsi="Arial" w:cs="Arial"/>
        </w:rPr>
        <w:t>(Accessed: 6</w:t>
      </w:r>
      <w:r w:rsidRPr="00403FFC">
        <w:rPr>
          <w:rFonts w:ascii="Arial" w:hAnsi="Arial" w:cs="Arial"/>
          <w:vertAlign w:val="superscript"/>
        </w:rPr>
        <w:t>th</w:t>
      </w:r>
      <w:r w:rsidRPr="00403FFC">
        <w:rPr>
          <w:rFonts w:ascii="Arial" w:hAnsi="Arial" w:cs="Arial"/>
        </w:rPr>
        <w:t xml:space="preserve"> March, 2023) </w:t>
      </w:r>
    </w:p>
    <w:p w14:paraId="54BB3FBC" w14:textId="0FACB208" w:rsidR="00403FFC" w:rsidRPr="00403FFC" w:rsidRDefault="00403FFC" w:rsidP="00403FFC">
      <w:pPr>
        <w:pStyle w:val="NormalWeb"/>
        <w:rPr>
          <w:rFonts w:ascii="Arial" w:hAnsi="Arial" w:cs="Arial"/>
        </w:rPr>
      </w:pPr>
      <w:r w:rsidRPr="00403FFC">
        <w:rPr>
          <w:rFonts w:ascii="Arial" w:hAnsi="Arial" w:cs="Arial"/>
        </w:rPr>
        <w:t xml:space="preserve">Corker Binning (2016) </w:t>
      </w:r>
      <w:r w:rsidRPr="00403FFC">
        <w:rPr>
          <w:rFonts w:ascii="Arial" w:hAnsi="Arial" w:cs="Arial"/>
          <w:i/>
          <w:iCs/>
        </w:rPr>
        <w:t xml:space="preserve">A victory for clarity: R v Golds and the meaning of ‘substantial’ in the context of diminished responsibility </w:t>
      </w:r>
      <w:hyperlink r:id="rId10" w:history="1">
        <w:r w:rsidRPr="00403FFC">
          <w:rPr>
            <w:rStyle w:val="Hyperlink"/>
            <w:rFonts w:ascii="Arial" w:hAnsi="Arial" w:cs="Arial"/>
          </w:rPr>
          <w:t>https://corkerbinning.com/a-victory-for-clarity-r-v-golds-and-the-meaning-of-substantial-in-the-context-of-diminished-responsibility/</w:t>
        </w:r>
      </w:hyperlink>
      <w:r w:rsidRPr="00403FFC">
        <w:rPr>
          <w:rFonts w:ascii="Arial" w:hAnsi="Arial" w:cs="Arial"/>
          <w:i/>
          <w:iCs/>
        </w:rPr>
        <w:t xml:space="preserve"> </w:t>
      </w:r>
      <w:r w:rsidRPr="00403FFC">
        <w:rPr>
          <w:rFonts w:ascii="Arial" w:hAnsi="Arial" w:cs="Arial"/>
        </w:rPr>
        <w:t>(Accessed: 6</w:t>
      </w:r>
      <w:r w:rsidRPr="00403FFC">
        <w:rPr>
          <w:rFonts w:ascii="Arial" w:hAnsi="Arial" w:cs="Arial"/>
          <w:vertAlign w:val="superscript"/>
        </w:rPr>
        <w:t>th</w:t>
      </w:r>
      <w:r w:rsidRPr="00403FFC">
        <w:rPr>
          <w:rFonts w:ascii="Arial" w:hAnsi="Arial" w:cs="Arial"/>
        </w:rPr>
        <w:t xml:space="preserve"> March 2023)</w:t>
      </w:r>
    </w:p>
    <w:p w14:paraId="140DB20E" w14:textId="6F36A3B6" w:rsidR="00403FFC" w:rsidRPr="00403FFC" w:rsidRDefault="00403FFC" w:rsidP="00403FFC">
      <w:pPr>
        <w:pStyle w:val="NormalWeb"/>
        <w:rPr>
          <w:rFonts w:ascii="Arial" w:hAnsi="Arial" w:cs="Arial"/>
        </w:rPr>
      </w:pPr>
      <w:r w:rsidRPr="00403FFC">
        <w:rPr>
          <w:rFonts w:ascii="Arial" w:hAnsi="Arial" w:cs="Arial"/>
        </w:rPr>
        <w:t>Mackay, R.D, (2010) ‘</w:t>
      </w:r>
      <w:r w:rsidRPr="00403FFC">
        <w:rPr>
          <w:rFonts w:ascii="Arial" w:hAnsi="Arial" w:cs="Arial"/>
        </w:rPr>
        <w:t>The Coroners and Justice Act 2009 - partial defences to murder (2) The new diminished responsibility plea</w:t>
      </w:r>
      <w:r w:rsidRPr="00403FFC">
        <w:rPr>
          <w:rFonts w:ascii="Arial" w:hAnsi="Arial" w:cs="Arial"/>
        </w:rPr>
        <w:t xml:space="preserve">’ </w:t>
      </w:r>
      <w:r w:rsidRPr="00403FFC">
        <w:rPr>
          <w:rFonts w:ascii="Arial" w:hAnsi="Arial" w:cs="Arial"/>
          <w:i/>
          <w:iCs/>
        </w:rPr>
        <w:t xml:space="preserve">Criminal Law Review </w:t>
      </w:r>
      <w:r w:rsidRPr="00403FFC">
        <w:rPr>
          <w:rFonts w:ascii="Arial" w:hAnsi="Arial" w:cs="Arial"/>
        </w:rPr>
        <w:t xml:space="preserve"> </w:t>
      </w:r>
      <w:r w:rsidRPr="00403FFC">
        <w:rPr>
          <w:rFonts w:ascii="Arial" w:hAnsi="Arial" w:cs="Arial"/>
        </w:rPr>
        <w:t xml:space="preserve">pp.290-302, Available at: </w:t>
      </w:r>
      <w:hyperlink r:id="rId11" w:history="1">
        <w:r w:rsidRPr="00403FFC">
          <w:rPr>
            <w:rStyle w:val="Hyperlink"/>
            <w:rFonts w:ascii="Arial" w:hAnsi="Arial" w:cs="Arial"/>
          </w:rPr>
          <w:t>https://llbstudies.files.wordpress.com/2013/02/article-loss-of-control-diminished-responsiblity-2.pdf</w:t>
        </w:r>
      </w:hyperlink>
      <w:r w:rsidRPr="00403FFC">
        <w:rPr>
          <w:rFonts w:ascii="Arial" w:hAnsi="Arial" w:cs="Arial"/>
        </w:rPr>
        <w:t xml:space="preserve"> (Accessed: 5</w:t>
      </w:r>
      <w:r w:rsidRPr="00403FFC">
        <w:rPr>
          <w:rFonts w:ascii="Arial" w:hAnsi="Arial" w:cs="Arial"/>
          <w:vertAlign w:val="superscript"/>
        </w:rPr>
        <w:t>th</w:t>
      </w:r>
      <w:r w:rsidRPr="00403FFC">
        <w:rPr>
          <w:rFonts w:ascii="Arial" w:hAnsi="Arial" w:cs="Arial"/>
        </w:rPr>
        <w:t xml:space="preserve"> March 2023) </w:t>
      </w:r>
    </w:p>
    <w:p w14:paraId="45A4568A" w14:textId="4126F238" w:rsidR="00403FFC" w:rsidRPr="00403FFC" w:rsidRDefault="00403FFC" w:rsidP="00403FFC">
      <w:pPr>
        <w:rPr>
          <w:rFonts w:ascii="Arial" w:hAnsi="Arial" w:cs="Arial"/>
        </w:rPr>
      </w:pPr>
    </w:p>
    <w:p w14:paraId="7CBC356D" w14:textId="413B1937" w:rsidR="00403FFC" w:rsidRPr="00403FFC" w:rsidRDefault="00403FFC" w:rsidP="00403FFC">
      <w:pPr>
        <w:rPr>
          <w:rFonts w:ascii="Arial" w:hAnsi="Arial" w:cs="Arial"/>
        </w:rPr>
      </w:pPr>
      <w:r w:rsidRPr="00403FFC">
        <w:rPr>
          <w:rFonts w:ascii="Arial" w:hAnsi="Arial" w:cs="Arial"/>
        </w:rPr>
        <w:t xml:space="preserve">Oxbridge notes (2020) </w:t>
      </w:r>
      <w:r w:rsidRPr="00403FFC">
        <w:rPr>
          <w:rFonts w:ascii="Arial" w:hAnsi="Arial" w:cs="Arial"/>
          <w:i/>
          <w:iCs/>
        </w:rPr>
        <w:t xml:space="preserve">R v Byrne [1960] 2 QB 396 </w:t>
      </w:r>
      <w:hyperlink r:id="rId12" w:history="1">
        <w:r w:rsidRPr="00403FFC">
          <w:rPr>
            <w:rStyle w:val="Hyperlink"/>
            <w:rFonts w:ascii="Arial" w:hAnsi="Arial" w:cs="Arial"/>
          </w:rPr>
          <w:t>https://www.oxbridgenotes.co.uk/law_cases/r-v-byrne</w:t>
        </w:r>
      </w:hyperlink>
      <w:r w:rsidRPr="00403FFC">
        <w:rPr>
          <w:rFonts w:ascii="Arial" w:hAnsi="Arial" w:cs="Arial"/>
        </w:rPr>
        <w:t xml:space="preserve"> (Accessed: 5</w:t>
      </w:r>
      <w:r w:rsidRPr="00403FFC">
        <w:rPr>
          <w:rFonts w:ascii="Arial" w:hAnsi="Arial" w:cs="Arial"/>
          <w:vertAlign w:val="superscript"/>
        </w:rPr>
        <w:t>th</w:t>
      </w:r>
      <w:r w:rsidRPr="00403FFC">
        <w:rPr>
          <w:rFonts w:ascii="Arial" w:hAnsi="Arial" w:cs="Arial"/>
        </w:rPr>
        <w:t xml:space="preserve"> March 2023)</w:t>
      </w:r>
    </w:p>
    <w:p w14:paraId="13432A93" w14:textId="12C509D8" w:rsidR="00403FFC" w:rsidRPr="00403FFC" w:rsidRDefault="00403FFC" w:rsidP="00403FFC">
      <w:pPr>
        <w:rPr>
          <w:rFonts w:ascii="Arial" w:hAnsi="Arial" w:cs="Arial"/>
        </w:rPr>
      </w:pPr>
    </w:p>
    <w:p w14:paraId="2C175F0A" w14:textId="1E336FE9" w:rsidR="00403FFC" w:rsidRPr="00403FFC" w:rsidRDefault="00403FFC" w:rsidP="00403FFC">
      <w:pPr>
        <w:rPr>
          <w:rFonts w:ascii="Arial" w:hAnsi="Arial" w:cs="Arial"/>
        </w:rPr>
      </w:pPr>
      <w:r w:rsidRPr="00403FFC">
        <w:rPr>
          <w:rFonts w:ascii="Arial" w:hAnsi="Arial" w:cs="Arial"/>
        </w:rPr>
        <w:t xml:space="preserve">Oxford university press (2016) R v </w:t>
      </w:r>
      <w:proofErr w:type="spellStart"/>
      <w:r w:rsidRPr="00403FFC">
        <w:rPr>
          <w:rFonts w:ascii="Arial" w:hAnsi="Arial" w:cs="Arial"/>
        </w:rPr>
        <w:t>Bryne</w:t>
      </w:r>
      <w:proofErr w:type="spellEnd"/>
      <w:r w:rsidRPr="00403FFC">
        <w:rPr>
          <w:rFonts w:ascii="Arial" w:hAnsi="Arial" w:cs="Arial"/>
        </w:rPr>
        <w:t xml:space="preserve"> </w:t>
      </w:r>
      <w:hyperlink r:id="rId13" w:history="1">
        <w:r w:rsidRPr="00403FFC">
          <w:rPr>
            <w:rStyle w:val="Hyperlink"/>
            <w:rFonts w:ascii="Arial" w:hAnsi="Arial" w:cs="Arial"/>
          </w:rPr>
          <w:t>https://global.oup.com/uk/orc/law/criminal/heaton4e/resources/casematerial/bychapter/ch06/#j</w:t>
        </w:r>
      </w:hyperlink>
      <w:r w:rsidRPr="00403FFC">
        <w:rPr>
          <w:rFonts w:ascii="Arial" w:hAnsi="Arial" w:cs="Arial"/>
        </w:rPr>
        <w:t xml:space="preserve"> (Accessed: 5</w:t>
      </w:r>
      <w:r w:rsidRPr="00403FFC">
        <w:rPr>
          <w:rFonts w:ascii="Arial" w:hAnsi="Arial" w:cs="Arial"/>
          <w:vertAlign w:val="superscript"/>
        </w:rPr>
        <w:t>th</w:t>
      </w:r>
      <w:r w:rsidRPr="00403FFC">
        <w:rPr>
          <w:rFonts w:ascii="Arial" w:hAnsi="Arial" w:cs="Arial"/>
        </w:rPr>
        <w:t xml:space="preserve"> March 2023) </w:t>
      </w:r>
    </w:p>
    <w:p w14:paraId="30176324" w14:textId="0C433B64" w:rsidR="00403FFC" w:rsidRPr="00403FFC" w:rsidRDefault="00403FFC" w:rsidP="00403FFC">
      <w:pPr>
        <w:rPr>
          <w:rFonts w:ascii="Arial" w:hAnsi="Arial" w:cs="Arial"/>
        </w:rPr>
      </w:pPr>
    </w:p>
    <w:p w14:paraId="0A4A209B" w14:textId="77777777" w:rsidR="00403FFC" w:rsidRPr="00403FFC" w:rsidRDefault="00403FFC" w:rsidP="00403FFC">
      <w:pPr>
        <w:rPr>
          <w:rFonts w:ascii="Arial" w:hAnsi="Arial" w:cs="Arial"/>
        </w:rPr>
      </w:pPr>
    </w:p>
    <w:p w14:paraId="46FBA506" w14:textId="18320431" w:rsidR="00403FFC" w:rsidRPr="00403FFC" w:rsidRDefault="00403FFC" w:rsidP="00403FFC">
      <w:pPr>
        <w:rPr>
          <w:rFonts w:ascii="Arial" w:hAnsi="Arial" w:cs="Arial"/>
        </w:rPr>
      </w:pPr>
      <w:r w:rsidRPr="00403FFC">
        <w:rPr>
          <w:rFonts w:ascii="Arial" w:hAnsi="Arial" w:cs="Arial"/>
        </w:rPr>
        <w:t xml:space="preserve">Sparks, Richard F (1964) ‘” Diminished responsibility” in theory and </w:t>
      </w:r>
      <w:r w:rsidRPr="00403FFC">
        <w:rPr>
          <w:rFonts w:ascii="Arial" w:hAnsi="Arial" w:cs="Arial"/>
        </w:rPr>
        <w:t>practice’</w:t>
      </w:r>
      <w:r w:rsidRPr="00403FFC">
        <w:rPr>
          <w:rFonts w:ascii="Arial" w:hAnsi="Arial" w:cs="Arial"/>
        </w:rPr>
        <w:t xml:space="preserve"> vol 27, pp.413-416 Available at: </w:t>
      </w:r>
      <w:hyperlink r:id="rId14" w:history="1">
        <w:r w:rsidRPr="00403FFC">
          <w:rPr>
            <w:rStyle w:val="Hyperlink"/>
            <w:rFonts w:ascii="Arial" w:hAnsi="Arial" w:cs="Arial"/>
          </w:rPr>
          <w:t>https://onlinelibrary.wiley.com/doi/pdf/10.1111/j.1468-2230.1964.tb02785.x</w:t>
        </w:r>
      </w:hyperlink>
      <w:r w:rsidRPr="00403FFC">
        <w:rPr>
          <w:rFonts w:ascii="Arial" w:hAnsi="Arial" w:cs="Arial"/>
        </w:rPr>
        <w:t xml:space="preserve"> (Accessed: 5</w:t>
      </w:r>
      <w:r w:rsidRPr="00403FFC">
        <w:rPr>
          <w:rFonts w:ascii="Arial" w:hAnsi="Arial" w:cs="Arial"/>
          <w:vertAlign w:val="superscript"/>
        </w:rPr>
        <w:t>th</w:t>
      </w:r>
      <w:r w:rsidRPr="00403FFC">
        <w:rPr>
          <w:rFonts w:ascii="Arial" w:hAnsi="Arial" w:cs="Arial"/>
        </w:rPr>
        <w:t xml:space="preserve"> March 2023)</w:t>
      </w:r>
    </w:p>
    <w:p w14:paraId="16AE3CE3" w14:textId="7B7108D7" w:rsidR="00403FFC" w:rsidRPr="00403FFC" w:rsidRDefault="00403FFC" w:rsidP="00403FFC">
      <w:pPr>
        <w:rPr>
          <w:rFonts w:ascii="Arial" w:hAnsi="Arial" w:cs="Arial"/>
        </w:rPr>
      </w:pPr>
      <w:r w:rsidRPr="00403FFC">
        <w:rPr>
          <w:rFonts w:ascii="Arial" w:hAnsi="Arial" w:cs="Arial"/>
        </w:rPr>
        <w:t xml:space="preserve"> </w:t>
      </w:r>
    </w:p>
    <w:p w14:paraId="3A6D10A6" w14:textId="5FCCDC11" w:rsidR="00403FFC" w:rsidRPr="00403FFC" w:rsidRDefault="00403FFC" w:rsidP="00403FFC">
      <w:pPr>
        <w:rPr>
          <w:rFonts w:ascii="Arial" w:hAnsi="Arial" w:cs="Arial"/>
        </w:rPr>
      </w:pPr>
      <w:r w:rsidRPr="00403FFC">
        <w:rPr>
          <w:rFonts w:ascii="Arial" w:hAnsi="Arial" w:cs="Arial"/>
        </w:rPr>
        <w:lastRenderedPageBreak/>
        <w:t>Study Rocket (2023</w:t>
      </w:r>
      <w:proofErr w:type="gramStart"/>
      <w:r w:rsidRPr="00403FFC">
        <w:rPr>
          <w:rFonts w:ascii="Arial" w:hAnsi="Arial" w:cs="Arial"/>
        </w:rPr>
        <w:t xml:space="preserve">)  </w:t>
      </w:r>
      <w:r w:rsidRPr="00403FFC">
        <w:rPr>
          <w:rFonts w:ascii="Arial" w:hAnsi="Arial" w:cs="Arial"/>
          <w:i/>
          <w:iCs/>
        </w:rPr>
        <w:t>Voluntary</w:t>
      </w:r>
      <w:proofErr w:type="gramEnd"/>
      <w:r w:rsidRPr="00403FFC">
        <w:rPr>
          <w:rFonts w:ascii="Arial" w:hAnsi="Arial" w:cs="Arial"/>
          <w:i/>
          <w:iCs/>
        </w:rPr>
        <w:t xml:space="preserve"> Manslaughter </w:t>
      </w:r>
      <w:hyperlink r:id="rId15" w:history="1">
        <w:r w:rsidRPr="00403FFC">
          <w:rPr>
            <w:rStyle w:val="Hyperlink"/>
            <w:rFonts w:ascii="Arial" w:hAnsi="Arial" w:cs="Arial"/>
          </w:rPr>
          <w:t>https://studyrocket.co.uk/revision/a-level-law-aqa/criminal-law/voluntary-manslaughter</w:t>
        </w:r>
      </w:hyperlink>
      <w:r w:rsidRPr="00403FFC">
        <w:rPr>
          <w:rFonts w:ascii="Arial" w:hAnsi="Arial" w:cs="Arial"/>
          <w:i/>
          <w:iCs/>
        </w:rPr>
        <w:t xml:space="preserve"> </w:t>
      </w:r>
      <w:r w:rsidRPr="00403FFC">
        <w:rPr>
          <w:rFonts w:ascii="Arial" w:hAnsi="Arial" w:cs="Arial"/>
        </w:rPr>
        <w:t>(Accessed: 6th March 2023)</w:t>
      </w:r>
    </w:p>
    <w:p w14:paraId="227D42EB" w14:textId="3A7CFE40" w:rsidR="00403FFC" w:rsidRPr="00403FFC" w:rsidRDefault="00403FFC" w:rsidP="00403FFC">
      <w:pPr>
        <w:rPr>
          <w:rFonts w:ascii="Arial" w:hAnsi="Arial" w:cs="Arial"/>
        </w:rPr>
      </w:pPr>
    </w:p>
    <w:p w14:paraId="36507094" w14:textId="46B3AA55" w:rsidR="00403FFC" w:rsidRPr="00403FFC" w:rsidRDefault="00403FFC" w:rsidP="00403FFC">
      <w:pPr>
        <w:rPr>
          <w:rFonts w:ascii="Arial" w:hAnsi="Arial" w:cs="Arial"/>
          <w:i/>
          <w:iCs/>
        </w:rPr>
      </w:pPr>
      <w:r w:rsidRPr="00403FFC">
        <w:rPr>
          <w:rFonts w:ascii="Arial" w:hAnsi="Arial" w:cs="Arial"/>
        </w:rPr>
        <w:t xml:space="preserve">Tutor2u (2021) </w:t>
      </w:r>
      <w:r w:rsidRPr="00403FFC">
        <w:rPr>
          <w:rFonts w:ascii="Arial" w:hAnsi="Arial" w:cs="Arial"/>
          <w:i/>
          <w:iCs/>
        </w:rPr>
        <w:t xml:space="preserve">Diminished responsibility </w:t>
      </w:r>
      <w:hyperlink r:id="rId16" w:history="1">
        <w:r w:rsidRPr="00403FFC">
          <w:rPr>
            <w:rStyle w:val="Hyperlink"/>
            <w:rFonts w:ascii="Arial" w:hAnsi="Arial" w:cs="Arial"/>
          </w:rPr>
          <w:t>https://www.tutor2u.net/law/reference/diminished-responsibility</w:t>
        </w:r>
      </w:hyperlink>
      <w:r w:rsidRPr="00403FFC">
        <w:rPr>
          <w:rFonts w:ascii="Arial" w:hAnsi="Arial" w:cs="Arial"/>
        </w:rPr>
        <w:t xml:space="preserve"> (Accessed: 6</w:t>
      </w:r>
      <w:r w:rsidRPr="00403FFC">
        <w:rPr>
          <w:rFonts w:ascii="Arial" w:hAnsi="Arial" w:cs="Arial"/>
          <w:vertAlign w:val="superscript"/>
        </w:rPr>
        <w:t>th</w:t>
      </w:r>
      <w:r w:rsidRPr="00403FFC">
        <w:rPr>
          <w:rFonts w:ascii="Arial" w:hAnsi="Arial" w:cs="Arial"/>
        </w:rPr>
        <w:t xml:space="preserve"> </w:t>
      </w:r>
      <w:proofErr w:type="gramStart"/>
      <w:r w:rsidRPr="00403FFC">
        <w:rPr>
          <w:rFonts w:ascii="Arial" w:hAnsi="Arial" w:cs="Arial"/>
        </w:rPr>
        <w:t>March,</w:t>
      </w:r>
      <w:proofErr w:type="gramEnd"/>
      <w:r w:rsidRPr="00403FFC">
        <w:rPr>
          <w:rFonts w:ascii="Arial" w:hAnsi="Arial" w:cs="Arial"/>
        </w:rPr>
        <w:t xml:space="preserve"> 2023)</w:t>
      </w:r>
    </w:p>
    <w:sectPr w:rsidR="00403FFC" w:rsidRPr="00403FF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2F79C" w14:textId="77777777" w:rsidR="00134922" w:rsidRDefault="00134922" w:rsidP="00403FFC">
      <w:r>
        <w:separator/>
      </w:r>
    </w:p>
  </w:endnote>
  <w:endnote w:type="continuationSeparator" w:id="0">
    <w:p w14:paraId="6FF14DEC" w14:textId="77777777" w:rsidR="00134922" w:rsidRDefault="00134922" w:rsidP="00403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191B4" w14:textId="77777777" w:rsidR="00134922" w:rsidRDefault="00134922" w:rsidP="00403FFC">
      <w:r>
        <w:separator/>
      </w:r>
    </w:p>
  </w:footnote>
  <w:footnote w:type="continuationSeparator" w:id="0">
    <w:p w14:paraId="47927D14" w14:textId="77777777" w:rsidR="00134922" w:rsidRDefault="00134922" w:rsidP="00403F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50D0" w14:textId="03A0AA10" w:rsidR="00643042" w:rsidRDefault="00643042">
    <w:pPr>
      <w:pStyle w:val="Header"/>
    </w:pPr>
    <w:r>
      <w:t>Jasmine Thomas</w:t>
    </w:r>
  </w:p>
  <w:p w14:paraId="45A8DD16" w14:textId="48DC7F55" w:rsidR="00643042" w:rsidRDefault="00643042">
    <w:pPr>
      <w:pStyle w:val="Header"/>
    </w:pPr>
    <w:r>
      <w:t>1911205</w:t>
    </w:r>
  </w:p>
  <w:p w14:paraId="4E0DC854" w14:textId="4D5B08DC" w:rsidR="00643042" w:rsidRDefault="00643042">
    <w:pPr>
      <w:pStyle w:val="Header"/>
    </w:pPr>
    <w:r>
      <w:t xml:space="preserve">Diminished Responsibility </w:t>
    </w:r>
  </w:p>
  <w:p w14:paraId="7322DB65" w14:textId="77777777" w:rsidR="00643042" w:rsidRDefault="006430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671"/>
    <w:multiLevelType w:val="multilevel"/>
    <w:tmpl w:val="0B1EDB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867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FC"/>
    <w:rsid w:val="00134922"/>
    <w:rsid w:val="00403FFC"/>
    <w:rsid w:val="00643042"/>
    <w:rsid w:val="00DC2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428497"/>
  <w15:chartTrackingRefBased/>
  <w15:docId w15:val="{540B008A-6FBF-3E4F-959E-4B1C64C8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3FF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03FFC"/>
    <w:rPr>
      <w:color w:val="0563C1" w:themeColor="hyperlink"/>
      <w:u w:val="single"/>
    </w:rPr>
  </w:style>
  <w:style w:type="character" w:styleId="UnresolvedMention">
    <w:name w:val="Unresolved Mention"/>
    <w:basedOn w:val="DefaultParagraphFont"/>
    <w:uiPriority w:val="99"/>
    <w:semiHidden/>
    <w:unhideWhenUsed/>
    <w:rsid w:val="00403FFC"/>
    <w:rPr>
      <w:color w:val="605E5C"/>
      <w:shd w:val="clear" w:color="auto" w:fill="E1DFDD"/>
    </w:rPr>
  </w:style>
  <w:style w:type="character" w:customStyle="1" w:styleId="apple-converted-space">
    <w:name w:val="apple-converted-space"/>
    <w:basedOn w:val="DefaultParagraphFont"/>
    <w:rsid w:val="00403FFC"/>
  </w:style>
  <w:style w:type="paragraph" w:styleId="FootnoteText">
    <w:name w:val="footnote text"/>
    <w:basedOn w:val="Normal"/>
    <w:link w:val="FootnoteTextChar"/>
    <w:uiPriority w:val="99"/>
    <w:semiHidden/>
    <w:unhideWhenUsed/>
    <w:rsid w:val="00403FFC"/>
    <w:rPr>
      <w:sz w:val="20"/>
      <w:szCs w:val="20"/>
    </w:rPr>
  </w:style>
  <w:style w:type="character" w:customStyle="1" w:styleId="FootnoteTextChar">
    <w:name w:val="Footnote Text Char"/>
    <w:basedOn w:val="DefaultParagraphFont"/>
    <w:link w:val="FootnoteText"/>
    <w:uiPriority w:val="99"/>
    <w:semiHidden/>
    <w:rsid w:val="00403FFC"/>
    <w:rPr>
      <w:sz w:val="20"/>
      <w:szCs w:val="20"/>
    </w:rPr>
  </w:style>
  <w:style w:type="character" w:styleId="FootnoteReference">
    <w:name w:val="footnote reference"/>
    <w:basedOn w:val="DefaultParagraphFont"/>
    <w:uiPriority w:val="99"/>
    <w:semiHidden/>
    <w:unhideWhenUsed/>
    <w:rsid w:val="00403FFC"/>
    <w:rPr>
      <w:vertAlign w:val="superscript"/>
    </w:rPr>
  </w:style>
  <w:style w:type="character" w:styleId="Emphasis">
    <w:name w:val="Emphasis"/>
    <w:basedOn w:val="DefaultParagraphFont"/>
    <w:uiPriority w:val="20"/>
    <w:qFormat/>
    <w:rsid w:val="00403FFC"/>
    <w:rPr>
      <w:i/>
      <w:iCs/>
    </w:rPr>
  </w:style>
  <w:style w:type="paragraph" w:styleId="Header">
    <w:name w:val="header"/>
    <w:basedOn w:val="Normal"/>
    <w:link w:val="HeaderChar"/>
    <w:uiPriority w:val="99"/>
    <w:unhideWhenUsed/>
    <w:rsid w:val="00643042"/>
    <w:pPr>
      <w:tabs>
        <w:tab w:val="center" w:pos="4513"/>
        <w:tab w:val="right" w:pos="9026"/>
      </w:tabs>
    </w:pPr>
  </w:style>
  <w:style w:type="character" w:customStyle="1" w:styleId="HeaderChar">
    <w:name w:val="Header Char"/>
    <w:basedOn w:val="DefaultParagraphFont"/>
    <w:link w:val="Header"/>
    <w:uiPriority w:val="99"/>
    <w:rsid w:val="00643042"/>
  </w:style>
  <w:style w:type="paragraph" w:styleId="Footer">
    <w:name w:val="footer"/>
    <w:basedOn w:val="Normal"/>
    <w:link w:val="FooterChar"/>
    <w:uiPriority w:val="99"/>
    <w:unhideWhenUsed/>
    <w:rsid w:val="00643042"/>
    <w:pPr>
      <w:tabs>
        <w:tab w:val="center" w:pos="4513"/>
        <w:tab w:val="right" w:pos="9026"/>
      </w:tabs>
    </w:pPr>
  </w:style>
  <w:style w:type="character" w:customStyle="1" w:styleId="FooterChar">
    <w:name w:val="Footer Char"/>
    <w:basedOn w:val="DefaultParagraphFont"/>
    <w:link w:val="Footer"/>
    <w:uiPriority w:val="99"/>
    <w:rsid w:val="00643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90498">
      <w:bodyDiv w:val="1"/>
      <w:marLeft w:val="0"/>
      <w:marRight w:val="0"/>
      <w:marTop w:val="0"/>
      <w:marBottom w:val="0"/>
      <w:divBdr>
        <w:top w:val="none" w:sz="0" w:space="0" w:color="auto"/>
        <w:left w:val="none" w:sz="0" w:space="0" w:color="auto"/>
        <w:bottom w:val="none" w:sz="0" w:space="0" w:color="auto"/>
        <w:right w:val="none" w:sz="0" w:space="0" w:color="auto"/>
      </w:divBdr>
    </w:div>
    <w:div w:id="562445208">
      <w:bodyDiv w:val="1"/>
      <w:marLeft w:val="0"/>
      <w:marRight w:val="0"/>
      <w:marTop w:val="0"/>
      <w:marBottom w:val="0"/>
      <w:divBdr>
        <w:top w:val="none" w:sz="0" w:space="0" w:color="auto"/>
        <w:left w:val="none" w:sz="0" w:space="0" w:color="auto"/>
        <w:bottom w:val="none" w:sz="0" w:space="0" w:color="auto"/>
        <w:right w:val="none" w:sz="0" w:space="0" w:color="auto"/>
      </w:divBdr>
      <w:divsChild>
        <w:div w:id="951131262">
          <w:marLeft w:val="0"/>
          <w:marRight w:val="0"/>
          <w:marTop w:val="0"/>
          <w:marBottom w:val="0"/>
          <w:divBdr>
            <w:top w:val="none" w:sz="0" w:space="0" w:color="auto"/>
            <w:left w:val="none" w:sz="0" w:space="0" w:color="auto"/>
            <w:bottom w:val="none" w:sz="0" w:space="0" w:color="auto"/>
            <w:right w:val="none" w:sz="0" w:space="0" w:color="auto"/>
          </w:divBdr>
          <w:divsChild>
            <w:div w:id="1627851174">
              <w:marLeft w:val="0"/>
              <w:marRight w:val="0"/>
              <w:marTop w:val="0"/>
              <w:marBottom w:val="0"/>
              <w:divBdr>
                <w:top w:val="none" w:sz="0" w:space="0" w:color="auto"/>
                <w:left w:val="none" w:sz="0" w:space="0" w:color="auto"/>
                <w:bottom w:val="none" w:sz="0" w:space="0" w:color="auto"/>
                <w:right w:val="none" w:sz="0" w:space="0" w:color="auto"/>
              </w:divBdr>
              <w:divsChild>
                <w:div w:id="144149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2019">
      <w:bodyDiv w:val="1"/>
      <w:marLeft w:val="0"/>
      <w:marRight w:val="0"/>
      <w:marTop w:val="0"/>
      <w:marBottom w:val="0"/>
      <w:divBdr>
        <w:top w:val="none" w:sz="0" w:space="0" w:color="auto"/>
        <w:left w:val="none" w:sz="0" w:space="0" w:color="auto"/>
        <w:bottom w:val="none" w:sz="0" w:space="0" w:color="auto"/>
        <w:right w:val="none" w:sz="0" w:space="0" w:color="auto"/>
      </w:divBdr>
    </w:div>
    <w:div w:id="847133772">
      <w:bodyDiv w:val="1"/>
      <w:marLeft w:val="0"/>
      <w:marRight w:val="0"/>
      <w:marTop w:val="0"/>
      <w:marBottom w:val="0"/>
      <w:divBdr>
        <w:top w:val="none" w:sz="0" w:space="0" w:color="auto"/>
        <w:left w:val="none" w:sz="0" w:space="0" w:color="auto"/>
        <w:bottom w:val="none" w:sz="0" w:space="0" w:color="auto"/>
        <w:right w:val="none" w:sz="0" w:space="0" w:color="auto"/>
      </w:divBdr>
      <w:divsChild>
        <w:div w:id="953825078">
          <w:marLeft w:val="0"/>
          <w:marRight w:val="0"/>
          <w:marTop w:val="0"/>
          <w:marBottom w:val="0"/>
          <w:divBdr>
            <w:top w:val="none" w:sz="0" w:space="0" w:color="auto"/>
            <w:left w:val="none" w:sz="0" w:space="0" w:color="auto"/>
            <w:bottom w:val="none" w:sz="0" w:space="0" w:color="auto"/>
            <w:right w:val="none" w:sz="0" w:space="0" w:color="auto"/>
          </w:divBdr>
          <w:divsChild>
            <w:div w:id="1437093037">
              <w:marLeft w:val="0"/>
              <w:marRight w:val="0"/>
              <w:marTop w:val="0"/>
              <w:marBottom w:val="0"/>
              <w:divBdr>
                <w:top w:val="none" w:sz="0" w:space="0" w:color="auto"/>
                <w:left w:val="none" w:sz="0" w:space="0" w:color="auto"/>
                <w:bottom w:val="none" w:sz="0" w:space="0" w:color="auto"/>
                <w:right w:val="none" w:sz="0" w:space="0" w:color="auto"/>
              </w:divBdr>
              <w:divsChild>
                <w:div w:id="3082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20663">
      <w:bodyDiv w:val="1"/>
      <w:marLeft w:val="0"/>
      <w:marRight w:val="0"/>
      <w:marTop w:val="0"/>
      <w:marBottom w:val="0"/>
      <w:divBdr>
        <w:top w:val="none" w:sz="0" w:space="0" w:color="auto"/>
        <w:left w:val="none" w:sz="0" w:space="0" w:color="auto"/>
        <w:bottom w:val="none" w:sz="0" w:space="0" w:color="auto"/>
        <w:right w:val="none" w:sz="0" w:space="0" w:color="auto"/>
      </w:divBdr>
    </w:div>
    <w:div w:id="1564102243">
      <w:bodyDiv w:val="1"/>
      <w:marLeft w:val="0"/>
      <w:marRight w:val="0"/>
      <w:marTop w:val="0"/>
      <w:marBottom w:val="0"/>
      <w:divBdr>
        <w:top w:val="none" w:sz="0" w:space="0" w:color="auto"/>
        <w:left w:val="none" w:sz="0" w:space="0" w:color="auto"/>
        <w:bottom w:val="none" w:sz="0" w:space="0" w:color="auto"/>
        <w:right w:val="none" w:sz="0" w:space="0" w:color="auto"/>
      </w:divBdr>
    </w:div>
    <w:div w:id="1853493509">
      <w:bodyDiv w:val="1"/>
      <w:marLeft w:val="0"/>
      <w:marRight w:val="0"/>
      <w:marTop w:val="0"/>
      <w:marBottom w:val="0"/>
      <w:divBdr>
        <w:top w:val="none" w:sz="0" w:space="0" w:color="auto"/>
        <w:left w:val="none" w:sz="0" w:space="0" w:color="auto"/>
        <w:bottom w:val="none" w:sz="0" w:space="0" w:color="auto"/>
        <w:right w:val="none" w:sz="0" w:space="0" w:color="auto"/>
      </w:divBdr>
      <w:divsChild>
        <w:div w:id="1973241877">
          <w:marLeft w:val="0"/>
          <w:marRight w:val="0"/>
          <w:marTop w:val="0"/>
          <w:marBottom w:val="0"/>
          <w:divBdr>
            <w:top w:val="none" w:sz="0" w:space="0" w:color="auto"/>
            <w:left w:val="none" w:sz="0" w:space="0" w:color="auto"/>
            <w:bottom w:val="none" w:sz="0" w:space="0" w:color="auto"/>
            <w:right w:val="none" w:sz="0" w:space="0" w:color="auto"/>
          </w:divBdr>
          <w:divsChild>
            <w:div w:id="562251821">
              <w:marLeft w:val="0"/>
              <w:marRight w:val="0"/>
              <w:marTop w:val="0"/>
              <w:marBottom w:val="0"/>
              <w:divBdr>
                <w:top w:val="none" w:sz="0" w:space="0" w:color="auto"/>
                <w:left w:val="none" w:sz="0" w:space="0" w:color="auto"/>
                <w:bottom w:val="none" w:sz="0" w:space="0" w:color="auto"/>
                <w:right w:val="none" w:sz="0" w:space="0" w:color="auto"/>
              </w:divBdr>
              <w:divsChild>
                <w:div w:id="16413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17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2.amazonaws.com/lawcom-prod-storage-11jsxou24uy7q/uploads/2015/03/cp177_Murder_Manslaughter_and_Infanticide_consultation_.pdf" TargetMode="External"/><Relationship Id="rId13" Type="http://schemas.openxmlformats.org/officeDocument/2006/relationships/hyperlink" Target="https://global.oup.com/uk/orc/law/criminal/heaton4e/resources/casematerial/bychapter/ch06/#j"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hmanssolicitors.com/articles/murder-trials-what-is-diminished-responsibility/" TargetMode="External"/><Relationship Id="rId12" Type="http://schemas.openxmlformats.org/officeDocument/2006/relationships/hyperlink" Target="https://www.oxbridgenotes.co.uk/law_cases/r-v-byrn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utor2u.net/law/reference/diminished-responsi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bstudies.files.wordpress.com/2013/02/article-loss-of-control-diminished-responsiblity-2.pdf" TargetMode="External"/><Relationship Id="rId5" Type="http://schemas.openxmlformats.org/officeDocument/2006/relationships/footnotes" Target="footnotes.xml"/><Relationship Id="rId15" Type="http://schemas.openxmlformats.org/officeDocument/2006/relationships/hyperlink" Target="https://studyrocket.co.uk/revision/a-level-law-aqa/criminal-law/voluntary-manslaughter" TargetMode="External"/><Relationship Id="rId10" Type="http://schemas.openxmlformats.org/officeDocument/2006/relationships/hyperlink" Target="https://corkerbinning.com/a-victory-for-clarity-r-v-golds-and-the-meaning-of-substantial-in-the-context-of-diminished-responsibil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laims.co.uk/knowledge-base/court-proceedings/diminished-responsibility-criminal-law/" TargetMode="External"/><Relationship Id="rId14" Type="http://schemas.openxmlformats.org/officeDocument/2006/relationships/hyperlink" Target="https://onlinelibrary.wiley.com/doi/pdf/10.1111/j.1468-2230.1964.tb0278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6</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2</cp:revision>
  <dcterms:created xsi:type="dcterms:W3CDTF">2023-03-10T13:38:00Z</dcterms:created>
  <dcterms:modified xsi:type="dcterms:W3CDTF">2023-03-10T19:38:00Z</dcterms:modified>
</cp:coreProperties>
</file>