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821771" w14:textId="3DBA8F3E" w:rsidR="00CE2BEF" w:rsidRDefault="000D1154">
      <w:r>
        <w:t>Kristin Bremer</w:t>
      </w:r>
    </w:p>
    <w:p w14:paraId="39160D9F" w14:textId="7F80CDFB" w:rsidR="000D1154" w:rsidRDefault="000D1154">
      <w:r>
        <w:t>HPHI 7016: Past Peoples, Present Societies</w:t>
      </w:r>
    </w:p>
    <w:p w14:paraId="0B6B0B4D" w14:textId="5C374ACB" w:rsidR="000D1154" w:rsidRDefault="000D1154">
      <w:r>
        <w:t>8 November 2021</w:t>
      </w:r>
    </w:p>
    <w:p w14:paraId="503D2D0E" w14:textId="55F64DB9" w:rsidR="000D1154" w:rsidRDefault="000D1154"/>
    <w:p w14:paraId="651091AA" w14:textId="483A9D9E" w:rsidR="000D1154" w:rsidRDefault="000D1154">
      <w:r>
        <w:t>Assessment Three: Database Exercise</w:t>
      </w:r>
    </w:p>
    <w:p w14:paraId="0BBD9C61" w14:textId="0424F0E3" w:rsidR="000D1154" w:rsidRDefault="000D1154"/>
    <w:p w14:paraId="1839D80F" w14:textId="1D82FB0D" w:rsidR="000D1154" w:rsidRDefault="006A7BB8">
      <w:proofErr w:type="spellStart"/>
      <w:r w:rsidRPr="006A7BB8">
        <w:rPr>
          <w:i/>
          <w:iCs/>
        </w:rPr>
        <w:t>Zong</w:t>
      </w:r>
      <w:proofErr w:type="spellEnd"/>
      <w:r w:rsidR="00F3455C">
        <w:t xml:space="preserve"> (</w:t>
      </w:r>
      <w:r w:rsidR="00B97891">
        <w:t>1781)</w:t>
      </w:r>
    </w:p>
    <w:p w14:paraId="20AC7D11" w14:textId="1446AAC1" w:rsidR="00B97891" w:rsidRDefault="00B97891"/>
    <w:p w14:paraId="3038C4C8" w14:textId="77D42D09" w:rsidR="007A5957" w:rsidRDefault="00B97891" w:rsidP="00F76ADC">
      <w:pPr>
        <w:spacing w:line="480" w:lineRule="auto"/>
      </w:pPr>
      <w:r>
        <w:t xml:space="preserve">The </w:t>
      </w:r>
      <w:r w:rsidR="00033B6B">
        <w:t xml:space="preserve">notorious voyage of the </w:t>
      </w:r>
      <w:proofErr w:type="spellStart"/>
      <w:r w:rsidR="006A7BB8" w:rsidRPr="006A7BB8">
        <w:rPr>
          <w:i/>
          <w:iCs/>
        </w:rPr>
        <w:t>Zong</w:t>
      </w:r>
      <w:proofErr w:type="spellEnd"/>
      <w:r>
        <w:t xml:space="preserve"> began and ended its voyage in Liverpool in 1781.</w:t>
      </w:r>
      <w:r w:rsidR="007A5957">
        <w:rPr>
          <w:rStyle w:val="FootnoteReference"/>
        </w:rPr>
        <w:footnoteReference w:id="1"/>
      </w:r>
      <w:r>
        <w:t xml:space="preserve">  </w:t>
      </w:r>
      <w:r w:rsidR="008C1D9C">
        <w:t xml:space="preserve">This voyage exposed the horrors of the slave trade and </w:t>
      </w:r>
      <w:r w:rsidR="007A5957">
        <w:t xml:space="preserve">uncovered how the legal system valued insurance claims of ‘property’ over the lives of slaves.  In addition, it </w:t>
      </w:r>
      <w:r w:rsidR="008C1D9C">
        <w:t xml:space="preserve">sparked the early abolition movement in Great Britain.  </w:t>
      </w:r>
      <w:r w:rsidR="000E3D6B">
        <w:t xml:space="preserve">The tale of the </w:t>
      </w:r>
      <w:proofErr w:type="spellStart"/>
      <w:r w:rsidR="006A7BB8" w:rsidRPr="006A7BB8">
        <w:rPr>
          <w:i/>
          <w:iCs/>
        </w:rPr>
        <w:t>Zong</w:t>
      </w:r>
      <w:proofErr w:type="spellEnd"/>
      <w:r w:rsidR="000E3D6B" w:rsidRPr="006A7BB8">
        <w:rPr>
          <w:i/>
          <w:iCs/>
        </w:rPr>
        <w:t xml:space="preserve"> </w:t>
      </w:r>
      <w:r w:rsidR="000E3D6B">
        <w:t xml:space="preserve">is largely recorded in legal records of the subsequent legal cases of 1783.  However, the evidence shows that the </w:t>
      </w:r>
      <w:proofErr w:type="spellStart"/>
      <w:r w:rsidR="006A7BB8" w:rsidRPr="006A7BB8">
        <w:rPr>
          <w:i/>
          <w:iCs/>
        </w:rPr>
        <w:t>Zong</w:t>
      </w:r>
      <w:proofErr w:type="spellEnd"/>
      <w:r w:rsidR="000E3D6B">
        <w:t xml:space="preserve"> was unsafe from the outset, had clear issues of leadership and command amongst the captain and crew, </w:t>
      </w:r>
      <w:r w:rsidR="004D230A">
        <w:t xml:space="preserve">and </w:t>
      </w:r>
      <w:r w:rsidR="000E3D6B">
        <w:t xml:space="preserve">made mistakes on provisions and navigation, which ultimately led to the mass murder of 132 men, women, and children. </w:t>
      </w:r>
    </w:p>
    <w:p w14:paraId="24D083EA" w14:textId="0DB6C0B0" w:rsidR="00A36658" w:rsidRDefault="002629F1" w:rsidP="007A5957">
      <w:pPr>
        <w:spacing w:line="480" w:lineRule="auto"/>
        <w:ind w:firstLine="720"/>
      </w:pPr>
      <w:r>
        <w:t xml:space="preserve">The </w:t>
      </w:r>
      <w:proofErr w:type="spellStart"/>
      <w:r w:rsidR="006A7BB8" w:rsidRPr="006A7BB8">
        <w:rPr>
          <w:i/>
          <w:iCs/>
        </w:rPr>
        <w:t>Zong</w:t>
      </w:r>
      <w:proofErr w:type="spellEnd"/>
      <w:r>
        <w:t xml:space="preserve"> was a Dutch vessel captured as a prize</w:t>
      </w:r>
      <w:r w:rsidR="004D230A">
        <w:t xml:space="preserve"> </w:t>
      </w:r>
      <w:r>
        <w:t>and sold to Richard Hanley.</w:t>
      </w:r>
      <w:r>
        <w:rPr>
          <w:rStyle w:val="FootnoteReference"/>
        </w:rPr>
        <w:footnoteReference w:id="2"/>
      </w:r>
      <w:r w:rsidR="00386A19">
        <w:t xml:space="preserve"> Hanley worked for the William Gregson syndicate of Liverpool slavers.</w:t>
      </w:r>
      <w:r w:rsidR="00386A19">
        <w:rPr>
          <w:rStyle w:val="FootnoteReference"/>
        </w:rPr>
        <w:footnoteReference w:id="3"/>
      </w:r>
      <w:r w:rsidR="00EF710C">
        <w:t xml:space="preserve"> When Hanley purchased the </w:t>
      </w:r>
      <w:proofErr w:type="spellStart"/>
      <w:r w:rsidR="006A7BB8" w:rsidRPr="006A7BB8">
        <w:rPr>
          <w:i/>
          <w:iCs/>
        </w:rPr>
        <w:t>Zong</w:t>
      </w:r>
      <w:proofErr w:type="spellEnd"/>
      <w:r w:rsidR="00EF710C">
        <w:t xml:space="preserve">, it already had 244 slaves aboard and he was ready to was ready to leave Africa as Captain of the </w:t>
      </w:r>
      <w:r w:rsidR="00EF710C">
        <w:rPr>
          <w:i/>
          <w:iCs/>
        </w:rPr>
        <w:t>William</w:t>
      </w:r>
      <w:r w:rsidR="00EF710C">
        <w:t xml:space="preserve">.  </w:t>
      </w:r>
      <w:r w:rsidR="00FB1C45">
        <w:t xml:space="preserve">The identity and origination of these slaves is unknown.  </w:t>
      </w:r>
      <w:r w:rsidR="0084792B">
        <w:t>The Gregson syndicate had taken out an enormous insurance policy on the slave ‘cargo’ of 8000 pounds or 30 pound per slave.</w:t>
      </w:r>
      <w:r w:rsidR="0084792B">
        <w:rPr>
          <w:rStyle w:val="FootnoteReference"/>
        </w:rPr>
        <w:footnoteReference w:id="4"/>
      </w:r>
      <w:r w:rsidR="0084792B">
        <w:t xml:space="preserve"> This policy did not cover slaves who died </w:t>
      </w:r>
      <w:r w:rsidR="00FB1C45">
        <w:t xml:space="preserve">a ‘natural’ death; however, it did cover cargo </w:t>
      </w:r>
      <w:r w:rsidR="00FB1C45">
        <w:lastRenderedPageBreak/>
        <w:t xml:space="preserve">that needed to be jettisoned for necessity or for a slave insurrection.  </w:t>
      </w:r>
      <w:r w:rsidR="00EF710C" w:rsidRPr="00EB5BC3">
        <w:t>Hanley</w:t>
      </w:r>
      <w:r w:rsidR="00EF710C">
        <w:t xml:space="preserve"> then appointed Luke Collingwood as Captain of the </w:t>
      </w:r>
      <w:proofErr w:type="spellStart"/>
      <w:r w:rsidR="006A7BB8" w:rsidRPr="006A7BB8">
        <w:rPr>
          <w:i/>
          <w:iCs/>
        </w:rPr>
        <w:t>Zong</w:t>
      </w:r>
      <w:proofErr w:type="spellEnd"/>
      <w:r w:rsidR="00EF710C">
        <w:t xml:space="preserve">.  Having served as a ship’s surgeon in previous transatlantic voyages, Luke Collingwood was an inexperienced Captain.  </w:t>
      </w:r>
      <w:r w:rsidR="0080407A">
        <w:t>Collingwood picked up an additional 200 slaves</w:t>
      </w:r>
      <w:r w:rsidR="00F41B12">
        <w:t xml:space="preserve"> on the Gold Coast from </w:t>
      </w:r>
      <w:proofErr w:type="spellStart"/>
      <w:r w:rsidR="00F41B12">
        <w:t>Anomabu</w:t>
      </w:r>
      <w:proofErr w:type="spellEnd"/>
      <w:r w:rsidR="00F41B12">
        <w:t xml:space="preserve"> and Cape Coast Castle</w:t>
      </w:r>
      <w:r w:rsidR="0080407A">
        <w:t xml:space="preserve"> </w:t>
      </w:r>
      <w:r w:rsidR="00F41B12">
        <w:t>making a total of 440 slaves</w:t>
      </w:r>
      <w:r w:rsidR="00F41B12">
        <w:rPr>
          <w:rStyle w:val="FootnoteReference"/>
        </w:rPr>
        <w:footnoteReference w:id="5"/>
      </w:r>
      <w:r w:rsidR="00F41B12">
        <w:t xml:space="preserve">, Captain and crew, and one passenger, Robert Stubbs.  </w:t>
      </w:r>
      <w:r w:rsidR="000749FE">
        <w:t xml:space="preserve">The crew had been cobbled together on short notice and was understaffed and </w:t>
      </w:r>
      <w:r w:rsidR="005760A6">
        <w:t xml:space="preserve">unfamiliar with one another.  </w:t>
      </w:r>
      <w:r w:rsidR="004D230A">
        <w:t xml:space="preserve">And, </w:t>
      </w:r>
      <w:r w:rsidR="005760A6">
        <w:t xml:space="preserve">Robert </w:t>
      </w:r>
      <w:r w:rsidR="00F41B12">
        <w:t xml:space="preserve">Stubbs was making his way back to Liverpool following a disastrous stint as governor of </w:t>
      </w:r>
      <w:proofErr w:type="spellStart"/>
      <w:r w:rsidR="00F41B12">
        <w:t>Anomabu</w:t>
      </w:r>
      <w:proofErr w:type="spellEnd"/>
      <w:r w:rsidR="00A36658">
        <w:t>.</w:t>
      </w:r>
      <w:r w:rsidR="00A36658">
        <w:rPr>
          <w:rStyle w:val="FootnoteReference"/>
        </w:rPr>
        <w:footnoteReference w:id="6"/>
      </w:r>
      <w:r w:rsidR="00A36658">
        <w:t xml:space="preserve"> Stubbs had some previous experience captaining a ship; however, it is his disreputable character that places his account of the voyage into question.</w:t>
      </w:r>
    </w:p>
    <w:p w14:paraId="2D79CC68" w14:textId="468425FC" w:rsidR="00A36658" w:rsidRPr="00A36658" w:rsidRDefault="00A36658" w:rsidP="007A5957">
      <w:pPr>
        <w:spacing w:line="480" w:lineRule="auto"/>
        <w:ind w:firstLine="720"/>
      </w:pPr>
      <w:r>
        <w:t xml:space="preserve">The additional 200 slaves purchased by Collingwood strained the crowded </w:t>
      </w:r>
      <w:proofErr w:type="spellStart"/>
      <w:r w:rsidR="006A7BB8">
        <w:rPr>
          <w:i/>
          <w:iCs/>
        </w:rPr>
        <w:t>Zong</w:t>
      </w:r>
      <w:proofErr w:type="spellEnd"/>
      <w:r>
        <w:rPr>
          <w:i/>
          <w:iCs/>
        </w:rPr>
        <w:t>.</w:t>
      </w:r>
      <w:r>
        <w:t xml:space="preserve">  </w:t>
      </w:r>
      <w:r w:rsidR="000749FE">
        <w:t>The ship’s tonnage is reported as 107 tons.</w:t>
      </w:r>
      <w:r w:rsidR="000749FE">
        <w:rPr>
          <w:rStyle w:val="FootnoteReference"/>
        </w:rPr>
        <w:footnoteReference w:id="7"/>
      </w:r>
      <w:r w:rsidR="000749FE">
        <w:t xml:space="preserve">  This tonnage is quite low and carrying 440 slaves is clearly over capacity in comparison to the voyages for the year 1781.  The slave ‘cargo’ is twice the number for the tonnage reported.  </w:t>
      </w:r>
      <w:proofErr w:type="spellStart"/>
      <w:r w:rsidR="004D230A">
        <w:t>Walvin</w:t>
      </w:r>
      <w:proofErr w:type="spellEnd"/>
      <w:r w:rsidR="004D230A">
        <w:t xml:space="preserve"> states ‘A typical slave ship of that size and at that time would only have carried around 193 Africans’.</w:t>
      </w:r>
      <w:r w:rsidR="004D230A">
        <w:rPr>
          <w:rStyle w:val="FootnoteReference"/>
        </w:rPr>
        <w:footnoteReference w:id="8"/>
      </w:r>
      <w:r w:rsidR="004D230A">
        <w:t xml:space="preserve">  </w:t>
      </w:r>
      <w:r w:rsidR="000749FE">
        <w:t xml:space="preserve">The ship </w:t>
      </w:r>
      <w:r w:rsidR="005760A6">
        <w:t xml:space="preserve">made a final </w:t>
      </w:r>
      <w:r w:rsidR="000749FE">
        <w:t>stop at Sa</w:t>
      </w:r>
      <w:r w:rsidR="005760A6">
        <w:t>o Tome before its Atlantic crossing for its provisions and supplies.  No one seemed to notice that there was a problem with the water casks before or during the voyage.</w:t>
      </w:r>
      <w:r w:rsidR="005760A6">
        <w:rPr>
          <w:rStyle w:val="FootnoteReference"/>
        </w:rPr>
        <w:footnoteReference w:id="9"/>
      </w:r>
      <w:r w:rsidR="0084792B">
        <w:t xml:space="preserve"> The responsibility for this would have fallen on first mate James Kelsall.</w:t>
      </w:r>
    </w:p>
    <w:p w14:paraId="0C7C81EB" w14:textId="3190C125" w:rsidR="00265E82" w:rsidRDefault="00F41B12" w:rsidP="0084792B">
      <w:pPr>
        <w:spacing w:line="480" w:lineRule="auto"/>
        <w:ind w:firstLine="720"/>
      </w:pPr>
      <w:r>
        <w:t xml:space="preserve"> </w:t>
      </w:r>
      <w:r w:rsidR="00265E82">
        <w:t xml:space="preserve">As the </w:t>
      </w:r>
      <w:proofErr w:type="spellStart"/>
      <w:r w:rsidR="006A7BB8">
        <w:t>Zong</w:t>
      </w:r>
      <w:proofErr w:type="spellEnd"/>
      <w:r w:rsidR="00265E82">
        <w:t xml:space="preserve"> neared Jamaica, Captain Collingswood fell ill.  </w:t>
      </w:r>
      <w:proofErr w:type="spellStart"/>
      <w:r w:rsidR="0084792B">
        <w:t>Kenshall</w:t>
      </w:r>
      <w:proofErr w:type="spellEnd"/>
      <w:r w:rsidR="0084792B">
        <w:t xml:space="preserve"> was suspended from his position just prior to sighting land.  Thus, the checking of provisions seems to not have been done and the leaky water casks were not yet discovered.  </w:t>
      </w:r>
      <w:r w:rsidR="00265E82">
        <w:t xml:space="preserve">It is unclear if Stubbs then took </w:t>
      </w:r>
      <w:r w:rsidR="00265E82">
        <w:lastRenderedPageBreak/>
        <w:t xml:space="preserve">command of the ship or who, exactly, was issuing orders.  However, the ship made a disastrous navigation mistake and, rather than land in Jamaica, it sailed north.  The </w:t>
      </w:r>
      <w:proofErr w:type="spellStart"/>
      <w:r w:rsidR="006A7BB8" w:rsidRPr="006A7BB8">
        <w:rPr>
          <w:i/>
          <w:iCs/>
        </w:rPr>
        <w:t>Zong</w:t>
      </w:r>
      <w:proofErr w:type="spellEnd"/>
      <w:r w:rsidR="00265E82">
        <w:t xml:space="preserve"> was now 10 days out from Jamaica with supplies of water running low.  Some 60 slaves</w:t>
      </w:r>
      <w:r w:rsidR="005576DF">
        <w:t>,</w:t>
      </w:r>
      <w:r w:rsidR="00265E82">
        <w:t xml:space="preserve"> by this point</w:t>
      </w:r>
      <w:r w:rsidR="005576DF">
        <w:t>,</w:t>
      </w:r>
      <w:r w:rsidR="00265E82">
        <w:t xml:space="preserve"> had died </w:t>
      </w:r>
      <w:r w:rsidR="005576DF">
        <w:t xml:space="preserve">of disease or malnutrition.  The decision was made to throw overboard 132 slaves (an additional 10 jumped overboard themselves).   </w:t>
      </w:r>
      <w:r w:rsidR="002308F1">
        <w:t xml:space="preserve">However, a rain storm had refilled the water supplies, which leads one to conclude that the decision was to seek compensation via the insurance policy rather than attempt to sell slaves who were not in </w:t>
      </w:r>
      <w:r w:rsidR="008D214C">
        <w:t>very good physical</w:t>
      </w:r>
      <w:r w:rsidR="002308F1">
        <w:t xml:space="preserve"> shape.</w:t>
      </w:r>
      <w:r w:rsidR="00294DAC">
        <w:t xml:space="preserve">  Of the 440 slaves who had embarked on the voyage, 208 slaves disembarked in Black River Jamaica.</w:t>
      </w:r>
      <w:r w:rsidR="00294DAC">
        <w:rPr>
          <w:rStyle w:val="FootnoteReference"/>
        </w:rPr>
        <w:footnoteReference w:id="10"/>
      </w:r>
      <w:r w:rsidR="00294DAC">
        <w:t xml:space="preserve"> Collin</w:t>
      </w:r>
      <w:r w:rsidR="0073425C">
        <w:t>g</w:t>
      </w:r>
      <w:r w:rsidR="00294DAC">
        <w:t>wood died days after arriving in Jamaica and Edward Howard captained the ship back to Liverpool.</w:t>
      </w:r>
    </w:p>
    <w:p w14:paraId="026C22BB" w14:textId="516CD8A8" w:rsidR="001F3177" w:rsidRDefault="00294DAC" w:rsidP="004107CF">
      <w:pPr>
        <w:spacing w:line="480" w:lineRule="auto"/>
        <w:ind w:firstLine="720"/>
      </w:pPr>
      <w:r>
        <w:t xml:space="preserve">Outrageously, Gregson then filed a claim on the murdered slave ‘cargo’ to not only recoup losses but also profit from the murders.  </w:t>
      </w:r>
      <w:r w:rsidR="00732BC9">
        <w:t xml:space="preserve">William Gregson and colleagues pursued their claim through the legal system and a subsequent legal drama unfolded.  Initially, in March 1783, a jury awarded compensation for the murdered slaves.  </w:t>
      </w:r>
      <w:r w:rsidR="00924C6A">
        <w:t xml:space="preserve">The case made known the horrific facts of the trans-Atlantic slave trade.  In addition to African deaths by disease, brutality, malnutrition, it was not uncommon for slave traders to kill slaves who were insurrectionist or had been injured in an insurrection.  </w:t>
      </w:r>
      <w:r w:rsidR="00E65EEF">
        <w:t>The case took on</w:t>
      </w:r>
      <w:r w:rsidR="0073425C">
        <w:t xml:space="preserve"> further notoriety with the involvement of abolitionist Granville Sharp, who attempted to bring murder charges against the crew of the </w:t>
      </w:r>
      <w:proofErr w:type="spellStart"/>
      <w:r w:rsidR="006A7BB8">
        <w:rPr>
          <w:i/>
          <w:iCs/>
        </w:rPr>
        <w:t>Zong</w:t>
      </w:r>
      <w:proofErr w:type="spellEnd"/>
      <w:r w:rsidR="0073425C">
        <w:t xml:space="preserve">.  Sharp sought to make public the debate for the legality of slavery in England.  The </w:t>
      </w:r>
      <w:proofErr w:type="spellStart"/>
      <w:r w:rsidR="006A7BB8">
        <w:rPr>
          <w:i/>
          <w:iCs/>
        </w:rPr>
        <w:t>Zong</w:t>
      </w:r>
      <w:proofErr w:type="spellEnd"/>
      <w:r w:rsidR="0073425C">
        <w:t xml:space="preserve"> voyage was an extreme example of how the slave trade allowed wholesale murder for commercial interests.  Lord Mansfield, an influential jurist, specialized in commercial law and sought to avoid the wider social implications of the case.  Interesting, Robert Stubbs was the only eyewitness to testify, arguing (conveniently) that Collingwood was responsible for the ‘jettisoning’ of the slave </w:t>
      </w:r>
      <w:r w:rsidR="0073425C">
        <w:lastRenderedPageBreak/>
        <w:t xml:space="preserve">cargo and that it was done out of necessity.  No crew member who served or first mate James Kelsall </w:t>
      </w:r>
      <w:r w:rsidR="001000BF">
        <w:t>were called to testify.</w:t>
      </w:r>
      <w:r w:rsidR="001000BF">
        <w:rPr>
          <w:rStyle w:val="FootnoteReference"/>
        </w:rPr>
        <w:footnoteReference w:id="11"/>
      </w:r>
      <w:r w:rsidR="001000BF">
        <w:t xml:space="preserve"> In addition, the ship’s log had disappeared so that there was no written evidence of events.</w:t>
      </w:r>
      <w:r w:rsidR="0093100B">
        <w:t xml:space="preserve">  Lord Mansfield determined that the case could be tried again and the Gregson slavers received no compensation for the murdered slaves.</w:t>
      </w:r>
      <w:r w:rsidR="006A7BB8">
        <w:t xml:space="preserve">  This horrific voyage sparked the beginning of the change in social sentiment regarding slavery.  Although slavers such as the </w:t>
      </w:r>
      <w:proofErr w:type="spellStart"/>
      <w:r w:rsidR="006A7BB8">
        <w:t>Gregsons</w:t>
      </w:r>
      <w:proofErr w:type="spellEnd"/>
      <w:r w:rsidR="006A7BB8">
        <w:t xml:space="preserve"> continued their commercial enterprise, the tide was beginning to turn on slavery as English society questioned the moral underpinnings of the institution.</w:t>
      </w:r>
    </w:p>
    <w:p w14:paraId="1B89B96D" w14:textId="51988128" w:rsidR="001F3177" w:rsidRDefault="001F3177" w:rsidP="001F3177">
      <w:pPr>
        <w:spacing w:line="480" w:lineRule="auto"/>
      </w:pPr>
      <w:r>
        <w:t>Methodology</w:t>
      </w:r>
    </w:p>
    <w:p w14:paraId="03AC477D" w14:textId="44B12E97" w:rsidR="0084792B" w:rsidRDefault="003161B1" w:rsidP="001F3177">
      <w:pPr>
        <w:spacing w:line="480" w:lineRule="auto"/>
      </w:pPr>
      <w:r>
        <w:t xml:space="preserve">My methodology for this database exercise was very straight forward.  I opened the Slave Voyages database and in the year range I searched for 1781.  I then scrolled down to </w:t>
      </w:r>
      <w:proofErr w:type="spellStart"/>
      <w:r w:rsidR="006A7BB8">
        <w:rPr>
          <w:i/>
          <w:iCs/>
        </w:rPr>
        <w:t>Zong</w:t>
      </w:r>
      <w:proofErr w:type="spellEnd"/>
      <w:r>
        <w:t xml:space="preserve"> under vessel name.</w:t>
      </w:r>
      <w:r w:rsidR="004D3C2D">
        <w:t xml:space="preserve">  Under the </w:t>
      </w:r>
      <w:proofErr w:type="spellStart"/>
      <w:r w:rsidR="006A7BB8" w:rsidRPr="004D230A">
        <w:rPr>
          <w:i/>
          <w:iCs/>
        </w:rPr>
        <w:t>Zong</w:t>
      </w:r>
      <w:proofErr w:type="spellEnd"/>
      <w:r w:rsidR="004D3C2D">
        <w:t xml:space="preserve"> entry the names of the captains appeared.  I clicked on the Voyage ID (84106) and a full description with details appeared. </w:t>
      </w:r>
      <w:r w:rsidR="000F0C89">
        <w:t>I gathered the remaining data from this description.</w:t>
      </w:r>
      <w:r w:rsidR="00DA06EF">
        <w:t xml:space="preserve">  </w:t>
      </w:r>
      <w:r w:rsidR="00912C69">
        <w:t xml:space="preserve">In order to investigate the mortality rate, I went to Configure Columns, slave, mortality rate.  This provided me with the data for mortality rate for all the voyages for the year 1781.  The mortality rate </w:t>
      </w:r>
      <w:r w:rsidR="005E093D">
        <w:t xml:space="preserve">was sorted low to high, which enabled me to place the </w:t>
      </w:r>
      <w:proofErr w:type="spellStart"/>
      <w:r w:rsidR="006A7BB8" w:rsidRPr="004D230A">
        <w:rPr>
          <w:i/>
          <w:iCs/>
        </w:rPr>
        <w:t>Zong</w:t>
      </w:r>
      <w:proofErr w:type="spellEnd"/>
      <w:r w:rsidR="005E093D">
        <w:t xml:space="preserve"> </w:t>
      </w:r>
      <w:r w:rsidR="00570D87">
        <w:t>as having a very high mortality rate</w:t>
      </w:r>
      <w:r w:rsidR="00AB7E85">
        <w:t xml:space="preserve">.  </w:t>
      </w:r>
      <w:r w:rsidR="0084792B">
        <w:t>The total number of slaves that embarked from Africa was 440 and the total number that disembarked in Black River was 208.</w:t>
      </w:r>
      <w:r w:rsidR="0084792B">
        <w:rPr>
          <w:rStyle w:val="FootnoteReference"/>
        </w:rPr>
        <w:footnoteReference w:id="12"/>
      </w:r>
      <w:r w:rsidR="0084792B">
        <w:t xml:space="preserve">  This gave the </w:t>
      </w:r>
      <w:proofErr w:type="spellStart"/>
      <w:r w:rsidR="006A7BB8" w:rsidRPr="004D230A">
        <w:rPr>
          <w:i/>
          <w:iCs/>
        </w:rPr>
        <w:t>Zong</w:t>
      </w:r>
      <w:proofErr w:type="spellEnd"/>
      <w:r w:rsidR="0084792B">
        <w:t xml:space="preserve"> a very high mortality rate of 53%.</w:t>
      </w:r>
      <w:r w:rsidR="0084792B">
        <w:rPr>
          <w:rStyle w:val="FootnoteReference"/>
        </w:rPr>
        <w:footnoteReference w:id="13"/>
      </w:r>
      <w:r w:rsidR="0084792B">
        <w:t xml:space="preserve">  When compared to other voyages that took place in 1781, we see that, in fact, it is the second highest mortality rate reported for that year.  Of 128 entries for 1781, 29 list mortality rates.  Only 3 of the 29 voyages report a mortality rate of over 19%.  </w:t>
      </w:r>
    </w:p>
    <w:p w14:paraId="69470620" w14:textId="344A9336" w:rsidR="003161B1" w:rsidRDefault="00AB7E85" w:rsidP="0084792B">
      <w:pPr>
        <w:spacing w:line="480" w:lineRule="auto"/>
        <w:ind w:firstLine="720"/>
      </w:pPr>
      <w:r>
        <w:lastRenderedPageBreak/>
        <w:t xml:space="preserve">I then checked the tonnage of the </w:t>
      </w:r>
      <w:proofErr w:type="spellStart"/>
      <w:r w:rsidR="006A7BB8">
        <w:t>Zong</w:t>
      </w:r>
      <w:proofErr w:type="spellEnd"/>
      <w:r>
        <w:t xml:space="preserve"> by going to Configure Columns, ship, nation, owners, then tonnage.  I then looked at the maps in the database to get a sense geographically where the Gold Coast ports were.</w:t>
      </w:r>
      <w:r w:rsidR="00D02758">
        <w:t xml:space="preserve">  The maps displayed </w:t>
      </w:r>
      <w:proofErr w:type="spellStart"/>
      <w:r w:rsidR="00D02758">
        <w:t>Fante</w:t>
      </w:r>
      <w:proofErr w:type="spellEnd"/>
      <w:r w:rsidR="00D02758">
        <w:t xml:space="preserve"> and </w:t>
      </w:r>
      <w:proofErr w:type="spellStart"/>
      <w:r w:rsidR="00D02758">
        <w:t>Asanti</w:t>
      </w:r>
      <w:proofErr w:type="spellEnd"/>
      <w:r w:rsidR="00D02758">
        <w:t xml:space="preserve">, which refer to tribal control of the Gold Coast.  </w:t>
      </w:r>
    </w:p>
    <w:p w14:paraId="02D38D73" w14:textId="576C13FC" w:rsidR="001F3177" w:rsidRDefault="001F3177" w:rsidP="001F3177">
      <w:pPr>
        <w:spacing w:line="480" w:lineRule="auto"/>
        <w:ind w:firstLine="720"/>
      </w:pPr>
      <w:r>
        <w:t xml:space="preserve">The database did not provide demographics for the </w:t>
      </w:r>
      <w:proofErr w:type="spellStart"/>
      <w:r w:rsidR="006A7BB8">
        <w:t>Zong</w:t>
      </w:r>
      <w:proofErr w:type="spellEnd"/>
      <w:r>
        <w:t xml:space="preserve">.  But, the locations of </w:t>
      </w:r>
      <w:proofErr w:type="spellStart"/>
      <w:r>
        <w:t>Anomabu</w:t>
      </w:r>
      <w:proofErr w:type="spellEnd"/>
      <w:r>
        <w:t xml:space="preserve"> and Cape Coast Castle can give a clue as to the potential identity of the slaves.  </w:t>
      </w:r>
      <w:proofErr w:type="spellStart"/>
      <w:r>
        <w:t>Anomabu</w:t>
      </w:r>
      <w:proofErr w:type="spellEnd"/>
      <w:r>
        <w:t xml:space="preserve"> (present spelling </w:t>
      </w:r>
      <w:proofErr w:type="spellStart"/>
      <w:r>
        <w:t>Anomabo</w:t>
      </w:r>
      <w:proofErr w:type="spellEnd"/>
      <w:r>
        <w:t>) and Cape Coast Castle are geographically very close to one another and are in the present state of Ghana.  Both ports were and are populated by the Fanti (</w:t>
      </w:r>
      <w:proofErr w:type="spellStart"/>
      <w:r>
        <w:t>Fante</w:t>
      </w:r>
      <w:proofErr w:type="spellEnd"/>
      <w:r>
        <w:t>) tribe.  The Fanti were well known ‘middle men’ selling not only slaves but also gold.  These slaves were obtained from the ‘interior,’ which makes it difficult to identify exactly which tribe they came from.  The Fanti notoriously captured or kidnapped other tribes in this area and sold slaves to the European powers.  They were well known for their brutality.</w:t>
      </w:r>
    </w:p>
    <w:p w14:paraId="0CB89ED3" w14:textId="77777777" w:rsidR="00F76ADC" w:rsidRDefault="00F76ADC">
      <w:pPr>
        <w:spacing w:line="480" w:lineRule="auto"/>
        <w:ind w:firstLine="720"/>
      </w:pPr>
    </w:p>
    <w:sectPr w:rsidR="00F76ADC">
      <w:headerReference w:type="even" r:id="rId6"/>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5E967" w14:textId="77777777" w:rsidR="00C60AEC" w:rsidRDefault="00C60AEC" w:rsidP="00385695">
      <w:r>
        <w:separator/>
      </w:r>
    </w:p>
  </w:endnote>
  <w:endnote w:type="continuationSeparator" w:id="0">
    <w:p w14:paraId="4618B471" w14:textId="77777777" w:rsidR="00C60AEC" w:rsidRDefault="00C60AEC" w:rsidP="003856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imes New Roman (Body CS)">
    <w:altName w:val="Times New Roman"/>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850D9" w14:textId="77777777" w:rsidR="00C60AEC" w:rsidRDefault="00C60AEC" w:rsidP="00385695">
      <w:r>
        <w:separator/>
      </w:r>
    </w:p>
  </w:footnote>
  <w:footnote w:type="continuationSeparator" w:id="0">
    <w:p w14:paraId="31C8B587" w14:textId="77777777" w:rsidR="00C60AEC" w:rsidRDefault="00C60AEC" w:rsidP="00385695">
      <w:r>
        <w:continuationSeparator/>
      </w:r>
    </w:p>
  </w:footnote>
  <w:footnote w:id="1">
    <w:p w14:paraId="49D58A46" w14:textId="455C0F4E" w:rsidR="007A5957" w:rsidRPr="007A5957" w:rsidRDefault="007A5957">
      <w:pPr>
        <w:pStyle w:val="FootnoteText"/>
        <w:rPr>
          <w:sz w:val="24"/>
          <w:szCs w:val="24"/>
        </w:rPr>
      </w:pPr>
      <w:r>
        <w:rPr>
          <w:rStyle w:val="FootnoteReference"/>
        </w:rPr>
        <w:footnoteRef/>
      </w:r>
      <w:r>
        <w:t xml:space="preserve"> </w:t>
      </w:r>
      <w:r w:rsidR="004D230A">
        <w:rPr>
          <w:sz w:val="24"/>
          <w:szCs w:val="24"/>
        </w:rPr>
        <w:t xml:space="preserve">David </w:t>
      </w:r>
      <w:proofErr w:type="spellStart"/>
      <w:r w:rsidR="004D230A">
        <w:rPr>
          <w:sz w:val="24"/>
          <w:szCs w:val="24"/>
        </w:rPr>
        <w:t>Eltis</w:t>
      </w:r>
      <w:proofErr w:type="spellEnd"/>
      <w:r w:rsidR="004D230A">
        <w:rPr>
          <w:sz w:val="24"/>
          <w:szCs w:val="24"/>
        </w:rPr>
        <w:t xml:space="preserve"> and others, </w:t>
      </w:r>
      <w:proofErr w:type="spellStart"/>
      <w:r w:rsidR="004D230A">
        <w:rPr>
          <w:i/>
          <w:iCs/>
          <w:sz w:val="24"/>
          <w:szCs w:val="24"/>
        </w:rPr>
        <w:t>SlaveVoyages</w:t>
      </w:r>
      <w:proofErr w:type="spellEnd"/>
      <w:r w:rsidR="004D230A">
        <w:rPr>
          <w:i/>
          <w:iCs/>
          <w:sz w:val="24"/>
          <w:szCs w:val="24"/>
        </w:rPr>
        <w:t xml:space="preserve"> Database: </w:t>
      </w:r>
      <w:r>
        <w:rPr>
          <w:i/>
          <w:iCs/>
          <w:sz w:val="24"/>
          <w:szCs w:val="24"/>
        </w:rPr>
        <w:t>Trans-Atlantic Slave Database</w:t>
      </w:r>
      <w:r>
        <w:rPr>
          <w:sz w:val="24"/>
          <w:szCs w:val="24"/>
        </w:rPr>
        <w:t xml:space="preserve"> (hereafter</w:t>
      </w:r>
      <w:r w:rsidR="004D230A">
        <w:rPr>
          <w:sz w:val="24"/>
          <w:szCs w:val="24"/>
        </w:rPr>
        <w:t xml:space="preserve"> Slave Voyages</w:t>
      </w:r>
      <w:r>
        <w:rPr>
          <w:sz w:val="24"/>
          <w:szCs w:val="24"/>
        </w:rPr>
        <w:t>)</w:t>
      </w:r>
      <w:r w:rsidR="004D230A">
        <w:rPr>
          <w:sz w:val="24"/>
          <w:szCs w:val="24"/>
        </w:rPr>
        <w:t xml:space="preserve"> </w:t>
      </w:r>
      <w:hyperlink r:id="rId1" w:history="1">
        <w:r w:rsidR="004D230A" w:rsidRPr="005B391A">
          <w:rPr>
            <w:rStyle w:val="Hyperlink"/>
            <w:sz w:val="24"/>
            <w:szCs w:val="24"/>
          </w:rPr>
          <w:t>https://www.slavevoyages.org</w:t>
        </w:r>
      </w:hyperlink>
      <w:r w:rsidR="004D230A">
        <w:rPr>
          <w:sz w:val="24"/>
          <w:szCs w:val="24"/>
        </w:rPr>
        <w:t xml:space="preserve"> [accessed 5 November 2021]</w:t>
      </w:r>
    </w:p>
  </w:footnote>
  <w:footnote w:id="2">
    <w:p w14:paraId="78CC3534" w14:textId="4C0EA4C4" w:rsidR="002629F1" w:rsidRPr="002629F1" w:rsidRDefault="002629F1">
      <w:pPr>
        <w:pStyle w:val="FootnoteText"/>
        <w:rPr>
          <w:sz w:val="24"/>
          <w:szCs w:val="24"/>
        </w:rPr>
      </w:pPr>
      <w:r>
        <w:rPr>
          <w:rStyle w:val="FootnoteReference"/>
        </w:rPr>
        <w:footnoteRef/>
      </w:r>
      <w:r>
        <w:t xml:space="preserve"> </w:t>
      </w:r>
      <w:r>
        <w:rPr>
          <w:sz w:val="24"/>
          <w:szCs w:val="24"/>
        </w:rPr>
        <w:t xml:space="preserve">Jane Webster, ‘The </w:t>
      </w:r>
      <w:proofErr w:type="spellStart"/>
      <w:r w:rsidR="006A7BB8">
        <w:rPr>
          <w:sz w:val="24"/>
          <w:szCs w:val="24"/>
        </w:rPr>
        <w:t>Zong</w:t>
      </w:r>
      <w:proofErr w:type="spellEnd"/>
      <w:r>
        <w:rPr>
          <w:sz w:val="24"/>
          <w:szCs w:val="24"/>
        </w:rPr>
        <w:t xml:space="preserve"> in the Context of the Eighteenth-Century Slave Trade’, </w:t>
      </w:r>
      <w:r>
        <w:rPr>
          <w:i/>
          <w:iCs/>
          <w:sz w:val="24"/>
          <w:szCs w:val="24"/>
        </w:rPr>
        <w:t>The Journal of Legal History</w:t>
      </w:r>
      <w:r>
        <w:rPr>
          <w:sz w:val="24"/>
          <w:szCs w:val="24"/>
        </w:rPr>
        <w:t>, (2007) p. 288</w:t>
      </w:r>
    </w:p>
  </w:footnote>
  <w:footnote w:id="3">
    <w:p w14:paraId="57B4AA7B" w14:textId="6DEC29CE" w:rsidR="00386A19" w:rsidRPr="00386A19" w:rsidRDefault="00386A19">
      <w:pPr>
        <w:pStyle w:val="FootnoteText"/>
        <w:rPr>
          <w:sz w:val="24"/>
          <w:szCs w:val="24"/>
        </w:rPr>
      </w:pPr>
      <w:r>
        <w:rPr>
          <w:rStyle w:val="FootnoteReference"/>
        </w:rPr>
        <w:footnoteRef/>
      </w:r>
      <w:r>
        <w:t xml:space="preserve"> </w:t>
      </w:r>
      <w:r>
        <w:rPr>
          <w:sz w:val="24"/>
          <w:szCs w:val="24"/>
        </w:rPr>
        <w:t xml:space="preserve">The </w:t>
      </w:r>
      <w:r w:rsidR="004D230A">
        <w:rPr>
          <w:sz w:val="24"/>
          <w:szCs w:val="24"/>
        </w:rPr>
        <w:t>Slave Voyages</w:t>
      </w:r>
      <w:r>
        <w:rPr>
          <w:sz w:val="24"/>
          <w:szCs w:val="24"/>
        </w:rPr>
        <w:t xml:space="preserve"> lists the v</w:t>
      </w:r>
      <w:r w:rsidRPr="00386A19">
        <w:rPr>
          <w:sz w:val="24"/>
          <w:szCs w:val="24"/>
        </w:rPr>
        <w:t>essel owners in 1781 as: William Gregson, John Gregson, James Gregson, Edward Wilbon, and James Aspinall.</w:t>
      </w:r>
    </w:p>
  </w:footnote>
  <w:footnote w:id="4">
    <w:p w14:paraId="1C200D74" w14:textId="15191D0B" w:rsidR="004D230A" w:rsidRPr="00A36658" w:rsidRDefault="0084792B" w:rsidP="004D230A">
      <w:pPr>
        <w:pStyle w:val="FootnoteText"/>
        <w:rPr>
          <w:sz w:val="24"/>
          <w:szCs w:val="24"/>
        </w:rPr>
      </w:pPr>
      <w:r>
        <w:rPr>
          <w:rStyle w:val="FootnoteReference"/>
        </w:rPr>
        <w:footnoteRef/>
      </w:r>
      <w:r>
        <w:t xml:space="preserve"> </w:t>
      </w:r>
      <w:r w:rsidR="004D230A">
        <w:rPr>
          <w:sz w:val="24"/>
          <w:szCs w:val="24"/>
        </w:rPr>
        <w:t xml:space="preserve">James </w:t>
      </w:r>
      <w:proofErr w:type="spellStart"/>
      <w:r w:rsidR="004D230A">
        <w:rPr>
          <w:sz w:val="24"/>
          <w:szCs w:val="24"/>
        </w:rPr>
        <w:t>Walvin</w:t>
      </w:r>
      <w:proofErr w:type="spellEnd"/>
      <w:r w:rsidR="004D230A">
        <w:rPr>
          <w:sz w:val="24"/>
          <w:szCs w:val="24"/>
        </w:rPr>
        <w:t xml:space="preserve">, </w:t>
      </w:r>
      <w:r w:rsidR="004D230A">
        <w:rPr>
          <w:i/>
          <w:iCs/>
          <w:sz w:val="24"/>
          <w:szCs w:val="24"/>
        </w:rPr>
        <w:t xml:space="preserve">The </w:t>
      </w:r>
      <w:proofErr w:type="spellStart"/>
      <w:r w:rsidR="004D230A">
        <w:rPr>
          <w:i/>
          <w:iCs/>
          <w:sz w:val="24"/>
          <w:szCs w:val="24"/>
        </w:rPr>
        <w:t>Zong</w:t>
      </w:r>
      <w:proofErr w:type="spellEnd"/>
      <w:r w:rsidR="004D230A">
        <w:rPr>
          <w:i/>
          <w:iCs/>
          <w:sz w:val="24"/>
          <w:szCs w:val="24"/>
        </w:rPr>
        <w:t>: A Massacre, The Law &amp; The End of Slavery</w:t>
      </w:r>
      <w:r w:rsidR="004D230A">
        <w:rPr>
          <w:sz w:val="24"/>
          <w:szCs w:val="24"/>
        </w:rPr>
        <w:t xml:space="preserve"> (New Haven and London: Yale University Press, 2011) p. 71</w:t>
      </w:r>
    </w:p>
    <w:p w14:paraId="4CEAAE84" w14:textId="14B0EA58" w:rsidR="0084792B" w:rsidRPr="0084792B" w:rsidRDefault="0084792B">
      <w:pPr>
        <w:pStyle w:val="FootnoteText"/>
        <w:rPr>
          <w:sz w:val="24"/>
          <w:szCs w:val="24"/>
        </w:rPr>
      </w:pPr>
    </w:p>
  </w:footnote>
  <w:footnote w:id="5">
    <w:p w14:paraId="311E1395" w14:textId="21AF410B" w:rsidR="00F41B12" w:rsidRPr="00F41B12" w:rsidRDefault="00F41B12">
      <w:pPr>
        <w:pStyle w:val="FootnoteText"/>
        <w:rPr>
          <w:sz w:val="24"/>
          <w:szCs w:val="24"/>
        </w:rPr>
      </w:pPr>
      <w:r>
        <w:rPr>
          <w:rStyle w:val="FootnoteReference"/>
        </w:rPr>
        <w:footnoteRef/>
      </w:r>
      <w:r>
        <w:t xml:space="preserve"> </w:t>
      </w:r>
      <w:r w:rsidR="004D230A">
        <w:rPr>
          <w:sz w:val="24"/>
          <w:szCs w:val="24"/>
        </w:rPr>
        <w:t>Slave Voyages</w:t>
      </w:r>
    </w:p>
  </w:footnote>
  <w:footnote w:id="6">
    <w:p w14:paraId="5BD75623" w14:textId="2C2BB3A1" w:rsidR="00A36658" w:rsidRPr="00A36658" w:rsidRDefault="00A36658">
      <w:pPr>
        <w:pStyle w:val="FootnoteText"/>
        <w:rPr>
          <w:sz w:val="24"/>
          <w:szCs w:val="24"/>
        </w:rPr>
      </w:pPr>
      <w:r>
        <w:rPr>
          <w:rStyle w:val="FootnoteReference"/>
        </w:rPr>
        <w:footnoteRef/>
      </w:r>
      <w:r>
        <w:t xml:space="preserve"> </w:t>
      </w:r>
      <w:proofErr w:type="spellStart"/>
      <w:r>
        <w:rPr>
          <w:sz w:val="24"/>
          <w:szCs w:val="24"/>
        </w:rPr>
        <w:t>Walvin</w:t>
      </w:r>
      <w:proofErr w:type="spellEnd"/>
      <w:r>
        <w:rPr>
          <w:sz w:val="24"/>
          <w:szCs w:val="24"/>
        </w:rPr>
        <w:t xml:space="preserve">, </w:t>
      </w:r>
      <w:r w:rsidR="004D230A">
        <w:rPr>
          <w:sz w:val="24"/>
          <w:szCs w:val="24"/>
        </w:rPr>
        <w:t>‘</w:t>
      </w:r>
      <w:r>
        <w:rPr>
          <w:i/>
          <w:iCs/>
          <w:sz w:val="24"/>
          <w:szCs w:val="24"/>
        </w:rPr>
        <w:t xml:space="preserve">The </w:t>
      </w:r>
      <w:proofErr w:type="spellStart"/>
      <w:r w:rsidR="006A7BB8">
        <w:rPr>
          <w:i/>
          <w:iCs/>
          <w:sz w:val="24"/>
          <w:szCs w:val="24"/>
        </w:rPr>
        <w:t>Zong</w:t>
      </w:r>
      <w:proofErr w:type="spellEnd"/>
      <w:r w:rsidR="004D230A" w:rsidRPr="004D230A">
        <w:rPr>
          <w:sz w:val="24"/>
          <w:szCs w:val="24"/>
        </w:rPr>
        <w:t xml:space="preserve">’ </w:t>
      </w:r>
      <w:r>
        <w:rPr>
          <w:sz w:val="24"/>
          <w:szCs w:val="24"/>
        </w:rPr>
        <w:t>pp. 81-86.</w:t>
      </w:r>
    </w:p>
  </w:footnote>
  <w:footnote w:id="7">
    <w:p w14:paraId="499A3189" w14:textId="7A20B594" w:rsidR="000749FE" w:rsidRPr="008E3E15" w:rsidRDefault="000749FE">
      <w:pPr>
        <w:pStyle w:val="FootnoteText"/>
        <w:rPr>
          <w:sz w:val="24"/>
          <w:szCs w:val="24"/>
        </w:rPr>
      </w:pPr>
      <w:r w:rsidRPr="008E3E15">
        <w:rPr>
          <w:rStyle w:val="FootnoteReference"/>
          <w:sz w:val="24"/>
          <w:szCs w:val="24"/>
        </w:rPr>
        <w:footnoteRef/>
      </w:r>
      <w:r w:rsidRPr="008E3E15">
        <w:rPr>
          <w:sz w:val="24"/>
          <w:szCs w:val="24"/>
        </w:rPr>
        <w:t xml:space="preserve"> </w:t>
      </w:r>
      <w:r w:rsidR="004D230A">
        <w:rPr>
          <w:sz w:val="24"/>
          <w:szCs w:val="24"/>
        </w:rPr>
        <w:t>Slave Voyages</w:t>
      </w:r>
    </w:p>
  </w:footnote>
  <w:footnote w:id="8">
    <w:p w14:paraId="56B200F9" w14:textId="5EA033CA" w:rsidR="004D230A" w:rsidRPr="00816233" w:rsidRDefault="004D230A">
      <w:pPr>
        <w:pStyle w:val="FootnoteText"/>
        <w:rPr>
          <w:sz w:val="24"/>
          <w:szCs w:val="24"/>
        </w:rPr>
      </w:pPr>
      <w:r>
        <w:rPr>
          <w:rStyle w:val="FootnoteReference"/>
        </w:rPr>
        <w:footnoteRef/>
      </w:r>
      <w:r>
        <w:t xml:space="preserve"> </w:t>
      </w:r>
      <w:r w:rsidR="00816233">
        <w:rPr>
          <w:sz w:val="24"/>
          <w:szCs w:val="24"/>
        </w:rPr>
        <w:t xml:space="preserve"> </w:t>
      </w:r>
      <w:proofErr w:type="spellStart"/>
      <w:r w:rsidR="00816233">
        <w:rPr>
          <w:sz w:val="24"/>
          <w:szCs w:val="24"/>
        </w:rPr>
        <w:t>Walvin</w:t>
      </w:r>
      <w:proofErr w:type="spellEnd"/>
      <w:r w:rsidR="00816233">
        <w:rPr>
          <w:sz w:val="24"/>
          <w:szCs w:val="24"/>
        </w:rPr>
        <w:t xml:space="preserve">, </w:t>
      </w:r>
      <w:r w:rsidR="00816233">
        <w:rPr>
          <w:i/>
          <w:iCs/>
          <w:sz w:val="24"/>
          <w:szCs w:val="24"/>
        </w:rPr>
        <w:t xml:space="preserve">The </w:t>
      </w:r>
      <w:proofErr w:type="spellStart"/>
      <w:r w:rsidR="00816233">
        <w:rPr>
          <w:i/>
          <w:iCs/>
          <w:sz w:val="24"/>
          <w:szCs w:val="24"/>
        </w:rPr>
        <w:t>Zong</w:t>
      </w:r>
      <w:proofErr w:type="spellEnd"/>
      <w:r w:rsidR="00816233">
        <w:rPr>
          <w:sz w:val="24"/>
          <w:szCs w:val="24"/>
        </w:rPr>
        <w:t>’ p. 27.</w:t>
      </w:r>
    </w:p>
  </w:footnote>
  <w:footnote w:id="9">
    <w:p w14:paraId="05382361" w14:textId="42EFB342" w:rsidR="005760A6" w:rsidRPr="008E3E15" w:rsidRDefault="005760A6">
      <w:pPr>
        <w:pStyle w:val="FootnoteText"/>
        <w:rPr>
          <w:sz w:val="24"/>
          <w:szCs w:val="24"/>
        </w:rPr>
      </w:pPr>
      <w:r w:rsidRPr="008E3E15">
        <w:rPr>
          <w:rStyle w:val="FootnoteReference"/>
          <w:sz w:val="24"/>
          <w:szCs w:val="24"/>
        </w:rPr>
        <w:footnoteRef/>
      </w:r>
      <w:r w:rsidRPr="008E3E15">
        <w:rPr>
          <w:sz w:val="24"/>
          <w:szCs w:val="24"/>
        </w:rPr>
        <w:t xml:space="preserve"> </w:t>
      </w:r>
      <w:proofErr w:type="spellStart"/>
      <w:r w:rsidR="004D230A">
        <w:rPr>
          <w:sz w:val="24"/>
          <w:szCs w:val="24"/>
        </w:rPr>
        <w:t>Walvin</w:t>
      </w:r>
      <w:proofErr w:type="spellEnd"/>
      <w:r w:rsidR="004D230A">
        <w:rPr>
          <w:sz w:val="24"/>
          <w:szCs w:val="24"/>
        </w:rPr>
        <w:t>, ‘</w:t>
      </w:r>
      <w:r w:rsidR="004D230A">
        <w:rPr>
          <w:i/>
          <w:iCs/>
          <w:sz w:val="24"/>
          <w:szCs w:val="24"/>
        </w:rPr>
        <w:t xml:space="preserve">The </w:t>
      </w:r>
      <w:proofErr w:type="spellStart"/>
      <w:r w:rsidR="004D230A">
        <w:rPr>
          <w:i/>
          <w:iCs/>
          <w:sz w:val="24"/>
          <w:szCs w:val="24"/>
        </w:rPr>
        <w:t>Zong</w:t>
      </w:r>
      <w:proofErr w:type="spellEnd"/>
      <w:r w:rsidR="004D230A">
        <w:rPr>
          <w:sz w:val="24"/>
          <w:szCs w:val="24"/>
        </w:rPr>
        <w:t>’</w:t>
      </w:r>
      <w:r w:rsidRPr="008E3E15">
        <w:rPr>
          <w:sz w:val="24"/>
          <w:szCs w:val="24"/>
        </w:rPr>
        <w:t>, p. 73</w:t>
      </w:r>
      <w:r w:rsidR="00816233">
        <w:rPr>
          <w:sz w:val="24"/>
          <w:szCs w:val="24"/>
        </w:rPr>
        <w:t>.</w:t>
      </w:r>
    </w:p>
  </w:footnote>
  <w:footnote w:id="10">
    <w:p w14:paraId="4D4A32ED" w14:textId="561B9F6E" w:rsidR="00294DAC" w:rsidRPr="00294DAC" w:rsidRDefault="00294DAC">
      <w:pPr>
        <w:pStyle w:val="FootnoteText"/>
        <w:rPr>
          <w:sz w:val="24"/>
          <w:szCs w:val="24"/>
        </w:rPr>
      </w:pPr>
      <w:r>
        <w:rPr>
          <w:rStyle w:val="FootnoteReference"/>
        </w:rPr>
        <w:footnoteRef/>
      </w:r>
      <w:r>
        <w:t xml:space="preserve"> </w:t>
      </w:r>
      <w:r w:rsidR="004D230A">
        <w:rPr>
          <w:sz w:val="24"/>
          <w:szCs w:val="24"/>
        </w:rPr>
        <w:t>Slave Voyages</w:t>
      </w:r>
    </w:p>
  </w:footnote>
  <w:footnote w:id="11">
    <w:p w14:paraId="5E3EED86" w14:textId="2396E7EE" w:rsidR="001000BF" w:rsidRPr="001000BF" w:rsidRDefault="001000BF">
      <w:pPr>
        <w:pStyle w:val="FootnoteText"/>
        <w:rPr>
          <w:sz w:val="24"/>
          <w:szCs w:val="24"/>
        </w:rPr>
      </w:pPr>
      <w:r>
        <w:rPr>
          <w:rStyle w:val="FootnoteReference"/>
        </w:rPr>
        <w:footnoteRef/>
      </w:r>
      <w:r>
        <w:t xml:space="preserve"> </w:t>
      </w:r>
      <w:proofErr w:type="spellStart"/>
      <w:r>
        <w:rPr>
          <w:sz w:val="24"/>
          <w:szCs w:val="24"/>
        </w:rPr>
        <w:t>Walvin</w:t>
      </w:r>
      <w:proofErr w:type="spellEnd"/>
      <w:r>
        <w:rPr>
          <w:sz w:val="24"/>
          <w:szCs w:val="24"/>
        </w:rPr>
        <w:t xml:space="preserve">, </w:t>
      </w:r>
      <w:r w:rsidR="004D230A">
        <w:rPr>
          <w:sz w:val="24"/>
          <w:szCs w:val="24"/>
        </w:rPr>
        <w:t>‘</w:t>
      </w:r>
      <w:r w:rsidR="004D230A">
        <w:rPr>
          <w:i/>
          <w:iCs/>
          <w:sz w:val="24"/>
          <w:szCs w:val="24"/>
        </w:rPr>
        <w:t xml:space="preserve">The </w:t>
      </w:r>
      <w:proofErr w:type="spellStart"/>
      <w:r w:rsidR="004D230A" w:rsidRPr="004D230A">
        <w:rPr>
          <w:i/>
          <w:iCs/>
          <w:sz w:val="24"/>
          <w:szCs w:val="24"/>
        </w:rPr>
        <w:t>Zong</w:t>
      </w:r>
      <w:proofErr w:type="spellEnd"/>
      <w:r w:rsidR="004D230A">
        <w:rPr>
          <w:sz w:val="24"/>
          <w:szCs w:val="24"/>
        </w:rPr>
        <w:t xml:space="preserve">’ </w:t>
      </w:r>
      <w:r w:rsidRPr="004D230A">
        <w:rPr>
          <w:sz w:val="24"/>
          <w:szCs w:val="24"/>
        </w:rPr>
        <w:t>p</w:t>
      </w:r>
      <w:r w:rsidR="004D230A">
        <w:rPr>
          <w:sz w:val="24"/>
          <w:szCs w:val="24"/>
        </w:rPr>
        <w:t>.</w:t>
      </w:r>
      <w:r>
        <w:rPr>
          <w:sz w:val="24"/>
          <w:szCs w:val="24"/>
        </w:rPr>
        <w:t xml:space="preserve"> 142</w:t>
      </w:r>
    </w:p>
  </w:footnote>
  <w:footnote w:id="12">
    <w:p w14:paraId="6F8A52E5" w14:textId="20E8D920" w:rsidR="0084792B" w:rsidRPr="00502336" w:rsidRDefault="0084792B" w:rsidP="0084792B">
      <w:pPr>
        <w:pStyle w:val="FootnoteText"/>
        <w:rPr>
          <w:sz w:val="24"/>
          <w:szCs w:val="24"/>
        </w:rPr>
      </w:pPr>
      <w:r>
        <w:rPr>
          <w:rStyle w:val="FootnoteReference"/>
        </w:rPr>
        <w:footnoteRef/>
      </w:r>
      <w:r>
        <w:t xml:space="preserve"> </w:t>
      </w:r>
      <w:r w:rsidR="004D230A">
        <w:rPr>
          <w:sz w:val="24"/>
          <w:szCs w:val="24"/>
        </w:rPr>
        <w:t>Slave Voyages</w:t>
      </w:r>
    </w:p>
  </w:footnote>
  <w:footnote w:id="13">
    <w:p w14:paraId="289B09F0" w14:textId="714A95F9" w:rsidR="0084792B" w:rsidRPr="00502336" w:rsidRDefault="0084792B" w:rsidP="0084792B">
      <w:pPr>
        <w:pStyle w:val="FootnoteText"/>
        <w:rPr>
          <w:sz w:val="24"/>
          <w:szCs w:val="24"/>
        </w:rPr>
      </w:pPr>
      <w:r>
        <w:rPr>
          <w:rStyle w:val="FootnoteReference"/>
        </w:rPr>
        <w:footnoteRef/>
      </w:r>
      <w:r>
        <w:t xml:space="preserve"> </w:t>
      </w:r>
      <w:r w:rsidR="004D230A">
        <w:rPr>
          <w:sz w:val="24"/>
          <w:szCs w:val="24"/>
        </w:rPr>
        <w:t>Slave Voyages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35248881"/>
      <w:docPartObj>
        <w:docPartGallery w:val="Page Numbers (Top of Page)"/>
        <w:docPartUnique/>
      </w:docPartObj>
    </w:sdtPr>
    <w:sdtEndPr>
      <w:rPr>
        <w:rStyle w:val="PageNumber"/>
      </w:rPr>
    </w:sdtEndPr>
    <w:sdtContent>
      <w:p w14:paraId="7D4CBECE" w14:textId="497718C1" w:rsidR="005E1A13" w:rsidRDefault="005E1A13" w:rsidP="005B391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BED651D" w14:textId="77777777" w:rsidR="005E1A13" w:rsidRDefault="005E1A13" w:rsidP="005E1A1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86545018"/>
      <w:docPartObj>
        <w:docPartGallery w:val="Page Numbers (Top of Page)"/>
        <w:docPartUnique/>
      </w:docPartObj>
    </w:sdtPr>
    <w:sdtEndPr>
      <w:rPr>
        <w:rStyle w:val="PageNumber"/>
      </w:rPr>
    </w:sdtEndPr>
    <w:sdtContent>
      <w:p w14:paraId="549AC182" w14:textId="3E5DA270" w:rsidR="005E1A13" w:rsidRDefault="005E1A13" w:rsidP="005B391A">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FA97FDA" w14:textId="77777777" w:rsidR="005E1A13" w:rsidRDefault="005E1A13" w:rsidP="005E1A13">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1154"/>
    <w:rsid w:val="00011A3D"/>
    <w:rsid w:val="00033B6B"/>
    <w:rsid w:val="000749FE"/>
    <w:rsid w:val="000D1154"/>
    <w:rsid w:val="000E3D6B"/>
    <w:rsid w:val="000F0C89"/>
    <w:rsid w:val="001000BF"/>
    <w:rsid w:val="001F3177"/>
    <w:rsid w:val="00200999"/>
    <w:rsid w:val="002308F1"/>
    <w:rsid w:val="002629F1"/>
    <w:rsid w:val="00265E82"/>
    <w:rsid w:val="00294DAC"/>
    <w:rsid w:val="003161B1"/>
    <w:rsid w:val="00385695"/>
    <w:rsid w:val="00386A19"/>
    <w:rsid w:val="003E745C"/>
    <w:rsid w:val="00404414"/>
    <w:rsid w:val="004107CF"/>
    <w:rsid w:val="00491CBB"/>
    <w:rsid w:val="004D230A"/>
    <w:rsid w:val="004D3C2D"/>
    <w:rsid w:val="00502336"/>
    <w:rsid w:val="005576DF"/>
    <w:rsid w:val="00570D87"/>
    <w:rsid w:val="005760A6"/>
    <w:rsid w:val="005E093D"/>
    <w:rsid w:val="005E1A13"/>
    <w:rsid w:val="006A7BB8"/>
    <w:rsid w:val="00732BC9"/>
    <w:rsid w:val="0073425C"/>
    <w:rsid w:val="007A5957"/>
    <w:rsid w:val="0080407A"/>
    <w:rsid w:val="00816233"/>
    <w:rsid w:val="0084792B"/>
    <w:rsid w:val="008C1D9C"/>
    <w:rsid w:val="008D214C"/>
    <w:rsid w:val="008E3E15"/>
    <w:rsid w:val="00912C69"/>
    <w:rsid w:val="00924C6A"/>
    <w:rsid w:val="0093100B"/>
    <w:rsid w:val="00A36658"/>
    <w:rsid w:val="00A849C3"/>
    <w:rsid w:val="00AB7E85"/>
    <w:rsid w:val="00B1245B"/>
    <w:rsid w:val="00B262CE"/>
    <w:rsid w:val="00B97891"/>
    <w:rsid w:val="00C16FD2"/>
    <w:rsid w:val="00C60AEC"/>
    <w:rsid w:val="00CE2BEF"/>
    <w:rsid w:val="00D02758"/>
    <w:rsid w:val="00D43A1E"/>
    <w:rsid w:val="00DA06EF"/>
    <w:rsid w:val="00E65EEF"/>
    <w:rsid w:val="00E87CB7"/>
    <w:rsid w:val="00EB5BC3"/>
    <w:rsid w:val="00EF710C"/>
    <w:rsid w:val="00F3455C"/>
    <w:rsid w:val="00F41B12"/>
    <w:rsid w:val="00F76ADC"/>
    <w:rsid w:val="00FB1C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3B412A89"/>
  <w15:chartTrackingRefBased/>
  <w15:docId w15:val="{FDBE48B0-A4A6-394F-98D8-609155C518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Body CS)"/>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5695"/>
    <w:rPr>
      <w:sz w:val="20"/>
      <w:szCs w:val="20"/>
    </w:rPr>
  </w:style>
  <w:style w:type="character" w:customStyle="1" w:styleId="FootnoteTextChar">
    <w:name w:val="Footnote Text Char"/>
    <w:basedOn w:val="DefaultParagraphFont"/>
    <w:link w:val="FootnoteText"/>
    <w:uiPriority w:val="99"/>
    <w:semiHidden/>
    <w:rsid w:val="00385695"/>
    <w:rPr>
      <w:sz w:val="20"/>
      <w:szCs w:val="20"/>
    </w:rPr>
  </w:style>
  <w:style w:type="character" w:styleId="FootnoteReference">
    <w:name w:val="footnote reference"/>
    <w:basedOn w:val="DefaultParagraphFont"/>
    <w:uiPriority w:val="99"/>
    <w:semiHidden/>
    <w:unhideWhenUsed/>
    <w:rsid w:val="00385695"/>
    <w:rPr>
      <w:vertAlign w:val="superscript"/>
    </w:rPr>
  </w:style>
  <w:style w:type="paragraph" w:styleId="Header">
    <w:name w:val="header"/>
    <w:basedOn w:val="Normal"/>
    <w:link w:val="HeaderChar"/>
    <w:uiPriority w:val="99"/>
    <w:unhideWhenUsed/>
    <w:rsid w:val="005E1A13"/>
    <w:pPr>
      <w:tabs>
        <w:tab w:val="center" w:pos="4680"/>
        <w:tab w:val="right" w:pos="9360"/>
      </w:tabs>
    </w:pPr>
  </w:style>
  <w:style w:type="character" w:customStyle="1" w:styleId="HeaderChar">
    <w:name w:val="Header Char"/>
    <w:basedOn w:val="DefaultParagraphFont"/>
    <w:link w:val="Header"/>
    <w:uiPriority w:val="99"/>
    <w:rsid w:val="005E1A13"/>
  </w:style>
  <w:style w:type="character" w:styleId="PageNumber">
    <w:name w:val="page number"/>
    <w:basedOn w:val="DefaultParagraphFont"/>
    <w:uiPriority w:val="99"/>
    <w:semiHidden/>
    <w:unhideWhenUsed/>
    <w:rsid w:val="005E1A13"/>
  </w:style>
  <w:style w:type="character" w:styleId="Hyperlink">
    <w:name w:val="Hyperlink"/>
    <w:basedOn w:val="DefaultParagraphFont"/>
    <w:uiPriority w:val="99"/>
    <w:unhideWhenUsed/>
    <w:rsid w:val="004D230A"/>
    <w:rPr>
      <w:color w:val="0563C1" w:themeColor="hyperlink"/>
      <w:u w:val="single"/>
    </w:rPr>
  </w:style>
  <w:style w:type="character" w:styleId="UnresolvedMention">
    <w:name w:val="Unresolved Mention"/>
    <w:basedOn w:val="DefaultParagraphFont"/>
    <w:uiPriority w:val="99"/>
    <w:semiHidden/>
    <w:unhideWhenUsed/>
    <w:rsid w:val="004D230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1" Type="http://schemas.openxmlformats.org/officeDocument/2006/relationships/hyperlink" Target="https://www.slavevoyages.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309</TotalTime>
  <Pages>5</Pages>
  <Words>1199</Words>
  <Characters>6840</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 Bremer</dc:creator>
  <cp:keywords/>
  <dc:description/>
  <cp:lastModifiedBy>Kristin Bremer</cp:lastModifiedBy>
  <cp:revision>56</cp:revision>
  <cp:lastPrinted>2021-11-12T14:08:00Z</cp:lastPrinted>
  <dcterms:created xsi:type="dcterms:W3CDTF">2021-10-31T20:04:00Z</dcterms:created>
  <dcterms:modified xsi:type="dcterms:W3CDTF">2021-11-12T18:26:00Z</dcterms:modified>
</cp:coreProperties>
</file>