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5C6A80" w14:textId="77777777" w:rsidR="00E07974" w:rsidRDefault="00E07974" w:rsidP="00E07974">
      <w:pPr>
        <w:rPr>
          <w:b/>
          <w:bCs/>
        </w:rPr>
      </w:pPr>
    </w:p>
    <w:p w14:paraId="42A32B11" w14:textId="77777777" w:rsidR="00E07974" w:rsidRPr="00D2602D" w:rsidRDefault="00E07974" w:rsidP="00E07974">
      <w:pPr>
        <w:rPr>
          <w:rFonts w:ascii="Arial" w:hAnsi="Arial" w:cs="Arial"/>
        </w:rPr>
      </w:pPr>
      <w:r w:rsidRPr="00D2602D">
        <w:rPr>
          <w:rFonts w:ascii="Arial" w:hAnsi="Arial" w:cs="Arial"/>
          <w:noProof/>
        </w:rPr>
        <w:drawing>
          <wp:inline distT="0" distB="0" distL="0" distR="0" wp14:anchorId="53C54887" wp14:editId="527C5382">
            <wp:extent cx="1807845" cy="971550"/>
            <wp:effectExtent l="0" t="0" r="1905" b="0"/>
            <wp:docPr id="14096108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Discover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807845" cy="971550"/>
                    </a:xfrm>
                    <a:prstGeom prst="rect">
                      <a:avLst/>
                    </a:prstGeom>
                    <a:noFill/>
                    <a:ln>
                      <a:noFill/>
                    </a:ln>
                  </pic:spPr>
                </pic:pic>
              </a:graphicData>
            </a:graphic>
          </wp:inline>
        </w:drawing>
      </w:r>
    </w:p>
    <w:p w14:paraId="08B80A0A" w14:textId="77777777" w:rsidR="00E07974" w:rsidRPr="00D2602D" w:rsidRDefault="00E07974" w:rsidP="00E07974">
      <w:pPr>
        <w:rPr>
          <w:rFonts w:ascii="Arial" w:hAnsi="Arial" w:cs="Arial"/>
        </w:rPr>
      </w:pPr>
    </w:p>
    <w:p w14:paraId="1765D377" w14:textId="3CE0A479" w:rsidR="00E07974" w:rsidRPr="00D2602D" w:rsidRDefault="00E07974" w:rsidP="00E07974">
      <w:pPr>
        <w:rPr>
          <w:rFonts w:ascii="Arial" w:hAnsi="Arial" w:cs="Arial"/>
        </w:rPr>
      </w:pPr>
      <w:r>
        <w:rPr>
          <w:rFonts w:ascii="Arial" w:hAnsi="Arial" w:cs="Arial"/>
          <w:noProof/>
        </w:rPr>
        <w:drawing>
          <wp:inline distT="0" distB="0" distL="0" distR="0" wp14:anchorId="533AAD4B" wp14:editId="3C0A53B9">
            <wp:extent cx="5918200" cy="2374900"/>
            <wp:effectExtent l="0" t="0" r="6350" b="6350"/>
            <wp:docPr id="10917125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18200" cy="2374900"/>
                    </a:xfrm>
                    <a:prstGeom prst="rect">
                      <a:avLst/>
                    </a:prstGeom>
                    <a:noFill/>
                  </pic:spPr>
                </pic:pic>
              </a:graphicData>
            </a:graphic>
          </wp:inline>
        </w:drawing>
      </w:r>
    </w:p>
    <w:p w14:paraId="386E27B1" w14:textId="77777777" w:rsidR="00E07974" w:rsidRPr="00D2602D" w:rsidRDefault="00E07974" w:rsidP="00E07974">
      <w:pPr>
        <w:rPr>
          <w:rFonts w:ascii="Arial" w:hAnsi="Arial" w:cs="Arial"/>
        </w:rPr>
      </w:pPr>
    </w:p>
    <w:p w14:paraId="74F57243" w14:textId="77777777" w:rsidR="00E07974" w:rsidRPr="00D2602D" w:rsidRDefault="00E07974" w:rsidP="00E07974">
      <w:pPr>
        <w:rPr>
          <w:rFonts w:ascii="Arial" w:hAnsi="Arial" w:cs="Arial"/>
        </w:rPr>
      </w:pPr>
      <w:r w:rsidRPr="00D2602D">
        <w:rPr>
          <w:rFonts w:ascii="Arial" w:hAnsi="Arial" w:cs="Arial"/>
          <w:b/>
          <w:bCs/>
          <w:lang w:val="en-US"/>
        </w:rPr>
        <w:t>Module code: LCHS4010</w:t>
      </w:r>
      <w:r w:rsidRPr="00D2602D">
        <w:rPr>
          <w:rFonts w:ascii="Arial" w:hAnsi="Arial" w:cs="Arial"/>
          <w:b/>
          <w:bCs/>
        </w:rPr>
        <w:t> </w:t>
      </w:r>
    </w:p>
    <w:p w14:paraId="072D60B1" w14:textId="77777777" w:rsidR="00E07974" w:rsidRPr="00D2602D" w:rsidRDefault="00E07974" w:rsidP="00E07974">
      <w:pPr>
        <w:rPr>
          <w:rFonts w:ascii="Arial" w:hAnsi="Arial" w:cs="Arial"/>
        </w:rPr>
      </w:pPr>
      <w:r w:rsidRPr="00D2602D">
        <w:rPr>
          <w:rFonts w:ascii="Arial" w:hAnsi="Arial" w:cs="Arial"/>
          <w:b/>
          <w:bCs/>
        </w:rPr>
        <w:t>Student name: Gila Domingos Serrote </w:t>
      </w:r>
    </w:p>
    <w:p w14:paraId="72E30C96" w14:textId="77777777" w:rsidR="00E07974" w:rsidRPr="00D2602D" w:rsidRDefault="00E07974" w:rsidP="00E07974">
      <w:pPr>
        <w:rPr>
          <w:rFonts w:ascii="Arial" w:hAnsi="Arial" w:cs="Arial"/>
        </w:rPr>
      </w:pPr>
      <w:r w:rsidRPr="00D2602D">
        <w:rPr>
          <w:rFonts w:ascii="Arial" w:hAnsi="Arial" w:cs="Arial"/>
          <w:b/>
          <w:bCs/>
        </w:rPr>
        <w:t>Student ID: 2510697 </w:t>
      </w:r>
    </w:p>
    <w:p w14:paraId="0B66CFBB" w14:textId="77777777" w:rsidR="00E07974" w:rsidRPr="00D2602D" w:rsidRDefault="00E07974" w:rsidP="00E07974">
      <w:pPr>
        <w:rPr>
          <w:rFonts w:ascii="Arial" w:hAnsi="Arial" w:cs="Arial"/>
        </w:rPr>
      </w:pPr>
      <w:r w:rsidRPr="00D2602D">
        <w:rPr>
          <w:rFonts w:ascii="Arial" w:hAnsi="Arial" w:cs="Arial"/>
          <w:b/>
          <w:bCs/>
        </w:rPr>
        <w:t>Lecture: Sam Parker</w:t>
      </w:r>
    </w:p>
    <w:p w14:paraId="023BE884" w14:textId="77777777" w:rsidR="00E07974" w:rsidRPr="00D2602D" w:rsidRDefault="00E07974" w:rsidP="00E07974">
      <w:pPr>
        <w:rPr>
          <w:rFonts w:ascii="Arial" w:hAnsi="Arial" w:cs="Arial"/>
        </w:rPr>
      </w:pPr>
    </w:p>
    <w:p w14:paraId="4F53D08A" w14:textId="77777777" w:rsidR="00E07974" w:rsidRPr="00D2602D" w:rsidRDefault="00E07974" w:rsidP="00E07974">
      <w:pPr>
        <w:rPr>
          <w:rFonts w:ascii="Arial" w:hAnsi="Arial" w:cs="Arial"/>
        </w:rPr>
      </w:pPr>
    </w:p>
    <w:p w14:paraId="5D742E00" w14:textId="77777777" w:rsidR="00E07974" w:rsidRPr="00D2602D" w:rsidRDefault="00E07974" w:rsidP="00E07974">
      <w:pPr>
        <w:rPr>
          <w:rFonts w:ascii="Arial" w:hAnsi="Arial" w:cs="Arial"/>
        </w:rPr>
      </w:pPr>
    </w:p>
    <w:p w14:paraId="6D99CF64" w14:textId="77777777" w:rsidR="00E07974" w:rsidRDefault="00E07974" w:rsidP="00E07974">
      <w:pPr>
        <w:rPr>
          <w:b/>
          <w:bCs/>
        </w:rPr>
      </w:pPr>
    </w:p>
    <w:p w14:paraId="263F1DB1" w14:textId="77777777" w:rsidR="00E07974" w:rsidRDefault="00E07974" w:rsidP="00E07974">
      <w:pPr>
        <w:rPr>
          <w:b/>
          <w:bCs/>
        </w:rPr>
      </w:pPr>
    </w:p>
    <w:p w14:paraId="4F5FB383" w14:textId="2C287200" w:rsidR="00E07974" w:rsidRDefault="00E07974" w:rsidP="00E07974">
      <w:pPr>
        <w:rPr>
          <w:b/>
          <w:bCs/>
        </w:rPr>
      </w:pPr>
      <w:r w:rsidRPr="00E07974">
        <w:rPr>
          <w:b/>
          <w:bCs/>
        </w:rPr>
        <w:t>Discuss the impact of social media on mental health in adolescence.</w:t>
      </w:r>
    </w:p>
    <w:p w14:paraId="31FFB36F" w14:textId="77777777" w:rsidR="007E2477" w:rsidRDefault="007E2477" w:rsidP="00E07974">
      <w:pPr>
        <w:rPr>
          <w:b/>
          <w:bCs/>
        </w:rPr>
      </w:pPr>
    </w:p>
    <w:p w14:paraId="5983047B" w14:textId="77777777" w:rsidR="00E07974" w:rsidRDefault="00E07974" w:rsidP="00E07974">
      <w:pPr>
        <w:rPr>
          <w:b/>
          <w:bCs/>
        </w:rPr>
      </w:pPr>
    </w:p>
    <w:sdt>
      <w:sdtPr>
        <w:rPr>
          <w:rFonts w:asciiTheme="minorHAnsi" w:eastAsiaTheme="minorHAnsi" w:hAnsiTheme="minorHAnsi" w:cstheme="minorBidi"/>
          <w:b/>
          <w:bCs/>
          <w:i/>
          <w:iCs/>
          <w:color w:val="auto"/>
          <w:kern w:val="2"/>
          <w:sz w:val="20"/>
          <w:szCs w:val="20"/>
          <w:lang w:val="en-GB"/>
          <w14:ligatures w14:val="standardContextual"/>
        </w:rPr>
        <w:id w:val="-228931893"/>
        <w:docPartObj>
          <w:docPartGallery w:val="Table of Contents"/>
          <w:docPartUnique/>
        </w:docPartObj>
      </w:sdtPr>
      <w:sdtContent>
        <w:p w14:paraId="568DDA48" w14:textId="35EDA707" w:rsidR="00E07974" w:rsidRPr="00DF4C4D" w:rsidRDefault="00E07974" w:rsidP="00DF4C4D">
          <w:pPr>
            <w:pStyle w:val="TOCHeading"/>
            <w:jc w:val="both"/>
            <w:rPr>
              <w:b/>
              <w:bCs/>
              <w:i/>
              <w:iCs/>
            </w:rPr>
          </w:pPr>
          <w:r w:rsidRPr="00DF4C4D">
            <w:rPr>
              <w:b/>
              <w:bCs/>
              <w:i/>
              <w:iCs/>
            </w:rPr>
            <w:t>Table of Contents</w:t>
          </w:r>
        </w:p>
        <w:p w14:paraId="1AFBCF08" w14:textId="66CAC0C2" w:rsidR="00E07974" w:rsidRPr="00DF4C4D" w:rsidRDefault="007E2477" w:rsidP="00DF4C4D">
          <w:pPr>
            <w:pStyle w:val="TOC1"/>
            <w:jc w:val="both"/>
            <w:rPr>
              <w:rFonts w:ascii="Arial" w:hAnsi="Arial" w:cs="Arial"/>
              <w:i/>
              <w:iCs/>
              <w:sz w:val="22"/>
              <w:szCs w:val="22"/>
            </w:rPr>
          </w:pPr>
          <w:r w:rsidRPr="00DF4C4D">
            <w:rPr>
              <w:rFonts w:ascii="Arial" w:hAnsi="Arial" w:cs="Arial"/>
              <w:i/>
              <w:iCs/>
              <w:sz w:val="22"/>
              <w:szCs w:val="22"/>
            </w:rPr>
            <w:t xml:space="preserve">Introduction </w:t>
          </w:r>
          <w:r w:rsidR="00E07974" w:rsidRPr="00DF4C4D">
            <w:rPr>
              <w:rFonts w:ascii="Arial" w:hAnsi="Arial" w:cs="Arial"/>
              <w:i/>
              <w:iCs/>
              <w:sz w:val="22"/>
              <w:szCs w:val="22"/>
            </w:rPr>
            <w:ptab w:relativeTo="margin" w:alignment="right" w:leader="dot"/>
          </w:r>
          <w:r w:rsidR="00E07974" w:rsidRPr="00DF4C4D">
            <w:rPr>
              <w:rFonts w:ascii="Arial" w:hAnsi="Arial" w:cs="Arial"/>
              <w:i/>
              <w:iCs/>
              <w:sz w:val="22"/>
              <w:szCs w:val="22"/>
            </w:rPr>
            <w:t>1</w:t>
          </w:r>
        </w:p>
        <w:p w14:paraId="49421556" w14:textId="77AEC073" w:rsidR="00E07974" w:rsidRPr="00DF4C4D" w:rsidRDefault="007E2477" w:rsidP="00DF4C4D">
          <w:pPr>
            <w:pStyle w:val="TOC2"/>
            <w:ind w:left="0"/>
            <w:jc w:val="both"/>
            <w:rPr>
              <w:rFonts w:ascii="Arial" w:hAnsi="Arial" w:cs="Arial"/>
              <w:b/>
              <w:bCs/>
              <w:sz w:val="22"/>
              <w:szCs w:val="22"/>
            </w:rPr>
          </w:pPr>
          <w:r w:rsidRPr="00DF4C4D">
            <w:rPr>
              <w:rFonts w:ascii="Arial" w:hAnsi="Arial" w:cs="Arial"/>
              <w:b/>
              <w:bCs/>
              <w:sz w:val="22"/>
              <w:szCs w:val="22"/>
            </w:rPr>
            <w:t>Main body</w:t>
          </w:r>
          <w:r w:rsidR="00E07974" w:rsidRPr="00DF4C4D">
            <w:rPr>
              <w:rFonts w:ascii="Arial" w:hAnsi="Arial" w:cs="Arial"/>
              <w:b/>
              <w:bCs/>
              <w:sz w:val="22"/>
              <w:szCs w:val="22"/>
            </w:rPr>
            <w:ptab w:relativeTo="margin" w:alignment="right" w:leader="dot"/>
          </w:r>
          <w:r w:rsidR="00E07974" w:rsidRPr="00DF4C4D">
            <w:rPr>
              <w:rFonts w:ascii="Arial" w:hAnsi="Arial" w:cs="Arial"/>
              <w:b/>
              <w:bCs/>
              <w:sz w:val="22"/>
              <w:szCs w:val="22"/>
            </w:rPr>
            <w:t>2</w:t>
          </w:r>
          <w:r w:rsidR="00DF4C4D">
            <w:rPr>
              <w:rFonts w:ascii="Arial" w:hAnsi="Arial" w:cs="Arial"/>
              <w:b/>
              <w:bCs/>
              <w:sz w:val="22"/>
              <w:szCs w:val="22"/>
            </w:rPr>
            <w:t xml:space="preserve"> </w:t>
          </w:r>
          <w:r w:rsidR="00DE4CD1">
            <w:rPr>
              <w:rFonts w:ascii="Arial" w:hAnsi="Arial" w:cs="Arial"/>
              <w:b/>
              <w:bCs/>
              <w:sz w:val="22"/>
              <w:szCs w:val="22"/>
            </w:rPr>
            <w:t>&amp;</w:t>
          </w:r>
          <w:r w:rsidRPr="00DF4C4D">
            <w:rPr>
              <w:rFonts w:ascii="Arial" w:hAnsi="Arial" w:cs="Arial"/>
              <w:b/>
              <w:bCs/>
              <w:sz w:val="22"/>
              <w:szCs w:val="22"/>
            </w:rPr>
            <w:t>3</w:t>
          </w:r>
        </w:p>
        <w:p w14:paraId="3EBB7EB9" w14:textId="347D3250" w:rsidR="00E07974" w:rsidRPr="00DF4C4D" w:rsidRDefault="007E2477" w:rsidP="00DF4C4D">
          <w:pPr>
            <w:pStyle w:val="TOC3"/>
            <w:ind w:left="0"/>
            <w:jc w:val="both"/>
            <w:rPr>
              <w:rFonts w:ascii="Arial" w:hAnsi="Arial" w:cs="Arial"/>
              <w:b/>
              <w:bCs/>
              <w:i/>
              <w:iCs/>
              <w:sz w:val="22"/>
              <w:szCs w:val="22"/>
            </w:rPr>
          </w:pPr>
          <w:r w:rsidRPr="00DF4C4D">
            <w:rPr>
              <w:rFonts w:ascii="Arial" w:hAnsi="Arial" w:cs="Arial"/>
              <w:b/>
              <w:bCs/>
              <w:i/>
              <w:iCs/>
              <w:sz w:val="22"/>
              <w:szCs w:val="22"/>
            </w:rPr>
            <w:t>Conclusion………………………………………………………………………………………….</w:t>
          </w:r>
          <w:r w:rsidR="00E07974" w:rsidRPr="00DF4C4D">
            <w:rPr>
              <w:rFonts w:ascii="Arial" w:hAnsi="Arial" w:cs="Arial"/>
              <w:b/>
              <w:bCs/>
              <w:i/>
              <w:iCs/>
              <w:sz w:val="22"/>
              <w:szCs w:val="22"/>
            </w:rPr>
            <w:t>4</w:t>
          </w:r>
        </w:p>
        <w:p w14:paraId="39F95F91" w14:textId="4930E621" w:rsidR="00E07974" w:rsidRPr="00DF4C4D" w:rsidRDefault="007E2477" w:rsidP="00DF4C4D">
          <w:pPr>
            <w:pStyle w:val="TOC2"/>
            <w:ind w:left="0"/>
            <w:jc w:val="both"/>
            <w:rPr>
              <w:rFonts w:ascii="Arial" w:hAnsi="Arial" w:cs="Arial"/>
              <w:b/>
              <w:bCs/>
              <w:sz w:val="22"/>
              <w:szCs w:val="22"/>
            </w:rPr>
          </w:pPr>
          <w:r w:rsidRPr="00DF4C4D">
            <w:rPr>
              <w:rFonts w:ascii="Arial" w:hAnsi="Arial" w:cs="Arial"/>
              <w:b/>
              <w:bCs/>
              <w:sz w:val="22"/>
              <w:szCs w:val="22"/>
            </w:rPr>
            <w:t>References</w:t>
          </w:r>
          <w:r w:rsidR="007C0BBB" w:rsidRPr="00DF4C4D">
            <w:rPr>
              <w:rFonts w:ascii="Arial" w:hAnsi="Arial" w:cs="Arial"/>
              <w:b/>
              <w:bCs/>
              <w:sz w:val="22"/>
              <w:szCs w:val="22"/>
            </w:rPr>
            <w:t xml:space="preserve"> </w:t>
          </w:r>
          <w:r w:rsidR="00E07974" w:rsidRPr="00DF4C4D">
            <w:rPr>
              <w:rFonts w:ascii="Arial" w:hAnsi="Arial" w:cs="Arial"/>
              <w:b/>
              <w:bCs/>
              <w:sz w:val="22"/>
              <w:szCs w:val="22"/>
            </w:rPr>
            <w:ptab w:relativeTo="margin" w:alignment="right" w:leader="dot"/>
          </w:r>
          <w:r w:rsidR="00E07974" w:rsidRPr="00DF4C4D">
            <w:rPr>
              <w:rFonts w:ascii="Arial" w:hAnsi="Arial" w:cs="Arial"/>
              <w:b/>
              <w:bCs/>
              <w:sz w:val="22"/>
              <w:szCs w:val="22"/>
            </w:rPr>
            <w:t>5</w:t>
          </w:r>
        </w:p>
        <w:p w14:paraId="2ED407C8" w14:textId="748C3E02" w:rsidR="00E07974" w:rsidRPr="00DF4C4D" w:rsidRDefault="00000000" w:rsidP="00DF4C4D">
          <w:pPr>
            <w:pStyle w:val="TOC3"/>
            <w:ind w:left="446"/>
            <w:jc w:val="both"/>
            <w:rPr>
              <w:b/>
              <w:bCs/>
              <w:i/>
              <w:iCs/>
            </w:rPr>
          </w:pPr>
        </w:p>
      </w:sdtContent>
    </w:sdt>
    <w:p w14:paraId="4E0EA427" w14:textId="77777777" w:rsidR="00E07974" w:rsidRPr="00DF4C4D" w:rsidRDefault="00E07974" w:rsidP="00DF4C4D">
      <w:pPr>
        <w:jc w:val="both"/>
        <w:rPr>
          <w:b/>
          <w:bCs/>
          <w:i/>
          <w:iCs/>
        </w:rPr>
      </w:pPr>
    </w:p>
    <w:p w14:paraId="2CC80189" w14:textId="77777777" w:rsidR="00E07974" w:rsidRDefault="00E07974" w:rsidP="00E07974">
      <w:pPr>
        <w:rPr>
          <w:b/>
          <w:bCs/>
        </w:rPr>
      </w:pPr>
    </w:p>
    <w:p w14:paraId="7B3C7AAB" w14:textId="77777777" w:rsidR="00E07974" w:rsidRDefault="00E07974" w:rsidP="00E07974">
      <w:pPr>
        <w:rPr>
          <w:b/>
          <w:bCs/>
        </w:rPr>
      </w:pPr>
    </w:p>
    <w:p w14:paraId="21FC3113" w14:textId="77777777" w:rsidR="00E07974" w:rsidRDefault="00E07974" w:rsidP="00E07974">
      <w:pPr>
        <w:rPr>
          <w:b/>
          <w:bCs/>
        </w:rPr>
      </w:pPr>
    </w:p>
    <w:p w14:paraId="2F67B101" w14:textId="77777777" w:rsidR="00E07974" w:rsidRDefault="00E07974" w:rsidP="00E07974">
      <w:pPr>
        <w:rPr>
          <w:b/>
          <w:bCs/>
        </w:rPr>
      </w:pPr>
    </w:p>
    <w:p w14:paraId="2DF3A2F5" w14:textId="77777777" w:rsidR="00E07974" w:rsidRDefault="00E07974" w:rsidP="00E07974">
      <w:pPr>
        <w:rPr>
          <w:b/>
          <w:bCs/>
        </w:rPr>
      </w:pPr>
    </w:p>
    <w:p w14:paraId="26AF6672" w14:textId="77777777" w:rsidR="00E07974" w:rsidRDefault="00E07974" w:rsidP="00E07974">
      <w:pPr>
        <w:rPr>
          <w:b/>
          <w:bCs/>
        </w:rPr>
      </w:pPr>
    </w:p>
    <w:p w14:paraId="5DA0C1DB" w14:textId="77777777" w:rsidR="00E07974" w:rsidRDefault="00E07974" w:rsidP="00E07974">
      <w:pPr>
        <w:rPr>
          <w:b/>
          <w:bCs/>
        </w:rPr>
      </w:pPr>
    </w:p>
    <w:p w14:paraId="726DC6DD" w14:textId="77777777" w:rsidR="00E07974" w:rsidRDefault="00E07974" w:rsidP="00E07974">
      <w:pPr>
        <w:rPr>
          <w:b/>
          <w:bCs/>
        </w:rPr>
      </w:pPr>
    </w:p>
    <w:p w14:paraId="6D6B8EEB" w14:textId="77777777" w:rsidR="00E07974" w:rsidRDefault="00E07974" w:rsidP="00E07974">
      <w:pPr>
        <w:rPr>
          <w:b/>
          <w:bCs/>
        </w:rPr>
      </w:pPr>
    </w:p>
    <w:p w14:paraId="6472F0AB" w14:textId="77777777" w:rsidR="00E07974" w:rsidRDefault="00E07974" w:rsidP="00E07974">
      <w:pPr>
        <w:rPr>
          <w:b/>
          <w:bCs/>
        </w:rPr>
      </w:pPr>
    </w:p>
    <w:p w14:paraId="7A8F9181" w14:textId="77777777" w:rsidR="00E07974" w:rsidRDefault="00E07974" w:rsidP="00E07974">
      <w:pPr>
        <w:rPr>
          <w:b/>
          <w:bCs/>
        </w:rPr>
      </w:pPr>
    </w:p>
    <w:p w14:paraId="2BF5638C" w14:textId="77777777" w:rsidR="00E07974" w:rsidRDefault="00E07974" w:rsidP="00E07974">
      <w:pPr>
        <w:rPr>
          <w:b/>
          <w:bCs/>
        </w:rPr>
      </w:pPr>
    </w:p>
    <w:p w14:paraId="01A39DA4" w14:textId="77777777" w:rsidR="00E07974" w:rsidRDefault="00E07974" w:rsidP="00E07974">
      <w:pPr>
        <w:rPr>
          <w:b/>
          <w:bCs/>
        </w:rPr>
      </w:pPr>
    </w:p>
    <w:p w14:paraId="382F7300" w14:textId="77777777" w:rsidR="00E07974" w:rsidRDefault="00E07974" w:rsidP="00E07974">
      <w:pPr>
        <w:rPr>
          <w:b/>
          <w:bCs/>
        </w:rPr>
      </w:pPr>
    </w:p>
    <w:p w14:paraId="48503420" w14:textId="77777777" w:rsidR="00E07974" w:rsidRDefault="00E07974" w:rsidP="00E07974">
      <w:pPr>
        <w:rPr>
          <w:b/>
          <w:bCs/>
        </w:rPr>
      </w:pPr>
    </w:p>
    <w:p w14:paraId="55FB4794" w14:textId="77777777" w:rsidR="00E07974" w:rsidRDefault="00E07974" w:rsidP="00E07974">
      <w:pPr>
        <w:rPr>
          <w:b/>
          <w:bCs/>
        </w:rPr>
      </w:pPr>
    </w:p>
    <w:p w14:paraId="287AD789" w14:textId="77777777" w:rsidR="00E07974" w:rsidRDefault="00E07974" w:rsidP="00E07974">
      <w:pPr>
        <w:rPr>
          <w:b/>
          <w:bCs/>
        </w:rPr>
      </w:pPr>
    </w:p>
    <w:p w14:paraId="48B0AE32" w14:textId="77777777" w:rsidR="00E07974" w:rsidRDefault="00E07974" w:rsidP="00E07974">
      <w:pPr>
        <w:rPr>
          <w:b/>
          <w:bCs/>
        </w:rPr>
      </w:pPr>
    </w:p>
    <w:p w14:paraId="537A3CAD" w14:textId="77777777" w:rsidR="00E07974" w:rsidRDefault="00E07974" w:rsidP="00E07974">
      <w:pPr>
        <w:rPr>
          <w:b/>
          <w:bCs/>
        </w:rPr>
      </w:pPr>
    </w:p>
    <w:p w14:paraId="528DB452" w14:textId="77777777" w:rsidR="00E07974" w:rsidRDefault="00E07974" w:rsidP="00E07974">
      <w:pPr>
        <w:rPr>
          <w:b/>
          <w:bCs/>
        </w:rPr>
      </w:pPr>
    </w:p>
    <w:p w14:paraId="458BAD39" w14:textId="77777777" w:rsidR="00E07974" w:rsidRDefault="00E07974" w:rsidP="00E07974">
      <w:pPr>
        <w:rPr>
          <w:b/>
          <w:bCs/>
        </w:rPr>
      </w:pPr>
    </w:p>
    <w:p w14:paraId="671292C7" w14:textId="77777777" w:rsidR="007E2477" w:rsidRDefault="007E2477" w:rsidP="00E07974">
      <w:pPr>
        <w:rPr>
          <w:b/>
          <w:bCs/>
        </w:rPr>
      </w:pPr>
    </w:p>
    <w:p w14:paraId="240C4537" w14:textId="137689A8" w:rsidR="00E07974" w:rsidRPr="00E07974" w:rsidRDefault="00E07974" w:rsidP="00E07974">
      <w:pPr>
        <w:jc w:val="both"/>
        <w:rPr>
          <w:rFonts w:ascii="Arial" w:hAnsi="Arial" w:cs="Arial"/>
          <w:sz w:val="22"/>
          <w:szCs w:val="22"/>
        </w:rPr>
      </w:pPr>
      <w:r w:rsidRPr="00E07974">
        <w:rPr>
          <w:rFonts w:ascii="Arial" w:hAnsi="Arial" w:cs="Arial"/>
          <w:b/>
          <w:bCs/>
          <w:sz w:val="22"/>
          <w:szCs w:val="22"/>
        </w:rPr>
        <w:lastRenderedPageBreak/>
        <w:t xml:space="preserve">Introduction </w:t>
      </w:r>
    </w:p>
    <w:p w14:paraId="37ED4ACA" w14:textId="77777777" w:rsidR="007E2477" w:rsidRDefault="007E2477" w:rsidP="00E07974">
      <w:pPr>
        <w:jc w:val="both"/>
        <w:rPr>
          <w:rFonts w:ascii="Arial" w:hAnsi="Arial" w:cs="Arial"/>
          <w:sz w:val="22"/>
          <w:szCs w:val="22"/>
        </w:rPr>
      </w:pPr>
      <w:r w:rsidRPr="00E07974">
        <w:rPr>
          <w:rFonts w:ascii="Arial" w:hAnsi="Arial" w:cs="Arial"/>
          <w:sz w:val="22"/>
          <w:szCs w:val="22"/>
        </w:rPr>
        <w:t>Based</w:t>
      </w:r>
      <w:r>
        <w:rPr>
          <w:rFonts w:ascii="Arial" w:hAnsi="Arial" w:cs="Arial"/>
          <w:sz w:val="22"/>
          <w:szCs w:val="22"/>
        </w:rPr>
        <w:t xml:space="preserve"> </w:t>
      </w:r>
      <w:r w:rsidR="00E07974" w:rsidRPr="00E07974">
        <w:rPr>
          <w:rFonts w:ascii="Arial" w:hAnsi="Arial" w:cs="Arial"/>
          <w:sz w:val="22"/>
          <w:szCs w:val="22"/>
        </w:rPr>
        <w:t xml:space="preserve">on Public attention, social media and adolescent mental health </w:t>
      </w:r>
      <w:proofErr w:type="gramStart"/>
      <w:r w:rsidR="00E07974" w:rsidRPr="00E07974">
        <w:rPr>
          <w:rFonts w:ascii="Arial" w:hAnsi="Arial" w:cs="Arial"/>
          <w:sz w:val="22"/>
          <w:szCs w:val="22"/>
        </w:rPr>
        <w:t>has</w:t>
      </w:r>
      <w:proofErr w:type="gramEnd"/>
      <w:r w:rsidR="00E07974" w:rsidRPr="00E07974">
        <w:rPr>
          <w:rFonts w:ascii="Arial" w:hAnsi="Arial" w:cs="Arial"/>
          <w:sz w:val="22"/>
          <w:szCs w:val="22"/>
        </w:rPr>
        <w:t xml:space="preserve"> intensified significantly in recent years, alongside broader concerns about rising anxiety, low mood and sleep difficulties among young people. The World Health Organization highlights that digital environments are now a core part of adolescent life, with evidence indicating that the most vulnerable adolescents experience negative impacts from technology use, while the relationship between screen time and mental health is bidirectional rather than simply causative (WHO Regional Office for Europe, 2025). In the United Kingdom, longitudinal data from London schools indicates that children using social media for more than three hours daily face elevated risks of depression and anxiety by ages thirteen to fifteen (Imperial College London, 2026).  Investigators gradually emphasise that it is not the quantity of use alone that determines harm, but rather how and why platforms are engaged with. </w:t>
      </w:r>
    </w:p>
    <w:p w14:paraId="04B4AA73" w14:textId="3FB16552" w:rsidR="0048322D" w:rsidRPr="00B649B7" w:rsidRDefault="00B649B7" w:rsidP="00E07974">
      <w:pPr>
        <w:jc w:val="both"/>
        <w:rPr>
          <w:rFonts w:ascii="Arial" w:hAnsi="Arial" w:cs="Arial"/>
          <w:b/>
          <w:bCs/>
          <w:sz w:val="22"/>
          <w:szCs w:val="22"/>
        </w:rPr>
      </w:pPr>
      <w:r w:rsidRPr="00B649B7">
        <w:rPr>
          <w:rFonts w:ascii="Arial" w:hAnsi="Arial" w:cs="Arial"/>
          <w:b/>
          <w:bCs/>
          <w:sz w:val="22"/>
          <w:szCs w:val="22"/>
        </w:rPr>
        <w:t xml:space="preserve">Main body </w:t>
      </w:r>
    </w:p>
    <w:p w14:paraId="62FAB88C" w14:textId="093456A9" w:rsidR="00E07974" w:rsidRPr="00E07974" w:rsidRDefault="00E07974" w:rsidP="00E07974">
      <w:pPr>
        <w:jc w:val="both"/>
        <w:rPr>
          <w:rFonts w:ascii="Arial" w:hAnsi="Arial" w:cs="Arial"/>
          <w:sz w:val="22"/>
          <w:szCs w:val="22"/>
        </w:rPr>
      </w:pPr>
      <w:r w:rsidRPr="00E07974">
        <w:rPr>
          <w:rFonts w:ascii="Arial" w:hAnsi="Arial" w:cs="Arial"/>
          <w:sz w:val="22"/>
          <w:szCs w:val="22"/>
        </w:rPr>
        <w:t>Active social media use, characterised by direct messaging, content creation and reciprocal communication, has been associated with increased feelings of belongingness and co-rumination among peers (Underwood, 2024). Conversely, passive use scrolling through curated content without interaction encourages increasing social comparison, enhances anxiety and contributes to negative self-image (Underwood, 2024). In East London secondary schools, where pupil populations are among the most ethnically diverse and socioeconomically deprived in the country, these dynamics are particularly pronounced. Young people in boroughs often navigate complex cultural identities alongside significant socioeconomic pressures, making the digital environment both a vital social resource and a potential source of psychological risk. This essay will draw upon Erikson's theory of psychosocial development and Bowlby's attachment theory to explain how and why adolescent mental health may be affected by exposure to social media platforms, considering both the protective and harmful dimensions of digital life.</w:t>
      </w:r>
    </w:p>
    <w:p w14:paraId="4786BAC9" w14:textId="47D469C8" w:rsidR="00E07974" w:rsidRPr="00E07974" w:rsidRDefault="00E07974" w:rsidP="00E07974">
      <w:pPr>
        <w:jc w:val="both"/>
        <w:rPr>
          <w:rFonts w:ascii="Arial" w:hAnsi="Arial" w:cs="Arial"/>
          <w:sz w:val="22"/>
          <w:szCs w:val="22"/>
        </w:rPr>
      </w:pPr>
      <w:r w:rsidRPr="00E07974">
        <w:rPr>
          <w:rFonts w:ascii="Arial" w:hAnsi="Arial" w:cs="Arial"/>
          <w:sz w:val="22"/>
          <w:szCs w:val="22"/>
        </w:rPr>
        <w:t xml:space="preserve">The negative impact of social media on adolescent mental health has been well documented, particularly in relation to passive use and harmful content exposure. The Study of Cognition, Adolescents and Mobile Phones (SCAMP), which sampled pupils from thirty-one London schools, found that extended evening use disrupts sleep architecture, with sleep loss serving as the primary mediator between heavy social media use and subsequent depressive symptoms (Imperial College London, 2026). Adolescents who used social media excessively at age eleven or twelve were significantly more likely to report mental health difficulties by ages thirteen and fourteen, suggesting that early patterns of use establish trajectories that are difficult to reverse. Developmental research indicates that younger teenagers may be particularly sensitive to social feedback and online comparison as their confidence and self-esteem are still developing, whereas older adolescents often face pressures connected to relationships and wider social experiences. Beyond sleep disruption, content experience presents a substantial risk. Procedures on platforms such as Instagram and TikTok are designed to maximise engagement, often feeding adolescents content that reinforces idealised superficial </w:t>
      </w:r>
      <w:proofErr w:type="gramStart"/>
      <w:r w:rsidRPr="00E07974">
        <w:rPr>
          <w:rFonts w:ascii="Arial" w:hAnsi="Arial" w:cs="Arial"/>
          <w:sz w:val="22"/>
          <w:szCs w:val="22"/>
        </w:rPr>
        <w:t>identities</w:t>
      </w:r>
      <w:proofErr w:type="gramEnd"/>
      <w:r w:rsidRPr="00E07974">
        <w:rPr>
          <w:rFonts w:ascii="Arial" w:hAnsi="Arial" w:cs="Arial"/>
          <w:sz w:val="22"/>
          <w:szCs w:val="22"/>
        </w:rPr>
        <w:t xml:space="preserve"> or, in more extreme cases, material related to self-harm, disordered eating or misogynistic ideologies (Hopkins Medicine, 2026). For pupils in East London secondary schools, where community resources may be stretched and mental health services oversubscribed, such algorithmic curation can amplify existing vulnerabilities. Cyberbullying and social exclusion further compound these harms. The privacy gave by digital </w:t>
      </w:r>
      <w:r w:rsidRPr="00E07974">
        <w:rPr>
          <w:rFonts w:ascii="Arial" w:hAnsi="Arial" w:cs="Arial"/>
          <w:sz w:val="22"/>
          <w:szCs w:val="22"/>
        </w:rPr>
        <w:lastRenderedPageBreak/>
        <w:t>platforms enables affected harassment, while visible metrics of likes and follower counts create a quantifiable hierarchy of social value that can devastate adolescents with fragile self-esteem (Help Guide, 2026). Passive scrolling through the superficially perfect lives of peers fosters a negative cycle of comparison, leaving young people feeling inadequate, isolated and anxious.</w:t>
      </w:r>
    </w:p>
    <w:p w14:paraId="608EE090" w14:textId="77777777" w:rsidR="00E07974" w:rsidRPr="00E07974" w:rsidRDefault="00E07974" w:rsidP="00E07974">
      <w:pPr>
        <w:jc w:val="both"/>
        <w:rPr>
          <w:rFonts w:ascii="Arial" w:hAnsi="Arial" w:cs="Arial"/>
          <w:sz w:val="22"/>
          <w:szCs w:val="22"/>
        </w:rPr>
      </w:pPr>
      <w:r w:rsidRPr="00E07974">
        <w:rPr>
          <w:rFonts w:ascii="Arial" w:hAnsi="Arial" w:cs="Arial"/>
          <w:sz w:val="22"/>
          <w:szCs w:val="22"/>
        </w:rPr>
        <w:t xml:space="preserve">Erikson's theory of psychosocial development offers a powerful explanatory framework for understanding why social media exerts such a profound influence during adolescence. Erikson (1968) posited that adolescence is defined by the crisis of identity versus role confusion, a stage in which young people must integrate personal values with social expectations to achieve a coherent sense of self. Social media complicates this developmental task by providing what researchers have termed a "digital moratorium," a space for identity experimentation that is simultaneously liberating and constraining (Very well Mind, 2026). On one hand, platforms allow adolescents to explore different facets of their personality, cultural heritage and political beliefs; on the other, the permanence of digital footprints and the pressure to curate a marketable persona can lead to identity foreclosure, in which young people commit to superficial, externally validated identities without genuine exploration. </w:t>
      </w:r>
    </w:p>
    <w:p w14:paraId="16B88864" w14:textId="1FB897A8" w:rsidR="00E07974" w:rsidRPr="00E07974" w:rsidRDefault="00E07974" w:rsidP="00E07974">
      <w:pPr>
        <w:jc w:val="both"/>
        <w:rPr>
          <w:rFonts w:ascii="Arial" w:hAnsi="Arial" w:cs="Arial"/>
          <w:sz w:val="22"/>
          <w:szCs w:val="22"/>
        </w:rPr>
      </w:pPr>
      <w:r w:rsidRPr="00E07974">
        <w:rPr>
          <w:rFonts w:ascii="Arial" w:hAnsi="Arial" w:cs="Arial"/>
          <w:sz w:val="22"/>
          <w:szCs w:val="22"/>
        </w:rPr>
        <w:t xml:space="preserve">Early adolescents aged eleven to fourteen may be especially vulnerable, as online feedback and peer approval can feel particularly important while confidence and self-esteem are still developing. In East London, where secondary school pupils often straddle multiple cultural worlds, the demand to perform a polished, algorithm-friendly identity can create acute role confusion. A young person may feel forced to present a hyper-masculine or hyper-feminised </w:t>
      </w:r>
      <w:r w:rsidR="007E2477" w:rsidRPr="00E07974">
        <w:rPr>
          <w:rFonts w:ascii="Arial" w:hAnsi="Arial" w:cs="Arial"/>
          <w:sz w:val="22"/>
          <w:szCs w:val="22"/>
        </w:rPr>
        <w:t>self-online</w:t>
      </w:r>
      <w:r w:rsidRPr="00E07974">
        <w:rPr>
          <w:rFonts w:ascii="Arial" w:hAnsi="Arial" w:cs="Arial"/>
          <w:sz w:val="22"/>
          <w:szCs w:val="22"/>
        </w:rPr>
        <w:t xml:space="preserve"> that is different with their authentic developing values, generating internal conflict and psychological distress. </w:t>
      </w:r>
      <w:r w:rsidR="007E2477" w:rsidRPr="00E07974">
        <w:rPr>
          <w:rFonts w:ascii="Arial" w:hAnsi="Arial" w:cs="Arial"/>
          <w:sz w:val="22"/>
          <w:szCs w:val="22"/>
        </w:rPr>
        <w:t>Furthermore, social</w:t>
      </w:r>
      <w:r w:rsidRPr="00E07974">
        <w:rPr>
          <w:rFonts w:ascii="Arial" w:hAnsi="Arial" w:cs="Arial"/>
          <w:sz w:val="22"/>
          <w:szCs w:val="22"/>
        </w:rPr>
        <w:t xml:space="preserve"> media rewards immediate feedback through metrics, adolescents may come to depend on external validation for self-confidence, challenging the internal association that Erikson regarded as essential for healthy identity formation.</w:t>
      </w:r>
    </w:p>
    <w:p w14:paraId="40550FDD" w14:textId="285AD4CE" w:rsidR="00E07974" w:rsidRPr="00E07974" w:rsidRDefault="00E07974" w:rsidP="00E07974">
      <w:pPr>
        <w:jc w:val="both"/>
        <w:rPr>
          <w:rFonts w:ascii="Arial" w:hAnsi="Arial" w:cs="Arial"/>
          <w:sz w:val="22"/>
          <w:szCs w:val="22"/>
        </w:rPr>
      </w:pPr>
      <w:r w:rsidRPr="00E07974">
        <w:rPr>
          <w:rFonts w:ascii="Arial" w:hAnsi="Arial" w:cs="Arial"/>
          <w:sz w:val="22"/>
          <w:szCs w:val="22"/>
        </w:rPr>
        <w:t xml:space="preserve">Bowlby's attachment theory provides a complementary lens through which to examine why some adolescents thrive on social media while others experience profound psychological distress. Bowlby (1969) argued that early caregiving experiences create internal working models cognitive frameworks that govern expectations about relationships, emotional regulation and self-worth throughout the lifespan. Adolescents with secure attachment styles typically use social media as an extension of offline friendships, maintaining their secure base while exploring autonomy in the digital realm. For these young people, social media is a tool for sustaining connection rather than a substitute for it. Conversely, adolescents with insecure-anxious attachment may become preoccupied with online validation, interpreting ambiguous interactions such as delayed replies or omitted likes as evidence of rejection (Help Guide, 2026). In East London secondary schools, where family structures are diverse and some adolescents assume significant caregiving responsibilities for younger siblings, inconsistent access to a secure emotional base can amplify the psychological impact of digital peer interactions. A teenager who lacks consistent offline emotional support may seek refuge in parasocial relationships or online communities that, while initially comforting, cannot provide the reciprocal, attuned care necessary for secure development. Bowlby's concept of the secure base thus helps explain why the same platform can be a cause of resilience for one adolescent and </w:t>
      </w:r>
      <w:r w:rsidR="007E2477" w:rsidRPr="00E07974">
        <w:rPr>
          <w:rFonts w:ascii="Arial" w:hAnsi="Arial" w:cs="Arial"/>
          <w:sz w:val="22"/>
          <w:szCs w:val="22"/>
        </w:rPr>
        <w:t>an</w:t>
      </w:r>
      <w:r w:rsidRPr="00E07974">
        <w:rPr>
          <w:rFonts w:ascii="Arial" w:hAnsi="Arial" w:cs="Arial"/>
          <w:sz w:val="22"/>
          <w:szCs w:val="22"/>
        </w:rPr>
        <w:t xml:space="preserve"> initiate for anxiety for another.</w:t>
      </w:r>
    </w:p>
    <w:p w14:paraId="1A4E5938" w14:textId="075F56EA" w:rsidR="00E07974" w:rsidRPr="00E07974" w:rsidRDefault="00E07974" w:rsidP="00E07974">
      <w:pPr>
        <w:jc w:val="both"/>
        <w:rPr>
          <w:rFonts w:ascii="Arial" w:hAnsi="Arial" w:cs="Arial"/>
          <w:sz w:val="22"/>
          <w:szCs w:val="22"/>
        </w:rPr>
      </w:pPr>
      <w:r w:rsidRPr="00E07974">
        <w:rPr>
          <w:rFonts w:ascii="Arial" w:hAnsi="Arial" w:cs="Arial"/>
          <w:sz w:val="22"/>
          <w:szCs w:val="22"/>
        </w:rPr>
        <w:lastRenderedPageBreak/>
        <w:t xml:space="preserve">While much discourse focuses on risk, social media also serves protective functions for adolescent mental health, particularly when use is active rather than passive. Active engagement participating in group conversations, creating content or joining interest-based communities can enhance feelings of belongingness and provide vital peer support for marginalised groups, </w:t>
      </w:r>
      <w:r w:rsidR="007E2477" w:rsidRPr="00E07974">
        <w:rPr>
          <w:rFonts w:ascii="Arial" w:hAnsi="Arial" w:cs="Arial"/>
          <w:sz w:val="22"/>
          <w:szCs w:val="22"/>
        </w:rPr>
        <w:t>including those</w:t>
      </w:r>
      <w:r w:rsidR="007E2477">
        <w:rPr>
          <w:rFonts w:ascii="Arial" w:hAnsi="Arial" w:cs="Arial"/>
          <w:sz w:val="22"/>
          <w:szCs w:val="22"/>
        </w:rPr>
        <w:t xml:space="preserve"> </w:t>
      </w:r>
      <w:r w:rsidRPr="00E07974">
        <w:rPr>
          <w:rFonts w:ascii="Arial" w:hAnsi="Arial" w:cs="Arial"/>
          <w:sz w:val="22"/>
          <w:szCs w:val="22"/>
        </w:rPr>
        <w:t>with neurodevelopmental differences (Underwood, 2024). In East London secondary schools, where pupil populations reflect extraordinary ethnic and linguistic diversity, platforms such as WhatsApp and Instagram enable young people to maintain transnational family ties and explore cultural identities that may be underrepresented in the mainstream curriculum. Nevertheless, the socioeconomic context of many East London boroughs cannot be ignored; where extracurricular opportunities are limited by deprivation, adolescents may depend disproportionately on digital spaces for social connection. The UK government's proposed ban on social media for under-sixteens, building on the Online Safety Act 2023 and anticipated to take effect from spring 2027 with Ofcom responsible for enforcement, has been promoted as a protective measure. However, over forty child protection charities have warned that such a ban risk creating a "dangerous cliff-edge" at age sixteen and could strip vulnerable adolescents of digital support networks without addressing the underlying algorithmic harms (Parliament.uk, 2026; Mental Health UK, 2026). The WHO has similarly cautioned that digital literacy education remains inadequate in many countries and that adolescents should be equipped to rule social media rather than be ruled by it (WHO Regional Office for Europe, 2024). Critics argue that prohibition fails to recognise that for many young people, particularly those in underserved communities, social media is not an escape from reality but a constitutive part of their social infrastructure.</w:t>
      </w:r>
    </w:p>
    <w:p w14:paraId="2C5F8E4C" w14:textId="77777777" w:rsidR="00E07974" w:rsidRPr="00E07974" w:rsidRDefault="00E07974" w:rsidP="00E07974">
      <w:pPr>
        <w:jc w:val="both"/>
        <w:rPr>
          <w:rFonts w:ascii="Arial" w:hAnsi="Arial" w:cs="Arial"/>
          <w:sz w:val="22"/>
          <w:szCs w:val="22"/>
        </w:rPr>
      </w:pPr>
    </w:p>
    <w:p w14:paraId="46498653" w14:textId="77777777" w:rsidR="00E07974" w:rsidRPr="00E07974" w:rsidRDefault="00E07974" w:rsidP="00E07974">
      <w:pPr>
        <w:jc w:val="both"/>
        <w:rPr>
          <w:rFonts w:ascii="Arial" w:hAnsi="Arial" w:cs="Arial"/>
          <w:sz w:val="22"/>
          <w:szCs w:val="22"/>
        </w:rPr>
      </w:pPr>
    </w:p>
    <w:p w14:paraId="5BCEEE63" w14:textId="41932D9C" w:rsidR="00E07974" w:rsidRPr="00E07974" w:rsidRDefault="00E07974" w:rsidP="00E07974">
      <w:pPr>
        <w:jc w:val="both"/>
        <w:rPr>
          <w:rFonts w:ascii="Arial" w:hAnsi="Arial" w:cs="Arial"/>
          <w:b/>
          <w:bCs/>
          <w:sz w:val="22"/>
          <w:szCs w:val="22"/>
        </w:rPr>
      </w:pPr>
      <w:r w:rsidRPr="00E07974">
        <w:rPr>
          <w:rFonts w:ascii="Arial" w:hAnsi="Arial" w:cs="Arial"/>
          <w:b/>
          <w:bCs/>
          <w:sz w:val="22"/>
          <w:szCs w:val="22"/>
        </w:rPr>
        <w:t>Conclusion</w:t>
      </w:r>
    </w:p>
    <w:p w14:paraId="4AC17B35" w14:textId="68E2B1E1" w:rsidR="00E07974" w:rsidRPr="00E07974" w:rsidRDefault="00E07974" w:rsidP="00E07974">
      <w:pPr>
        <w:jc w:val="both"/>
        <w:rPr>
          <w:rFonts w:ascii="Arial" w:hAnsi="Arial" w:cs="Arial"/>
          <w:sz w:val="22"/>
          <w:szCs w:val="22"/>
        </w:rPr>
      </w:pPr>
      <w:r w:rsidRPr="00E07974">
        <w:rPr>
          <w:rFonts w:ascii="Arial" w:hAnsi="Arial" w:cs="Arial"/>
          <w:sz w:val="22"/>
          <w:szCs w:val="22"/>
        </w:rPr>
        <w:t>In conclusion, the impact of social media on adolescent mental health cannot be reduced to a simple causative equation in which screen time equals harm. Through the frameworks of Erikson's identity versus role confusion and Bowlby's attachment theory, it becomes evident that social media amplifies pre-existing developmental vulnerabilities while also offering avenues for identity exploration and relational connection. The proposed UK ban on social media for under-sixteens, though politically prominent, represents a blunt instrument that fails to distinguish between active and passive use, between supportive communities and harmful content exposure. For adolescents in East London secondary schools, a more evidence-informed approach lies in promoting digital literacy, improving sleep hygiene and recognising that mental health outcomes are shaped not by the technology itself but by the developmental needs, attachment histories and socioeconomic contexts of the young people who use it.</w:t>
      </w:r>
    </w:p>
    <w:p w14:paraId="24D548F9" w14:textId="77777777" w:rsidR="00E07974" w:rsidRPr="00E07974" w:rsidRDefault="00E07974" w:rsidP="00E07974">
      <w:pPr>
        <w:jc w:val="both"/>
        <w:rPr>
          <w:rFonts w:ascii="Arial" w:hAnsi="Arial" w:cs="Arial"/>
          <w:sz w:val="22"/>
          <w:szCs w:val="22"/>
        </w:rPr>
      </w:pPr>
    </w:p>
    <w:p w14:paraId="080B60B5" w14:textId="77777777" w:rsidR="00E07974" w:rsidRPr="00E07974" w:rsidRDefault="00E07974" w:rsidP="00E07974">
      <w:pPr>
        <w:jc w:val="both"/>
        <w:rPr>
          <w:rFonts w:ascii="Arial" w:hAnsi="Arial" w:cs="Arial"/>
          <w:sz w:val="22"/>
          <w:szCs w:val="22"/>
        </w:rPr>
      </w:pPr>
    </w:p>
    <w:p w14:paraId="39A7C4DB" w14:textId="77777777" w:rsidR="00E07974" w:rsidRPr="00E07974" w:rsidRDefault="00E07974" w:rsidP="00E07974">
      <w:pPr>
        <w:jc w:val="both"/>
        <w:rPr>
          <w:rFonts w:ascii="Arial" w:hAnsi="Arial" w:cs="Arial"/>
          <w:sz w:val="22"/>
          <w:szCs w:val="22"/>
        </w:rPr>
      </w:pPr>
    </w:p>
    <w:p w14:paraId="1C741565" w14:textId="77777777" w:rsidR="00E07974" w:rsidRPr="00E07974" w:rsidRDefault="00E07974" w:rsidP="00E07974">
      <w:pPr>
        <w:jc w:val="both"/>
        <w:rPr>
          <w:rFonts w:ascii="Arial" w:hAnsi="Arial" w:cs="Arial"/>
          <w:sz w:val="22"/>
          <w:szCs w:val="22"/>
        </w:rPr>
      </w:pPr>
    </w:p>
    <w:p w14:paraId="4F53D35B" w14:textId="77777777" w:rsidR="00E07974" w:rsidRPr="00E07974" w:rsidRDefault="00E07974" w:rsidP="00E07974">
      <w:pPr>
        <w:jc w:val="both"/>
        <w:rPr>
          <w:rFonts w:ascii="Arial" w:hAnsi="Arial" w:cs="Arial"/>
          <w:sz w:val="22"/>
          <w:szCs w:val="22"/>
        </w:rPr>
      </w:pPr>
    </w:p>
    <w:p w14:paraId="687FC580" w14:textId="77777777" w:rsidR="007E2477" w:rsidRPr="00E07974" w:rsidRDefault="007E2477" w:rsidP="00E07974">
      <w:pPr>
        <w:jc w:val="both"/>
        <w:rPr>
          <w:rFonts w:ascii="Arial" w:hAnsi="Arial" w:cs="Arial"/>
          <w:sz w:val="22"/>
          <w:szCs w:val="22"/>
        </w:rPr>
      </w:pPr>
    </w:p>
    <w:p w14:paraId="26EB0ADD" w14:textId="2A0CAC1E" w:rsidR="00E07974" w:rsidRPr="00E07974" w:rsidRDefault="00E07974" w:rsidP="00E07974">
      <w:pPr>
        <w:jc w:val="both"/>
        <w:rPr>
          <w:rFonts w:ascii="Arial" w:hAnsi="Arial" w:cs="Arial"/>
          <w:b/>
          <w:bCs/>
          <w:sz w:val="22"/>
          <w:szCs w:val="22"/>
        </w:rPr>
      </w:pPr>
      <w:r w:rsidRPr="00E07974">
        <w:rPr>
          <w:rFonts w:ascii="Arial" w:hAnsi="Arial" w:cs="Arial"/>
          <w:b/>
          <w:bCs/>
          <w:sz w:val="22"/>
          <w:szCs w:val="22"/>
        </w:rPr>
        <w:lastRenderedPageBreak/>
        <w:t xml:space="preserve">Reference </w:t>
      </w:r>
    </w:p>
    <w:p w14:paraId="220C8359" w14:textId="77777777" w:rsidR="00E07974" w:rsidRPr="00E07974" w:rsidRDefault="00E07974" w:rsidP="007E2477">
      <w:pPr>
        <w:rPr>
          <w:rFonts w:ascii="Arial" w:hAnsi="Arial" w:cs="Arial"/>
          <w:sz w:val="22"/>
          <w:szCs w:val="22"/>
        </w:rPr>
      </w:pPr>
      <w:r w:rsidRPr="00E07974">
        <w:rPr>
          <w:rFonts w:ascii="Arial" w:hAnsi="Arial" w:cs="Arial"/>
          <w:sz w:val="22"/>
          <w:szCs w:val="22"/>
        </w:rPr>
        <w:t xml:space="preserve">Bowlby, J. (1969) </w:t>
      </w:r>
      <w:r w:rsidRPr="00E07974">
        <w:rPr>
          <w:rFonts w:ascii="Arial" w:hAnsi="Arial" w:cs="Arial"/>
          <w:i/>
          <w:iCs/>
          <w:sz w:val="22"/>
          <w:szCs w:val="22"/>
        </w:rPr>
        <w:t>Attachment and Loss: Vol. 1. Attachment</w:t>
      </w:r>
      <w:r w:rsidRPr="00E07974">
        <w:rPr>
          <w:rFonts w:ascii="Arial" w:hAnsi="Arial" w:cs="Arial"/>
          <w:sz w:val="22"/>
          <w:szCs w:val="22"/>
        </w:rPr>
        <w:t>. London: Hogarth Press.</w:t>
      </w:r>
    </w:p>
    <w:p w14:paraId="5517B69C" w14:textId="77777777" w:rsidR="00E07974" w:rsidRPr="00E07974" w:rsidRDefault="00E07974" w:rsidP="007E2477">
      <w:pPr>
        <w:rPr>
          <w:rFonts w:ascii="Arial" w:hAnsi="Arial" w:cs="Arial"/>
          <w:sz w:val="22"/>
          <w:szCs w:val="22"/>
        </w:rPr>
      </w:pPr>
      <w:r w:rsidRPr="00E07974">
        <w:rPr>
          <w:rFonts w:ascii="Arial" w:hAnsi="Arial" w:cs="Arial"/>
          <w:sz w:val="22"/>
          <w:szCs w:val="22"/>
        </w:rPr>
        <w:t xml:space="preserve">Erikson, E.H. (1968) </w:t>
      </w:r>
      <w:r w:rsidRPr="00E07974">
        <w:rPr>
          <w:rFonts w:ascii="Arial" w:hAnsi="Arial" w:cs="Arial"/>
          <w:i/>
          <w:iCs/>
          <w:sz w:val="22"/>
          <w:szCs w:val="22"/>
        </w:rPr>
        <w:t>Identity: Youth and Crisis</w:t>
      </w:r>
      <w:r w:rsidRPr="00E07974">
        <w:rPr>
          <w:rFonts w:ascii="Arial" w:hAnsi="Arial" w:cs="Arial"/>
          <w:sz w:val="22"/>
          <w:szCs w:val="22"/>
        </w:rPr>
        <w:t>. New York: W.W. Norton.</w:t>
      </w:r>
    </w:p>
    <w:p w14:paraId="09C5713E" w14:textId="77777777" w:rsidR="00E07974" w:rsidRPr="00E07974" w:rsidRDefault="00E07974" w:rsidP="007E2477">
      <w:pPr>
        <w:rPr>
          <w:rFonts w:ascii="Arial" w:hAnsi="Arial" w:cs="Arial"/>
          <w:sz w:val="22"/>
          <w:szCs w:val="22"/>
        </w:rPr>
      </w:pPr>
      <w:proofErr w:type="spellStart"/>
      <w:r w:rsidRPr="00E07974">
        <w:rPr>
          <w:rFonts w:ascii="Arial" w:hAnsi="Arial" w:cs="Arial"/>
          <w:sz w:val="22"/>
          <w:szCs w:val="22"/>
        </w:rPr>
        <w:t>HelpGuide</w:t>
      </w:r>
      <w:proofErr w:type="spellEnd"/>
      <w:r w:rsidRPr="00E07974">
        <w:rPr>
          <w:rFonts w:ascii="Arial" w:hAnsi="Arial" w:cs="Arial"/>
          <w:sz w:val="22"/>
          <w:szCs w:val="22"/>
        </w:rPr>
        <w:t xml:space="preserve"> (2026) </w:t>
      </w:r>
      <w:r w:rsidRPr="00E07974">
        <w:rPr>
          <w:rFonts w:ascii="Arial" w:hAnsi="Arial" w:cs="Arial"/>
          <w:i/>
          <w:iCs/>
          <w:sz w:val="22"/>
          <w:szCs w:val="22"/>
        </w:rPr>
        <w:t>Social Media and Mental Health</w:t>
      </w:r>
      <w:r w:rsidRPr="00E07974">
        <w:rPr>
          <w:rFonts w:ascii="Arial" w:hAnsi="Arial" w:cs="Arial"/>
          <w:sz w:val="22"/>
          <w:szCs w:val="22"/>
        </w:rPr>
        <w:t xml:space="preserve">. Available at: </w:t>
      </w:r>
      <w:hyperlink r:id="rId7" w:tgtFrame="_blank" w:history="1">
        <w:r w:rsidRPr="00E07974">
          <w:rPr>
            <w:rStyle w:val="Hyperlink"/>
            <w:rFonts w:ascii="Arial" w:hAnsi="Arial" w:cs="Arial"/>
            <w:sz w:val="22"/>
            <w:szCs w:val="22"/>
          </w:rPr>
          <w:t>https://www.helpguide.org/mental-health/wellbeing/social-media-and-mental-health</w:t>
        </w:r>
      </w:hyperlink>
      <w:r w:rsidRPr="00E07974">
        <w:rPr>
          <w:rFonts w:ascii="Arial" w:hAnsi="Arial" w:cs="Arial"/>
          <w:sz w:val="22"/>
          <w:szCs w:val="22"/>
        </w:rPr>
        <w:t xml:space="preserve"> (Accessed: 14 August 2026).</w:t>
      </w:r>
    </w:p>
    <w:p w14:paraId="76960095" w14:textId="77777777" w:rsidR="00E07974" w:rsidRPr="00E07974" w:rsidRDefault="00E07974" w:rsidP="007E2477">
      <w:pPr>
        <w:rPr>
          <w:rFonts w:ascii="Arial" w:hAnsi="Arial" w:cs="Arial"/>
          <w:sz w:val="22"/>
          <w:szCs w:val="22"/>
        </w:rPr>
      </w:pPr>
      <w:r w:rsidRPr="00E07974">
        <w:rPr>
          <w:rFonts w:ascii="Arial" w:hAnsi="Arial" w:cs="Arial"/>
          <w:sz w:val="22"/>
          <w:szCs w:val="22"/>
        </w:rPr>
        <w:t xml:space="preserve">Hopkins Medicine (2026) </w:t>
      </w:r>
      <w:r w:rsidRPr="00E07974">
        <w:rPr>
          <w:rFonts w:ascii="Arial" w:hAnsi="Arial" w:cs="Arial"/>
          <w:i/>
          <w:iCs/>
          <w:sz w:val="22"/>
          <w:szCs w:val="22"/>
        </w:rPr>
        <w:t>Social Media and Mental Health Among Children and Teens</w:t>
      </w:r>
      <w:r w:rsidRPr="00E07974">
        <w:rPr>
          <w:rFonts w:ascii="Arial" w:hAnsi="Arial" w:cs="Arial"/>
          <w:sz w:val="22"/>
          <w:szCs w:val="22"/>
        </w:rPr>
        <w:t xml:space="preserve">. Available at: </w:t>
      </w:r>
      <w:hyperlink r:id="rId8" w:tgtFrame="_blank" w:history="1">
        <w:r w:rsidRPr="00E07974">
          <w:rPr>
            <w:rStyle w:val="Hyperlink"/>
            <w:rFonts w:ascii="Arial" w:hAnsi="Arial" w:cs="Arial"/>
            <w:sz w:val="22"/>
            <w:szCs w:val="22"/>
          </w:rPr>
          <w:t>https://www.hopkinsmedicine.org/health/expert-qa/social-media-and-mental-health-in-children-and-teens</w:t>
        </w:r>
      </w:hyperlink>
      <w:r w:rsidRPr="00E07974">
        <w:rPr>
          <w:rFonts w:ascii="Arial" w:hAnsi="Arial" w:cs="Arial"/>
          <w:sz w:val="22"/>
          <w:szCs w:val="22"/>
        </w:rPr>
        <w:t xml:space="preserve"> (Accessed: 14 August 2026).</w:t>
      </w:r>
    </w:p>
    <w:p w14:paraId="73A142A5" w14:textId="77777777" w:rsidR="00E07974" w:rsidRPr="00E07974" w:rsidRDefault="00E07974" w:rsidP="007E2477">
      <w:pPr>
        <w:rPr>
          <w:rFonts w:ascii="Arial" w:hAnsi="Arial" w:cs="Arial"/>
          <w:sz w:val="22"/>
          <w:szCs w:val="22"/>
        </w:rPr>
      </w:pPr>
      <w:r w:rsidRPr="00E07974">
        <w:rPr>
          <w:rFonts w:ascii="Arial" w:hAnsi="Arial" w:cs="Arial"/>
          <w:sz w:val="22"/>
          <w:szCs w:val="22"/>
        </w:rPr>
        <w:t xml:space="preserve">Imperial College London (2026) </w:t>
      </w:r>
      <w:r w:rsidRPr="00E07974">
        <w:rPr>
          <w:rFonts w:ascii="Arial" w:hAnsi="Arial" w:cs="Arial"/>
          <w:i/>
          <w:iCs/>
          <w:sz w:val="22"/>
          <w:szCs w:val="22"/>
        </w:rPr>
        <w:t>Children's Extended Social Media Use Linked to Increased Depression and Anxiety</w:t>
      </w:r>
      <w:r w:rsidRPr="00E07974">
        <w:rPr>
          <w:rFonts w:ascii="Arial" w:hAnsi="Arial" w:cs="Arial"/>
          <w:sz w:val="22"/>
          <w:szCs w:val="22"/>
        </w:rPr>
        <w:t xml:space="preserve">. Available at: </w:t>
      </w:r>
      <w:hyperlink r:id="rId9" w:tgtFrame="_blank" w:history="1">
        <w:r w:rsidRPr="00E07974">
          <w:rPr>
            <w:rStyle w:val="Hyperlink"/>
            <w:rFonts w:ascii="Arial" w:hAnsi="Arial" w:cs="Arial"/>
            <w:sz w:val="22"/>
            <w:szCs w:val="22"/>
          </w:rPr>
          <w:t>https://www.imperial.ac.uk/news/articles/2026/childrens-extended-social-media-use-linked-to-increased-depression-and-anxiety-/</w:t>
        </w:r>
      </w:hyperlink>
      <w:r w:rsidRPr="00E07974">
        <w:rPr>
          <w:rFonts w:ascii="Arial" w:hAnsi="Arial" w:cs="Arial"/>
          <w:sz w:val="22"/>
          <w:szCs w:val="22"/>
        </w:rPr>
        <w:t xml:space="preserve"> (Accessed: 14 August 2026).</w:t>
      </w:r>
    </w:p>
    <w:p w14:paraId="0C86B126" w14:textId="77777777" w:rsidR="00E07974" w:rsidRPr="00E07974" w:rsidRDefault="00E07974" w:rsidP="007E2477">
      <w:pPr>
        <w:rPr>
          <w:rFonts w:ascii="Arial" w:hAnsi="Arial" w:cs="Arial"/>
          <w:sz w:val="22"/>
          <w:szCs w:val="22"/>
        </w:rPr>
      </w:pPr>
      <w:r w:rsidRPr="00E07974">
        <w:rPr>
          <w:rFonts w:ascii="Arial" w:hAnsi="Arial" w:cs="Arial"/>
          <w:sz w:val="22"/>
          <w:szCs w:val="22"/>
        </w:rPr>
        <w:t xml:space="preserve">Mental Health UK (2026) </w:t>
      </w:r>
      <w:r w:rsidRPr="00E07974">
        <w:rPr>
          <w:rFonts w:ascii="Arial" w:hAnsi="Arial" w:cs="Arial"/>
          <w:i/>
          <w:iCs/>
          <w:sz w:val="22"/>
          <w:szCs w:val="22"/>
        </w:rPr>
        <w:t>Social Media Ban for Under-16s is a Critical First Step</w:t>
      </w:r>
      <w:r w:rsidRPr="00E07974">
        <w:rPr>
          <w:rFonts w:ascii="Arial" w:hAnsi="Arial" w:cs="Arial"/>
          <w:sz w:val="22"/>
          <w:szCs w:val="22"/>
        </w:rPr>
        <w:t xml:space="preserve">. Available at: </w:t>
      </w:r>
      <w:hyperlink r:id="rId10" w:tgtFrame="_blank" w:history="1">
        <w:r w:rsidRPr="00E07974">
          <w:rPr>
            <w:rStyle w:val="Hyperlink"/>
            <w:rFonts w:ascii="Arial" w:hAnsi="Arial" w:cs="Arial"/>
            <w:sz w:val="22"/>
            <w:szCs w:val="22"/>
          </w:rPr>
          <w:t>https://mentalhealth-uk.org/news-and-insights/social-media-ban-for-under-16s-is-a-critical-first-step/</w:t>
        </w:r>
      </w:hyperlink>
      <w:r w:rsidRPr="00E07974">
        <w:rPr>
          <w:rFonts w:ascii="Arial" w:hAnsi="Arial" w:cs="Arial"/>
          <w:sz w:val="22"/>
          <w:szCs w:val="22"/>
        </w:rPr>
        <w:t xml:space="preserve"> (Accessed: 14 August 2026).</w:t>
      </w:r>
    </w:p>
    <w:p w14:paraId="2646C65D" w14:textId="77777777" w:rsidR="00E07974" w:rsidRPr="00E07974" w:rsidRDefault="00E07974" w:rsidP="007E2477">
      <w:pPr>
        <w:rPr>
          <w:rFonts w:ascii="Arial" w:hAnsi="Arial" w:cs="Arial"/>
          <w:sz w:val="22"/>
          <w:szCs w:val="22"/>
        </w:rPr>
      </w:pPr>
      <w:r w:rsidRPr="00E07974">
        <w:rPr>
          <w:rFonts w:ascii="Arial" w:hAnsi="Arial" w:cs="Arial"/>
          <w:sz w:val="22"/>
          <w:szCs w:val="22"/>
        </w:rPr>
        <w:t xml:space="preserve">Parliament.uk (2026) </w:t>
      </w:r>
      <w:r w:rsidRPr="00E07974">
        <w:rPr>
          <w:rFonts w:ascii="Arial" w:hAnsi="Arial" w:cs="Arial"/>
          <w:i/>
          <w:iCs/>
          <w:sz w:val="22"/>
          <w:szCs w:val="22"/>
        </w:rPr>
        <w:t>Proposals to Ban Social Media for Children</w:t>
      </w:r>
      <w:r w:rsidRPr="00E07974">
        <w:rPr>
          <w:rFonts w:ascii="Arial" w:hAnsi="Arial" w:cs="Arial"/>
          <w:sz w:val="22"/>
          <w:szCs w:val="22"/>
        </w:rPr>
        <w:t xml:space="preserve"> (CBP-10468). Available at: </w:t>
      </w:r>
      <w:hyperlink r:id="rId11" w:tgtFrame="_blank" w:history="1">
        <w:r w:rsidRPr="00E07974">
          <w:rPr>
            <w:rStyle w:val="Hyperlink"/>
            <w:rFonts w:ascii="Arial" w:hAnsi="Arial" w:cs="Arial"/>
            <w:sz w:val="22"/>
            <w:szCs w:val="22"/>
          </w:rPr>
          <w:t>https://researchbriefings.files.parliament.uk/documents/CBP-10468/CBP-10468.pdf</w:t>
        </w:r>
      </w:hyperlink>
      <w:r w:rsidRPr="00E07974">
        <w:rPr>
          <w:rFonts w:ascii="Arial" w:hAnsi="Arial" w:cs="Arial"/>
          <w:sz w:val="22"/>
          <w:szCs w:val="22"/>
        </w:rPr>
        <w:t xml:space="preserve"> (Accessed: 14 August 2026).</w:t>
      </w:r>
    </w:p>
    <w:p w14:paraId="0434A32C" w14:textId="77777777" w:rsidR="00E07974" w:rsidRPr="00E07974" w:rsidRDefault="00E07974" w:rsidP="007E2477">
      <w:pPr>
        <w:rPr>
          <w:rFonts w:ascii="Arial" w:hAnsi="Arial" w:cs="Arial"/>
          <w:sz w:val="22"/>
          <w:szCs w:val="22"/>
        </w:rPr>
      </w:pPr>
      <w:r w:rsidRPr="00E07974">
        <w:rPr>
          <w:rFonts w:ascii="Arial" w:hAnsi="Arial" w:cs="Arial"/>
          <w:sz w:val="22"/>
          <w:szCs w:val="22"/>
        </w:rPr>
        <w:t xml:space="preserve">Underwood, L. (2024) </w:t>
      </w:r>
      <w:r w:rsidRPr="00E07974">
        <w:rPr>
          <w:rFonts w:ascii="Arial" w:hAnsi="Arial" w:cs="Arial"/>
          <w:i/>
          <w:iCs/>
          <w:sz w:val="22"/>
          <w:szCs w:val="22"/>
        </w:rPr>
        <w:t>Difference Between the Impact of Active Social Media Use and Passive Social Media Use on Adolescent Mental Health</w:t>
      </w:r>
      <w:r w:rsidRPr="00E07974">
        <w:rPr>
          <w:rFonts w:ascii="Arial" w:hAnsi="Arial" w:cs="Arial"/>
          <w:sz w:val="22"/>
          <w:szCs w:val="22"/>
        </w:rPr>
        <w:t xml:space="preserve">. Undergraduate thesis, University of Arkansas. Available at: </w:t>
      </w:r>
      <w:hyperlink r:id="rId12" w:tgtFrame="_blank" w:history="1">
        <w:r w:rsidRPr="00E07974">
          <w:rPr>
            <w:rStyle w:val="Hyperlink"/>
            <w:rFonts w:ascii="Arial" w:hAnsi="Arial" w:cs="Arial"/>
            <w:sz w:val="22"/>
            <w:szCs w:val="22"/>
          </w:rPr>
          <w:t>https://scholarworks.uark.edu/nursuht/211</w:t>
        </w:r>
      </w:hyperlink>
      <w:r w:rsidRPr="00E07974">
        <w:rPr>
          <w:rFonts w:ascii="Arial" w:hAnsi="Arial" w:cs="Arial"/>
          <w:sz w:val="22"/>
          <w:szCs w:val="22"/>
        </w:rPr>
        <w:t xml:space="preserve"> (Accessed: 14 August 2026).</w:t>
      </w:r>
    </w:p>
    <w:p w14:paraId="72648A1A" w14:textId="77777777" w:rsidR="00E07974" w:rsidRPr="00E07974" w:rsidRDefault="00E07974" w:rsidP="007E2477">
      <w:pPr>
        <w:rPr>
          <w:rFonts w:ascii="Arial" w:hAnsi="Arial" w:cs="Arial"/>
          <w:sz w:val="22"/>
          <w:szCs w:val="22"/>
        </w:rPr>
      </w:pPr>
      <w:proofErr w:type="spellStart"/>
      <w:r w:rsidRPr="00E07974">
        <w:rPr>
          <w:rFonts w:ascii="Arial" w:hAnsi="Arial" w:cs="Arial"/>
          <w:sz w:val="22"/>
          <w:szCs w:val="22"/>
        </w:rPr>
        <w:t>Verywell</w:t>
      </w:r>
      <w:proofErr w:type="spellEnd"/>
      <w:r w:rsidRPr="00E07974">
        <w:rPr>
          <w:rFonts w:ascii="Arial" w:hAnsi="Arial" w:cs="Arial"/>
          <w:sz w:val="22"/>
          <w:szCs w:val="22"/>
        </w:rPr>
        <w:t xml:space="preserve"> Mind (2026) </w:t>
      </w:r>
      <w:r w:rsidRPr="00E07974">
        <w:rPr>
          <w:rFonts w:ascii="Arial" w:hAnsi="Arial" w:cs="Arial"/>
          <w:i/>
          <w:iCs/>
          <w:sz w:val="22"/>
          <w:szCs w:val="22"/>
        </w:rPr>
        <w:t>Identity vs. Role Confusion in Psychosocial Development</w:t>
      </w:r>
      <w:r w:rsidRPr="00E07974">
        <w:rPr>
          <w:rFonts w:ascii="Arial" w:hAnsi="Arial" w:cs="Arial"/>
          <w:sz w:val="22"/>
          <w:szCs w:val="22"/>
        </w:rPr>
        <w:t xml:space="preserve">. Available at: </w:t>
      </w:r>
      <w:hyperlink r:id="rId13" w:tgtFrame="_blank" w:history="1">
        <w:r w:rsidRPr="00E07974">
          <w:rPr>
            <w:rStyle w:val="Hyperlink"/>
            <w:rFonts w:ascii="Arial" w:hAnsi="Arial" w:cs="Arial"/>
            <w:sz w:val="22"/>
            <w:szCs w:val="22"/>
          </w:rPr>
          <w:t>https://www.verywellmind.com/identity-versus-confusion-2795735</w:t>
        </w:r>
      </w:hyperlink>
      <w:r w:rsidRPr="00E07974">
        <w:rPr>
          <w:rFonts w:ascii="Arial" w:hAnsi="Arial" w:cs="Arial"/>
          <w:sz w:val="22"/>
          <w:szCs w:val="22"/>
        </w:rPr>
        <w:t xml:space="preserve"> (Accessed: 14 August 2026).</w:t>
      </w:r>
    </w:p>
    <w:p w14:paraId="1612ED5A" w14:textId="77777777" w:rsidR="00E07974" w:rsidRPr="00E07974" w:rsidRDefault="00E07974" w:rsidP="007E2477">
      <w:pPr>
        <w:rPr>
          <w:rFonts w:ascii="Arial" w:hAnsi="Arial" w:cs="Arial"/>
          <w:sz w:val="22"/>
          <w:szCs w:val="22"/>
        </w:rPr>
      </w:pPr>
      <w:r w:rsidRPr="00E07974">
        <w:rPr>
          <w:rFonts w:ascii="Arial" w:hAnsi="Arial" w:cs="Arial"/>
          <w:sz w:val="22"/>
          <w:szCs w:val="22"/>
        </w:rPr>
        <w:t xml:space="preserve">WHO Regional Office for Europe (2024) </w:t>
      </w:r>
      <w:r w:rsidRPr="00E07974">
        <w:rPr>
          <w:rFonts w:ascii="Arial" w:hAnsi="Arial" w:cs="Arial"/>
          <w:i/>
          <w:iCs/>
          <w:sz w:val="22"/>
          <w:szCs w:val="22"/>
        </w:rPr>
        <w:t>Teens, screens and mental health</w:t>
      </w:r>
      <w:r w:rsidRPr="00E07974">
        <w:rPr>
          <w:rFonts w:ascii="Arial" w:hAnsi="Arial" w:cs="Arial"/>
          <w:sz w:val="22"/>
          <w:szCs w:val="22"/>
        </w:rPr>
        <w:t xml:space="preserve">. Available at: </w:t>
      </w:r>
      <w:hyperlink r:id="rId14" w:tgtFrame="_blank" w:history="1">
        <w:r w:rsidRPr="00E07974">
          <w:rPr>
            <w:rStyle w:val="Hyperlink"/>
            <w:rFonts w:ascii="Arial" w:hAnsi="Arial" w:cs="Arial"/>
            <w:sz w:val="22"/>
            <w:szCs w:val="22"/>
          </w:rPr>
          <w:t>https://www.who.int/europe/news/item/25-09-2024-teens--screens-and-mental-health</w:t>
        </w:r>
      </w:hyperlink>
      <w:r w:rsidRPr="00E07974">
        <w:rPr>
          <w:rFonts w:ascii="Arial" w:hAnsi="Arial" w:cs="Arial"/>
          <w:sz w:val="22"/>
          <w:szCs w:val="22"/>
        </w:rPr>
        <w:t xml:space="preserve"> (Accessed: 14 August 2026).</w:t>
      </w:r>
    </w:p>
    <w:p w14:paraId="6F284A5E" w14:textId="77777777" w:rsidR="00E07974" w:rsidRPr="00E07974" w:rsidRDefault="00E07974" w:rsidP="007E2477">
      <w:pPr>
        <w:rPr>
          <w:rFonts w:ascii="Arial" w:hAnsi="Arial" w:cs="Arial"/>
          <w:sz w:val="22"/>
          <w:szCs w:val="22"/>
        </w:rPr>
      </w:pPr>
      <w:r w:rsidRPr="00E07974">
        <w:rPr>
          <w:rFonts w:ascii="Arial" w:hAnsi="Arial" w:cs="Arial"/>
          <w:sz w:val="22"/>
          <w:szCs w:val="22"/>
        </w:rPr>
        <w:t xml:space="preserve">WHO Regional Office for Europe (2025) </w:t>
      </w:r>
      <w:r w:rsidRPr="00E07974">
        <w:rPr>
          <w:rFonts w:ascii="Arial" w:hAnsi="Arial" w:cs="Arial"/>
          <w:i/>
          <w:iCs/>
          <w:sz w:val="22"/>
          <w:szCs w:val="22"/>
        </w:rPr>
        <w:t>Addressing the digital determinants of youth mental health and well-being: policy brief</w:t>
      </w:r>
      <w:r w:rsidRPr="00E07974">
        <w:rPr>
          <w:rFonts w:ascii="Arial" w:hAnsi="Arial" w:cs="Arial"/>
          <w:sz w:val="22"/>
          <w:szCs w:val="22"/>
        </w:rPr>
        <w:t>. Copenhagen: WHO Regional Office for Europe.</w:t>
      </w:r>
    </w:p>
    <w:p w14:paraId="0DB78724" w14:textId="77777777" w:rsidR="00A802F1" w:rsidRPr="00E07974" w:rsidRDefault="00A802F1" w:rsidP="007E2477">
      <w:pPr>
        <w:rPr>
          <w:rFonts w:ascii="Arial" w:hAnsi="Arial" w:cs="Arial"/>
          <w:sz w:val="22"/>
          <w:szCs w:val="22"/>
        </w:rPr>
      </w:pPr>
    </w:p>
    <w:sectPr w:rsidR="00A802F1" w:rsidRPr="00E079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974"/>
    <w:rsid w:val="0048322D"/>
    <w:rsid w:val="00622785"/>
    <w:rsid w:val="007C0BBB"/>
    <w:rsid w:val="007E2477"/>
    <w:rsid w:val="00A802F1"/>
    <w:rsid w:val="00B649B7"/>
    <w:rsid w:val="00CE65F9"/>
    <w:rsid w:val="00DE1E56"/>
    <w:rsid w:val="00DE4CD1"/>
    <w:rsid w:val="00DF4C4D"/>
    <w:rsid w:val="00E018FD"/>
    <w:rsid w:val="00E079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41FD9"/>
  <w15:chartTrackingRefBased/>
  <w15:docId w15:val="{74563C73-DC36-466F-8B0E-F502B9D22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79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79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79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79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79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79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79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79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79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79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79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79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79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79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79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79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79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7974"/>
    <w:rPr>
      <w:rFonts w:eastAsiaTheme="majorEastAsia" w:cstheme="majorBidi"/>
      <w:color w:val="272727" w:themeColor="text1" w:themeTint="D8"/>
    </w:rPr>
  </w:style>
  <w:style w:type="paragraph" w:styleId="Title">
    <w:name w:val="Title"/>
    <w:basedOn w:val="Normal"/>
    <w:next w:val="Normal"/>
    <w:link w:val="TitleChar"/>
    <w:uiPriority w:val="10"/>
    <w:qFormat/>
    <w:rsid w:val="00E079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79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79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79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7974"/>
    <w:pPr>
      <w:spacing w:before="160"/>
      <w:jc w:val="center"/>
    </w:pPr>
    <w:rPr>
      <w:i/>
      <w:iCs/>
      <w:color w:val="404040" w:themeColor="text1" w:themeTint="BF"/>
    </w:rPr>
  </w:style>
  <w:style w:type="character" w:customStyle="1" w:styleId="QuoteChar">
    <w:name w:val="Quote Char"/>
    <w:basedOn w:val="DefaultParagraphFont"/>
    <w:link w:val="Quote"/>
    <w:uiPriority w:val="29"/>
    <w:rsid w:val="00E07974"/>
    <w:rPr>
      <w:i/>
      <w:iCs/>
      <w:color w:val="404040" w:themeColor="text1" w:themeTint="BF"/>
    </w:rPr>
  </w:style>
  <w:style w:type="paragraph" w:styleId="ListParagraph">
    <w:name w:val="List Paragraph"/>
    <w:basedOn w:val="Normal"/>
    <w:uiPriority w:val="34"/>
    <w:qFormat/>
    <w:rsid w:val="00E07974"/>
    <w:pPr>
      <w:ind w:left="720"/>
      <w:contextualSpacing/>
    </w:pPr>
  </w:style>
  <w:style w:type="character" w:styleId="IntenseEmphasis">
    <w:name w:val="Intense Emphasis"/>
    <w:basedOn w:val="DefaultParagraphFont"/>
    <w:uiPriority w:val="21"/>
    <w:qFormat/>
    <w:rsid w:val="00E07974"/>
    <w:rPr>
      <w:i/>
      <w:iCs/>
      <w:color w:val="0F4761" w:themeColor="accent1" w:themeShade="BF"/>
    </w:rPr>
  </w:style>
  <w:style w:type="paragraph" w:styleId="IntenseQuote">
    <w:name w:val="Intense Quote"/>
    <w:basedOn w:val="Normal"/>
    <w:next w:val="Normal"/>
    <w:link w:val="IntenseQuoteChar"/>
    <w:uiPriority w:val="30"/>
    <w:qFormat/>
    <w:rsid w:val="00E079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7974"/>
    <w:rPr>
      <w:i/>
      <w:iCs/>
      <w:color w:val="0F4761" w:themeColor="accent1" w:themeShade="BF"/>
    </w:rPr>
  </w:style>
  <w:style w:type="character" w:styleId="IntenseReference">
    <w:name w:val="Intense Reference"/>
    <w:basedOn w:val="DefaultParagraphFont"/>
    <w:uiPriority w:val="32"/>
    <w:qFormat/>
    <w:rsid w:val="00E07974"/>
    <w:rPr>
      <w:b/>
      <w:bCs/>
      <w:smallCaps/>
      <w:color w:val="0F4761" w:themeColor="accent1" w:themeShade="BF"/>
      <w:spacing w:val="5"/>
    </w:rPr>
  </w:style>
  <w:style w:type="character" w:styleId="Hyperlink">
    <w:name w:val="Hyperlink"/>
    <w:basedOn w:val="DefaultParagraphFont"/>
    <w:uiPriority w:val="99"/>
    <w:unhideWhenUsed/>
    <w:rsid w:val="00E07974"/>
    <w:rPr>
      <w:color w:val="467886" w:themeColor="hyperlink"/>
      <w:u w:val="single"/>
    </w:rPr>
  </w:style>
  <w:style w:type="character" w:styleId="UnresolvedMention">
    <w:name w:val="Unresolved Mention"/>
    <w:basedOn w:val="DefaultParagraphFont"/>
    <w:uiPriority w:val="99"/>
    <w:semiHidden/>
    <w:unhideWhenUsed/>
    <w:rsid w:val="00E07974"/>
    <w:rPr>
      <w:color w:val="605E5C"/>
      <w:shd w:val="clear" w:color="auto" w:fill="E1DFDD"/>
    </w:rPr>
  </w:style>
  <w:style w:type="paragraph" w:styleId="TOC1">
    <w:name w:val="toc 1"/>
    <w:basedOn w:val="Normal"/>
    <w:next w:val="Normal"/>
    <w:autoRedefine/>
    <w:uiPriority w:val="39"/>
    <w:unhideWhenUsed/>
    <w:rsid w:val="00E07974"/>
    <w:pPr>
      <w:spacing w:before="240" w:after="120"/>
    </w:pPr>
    <w:rPr>
      <w:b/>
      <w:bCs/>
      <w:sz w:val="20"/>
      <w:szCs w:val="20"/>
    </w:rPr>
  </w:style>
  <w:style w:type="paragraph" w:styleId="TOC2">
    <w:name w:val="toc 2"/>
    <w:basedOn w:val="Normal"/>
    <w:next w:val="Normal"/>
    <w:autoRedefine/>
    <w:uiPriority w:val="39"/>
    <w:unhideWhenUsed/>
    <w:rsid w:val="00E07974"/>
    <w:pPr>
      <w:spacing w:before="120" w:after="0"/>
      <w:ind w:left="240"/>
    </w:pPr>
    <w:rPr>
      <w:i/>
      <w:iCs/>
      <w:sz w:val="20"/>
      <w:szCs w:val="20"/>
    </w:rPr>
  </w:style>
  <w:style w:type="paragraph" w:styleId="TOC3">
    <w:name w:val="toc 3"/>
    <w:basedOn w:val="Normal"/>
    <w:next w:val="Normal"/>
    <w:autoRedefine/>
    <w:uiPriority w:val="39"/>
    <w:unhideWhenUsed/>
    <w:rsid w:val="00E07974"/>
    <w:pPr>
      <w:spacing w:after="0"/>
      <w:ind w:left="480"/>
    </w:pPr>
    <w:rPr>
      <w:sz w:val="20"/>
      <w:szCs w:val="20"/>
    </w:rPr>
  </w:style>
  <w:style w:type="paragraph" w:styleId="TOC4">
    <w:name w:val="toc 4"/>
    <w:basedOn w:val="Normal"/>
    <w:next w:val="Normal"/>
    <w:autoRedefine/>
    <w:uiPriority w:val="39"/>
    <w:unhideWhenUsed/>
    <w:rsid w:val="00E07974"/>
    <w:pPr>
      <w:spacing w:after="0"/>
      <w:ind w:left="720"/>
    </w:pPr>
    <w:rPr>
      <w:sz w:val="20"/>
      <w:szCs w:val="20"/>
    </w:rPr>
  </w:style>
  <w:style w:type="paragraph" w:styleId="TOC5">
    <w:name w:val="toc 5"/>
    <w:basedOn w:val="Normal"/>
    <w:next w:val="Normal"/>
    <w:autoRedefine/>
    <w:uiPriority w:val="39"/>
    <w:unhideWhenUsed/>
    <w:rsid w:val="00E07974"/>
    <w:pPr>
      <w:spacing w:after="0"/>
      <w:ind w:left="960"/>
    </w:pPr>
    <w:rPr>
      <w:sz w:val="20"/>
      <w:szCs w:val="20"/>
    </w:rPr>
  </w:style>
  <w:style w:type="paragraph" w:styleId="TOC6">
    <w:name w:val="toc 6"/>
    <w:basedOn w:val="Normal"/>
    <w:next w:val="Normal"/>
    <w:autoRedefine/>
    <w:uiPriority w:val="39"/>
    <w:unhideWhenUsed/>
    <w:rsid w:val="00E07974"/>
    <w:pPr>
      <w:spacing w:after="0"/>
      <w:ind w:left="1200"/>
    </w:pPr>
    <w:rPr>
      <w:sz w:val="20"/>
      <w:szCs w:val="20"/>
    </w:rPr>
  </w:style>
  <w:style w:type="paragraph" w:styleId="TOC7">
    <w:name w:val="toc 7"/>
    <w:basedOn w:val="Normal"/>
    <w:next w:val="Normal"/>
    <w:autoRedefine/>
    <w:uiPriority w:val="39"/>
    <w:unhideWhenUsed/>
    <w:rsid w:val="00E07974"/>
    <w:pPr>
      <w:spacing w:after="0"/>
      <w:ind w:left="1440"/>
    </w:pPr>
    <w:rPr>
      <w:sz w:val="20"/>
      <w:szCs w:val="20"/>
    </w:rPr>
  </w:style>
  <w:style w:type="paragraph" w:styleId="TOC8">
    <w:name w:val="toc 8"/>
    <w:basedOn w:val="Normal"/>
    <w:next w:val="Normal"/>
    <w:autoRedefine/>
    <w:uiPriority w:val="39"/>
    <w:unhideWhenUsed/>
    <w:rsid w:val="00E07974"/>
    <w:pPr>
      <w:spacing w:after="0"/>
      <w:ind w:left="1680"/>
    </w:pPr>
    <w:rPr>
      <w:sz w:val="20"/>
      <w:szCs w:val="20"/>
    </w:rPr>
  </w:style>
  <w:style w:type="paragraph" w:styleId="TOC9">
    <w:name w:val="toc 9"/>
    <w:basedOn w:val="Normal"/>
    <w:next w:val="Normal"/>
    <w:autoRedefine/>
    <w:uiPriority w:val="39"/>
    <w:unhideWhenUsed/>
    <w:rsid w:val="00E07974"/>
    <w:pPr>
      <w:spacing w:after="0"/>
      <w:ind w:left="1920"/>
    </w:pPr>
    <w:rPr>
      <w:sz w:val="20"/>
      <w:szCs w:val="20"/>
    </w:rPr>
  </w:style>
  <w:style w:type="paragraph" w:styleId="TOCHeading">
    <w:name w:val="TOC Heading"/>
    <w:basedOn w:val="Heading1"/>
    <w:next w:val="Normal"/>
    <w:uiPriority w:val="39"/>
    <w:unhideWhenUsed/>
    <w:qFormat/>
    <w:rsid w:val="00E07974"/>
    <w:pPr>
      <w:spacing w:before="240" w:after="0" w:line="259"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pkinsmedicine.org/health/expert-qa/social-media-and-mental-health-in-children-and-teens" TargetMode="External"/><Relationship Id="rId13" Type="http://schemas.openxmlformats.org/officeDocument/2006/relationships/hyperlink" Target="https://www.verywellmind.com/identity-versus-confusion-2795735" TargetMode="External"/><Relationship Id="rId3" Type="http://schemas.openxmlformats.org/officeDocument/2006/relationships/settings" Target="settings.xml"/><Relationship Id="rId7" Type="http://schemas.openxmlformats.org/officeDocument/2006/relationships/hyperlink" Target="https://www.helpguide.org/mental-health/wellbeing/social-media-and-mental-health" TargetMode="External"/><Relationship Id="rId12" Type="http://schemas.openxmlformats.org/officeDocument/2006/relationships/hyperlink" Target="https://scholarworks.uark.edu/nursuht/21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researchbriefings.files.parliament.uk/documents/CBP-10468/CBP-10468.pdf"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mentalhealth-uk.org/news-and-insights/social-media-ban-for-under-16s-is-a-critical-first-step/" TargetMode="External"/><Relationship Id="rId4" Type="http://schemas.openxmlformats.org/officeDocument/2006/relationships/webSettings" Target="webSettings.xml"/><Relationship Id="rId9" Type="http://schemas.openxmlformats.org/officeDocument/2006/relationships/hyperlink" Target="https://www.imperial.ac.uk/news/articles/2026/childrens-extended-social-media-use-linked-to-increased-depression-and-anxiety-/" TargetMode="External"/><Relationship Id="rId14" Type="http://schemas.openxmlformats.org/officeDocument/2006/relationships/hyperlink" Target="https://www.who.int/europe/news/item/25-09-2024-teens--screens-and-mental-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0490FD-AD07-434E-97F4-06D06BBC9F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6</Pages>
  <Words>2071</Words>
  <Characters>11807</Characters>
  <Application>Microsoft Office Word</Application>
  <DocSecurity>0</DocSecurity>
  <Lines>98</Lines>
  <Paragraphs>27</Paragraphs>
  <ScaleCrop>false</ScaleCrop>
  <Company/>
  <LinksUpToDate>false</LinksUpToDate>
  <CharactersWithSpaces>13851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Gila Serrote</dc:creator>
  <cp:keywords/>
  <dc:description/>
  <cp:lastModifiedBy>Gila Serrote</cp:lastModifiedBy>
  <cp:revision>6</cp:revision>
  <dcterms:created xsi:type="dcterms:W3CDTF">2026-08-14T16:10:00Z</dcterms:created>
  <dcterms:modified xsi:type="dcterms:W3CDTF">2026-08-17T19:19:00Z</dcterms:modified>
</cp:coreProperties>
</file>