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950CA" w14:textId="0AAF76A0" w:rsidR="005704E9" w:rsidRPr="00A53368" w:rsidRDefault="005704E9" w:rsidP="00A53368">
      <w:pPr>
        <w:pStyle w:val="Title"/>
        <w:spacing w:line="360" w:lineRule="auto"/>
        <w:rPr>
          <w:rFonts w:ascii="Arial" w:eastAsia="Arial" w:hAnsi="Arial" w:cs="Arial"/>
          <w:bCs/>
          <w:sz w:val="22"/>
          <w:szCs w:val="22"/>
        </w:rPr>
      </w:pPr>
      <w:r w:rsidRPr="00A53368">
        <w:rPr>
          <w:rFonts w:ascii="Arial" w:eastAsia="Arial" w:hAnsi="Arial" w:cs="Arial"/>
          <w:bCs/>
          <w:sz w:val="22"/>
          <w:szCs w:val="22"/>
        </w:rPr>
        <w:t xml:space="preserve">Writing Module:  </w:t>
      </w:r>
      <w:r w:rsidRPr="00A53368">
        <w:rPr>
          <w:rFonts w:ascii="Arial" w:hAnsi="Arial" w:cs="Arial"/>
          <w:color w:val="1D2228"/>
          <w:sz w:val="22"/>
          <w:szCs w:val="22"/>
        </w:rPr>
        <w:t>Community Engagement</w:t>
      </w:r>
      <w:r w:rsidRPr="00A53368">
        <w:rPr>
          <w:rFonts w:ascii="Arial" w:hAnsi="Arial" w:cs="Arial"/>
          <w:b/>
          <w:bCs/>
          <w:color w:val="1D2228"/>
          <w:sz w:val="22"/>
          <w:szCs w:val="22"/>
        </w:rPr>
        <w:t xml:space="preserve">  </w:t>
      </w:r>
    </w:p>
    <w:p w14:paraId="61BD3271" w14:textId="77777777" w:rsidR="005704E9" w:rsidRPr="00A53368" w:rsidRDefault="005704E9" w:rsidP="00A53368">
      <w:pPr>
        <w:spacing w:line="360" w:lineRule="auto"/>
        <w:rPr>
          <w:rFonts w:ascii="Arial" w:eastAsia="Arial" w:hAnsi="Arial" w:cs="Arial"/>
          <w:color w:val="000000" w:themeColor="text1"/>
          <w:sz w:val="22"/>
          <w:szCs w:val="22"/>
        </w:rPr>
      </w:pPr>
    </w:p>
    <w:p w14:paraId="324509D2" w14:textId="77777777" w:rsidR="005704E9" w:rsidRPr="00A53368" w:rsidRDefault="005704E9" w:rsidP="00A53368">
      <w:pPr>
        <w:spacing w:line="360" w:lineRule="auto"/>
        <w:rPr>
          <w:rFonts w:ascii="Arial" w:hAnsi="Arial" w:cs="Arial"/>
          <w:sz w:val="22"/>
          <w:szCs w:val="22"/>
        </w:rPr>
      </w:pPr>
      <w:r w:rsidRPr="00A53368">
        <w:rPr>
          <w:rFonts w:ascii="Arial" w:eastAsia="Arial" w:hAnsi="Arial" w:cs="Arial"/>
          <w:color w:val="000000" w:themeColor="text1"/>
          <w:sz w:val="22"/>
          <w:szCs w:val="22"/>
        </w:rPr>
        <w:t xml:space="preserve">Student Name: Renaldo Jose </w:t>
      </w:r>
      <w:proofErr w:type="spellStart"/>
      <w:r w:rsidRPr="00A53368">
        <w:rPr>
          <w:rFonts w:ascii="Arial" w:eastAsia="Arial" w:hAnsi="Arial" w:cs="Arial"/>
          <w:color w:val="000000" w:themeColor="text1"/>
          <w:sz w:val="22"/>
          <w:szCs w:val="22"/>
        </w:rPr>
        <w:t>Juman</w:t>
      </w:r>
      <w:proofErr w:type="spellEnd"/>
      <w:r w:rsidRPr="00A53368">
        <w:rPr>
          <w:rFonts w:ascii="Arial" w:hAnsi="Arial" w:cs="Arial"/>
          <w:sz w:val="22"/>
          <w:szCs w:val="22"/>
        </w:rPr>
        <w:t xml:space="preserve"> </w:t>
      </w:r>
    </w:p>
    <w:p w14:paraId="1D967EEE" w14:textId="77777777" w:rsidR="005704E9" w:rsidRPr="00A53368" w:rsidRDefault="005704E9" w:rsidP="00A53368">
      <w:pPr>
        <w:spacing w:line="360" w:lineRule="auto"/>
        <w:rPr>
          <w:rFonts w:ascii="Arial" w:eastAsia="Arial" w:hAnsi="Arial" w:cs="Arial"/>
          <w:color w:val="000000" w:themeColor="text1"/>
          <w:sz w:val="22"/>
          <w:szCs w:val="22"/>
        </w:rPr>
      </w:pPr>
    </w:p>
    <w:p w14:paraId="3190286F" w14:textId="77777777" w:rsidR="005704E9" w:rsidRPr="00A53368" w:rsidRDefault="005704E9" w:rsidP="00A53368">
      <w:pPr>
        <w:spacing w:line="360" w:lineRule="auto"/>
        <w:rPr>
          <w:rFonts w:ascii="Arial" w:eastAsia="Arial" w:hAnsi="Arial" w:cs="Arial"/>
          <w:color w:val="000000" w:themeColor="text1"/>
          <w:sz w:val="22"/>
          <w:szCs w:val="22"/>
        </w:rPr>
      </w:pPr>
      <w:r w:rsidRPr="00A53368">
        <w:rPr>
          <w:rFonts w:ascii="Arial" w:eastAsia="Arial" w:hAnsi="Arial" w:cs="Arial"/>
          <w:color w:val="000000" w:themeColor="text1"/>
          <w:sz w:val="22"/>
          <w:szCs w:val="22"/>
        </w:rPr>
        <w:t>Student ID: 2114362</w:t>
      </w:r>
    </w:p>
    <w:p w14:paraId="026BF81B" w14:textId="77777777" w:rsidR="005704E9" w:rsidRPr="00A53368" w:rsidRDefault="005704E9" w:rsidP="00A53368">
      <w:pPr>
        <w:spacing w:line="360" w:lineRule="auto"/>
        <w:rPr>
          <w:rFonts w:ascii="Arial" w:eastAsia="Arial" w:hAnsi="Arial" w:cs="Arial"/>
          <w:color w:val="000000" w:themeColor="text1"/>
          <w:sz w:val="22"/>
          <w:szCs w:val="22"/>
        </w:rPr>
      </w:pPr>
    </w:p>
    <w:p w14:paraId="0319C5C1" w14:textId="51A4EE3C" w:rsidR="005704E9" w:rsidRPr="00A53368" w:rsidRDefault="005704E9" w:rsidP="00A53368">
      <w:pPr>
        <w:spacing w:line="360" w:lineRule="auto"/>
        <w:rPr>
          <w:rFonts w:ascii="Arial" w:eastAsia="Arial" w:hAnsi="Arial" w:cs="Arial"/>
          <w:color w:val="000000" w:themeColor="text1"/>
          <w:sz w:val="22"/>
          <w:szCs w:val="22"/>
        </w:rPr>
      </w:pPr>
      <w:r w:rsidRPr="00A53368">
        <w:rPr>
          <w:rFonts w:ascii="Arial" w:eastAsia="Arial" w:hAnsi="Arial" w:cs="Arial"/>
          <w:color w:val="000000" w:themeColor="text1"/>
          <w:sz w:val="22"/>
          <w:szCs w:val="22"/>
        </w:rPr>
        <w:t>Module Code: LCBB4002</w:t>
      </w:r>
    </w:p>
    <w:p w14:paraId="0EC43B76" w14:textId="77777777" w:rsidR="005704E9" w:rsidRPr="00A53368" w:rsidRDefault="005704E9" w:rsidP="00A53368">
      <w:pPr>
        <w:spacing w:line="360" w:lineRule="auto"/>
        <w:rPr>
          <w:rFonts w:ascii="Arial" w:eastAsia="Arial" w:hAnsi="Arial" w:cs="Arial"/>
          <w:color w:val="000000" w:themeColor="text1"/>
          <w:sz w:val="22"/>
          <w:szCs w:val="22"/>
        </w:rPr>
      </w:pPr>
    </w:p>
    <w:p w14:paraId="1929C6C7" w14:textId="4CB220C3" w:rsidR="005704E9" w:rsidRPr="00A53368" w:rsidRDefault="005704E9" w:rsidP="00A53368">
      <w:pPr>
        <w:spacing w:line="360" w:lineRule="auto"/>
        <w:rPr>
          <w:rFonts w:ascii="Arial" w:eastAsia="Arial" w:hAnsi="Arial" w:cs="Arial"/>
          <w:color w:val="000000" w:themeColor="text1"/>
          <w:sz w:val="22"/>
          <w:szCs w:val="22"/>
        </w:rPr>
      </w:pPr>
      <w:r w:rsidRPr="00A53368">
        <w:rPr>
          <w:rFonts w:ascii="Arial" w:eastAsia="Arial" w:hAnsi="Arial" w:cs="Arial"/>
          <w:color w:val="000000" w:themeColor="text1"/>
          <w:sz w:val="22"/>
          <w:szCs w:val="22"/>
        </w:rPr>
        <w:t xml:space="preserve">Tutor: Dr </w:t>
      </w:r>
      <w:proofErr w:type="spellStart"/>
      <w:r w:rsidRPr="00A53368">
        <w:rPr>
          <w:rFonts w:ascii="Arial" w:hAnsi="Arial" w:cs="Arial"/>
          <w:sz w:val="22"/>
          <w:szCs w:val="22"/>
        </w:rPr>
        <w:t>Efua</w:t>
      </w:r>
      <w:proofErr w:type="spellEnd"/>
      <w:r w:rsidRPr="00A53368">
        <w:rPr>
          <w:rFonts w:ascii="Arial" w:hAnsi="Arial" w:cs="Arial"/>
          <w:sz w:val="22"/>
          <w:szCs w:val="22"/>
        </w:rPr>
        <w:t xml:space="preserve"> Adams</w:t>
      </w:r>
    </w:p>
    <w:p w14:paraId="72BB72E3" w14:textId="77777777" w:rsidR="005704E9" w:rsidRPr="00A53368" w:rsidRDefault="005704E9" w:rsidP="00A53368">
      <w:pPr>
        <w:spacing w:line="360" w:lineRule="auto"/>
        <w:rPr>
          <w:rFonts w:ascii="Arial" w:eastAsia="Arial" w:hAnsi="Arial" w:cs="Arial"/>
          <w:color w:val="000000" w:themeColor="text1"/>
          <w:sz w:val="22"/>
          <w:szCs w:val="22"/>
        </w:rPr>
      </w:pPr>
    </w:p>
    <w:p w14:paraId="1C3357C3" w14:textId="35A89351" w:rsidR="005704E9" w:rsidRPr="00A53368" w:rsidRDefault="005704E9" w:rsidP="00A53368">
      <w:pPr>
        <w:spacing w:line="360" w:lineRule="auto"/>
        <w:rPr>
          <w:rFonts w:ascii="Arial" w:hAnsi="Arial" w:cs="Arial"/>
          <w:b/>
          <w:bCs/>
          <w:color w:val="1D2228"/>
          <w:sz w:val="22"/>
          <w:szCs w:val="22"/>
        </w:rPr>
      </w:pPr>
      <w:r w:rsidRPr="00A53368">
        <w:rPr>
          <w:rFonts w:ascii="Arial" w:eastAsia="Arial" w:hAnsi="Arial" w:cs="Arial"/>
          <w:color w:val="000000" w:themeColor="text1"/>
          <w:sz w:val="22"/>
          <w:szCs w:val="22"/>
        </w:rPr>
        <w:t xml:space="preserve">Assignment Title: </w:t>
      </w:r>
      <w:r w:rsidRPr="00A53368">
        <w:rPr>
          <w:rFonts w:ascii="Arial" w:hAnsi="Arial" w:cs="Arial"/>
          <w:color w:val="1D2228"/>
          <w:sz w:val="22"/>
          <w:szCs w:val="22"/>
        </w:rPr>
        <w:t>Community Engagement</w:t>
      </w:r>
      <w:r w:rsidRPr="00A53368">
        <w:rPr>
          <w:rFonts w:ascii="Arial" w:hAnsi="Arial" w:cs="Arial"/>
          <w:b/>
          <w:bCs/>
          <w:color w:val="1D2228"/>
          <w:sz w:val="22"/>
          <w:szCs w:val="22"/>
        </w:rPr>
        <w:t>.</w:t>
      </w:r>
    </w:p>
    <w:p w14:paraId="1F285BBA" w14:textId="6A53A51E" w:rsidR="00545539" w:rsidRPr="00A53368" w:rsidRDefault="00545539" w:rsidP="00A53368">
      <w:pPr>
        <w:spacing w:line="360" w:lineRule="auto"/>
        <w:rPr>
          <w:rFonts w:ascii="Arial" w:hAnsi="Arial" w:cs="Arial"/>
          <w:b/>
          <w:bCs/>
          <w:color w:val="1D2228"/>
          <w:sz w:val="22"/>
          <w:szCs w:val="22"/>
        </w:rPr>
      </w:pPr>
    </w:p>
    <w:p w14:paraId="25F252BB" w14:textId="5C5C99D0" w:rsidR="00545539" w:rsidRPr="00A53368" w:rsidRDefault="00545539" w:rsidP="00A53368">
      <w:pPr>
        <w:spacing w:line="360" w:lineRule="auto"/>
        <w:rPr>
          <w:rFonts w:ascii="Arial" w:hAnsi="Arial" w:cs="Arial"/>
          <w:b/>
          <w:bCs/>
          <w:color w:val="1D2228"/>
          <w:sz w:val="22"/>
          <w:szCs w:val="22"/>
        </w:rPr>
      </w:pPr>
    </w:p>
    <w:p w14:paraId="67859E25" w14:textId="783661BF" w:rsidR="00545539" w:rsidRPr="00A53368" w:rsidRDefault="00545539" w:rsidP="00A53368">
      <w:pPr>
        <w:spacing w:line="360" w:lineRule="auto"/>
        <w:rPr>
          <w:rFonts w:ascii="Arial" w:hAnsi="Arial" w:cs="Arial"/>
          <w:b/>
          <w:bCs/>
          <w:color w:val="1D2228"/>
          <w:sz w:val="22"/>
          <w:szCs w:val="22"/>
        </w:rPr>
      </w:pPr>
    </w:p>
    <w:p w14:paraId="5950DE3D" w14:textId="77777777" w:rsidR="00545539" w:rsidRPr="00A53368" w:rsidRDefault="00545539" w:rsidP="00A53368">
      <w:pPr>
        <w:spacing w:line="360" w:lineRule="auto"/>
        <w:rPr>
          <w:rFonts w:ascii="Arial" w:hAnsi="Arial" w:cs="Arial"/>
          <w:b/>
          <w:bCs/>
          <w:color w:val="1D2228"/>
          <w:sz w:val="22"/>
          <w:szCs w:val="22"/>
        </w:rPr>
      </w:pPr>
      <w:r w:rsidRPr="00A53368">
        <w:rPr>
          <w:rFonts w:ascii="Arial" w:hAnsi="Arial" w:cs="Arial"/>
          <w:b/>
          <w:bCs/>
          <w:color w:val="1D2228"/>
          <w:sz w:val="22"/>
          <w:szCs w:val="22"/>
        </w:rPr>
        <w:br w:type="page"/>
      </w:r>
    </w:p>
    <w:sdt>
      <w:sdtPr>
        <w:rPr>
          <w:rFonts w:ascii="Arial" w:eastAsia="Times New Roman" w:hAnsi="Arial" w:cs="Arial"/>
          <w:b w:val="0"/>
          <w:bCs w:val="0"/>
          <w:color w:val="auto"/>
          <w:sz w:val="22"/>
          <w:szCs w:val="22"/>
          <w:lang w:val="en-GB"/>
        </w:rPr>
        <w:id w:val="-1461713977"/>
        <w:docPartObj>
          <w:docPartGallery w:val="Table of Contents"/>
          <w:docPartUnique/>
        </w:docPartObj>
      </w:sdtPr>
      <w:sdtEndPr>
        <w:rPr>
          <w:noProof/>
        </w:rPr>
      </w:sdtEndPr>
      <w:sdtContent>
        <w:p w14:paraId="51061415" w14:textId="0F8DF806" w:rsidR="00545539" w:rsidRPr="00DA4088" w:rsidRDefault="00545539" w:rsidP="00DA4088">
          <w:pPr>
            <w:pStyle w:val="TOCHeading"/>
            <w:spacing w:line="360" w:lineRule="auto"/>
            <w:rPr>
              <w:rFonts w:ascii="Arial" w:hAnsi="Arial" w:cs="Arial"/>
              <w:sz w:val="22"/>
              <w:szCs w:val="22"/>
            </w:rPr>
          </w:pPr>
          <w:r w:rsidRPr="00DA4088">
            <w:rPr>
              <w:rFonts w:ascii="Arial" w:hAnsi="Arial" w:cs="Arial"/>
              <w:sz w:val="22"/>
              <w:szCs w:val="22"/>
            </w:rPr>
            <w:t>Table of Contents</w:t>
          </w:r>
        </w:p>
        <w:p w14:paraId="2C7BFA54" w14:textId="2B6C2A76" w:rsidR="00DA4088" w:rsidRPr="00DA4088" w:rsidRDefault="00545539" w:rsidP="00DA4088">
          <w:pPr>
            <w:pStyle w:val="TOC1"/>
            <w:spacing w:line="360" w:lineRule="auto"/>
            <w:rPr>
              <w:rFonts w:ascii="Arial" w:eastAsiaTheme="minorEastAsia" w:hAnsi="Arial" w:cs="Arial"/>
              <w:b w:val="0"/>
              <w:bCs w:val="0"/>
              <w:i w:val="0"/>
              <w:iCs w:val="0"/>
              <w:noProof/>
              <w:sz w:val="22"/>
              <w:szCs w:val="22"/>
              <w:lang w:eastAsia="en-GB"/>
            </w:rPr>
          </w:pPr>
          <w:r w:rsidRPr="00DA4088">
            <w:rPr>
              <w:rFonts w:ascii="Arial" w:hAnsi="Arial" w:cs="Arial"/>
              <w:sz w:val="22"/>
              <w:szCs w:val="22"/>
            </w:rPr>
            <w:fldChar w:fldCharType="begin"/>
          </w:r>
          <w:r w:rsidRPr="00DA4088">
            <w:rPr>
              <w:rFonts w:ascii="Arial" w:hAnsi="Arial" w:cs="Arial"/>
              <w:sz w:val="22"/>
              <w:szCs w:val="22"/>
            </w:rPr>
            <w:instrText xml:space="preserve"> TOC \o "1-3" \h \z \u </w:instrText>
          </w:r>
          <w:r w:rsidRPr="00DA4088">
            <w:rPr>
              <w:rFonts w:ascii="Arial" w:hAnsi="Arial" w:cs="Arial"/>
              <w:sz w:val="22"/>
              <w:szCs w:val="22"/>
            </w:rPr>
            <w:fldChar w:fldCharType="separate"/>
          </w:r>
          <w:hyperlink w:anchor="_Toc128662685" w:history="1">
            <w:r w:rsidR="00DA4088" w:rsidRPr="00DA4088">
              <w:rPr>
                <w:rStyle w:val="Hyperlink"/>
                <w:rFonts w:ascii="Arial" w:eastAsia="Arial" w:hAnsi="Arial" w:cs="Arial"/>
                <w:noProof/>
                <w:sz w:val="22"/>
                <w:szCs w:val="22"/>
              </w:rPr>
              <w:t>Introduction</w:t>
            </w:r>
            <w:r w:rsidR="00DA4088" w:rsidRPr="00DA4088">
              <w:rPr>
                <w:rFonts w:ascii="Arial" w:hAnsi="Arial" w:cs="Arial"/>
                <w:noProof/>
                <w:webHidden/>
                <w:sz w:val="22"/>
                <w:szCs w:val="22"/>
              </w:rPr>
              <w:tab/>
            </w:r>
            <w:r w:rsidR="00DA4088" w:rsidRPr="00DA4088">
              <w:rPr>
                <w:rFonts w:ascii="Arial" w:hAnsi="Arial" w:cs="Arial"/>
                <w:noProof/>
                <w:webHidden/>
                <w:sz w:val="22"/>
                <w:szCs w:val="22"/>
              </w:rPr>
              <w:fldChar w:fldCharType="begin"/>
            </w:r>
            <w:r w:rsidR="00DA4088" w:rsidRPr="00DA4088">
              <w:rPr>
                <w:rFonts w:ascii="Arial" w:hAnsi="Arial" w:cs="Arial"/>
                <w:noProof/>
                <w:webHidden/>
                <w:sz w:val="22"/>
                <w:szCs w:val="22"/>
              </w:rPr>
              <w:instrText xml:space="preserve"> PAGEREF _Toc128662685 \h </w:instrText>
            </w:r>
            <w:r w:rsidR="00DA4088" w:rsidRPr="00DA4088">
              <w:rPr>
                <w:rFonts w:ascii="Arial" w:hAnsi="Arial" w:cs="Arial"/>
                <w:noProof/>
                <w:webHidden/>
                <w:sz w:val="22"/>
                <w:szCs w:val="22"/>
              </w:rPr>
            </w:r>
            <w:r w:rsidR="00DA4088" w:rsidRPr="00DA4088">
              <w:rPr>
                <w:rFonts w:ascii="Arial" w:hAnsi="Arial" w:cs="Arial"/>
                <w:noProof/>
                <w:webHidden/>
                <w:sz w:val="22"/>
                <w:szCs w:val="22"/>
              </w:rPr>
              <w:fldChar w:fldCharType="separate"/>
            </w:r>
            <w:r w:rsidR="00DA4088" w:rsidRPr="00DA4088">
              <w:rPr>
                <w:rFonts w:ascii="Arial" w:hAnsi="Arial" w:cs="Arial"/>
                <w:noProof/>
                <w:webHidden/>
                <w:sz w:val="22"/>
                <w:szCs w:val="22"/>
              </w:rPr>
              <w:t>3</w:t>
            </w:r>
            <w:r w:rsidR="00DA4088" w:rsidRPr="00DA4088">
              <w:rPr>
                <w:rFonts w:ascii="Arial" w:hAnsi="Arial" w:cs="Arial"/>
                <w:noProof/>
                <w:webHidden/>
                <w:sz w:val="22"/>
                <w:szCs w:val="22"/>
              </w:rPr>
              <w:fldChar w:fldCharType="end"/>
            </w:r>
          </w:hyperlink>
        </w:p>
        <w:p w14:paraId="2B3F2223" w14:textId="6D233C72" w:rsidR="00DA4088" w:rsidRPr="00DA4088" w:rsidRDefault="00DA4088" w:rsidP="00DA4088">
          <w:pPr>
            <w:pStyle w:val="TOC1"/>
            <w:spacing w:line="360" w:lineRule="auto"/>
            <w:rPr>
              <w:rFonts w:ascii="Arial" w:eastAsiaTheme="minorEastAsia" w:hAnsi="Arial" w:cs="Arial"/>
              <w:b w:val="0"/>
              <w:bCs w:val="0"/>
              <w:i w:val="0"/>
              <w:iCs w:val="0"/>
              <w:noProof/>
              <w:sz w:val="22"/>
              <w:szCs w:val="22"/>
              <w:lang w:eastAsia="en-GB"/>
            </w:rPr>
          </w:pPr>
          <w:hyperlink w:anchor="_Toc128662686" w:history="1">
            <w:r w:rsidRPr="00DA4088">
              <w:rPr>
                <w:rStyle w:val="Hyperlink"/>
                <w:rFonts w:ascii="Arial" w:hAnsi="Arial" w:cs="Arial"/>
                <w:noProof/>
                <w:sz w:val="22"/>
                <w:szCs w:val="22"/>
              </w:rPr>
              <w:t>Community Engagement</w:t>
            </w:r>
            <w:r w:rsidRPr="00DA4088">
              <w:rPr>
                <w:rFonts w:ascii="Arial" w:hAnsi="Arial" w:cs="Arial"/>
                <w:noProof/>
                <w:webHidden/>
                <w:sz w:val="22"/>
                <w:szCs w:val="22"/>
              </w:rPr>
              <w:tab/>
            </w:r>
            <w:r w:rsidRPr="00DA4088">
              <w:rPr>
                <w:rFonts w:ascii="Arial" w:hAnsi="Arial" w:cs="Arial"/>
                <w:noProof/>
                <w:webHidden/>
                <w:sz w:val="22"/>
                <w:szCs w:val="22"/>
              </w:rPr>
              <w:fldChar w:fldCharType="begin"/>
            </w:r>
            <w:r w:rsidRPr="00DA4088">
              <w:rPr>
                <w:rFonts w:ascii="Arial" w:hAnsi="Arial" w:cs="Arial"/>
                <w:noProof/>
                <w:webHidden/>
                <w:sz w:val="22"/>
                <w:szCs w:val="22"/>
              </w:rPr>
              <w:instrText xml:space="preserve"> PAGEREF _Toc128662686 \h </w:instrText>
            </w:r>
            <w:r w:rsidRPr="00DA4088">
              <w:rPr>
                <w:rFonts w:ascii="Arial" w:hAnsi="Arial" w:cs="Arial"/>
                <w:noProof/>
                <w:webHidden/>
                <w:sz w:val="22"/>
                <w:szCs w:val="22"/>
              </w:rPr>
            </w:r>
            <w:r w:rsidRPr="00DA4088">
              <w:rPr>
                <w:rFonts w:ascii="Arial" w:hAnsi="Arial" w:cs="Arial"/>
                <w:noProof/>
                <w:webHidden/>
                <w:sz w:val="22"/>
                <w:szCs w:val="22"/>
              </w:rPr>
              <w:fldChar w:fldCharType="separate"/>
            </w:r>
            <w:r w:rsidRPr="00DA4088">
              <w:rPr>
                <w:rFonts w:ascii="Arial" w:hAnsi="Arial" w:cs="Arial"/>
                <w:noProof/>
                <w:webHidden/>
                <w:sz w:val="22"/>
                <w:szCs w:val="22"/>
              </w:rPr>
              <w:t>5</w:t>
            </w:r>
            <w:r w:rsidRPr="00DA4088">
              <w:rPr>
                <w:rFonts w:ascii="Arial" w:hAnsi="Arial" w:cs="Arial"/>
                <w:noProof/>
                <w:webHidden/>
                <w:sz w:val="22"/>
                <w:szCs w:val="22"/>
              </w:rPr>
              <w:fldChar w:fldCharType="end"/>
            </w:r>
          </w:hyperlink>
        </w:p>
        <w:p w14:paraId="300D6658" w14:textId="46160B07" w:rsidR="00DA4088" w:rsidRPr="00DA4088" w:rsidRDefault="00DA4088" w:rsidP="00DA4088">
          <w:pPr>
            <w:pStyle w:val="TOC1"/>
            <w:spacing w:line="360" w:lineRule="auto"/>
            <w:rPr>
              <w:rFonts w:ascii="Arial" w:eastAsiaTheme="minorEastAsia" w:hAnsi="Arial" w:cs="Arial"/>
              <w:b w:val="0"/>
              <w:bCs w:val="0"/>
              <w:i w:val="0"/>
              <w:iCs w:val="0"/>
              <w:noProof/>
              <w:sz w:val="22"/>
              <w:szCs w:val="22"/>
              <w:lang w:eastAsia="en-GB"/>
            </w:rPr>
          </w:pPr>
          <w:hyperlink w:anchor="_Toc128662687" w:history="1">
            <w:r w:rsidRPr="00DA4088">
              <w:rPr>
                <w:rStyle w:val="Hyperlink"/>
                <w:rFonts w:ascii="Arial" w:hAnsi="Arial" w:cs="Arial"/>
                <w:noProof/>
                <w:sz w:val="22"/>
                <w:szCs w:val="22"/>
              </w:rPr>
              <w:t>Social Media Platforms</w:t>
            </w:r>
            <w:r w:rsidRPr="00DA4088">
              <w:rPr>
                <w:rFonts w:ascii="Arial" w:hAnsi="Arial" w:cs="Arial"/>
                <w:noProof/>
                <w:webHidden/>
                <w:sz w:val="22"/>
                <w:szCs w:val="22"/>
              </w:rPr>
              <w:tab/>
            </w:r>
            <w:r w:rsidRPr="00DA4088">
              <w:rPr>
                <w:rFonts w:ascii="Arial" w:hAnsi="Arial" w:cs="Arial"/>
                <w:noProof/>
                <w:webHidden/>
                <w:sz w:val="22"/>
                <w:szCs w:val="22"/>
              </w:rPr>
              <w:fldChar w:fldCharType="begin"/>
            </w:r>
            <w:r w:rsidRPr="00DA4088">
              <w:rPr>
                <w:rFonts w:ascii="Arial" w:hAnsi="Arial" w:cs="Arial"/>
                <w:noProof/>
                <w:webHidden/>
                <w:sz w:val="22"/>
                <w:szCs w:val="22"/>
              </w:rPr>
              <w:instrText xml:space="preserve"> PAGEREF _Toc128662687 \h </w:instrText>
            </w:r>
            <w:r w:rsidRPr="00DA4088">
              <w:rPr>
                <w:rFonts w:ascii="Arial" w:hAnsi="Arial" w:cs="Arial"/>
                <w:noProof/>
                <w:webHidden/>
                <w:sz w:val="22"/>
                <w:szCs w:val="22"/>
              </w:rPr>
            </w:r>
            <w:r w:rsidRPr="00DA4088">
              <w:rPr>
                <w:rFonts w:ascii="Arial" w:hAnsi="Arial" w:cs="Arial"/>
                <w:noProof/>
                <w:webHidden/>
                <w:sz w:val="22"/>
                <w:szCs w:val="22"/>
              </w:rPr>
              <w:fldChar w:fldCharType="separate"/>
            </w:r>
            <w:r w:rsidRPr="00DA4088">
              <w:rPr>
                <w:rFonts w:ascii="Arial" w:hAnsi="Arial" w:cs="Arial"/>
                <w:noProof/>
                <w:webHidden/>
                <w:sz w:val="22"/>
                <w:szCs w:val="22"/>
              </w:rPr>
              <w:t>6</w:t>
            </w:r>
            <w:r w:rsidRPr="00DA4088">
              <w:rPr>
                <w:rFonts w:ascii="Arial" w:hAnsi="Arial" w:cs="Arial"/>
                <w:noProof/>
                <w:webHidden/>
                <w:sz w:val="22"/>
                <w:szCs w:val="22"/>
              </w:rPr>
              <w:fldChar w:fldCharType="end"/>
            </w:r>
          </w:hyperlink>
        </w:p>
        <w:p w14:paraId="0D1BF857" w14:textId="7501BC1F" w:rsidR="00DA4088" w:rsidRPr="00DA4088" w:rsidRDefault="00DA4088" w:rsidP="00DA4088">
          <w:pPr>
            <w:pStyle w:val="TOC1"/>
            <w:spacing w:line="360" w:lineRule="auto"/>
            <w:rPr>
              <w:rFonts w:ascii="Arial" w:eastAsiaTheme="minorEastAsia" w:hAnsi="Arial" w:cs="Arial"/>
              <w:b w:val="0"/>
              <w:bCs w:val="0"/>
              <w:i w:val="0"/>
              <w:iCs w:val="0"/>
              <w:noProof/>
              <w:sz w:val="22"/>
              <w:szCs w:val="22"/>
              <w:lang w:eastAsia="en-GB"/>
            </w:rPr>
          </w:pPr>
          <w:hyperlink w:anchor="_Toc128662688" w:history="1">
            <w:r w:rsidRPr="00DA4088">
              <w:rPr>
                <w:rStyle w:val="Hyperlink"/>
                <w:rFonts w:ascii="Arial" w:hAnsi="Arial" w:cs="Arial"/>
                <w:noProof/>
                <w:sz w:val="22"/>
                <w:szCs w:val="22"/>
              </w:rPr>
              <w:t>The Community Asset Transfer Programme</w:t>
            </w:r>
            <w:r w:rsidRPr="00DA4088">
              <w:rPr>
                <w:rFonts w:ascii="Arial" w:hAnsi="Arial" w:cs="Arial"/>
                <w:noProof/>
                <w:webHidden/>
                <w:sz w:val="22"/>
                <w:szCs w:val="22"/>
              </w:rPr>
              <w:tab/>
            </w:r>
            <w:r w:rsidRPr="00DA4088">
              <w:rPr>
                <w:rFonts w:ascii="Arial" w:hAnsi="Arial" w:cs="Arial"/>
                <w:noProof/>
                <w:webHidden/>
                <w:sz w:val="22"/>
                <w:szCs w:val="22"/>
              </w:rPr>
              <w:fldChar w:fldCharType="begin"/>
            </w:r>
            <w:r w:rsidRPr="00DA4088">
              <w:rPr>
                <w:rFonts w:ascii="Arial" w:hAnsi="Arial" w:cs="Arial"/>
                <w:noProof/>
                <w:webHidden/>
                <w:sz w:val="22"/>
                <w:szCs w:val="22"/>
              </w:rPr>
              <w:instrText xml:space="preserve"> PAGEREF _Toc128662688 \h </w:instrText>
            </w:r>
            <w:r w:rsidRPr="00DA4088">
              <w:rPr>
                <w:rFonts w:ascii="Arial" w:hAnsi="Arial" w:cs="Arial"/>
                <w:noProof/>
                <w:webHidden/>
                <w:sz w:val="22"/>
                <w:szCs w:val="22"/>
              </w:rPr>
            </w:r>
            <w:r w:rsidRPr="00DA4088">
              <w:rPr>
                <w:rFonts w:ascii="Arial" w:hAnsi="Arial" w:cs="Arial"/>
                <w:noProof/>
                <w:webHidden/>
                <w:sz w:val="22"/>
                <w:szCs w:val="22"/>
              </w:rPr>
              <w:fldChar w:fldCharType="separate"/>
            </w:r>
            <w:r w:rsidRPr="00DA4088">
              <w:rPr>
                <w:rFonts w:ascii="Arial" w:hAnsi="Arial" w:cs="Arial"/>
                <w:noProof/>
                <w:webHidden/>
                <w:sz w:val="22"/>
                <w:szCs w:val="22"/>
              </w:rPr>
              <w:t>7</w:t>
            </w:r>
            <w:r w:rsidRPr="00DA4088">
              <w:rPr>
                <w:rFonts w:ascii="Arial" w:hAnsi="Arial" w:cs="Arial"/>
                <w:noProof/>
                <w:webHidden/>
                <w:sz w:val="22"/>
                <w:szCs w:val="22"/>
              </w:rPr>
              <w:fldChar w:fldCharType="end"/>
            </w:r>
          </w:hyperlink>
        </w:p>
        <w:p w14:paraId="0512E831" w14:textId="6B6ED99A" w:rsidR="00DA4088" w:rsidRPr="00DA4088" w:rsidRDefault="00DA4088" w:rsidP="00DA4088">
          <w:pPr>
            <w:pStyle w:val="TOC1"/>
            <w:spacing w:line="360" w:lineRule="auto"/>
            <w:rPr>
              <w:rFonts w:ascii="Arial" w:eastAsiaTheme="minorEastAsia" w:hAnsi="Arial" w:cs="Arial"/>
              <w:b w:val="0"/>
              <w:bCs w:val="0"/>
              <w:i w:val="0"/>
              <w:iCs w:val="0"/>
              <w:noProof/>
              <w:sz w:val="22"/>
              <w:szCs w:val="22"/>
              <w:lang w:eastAsia="en-GB"/>
            </w:rPr>
          </w:pPr>
          <w:hyperlink w:anchor="_Toc128662689" w:history="1">
            <w:r w:rsidRPr="00DA4088">
              <w:rPr>
                <w:rStyle w:val="Hyperlink"/>
                <w:rFonts w:ascii="Arial" w:eastAsia="Arial" w:hAnsi="Arial" w:cs="Arial"/>
                <w:noProof/>
                <w:sz w:val="22"/>
                <w:szCs w:val="22"/>
              </w:rPr>
              <w:t>Conclusion</w:t>
            </w:r>
            <w:r w:rsidRPr="00DA4088">
              <w:rPr>
                <w:rFonts w:ascii="Arial" w:hAnsi="Arial" w:cs="Arial"/>
                <w:noProof/>
                <w:webHidden/>
                <w:sz w:val="22"/>
                <w:szCs w:val="22"/>
              </w:rPr>
              <w:tab/>
            </w:r>
            <w:r w:rsidRPr="00DA4088">
              <w:rPr>
                <w:rFonts w:ascii="Arial" w:hAnsi="Arial" w:cs="Arial"/>
                <w:noProof/>
                <w:webHidden/>
                <w:sz w:val="22"/>
                <w:szCs w:val="22"/>
              </w:rPr>
              <w:fldChar w:fldCharType="begin"/>
            </w:r>
            <w:r w:rsidRPr="00DA4088">
              <w:rPr>
                <w:rFonts w:ascii="Arial" w:hAnsi="Arial" w:cs="Arial"/>
                <w:noProof/>
                <w:webHidden/>
                <w:sz w:val="22"/>
                <w:szCs w:val="22"/>
              </w:rPr>
              <w:instrText xml:space="preserve"> PAGEREF _Toc128662689 \h </w:instrText>
            </w:r>
            <w:r w:rsidRPr="00DA4088">
              <w:rPr>
                <w:rFonts w:ascii="Arial" w:hAnsi="Arial" w:cs="Arial"/>
                <w:noProof/>
                <w:webHidden/>
                <w:sz w:val="22"/>
                <w:szCs w:val="22"/>
              </w:rPr>
            </w:r>
            <w:r w:rsidRPr="00DA4088">
              <w:rPr>
                <w:rFonts w:ascii="Arial" w:hAnsi="Arial" w:cs="Arial"/>
                <w:noProof/>
                <w:webHidden/>
                <w:sz w:val="22"/>
                <w:szCs w:val="22"/>
              </w:rPr>
              <w:fldChar w:fldCharType="separate"/>
            </w:r>
            <w:r w:rsidRPr="00DA4088">
              <w:rPr>
                <w:rFonts w:ascii="Arial" w:hAnsi="Arial" w:cs="Arial"/>
                <w:noProof/>
                <w:webHidden/>
                <w:sz w:val="22"/>
                <w:szCs w:val="22"/>
              </w:rPr>
              <w:t>8</w:t>
            </w:r>
            <w:r w:rsidRPr="00DA4088">
              <w:rPr>
                <w:rFonts w:ascii="Arial" w:hAnsi="Arial" w:cs="Arial"/>
                <w:noProof/>
                <w:webHidden/>
                <w:sz w:val="22"/>
                <w:szCs w:val="22"/>
              </w:rPr>
              <w:fldChar w:fldCharType="end"/>
            </w:r>
          </w:hyperlink>
        </w:p>
        <w:p w14:paraId="41625753" w14:textId="53C6C182" w:rsidR="00DA4088" w:rsidRPr="00DA4088" w:rsidRDefault="00DA4088" w:rsidP="00DA4088">
          <w:pPr>
            <w:pStyle w:val="TOC1"/>
            <w:spacing w:line="360" w:lineRule="auto"/>
            <w:rPr>
              <w:rFonts w:ascii="Arial" w:eastAsiaTheme="minorEastAsia" w:hAnsi="Arial" w:cs="Arial"/>
              <w:b w:val="0"/>
              <w:bCs w:val="0"/>
              <w:i w:val="0"/>
              <w:iCs w:val="0"/>
              <w:noProof/>
              <w:sz w:val="22"/>
              <w:szCs w:val="22"/>
              <w:lang w:eastAsia="en-GB"/>
            </w:rPr>
          </w:pPr>
          <w:hyperlink w:anchor="_Toc128662690" w:history="1">
            <w:r w:rsidRPr="00DA4088">
              <w:rPr>
                <w:rStyle w:val="Hyperlink"/>
                <w:rFonts w:ascii="Arial" w:hAnsi="Arial" w:cs="Arial"/>
                <w:noProof/>
                <w:sz w:val="22"/>
                <w:szCs w:val="22"/>
              </w:rPr>
              <w:t>References</w:t>
            </w:r>
            <w:r w:rsidRPr="00DA4088">
              <w:rPr>
                <w:rFonts w:ascii="Arial" w:hAnsi="Arial" w:cs="Arial"/>
                <w:noProof/>
                <w:webHidden/>
                <w:sz w:val="22"/>
                <w:szCs w:val="22"/>
              </w:rPr>
              <w:tab/>
            </w:r>
            <w:r w:rsidRPr="00DA4088">
              <w:rPr>
                <w:rFonts w:ascii="Arial" w:hAnsi="Arial" w:cs="Arial"/>
                <w:noProof/>
                <w:webHidden/>
                <w:sz w:val="22"/>
                <w:szCs w:val="22"/>
              </w:rPr>
              <w:fldChar w:fldCharType="begin"/>
            </w:r>
            <w:r w:rsidRPr="00DA4088">
              <w:rPr>
                <w:rFonts w:ascii="Arial" w:hAnsi="Arial" w:cs="Arial"/>
                <w:noProof/>
                <w:webHidden/>
                <w:sz w:val="22"/>
                <w:szCs w:val="22"/>
              </w:rPr>
              <w:instrText xml:space="preserve"> PAGEREF _Toc128662690 \h </w:instrText>
            </w:r>
            <w:r w:rsidRPr="00DA4088">
              <w:rPr>
                <w:rFonts w:ascii="Arial" w:hAnsi="Arial" w:cs="Arial"/>
                <w:noProof/>
                <w:webHidden/>
                <w:sz w:val="22"/>
                <w:szCs w:val="22"/>
              </w:rPr>
            </w:r>
            <w:r w:rsidRPr="00DA4088">
              <w:rPr>
                <w:rFonts w:ascii="Arial" w:hAnsi="Arial" w:cs="Arial"/>
                <w:noProof/>
                <w:webHidden/>
                <w:sz w:val="22"/>
                <w:szCs w:val="22"/>
              </w:rPr>
              <w:fldChar w:fldCharType="separate"/>
            </w:r>
            <w:r w:rsidRPr="00DA4088">
              <w:rPr>
                <w:rFonts w:ascii="Arial" w:hAnsi="Arial" w:cs="Arial"/>
                <w:noProof/>
                <w:webHidden/>
                <w:sz w:val="22"/>
                <w:szCs w:val="22"/>
              </w:rPr>
              <w:t>9</w:t>
            </w:r>
            <w:r w:rsidRPr="00DA4088">
              <w:rPr>
                <w:rFonts w:ascii="Arial" w:hAnsi="Arial" w:cs="Arial"/>
                <w:noProof/>
                <w:webHidden/>
                <w:sz w:val="22"/>
                <w:szCs w:val="22"/>
              </w:rPr>
              <w:fldChar w:fldCharType="end"/>
            </w:r>
          </w:hyperlink>
        </w:p>
        <w:p w14:paraId="713D4603" w14:textId="74BCD57A" w:rsidR="00545539" w:rsidRPr="00975349" w:rsidRDefault="00545539" w:rsidP="00DA4088">
          <w:pPr>
            <w:spacing w:line="360" w:lineRule="auto"/>
            <w:rPr>
              <w:rFonts w:ascii="Arial" w:hAnsi="Arial" w:cs="Arial"/>
              <w:sz w:val="22"/>
              <w:szCs w:val="22"/>
            </w:rPr>
          </w:pPr>
          <w:r w:rsidRPr="00DA4088">
            <w:rPr>
              <w:rFonts w:ascii="Arial" w:hAnsi="Arial" w:cs="Arial"/>
              <w:b/>
              <w:bCs/>
              <w:noProof/>
              <w:sz w:val="22"/>
              <w:szCs w:val="22"/>
            </w:rPr>
            <w:fldChar w:fldCharType="end"/>
          </w:r>
        </w:p>
      </w:sdtContent>
    </w:sdt>
    <w:p w14:paraId="00528148" w14:textId="11313BE9" w:rsidR="00545539" w:rsidRPr="00A53368" w:rsidRDefault="00545539" w:rsidP="00A53368">
      <w:pPr>
        <w:spacing w:line="360" w:lineRule="auto"/>
        <w:rPr>
          <w:rFonts w:ascii="Arial" w:eastAsia="Arial" w:hAnsi="Arial" w:cs="Arial"/>
          <w:color w:val="000000" w:themeColor="text1"/>
          <w:sz w:val="22"/>
          <w:szCs w:val="22"/>
        </w:rPr>
      </w:pPr>
    </w:p>
    <w:p w14:paraId="28D4203B" w14:textId="5CAFC8F9" w:rsidR="00545539" w:rsidRPr="00A53368" w:rsidRDefault="00545539" w:rsidP="00A53368">
      <w:pPr>
        <w:spacing w:line="360" w:lineRule="auto"/>
        <w:rPr>
          <w:rFonts w:ascii="Arial" w:eastAsia="Arial" w:hAnsi="Arial" w:cs="Arial"/>
          <w:color w:val="000000" w:themeColor="text1"/>
          <w:sz w:val="22"/>
          <w:szCs w:val="22"/>
        </w:rPr>
      </w:pPr>
      <w:r w:rsidRPr="00A53368">
        <w:rPr>
          <w:rFonts w:ascii="Arial" w:eastAsia="Arial" w:hAnsi="Arial" w:cs="Arial"/>
          <w:color w:val="000000" w:themeColor="text1"/>
          <w:sz w:val="22"/>
          <w:szCs w:val="22"/>
        </w:rPr>
        <w:br w:type="page"/>
      </w:r>
    </w:p>
    <w:p w14:paraId="2D0E1B12" w14:textId="34FCBEAF" w:rsidR="00545539" w:rsidRPr="00A53368" w:rsidRDefault="00545539" w:rsidP="00A53368">
      <w:pPr>
        <w:pStyle w:val="Heading1"/>
        <w:spacing w:line="360" w:lineRule="auto"/>
        <w:rPr>
          <w:rFonts w:ascii="Arial" w:eastAsia="Arial" w:hAnsi="Arial" w:cs="Arial"/>
          <w:sz w:val="22"/>
          <w:szCs w:val="22"/>
        </w:rPr>
      </w:pPr>
      <w:bookmarkStart w:id="0" w:name="_Toc128662685"/>
      <w:r w:rsidRPr="00A53368">
        <w:rPr>
          <w:rFonts w:ascii="Arial" w:eastAsia="Arial" w:hAnsi="Arial" w:cs="Arial"/>
          <w:sz w:val="22"/>
          <w:szCs w:val="22"/>
        </w:rPr>
        <w:lastRenderedPageBreak/>
        <w:t>Introduction</w:t>
      </w:r>
      <w:bookmarkEnd w:id="0"/>
      <w:r w:rsidRPr="00A53368">
        <w:rPr>
          <w:rFonts w:ascii="Arial" w:eastAsia="Arial" w:hAnsi="Arial" w:cs="Arial"/>
          <w:sz w:val="22"/>
          <w:szCs w:val="22"/>
        </w:rPr>
        <w:t xml:space="preserve"> </w:t>
      </w:r>
    </w:p>
    <w:p w14:paraId="5F2C0E8C" w14:textId="3836FBEF" w:rsidR="00545539" w:rsidRPr="00A53368" w:rsidRDefault="00545539" w:rsidP="00A53368">
      <w:pPr>
        <w:spacing w:line="360" w:lineRule="auto"/>
        <w:rPr>
          <w:rFonts w:ascii="Arial" w:eastAsia="Arial" w:hAnsi="Arial" w:cs="Arial"/>
          <w:sz w:val="22"/>
          <w:szCs w:val="22"/>
        </w:rPr>
      </w:pPr>
    </w:p>
    <w:p w14:paraId="6FB3552C" w14:textId="77777777" w:rsidR="00EA2136" w:rsidRPr="00A53368" w:rsidRDefault="00EA2136" w:rsidP="00A53368">
      <w:pPr>
        <w:spacing w:line="360" w:lineRule="auto"/>
        <w:rPr>
          <w:rFonts w:ascii="Arial" w:hAnsi="Arial" w:cs="Arial"/>
          <w:color w:val="0E101A"/>
          <w:sz w:val="22"/>
          <w:szCs w:val="22"/>
        </w:rPr>
      </w:pPr>
      <w:r w:rsidRPr="00A53368">
        <w:rPr>
          <w:rFonts w:ascii="Arial" w:hAnsi="Arial" w:cs="Arial"/>
          <w:color w:val="0E101A"/>
          <w:sz w:val="22"/>
          <w:szCs w:val="22"/>
        </w:rPr>
        <w:t xml:space="preserve">Community engagement is a critical component of local government administration. Building ties with the community and including them in decisions that have an impact on their lives is the task at hand. Effective community engagement is essential for social and economic development projects. Usually, a framework of guiding methods, concepts, and approaches rather than a specific "model" drive engagement. This report will explore the best practices for community engagement, particularly on community engagement principles, standards, and the benefits of stakeholders' participation (Green et al., 2021). This framework is built on values that respect each community member's right to information, consultation, participation, and empowerment. Various methods and tactics are used to ensure the effectiveness of community participation. It also emphasises building trust as a crucial component of long-term, sustainable involvement and efficient government. </w:t>
      </w:r>
    </w:p>
    <w:p w14:paraId="4DD7628F" w14:textId="1380D338" w:rsidR="00EA2136" w:rsidRP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 xml:space="preserve">Positive interactions between citizens and government agencies make community involvement feasible and essential. It results in more sustainable public choices and enhances the </w:t>
      </w:r>
      <w:r w:rsidR="00A53368">
        <w:rPr>
          <w:rFonts w:ascii="Arial" w:hAnsi="Arial" w:cs="Arial"/>
          <w:color w:val="0E101A"/>
          <w:sz w:val="22"/>
          <w:szCs w:val="22"/>
        </w:rPr>
        <w:t>liveability</w:t>
      </w:r>
      <w:r w:rsidRPr="00A53368">
        <w:rPr>
          <w:rFonts w:ascii="Arial" w:hAnsi="Arial" w:cs="Arial"/>
          <w:color w:val="0E101A"/>
          <w:sz w:val="22"/>
          <w:szCs w:val="22"/>
        </w:rPr>
        <w:t xml:space="preserve"> of the communities in which it is implemented. My main duty as a community engagement officer is to find and develop the connection between the community and the local government. It is crucial for everyone who contributes to community welfare and growth to comprehend what a community is and how the communities people work in are unique. Each action we take in a community demands that anyone be knowledgeable about its residents, problems, and history (Green et al., 2021). A coalition or intervention is far more likely to be successful if it is founded on understanding the local culture and relationships between individuals and groups.</w:t>
      </w:r>
    </w:p>
    <w:p w14:paraId="5AECF62B" w14:textId="77777777" w:rsidR="00EA2136" w:rsidRP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 xml:space="preserve">The counties of East Riding of Yorkshire, North Yorkshire, West Yorkshire, and South Yorkshire from the county of Yorkshire. The Yorkshire council is active in several areas, including social services, infrastructure development, community safety, and environmental concerns. Regarding social services, the council supports vulnerable groups such as the elderly, disabled, and low-income families. The council maintains roads, parks, public spaces, and other public facilities in infrastructure development. The council also must ensure the community's safety through measures such as policing and emergency services (Community First Yorkshire, 2023). Conversely, the council addresses environmental concerns such as pollution and waste management. One key area that the council is currently active in is social deprivation. </w:t>
      </w:r>
    </w:p>
    <w:p w14:paraId="4FACB0E1" w14:textId="0EBD787B" w:rsidR="00EA2136" w:rsidRP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 xml:space="preserve">The district councils or their respective housing organisations are responsible for providing housing services. Deprivation is the absence of tangible advantages typically seen as essential in a community, including employment, money, excellent housing, and education. The relative degrees of impoverishment are a significant factor in determining the </w:t>
      </w:r>
      <w:r w:rsidRPr="00A53368">
        <w:rPr>
          <w:rFonts w:ascii="Arial" w:hAnsi="Arial" w:cs="Arial"/>
          <w:color w:val="0E101A"/>
          <w:sz w:val="22"/>
          <w:szCs w:val="22"/>
        </w:rPr>
        <w:lastRenderedPageBreak/>
        <w:t xml:space="preserve">"need" for several </w:t>
      </w:r>
      <w:r w:rsidR="004F3631">
        <w:rPr>
          <w:rFonts w:ascii="Arial" w:hAnsi="Arial" w:cs="Arial"/>
          <w:color w:val="0E101A"/>
          <w:sz w:val="22"/>
          <w:szCs w:val="22"/>
        </w:rPr>
        <w:t>L</w:t>
      </w:r>
      <w:r w:rsidRPr="00A53368">
        <w:rPr>
          <w:rFonts w:ascii="Arial" w:hAnsi="Arial" w:cs="Arial"/>
          <w:color w:val="0E101A"/>
          <w:sz w:val="22"/>
          <w:szCs w:val="22"/>
        </w:rPr>
        <w:t xml:space="preserve">ocal </w:t>
      </w:r>
      <w:r w:rsidR="004F3631">
        <w:rPr>
          <w:rFonts w:ascii="Arial" w:hAnsi="Arial" w:cs="Arial"/>
          <w:color w:val="0E101A"/>
          <w:sz w:val="22"/>
          <w:szCs w:val="22"/>
        </w:rPr>
        <w:t>A</w:t>
      </w:r>
      <w:r w:rsidRPr="00A53368">
        <w:rPr>
          <w:rFonts w:ascii="Arial" w:hAnsi="Arial" w:cs="Arial"/>
          <w:color w:val="0E101A"/>
          <w:sz w:val="22"/>
          <w:szCs w:val="22"/>
        </w:rPr>
        <w:t>uthorities</w:t>
      </w:r>
      <w:r w:rsidR="00A53368">
        <w:rPr>
          <w:rFonts w:ascii="Arial" w:hAnsi="Arial" w:cs="Arial"/>
          <w:color w:val="0E101A"/>
          <w:sz w:val="22"/>
          <w:szCs w:val="22"/>
        </w:rPr>
        <w:t xml:space="preserve"> </w:t>
      </w:r>
      <w:r w:rsidRPr="00A53368">
        <w:rPr>
          <w:rFonts w:ascii="Arial" w:hAnsi="Arial" w:cs="Arial"/>
          <w:color w:val="0E101A"/>
          <w:sz w:val="22"/>
          <w:szCs w:val="22"/>
        </w:rPr>
        <w:t>resources. Deprivation is a significant cost factor in the current local council funding formulae, a significant need driver for many demand-led services, dramatically impacting how funding is allocated (</w:t>
      </w:r>
      <w:proofErr w:type="spellStart"/>
      <w:r w:rsidRPr="00A53368">
        <w:rPr>
          <w:rFonts w:ascii="Arial" w:hAnsi="Arial" w:cs="Arial"/>
          <w:color w:val="0E101A"/>
          <w:sz w:val="22"/>
          <w:szCs w:val="22"/>
        </w:rPr>
        <w:t>Manyowa</w:t>
      </w:r>
      <w:proofErr w:type="spellEnd"/>
      <w:r w:rsidRPr="00A53368">
        <w:rPr>
          <w:rFonts w:ascii="Arial" w:hAnsi="Arial" w:cs="Arial"/>
          <w:color w:val="0E101A"/>
          <w:sz w:val="22"/>
          <w:szCs w:val="22"/>
        </w:rPr>
        <w:t>, 2023). The Office for National Statistics mapped out every area of the UK and its degrees of deprivation using data from the 2021 census. Bradford and Doncaster are rated as the two most impoverished cities in Yorkshire (</w:t>
      </w:r>
      <w:proofErr w:type="spellStart"/>
      <w:r w:rsidRPr="00A53368">
        <w:rPr>
          <w:rFonts w:ascii="Arial" w:hAnsi="Arial" w:cs="Arial"/>
          <w:color w:val="0E101A"/>
          <w:sz w:val="22"/>
          <w:szCs w:val="22"/>
        </w:rPr>
        <w:t>Caperon</w:t>
      </w:r>
      <w:proofErr w:type="spellEnd"/>
      <w:r w:rsidRPr="00A53368">
        <w:rPr>
          <w:rFonts w:ascii="Arial" w:hAnsi="Arial" w:cs="Arial"/>
          <w:color w:val="0E101A"/>
          <w:sz w:val="22"/>
          <w:szCs w:val="22"/>
        </w:rPr>
        <w:t xml:space="preserve"> et al., 2022). The project can offer housing services, such as council housing, tenant support, maintenance and repairs of social housing, avoiding homelessness, and dealing with other housing-related concerns.</w:t>
      </w:r>
    </w:p>
    <w:p w14:paraId="2F0A78BD" w14:textId="54CF292E" w:rsidR="00EA2136" w:rsidRP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 xml:space="preserve">The New Community Centre Project (NCCP) is a social development initiative with the goal of giving the </w:t>
      </w:r>
      <w:r w:rsidR="00A53368">
        <w:rPr>
          <w:rFonts w:ascii="Arial" w:hAnsi="Arial" w:cs="Arial"/>
          <w:color w:val="0E101A"/>
          <w:sz w:val="22"/>
          <w:szCs w:val="22"/>
        </w:rPr>
        <w:t>neighbourhood's</w:t>
      </w:r>
      <w:r w:rsidRPr="00A53368">
        <w:rPr>
          <w:rFonts w:ascii="Arial" w:hAnsi="Arial" w:cs="Arial"/>
          <w:color w:val="0E101A"/>
          <w:sz w:val="22"/>
          <w:szCs w:val="22"/>
        </w:rPr>
        <w:t xml:space="preserve"> residents a warm, welcome place to gather for social gatherings, educational programs, and recreational activities. In response to the town's acknowledged demand for a community centre to act as a community hub, the local council started the project. The social and economic development project under consideration will involve the construction of a community centre in a deprived area in Yorkshire. Many services and events, such as after-school programs, social organisations, and health services, will be offered by the community centre.</w:t>
      </w:r>
    </w:p>
    <w:p w14:paraId="3FC6ABB3" w14:textId="77777777" w:rsidR="00EA2136" w:rsidRP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Yorkshire Council concentrated its efforts on one priority neighbourhood at a time, using all available resources to improve these areas individually. The project will be funded through ECO funds, Yorkshire Authority funding, and local economic partnership funding. The NCCP will be able to rehabilitate 100 houses due to this funding. After the financing is acquired, they will conduct a means test on each property to determine how much each will have to pay. The landlord was charged 15% of the remodelling expenses for privately leased residences, while residents paid 0% to 15% depending on their income levels for owner-occupied properties (Local Government Association, 2021). Owners in these priority areas are frequently asked to pay relatively little.</w:t>
      </w:r>
    </w:p>
    <w:p w14:paraId="43B5BEFB" w14:textId="77777777" w:rsidR="00EA2136" w:rsidRP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As with many initiatives, early private property take-up is projected to be sluggish. As a result, NCCP will prioritise upgrading the 30 council houses to demonstrate progress and initiate dialogues. This will snowball, with property owners and land developers also wanting the works. Furthermore, the project will establish the neighbourhood as a selective licensing area to reach private landlords, requiring landlords to apply for a municipal licence. This licence will give the council authority to evaluate houses and identify the ones that require the most retrofit. As with many initiatives, early private property take-up is projected to be sluggish. As a result, NCCP will prioritise upgrading the 30 council houses to demonstrate progress and initiate dialogues. This will snowball, with property owners and land developers also wanting the works. This licence will give the council authority to evaluate houses and identify the ones that require the most retrofit.</w:t>
      </w:r>
    </w:p>
    <w:p w14:paraId="11CBDEE7" w14:textId="77777777" w:rsidR="00A53368" w:rsidRDefault="00A53368" w:rsidP="00A53368">
      <w:pPr>
        <w:spacing w:line="360" w:lineRule="auto"/>
        <w:rPr>
          <w:rFonts w:ascii="Arial" w:hAnsi="Arial" w:cs="Arial"/>
          <w:b/>
          <w:color w:val="0E101A"/>
          <w:sz w:val="22"/>
          <w:szCs w:val="22"/>
        </w:rPr>
      </w:pPr>
    </w:p>
    <w:p w14:paraId="2E6C6B91" w14:textId="5532F81B" w:rsidR="00EA2136" w:rsidRPr="00A53368" w:rsidRDefault="00EA2136" w:rsidP="00A53368">
      <w:pPr>
        <w:pStyle w:val="Heading1"/>
        <w:rPr>
          <w:rFonts w:ascii="Arial" w:hAnsi="Arial" w:cs="Arial"/>
          <w:sz w:val="22"/>
          <w:szCs w:val="22"/>
        </w:rPr>
      </w:pPr>
      <w:bookmarkStart w:id="1" w:name="_Toc128662686"/>
      <w:r w:rsidRPr="00A53368">
        <w:rPr>
          <w:rFonts w:ascii="Arial" w:eastAsia="Times New Roman" w:hAnsi="Arial" w:cs="Arial"/>
          <w:sz w:val="22"/>
          <w:szCs w:val="22"/>
        </w:rPr>
        <w:lastRenderedPageBreak/>
        <w:t>Community Engagement</w:t>
      </w:r>
      <w:bookmarkEnd w:id="1"/>
    </w:p>
    <w:p w14:paraId="1F64FE23" w14:textId="77777777" w:rsidR="00A53368" w:rsidRPr="00A53368" w:rsidRDefault="00A53368" w:rsidP="00A53368">
      <w:pPr>
        <w:spacing w:line="360" w:lineRule="auto"/>
        <w:rPr>
          <w:rFonts w:ascii="Arial" w:hAnsi="Arial" w:cs="Arial"/>
          <w:b/>
          <w:color w:val="0E101A"/>
          <w:sz w:val="22"/>
          <w:szCs w:val="22"/>
        </w:rPr>
      </w:pPr>
    </w:p>
    <w:p w14:paraId="10675EFD" w14:textId="6F1B8148" w:rsidR="00EA2136" w:rsidRPr="00A53368" w:rsidRDefault="00EA2136" w:rsidP="00A53368">
      <w:pPr>
        <w:spacing w:line="360" w:lineRule="auto"/>
        <w:rPr>
          <w:rFonts w:ascii="Arial" w:hAnsi="Arial" w:cs="Arial"/>
          <w:color w:val="0E101A"/>
          <w:sz w:val="22"/>
          <w:szCs w:val="22"/>
        </w:rPr>
      </w:pPr>
      <w:r w:rsidRPr="00A53368">
        <w:rPr>
          <w:rFonts w:ascii="Arial" w:hAnsi="Arial" w:cs="Arial"/>
          <w:color w:val="0E101A"/>
          <w:sz w:val="22"/>
          <w:szCs w:val="22"/>
        </w:rPr>
        <w:t xml:space="preserve">Introducing changes in local policy initiatives and vital services improves the quality of life and </w:t>
      </w:r>
      <w:r w:rsidR="00A53368">
        <w:rPr>
          <w:rFonts w:ascii="Arial" w:hAnsi="Arial" w:cs="Arial"/>
          <w:color w:val="0E101A"/>
          <w:sz w:val="22"/>
          <w:szCs w:val="22"/>
        </w:rPr>
        <w:t>liveability</w:t>
      </w:r>
      <w:r w:rsidRPr="00A53368">
        <w:rPr>
          <w:rFonts w:ascii="Arial" w:hAnsi="Arial" w:cs="Arial"/>
          <w:color w:val="0E101A"/>
          <w:sz w:val="22"/>
          <w:szCs w:val="22"/>
        </w:rPr>
        <w:t xml:space="preserve"> of neighbourhoods and helps structure and project society's future, bringing broader societal change and global impacts. These are just a few examples of narratives about the significance of community outreach. Effective community engagement requires the adoption of best practices and community engagement principles. This report proposes employing early engagement, clear communication, active listening, and flexibility. </w:t>
      </w:r>
    </w:p>
    <w:p w14:paraId="68B3C40F" w14:textId="77777777" w:rsidR="00EA2136" w:rsidRP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Early engagement ensures the community is involved in the project planning process from the outset. It allows them to provide feedback and suggestions to shape the project's direction. Clear communication ensures that the community understands the project's objectives and helps build trust between the council and the community. Active listening ensures that the council understands the community's needs and priorities, enabling them to address any concerns the community may have (</w:t>
      </w:r>
      <w:proofErr w:type="spellStart"/>
      <w:r w:rsidRPr="00A53368">
        <w:rPr>
          <w:rFonts w:ascii="Arial" w:hAnsi="Arial" w:cs="Arial"/>
          <w:color w:val="0E101A"/>
          <w:sz w:val="22"/>
          <w:szCs w:val="22"/>
        </w:rPr>
        <w:t>Ciobotaru</w:t>
      </w:r>
      <w:proofErr w:type="spellEnd"/>
      <w:r w:rsidRPr="00A53368">
        <w:rPr>
          <w:rFonts w:ascii="Arial" w:hAnsi="Arial" w:cs="Arial"/>
          <w:color w:val="0E101A"/>
          <w:sz w:val="22"/>
          <w:szCs w:val="22"/>
        </w:rPr>
        <w:t xml:space="preserve"> et al., 2022). Flexibility ensures that the council is receptive to community comments and recommendations, allowing them to modify the project to suit the community's requirements.</w:t>
      </w:r>
    </w:p>
    <w:p w14:paraId="53755D79" w14:textId="77777777" w:rsidR="00EA2136" w:rsidRP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Stakeholders in this project include community members, local businesses, and community organisations. Local residents who will take use of the services and amenities offered by the community centre are the project's main stakeholders. These participants can take part in educational programs, leisure activities, and social gatherings planned by the NCCP. These members may be youngsters, adolescents, adults, or elders. Local businesses in the area surrounding the NCCP project site are also stakeholders (Coates et al., 2021). Moreover, local businesses may be interested in partnering with the NCCP to sponsor or promote community events, which can help them to improve their brand image and reputation. Community organisations, such as local charities, non-profit organisations, and advocacy groups, are also stakeholders in the NCCP project. Community organisations may also be interested in renting space in the community centre to host their events or programs.</w:t>
      </w:r>
    </w:p>
    <w:p w14:paraId="588FC59E" w14:textId="77777777" w:rsidR="00EA2136" w:rsidRP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 xml:space="preserve">The local government, including the local mayor and policymakers, is a stakeholder in the NCCP project. In preparation for the continued devolution of responsibilities and resources from the central government, working with Yorkshire local authority will free up time to concentrate on strategic areas of skills delivery. They may provide funding or support for the project and may also be involved in the planning and development of the community centre (West Yorkshire Combined Authority, 2021). Consequently, community leaders, such as religious leaders, educators, and activists, are also stakeholders in the NCCP project. They will be involved in the planning and development of the community centre. They may </w:t>
      </w:r>
      <w:r w:rsidRPr="00A53368">
        <w:rPr>
          <w:rFonts w:ascii="Arial" w:hAnsi="Arial" w:cs="Arial"/>
          <w:color w:val="0E101A"/>
          <w:sz w:val="22"/>
          <w:szCs w:val="22"/>
        </w:rPr>
        <w:lastRenderedPageBreak/>
        <w:t>also promote the centre and encourage community members to participate in its programs and activities.</w:t>
      </w:r>
    </w:p>
    <w:p w14:paraId="1E9D365C" w14:textId="77777777" w:rsidR="00EA2136" w:rsidRP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Creating a diverse and inclusive environment is vital to ensuring that everyone has an opportunity to participate in the project. Community engagement practitioners should promote diversity and inclusion by creating a safe and welcoming environment for all stakeholders (McVicar, 2020). The NCCP initiative will achieve this by promoting cultural events, celebrating diversity, and providing opportunities for community members to learn about different cultures and traditions. The council can also engage with local schools and youth organisations to promote cross-cultural understanding and inclusivity.</w:t>
      </w:r>
    </w:p>
    <w:p w14:paraId="55058290" w14:textId="77777777" w:rsid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Consequently, the council must establish positive relationships with stakeholders, including community members, local businesses, and community organisations. The project team will build trust and support among community members and ensure the project is successful and beneficial for everyone involved. Best practices in community engagement would involve identifying and engaging key stakeholders, including local police, community organisations, and residents (</w:t>
      </w:r>
      <w:proofErr w:type="spellStart"/>
      <w:r w:rsidRPr="00A53368">
        <w:rPr>
          <w:rFonts w:ascii="Arial" w:hAnsi="Arial" w:cs="Arial"/>
          <w:color w:val="0E101A"/>
          <w:sz w:val="22"/>
          <w:szCs w:val="22"/>
        </w:rPr>
        <w:t>Ciobotaru</w:t>
      </w:r>
      <w:proofErr w:type="spellEnd"/>
      <w:r w:rsidRPr="00A53368">
        <w:rPr>
          <w:rFonts w:ascii="Arial" w:hAnsi="Arial" w:cs="Arial"/>
          <w:color w:val="0E101A"/>
          <w:sz w:val="22"/>
          <w:szCs w:val="22"/>
        </w:rPr>
        <w:t xml:space="preserve"> et al., 2022). </w:t>
      </w:r>
    </w:p>
    <w:p w14:paraId="5A42D03E" w14:textId="2B1EFA60" w:rsidR="00A53368" w:rsidRDefault="00A53368" w:rsidP="00A53368">
      <w:pPr>
        <w:spacing w:line="360" w:lineRule="auto"/>
        <w:rPr>
          <w:rFonts w:ascii="Arial" w:hAnsi="Arial" w:cs="Arial"/>
          <w:color w:val="0E101A"/>
          <w:sz w:val="22"/>
          <w:szCs w:val="22"/>
        </w:rPr>
      </w:pPr>
    </w:p>
    <w:p w14:paraId="21433A44" w14:textId="3BA2C09B" w:rsidR="00A53368" w:rsidRPr="00A53368" w:rsidRDefault="00A53368" w:rsidP="00A53368">
      <w:pPr>
        <w:pStyle w:val="Heading1"/>
        <w:spacing w:line="360" w:lineRule="auto"/>
        <w:rPr>
          <w:rFonts w:ascii="Arial" w:hAnsi="Arial" w:cs="Arial"/>
          <w:sz w:val="22"/>
          <w:szCs w:val="22"/>
        </w:rPr>
      </w:pPr>
      <w:bookmarkStart w:id="2" w:name="_Toc128662687"/>
      <w:r w:rsidRPr="00A53368">
        <w:rPr>
          <w:rFonts w:ascii="Arial" w:hAnsi="Arial" w:cs="Arial"/>
          <w:sz w:val="22"/>
          <w:szCs w:val="22"/>
        </w:rPr>
        <w:t>Social Media Platforms</w:t>
      </w:r>
      <w:bookmarkEnd w:id="2"/>
      <w:r w:rsidRPr="00A53368">
        <w:rPr>
          <w:rFonts w:ascii="Arial" w:hAnsi="Arial" w:cs="Arial"/>
          <w:sz w:val="22"/>
          <w:szCs w:val="22"/>
        </w:rPr>
        <w:t xml:space="preserve"> </w:t>
      </w:r>
    </w:p>
    <w:p w14:paraId="6DC3CD8D" w14:textId="77777777" w:rsidR="00A53368" w:rsidRDefault="00A53368" w:rsidP="00A53368">
      <w:pPr>
        <w:spacing w:line="360" w:lineRule="auto"/>
        <w:rPr>
          <w:rFonts w:ascii="Arial" w:hAnsi="Arial" w:cs="Arial"/>
          <w:color w:val="0E101A"/>
          <w:sz w:val="22"/>
          <w:szCs w:val="22"/>
        </w:rPr>
      </w:pPr>
    </w:p>
    <w:p w14:paraId="103B39D9" w14:textId="08598FE6" w:rsidR="00EA2136" w:rsidRPr="00A53368" w:rsidRDefault="00EA2136" w:rsidP="00A53368">
      <w:pPr>
        <w:spacing w:line="360" w:lineRule="auto"/>
        <w:rPr>
          <w:rFonts w:ascii="Arial" w:hAnsi="Arial" w:cs="Arial"/>
          <w:color w:val="0E101A"/>
          <w:sz w:val="22"/>
          <w:szCs w:val="22"/>
        </w:rPr>
      </w:pPr>
      <w:r w:rsidRPr="00A53368">
        <w:rPr>
          <w:rFonts w:ascii="Arial" w:hAnsi="Arial" w:cs="Arial"/>
          <w:color w:val="0E101A"/>
          <w:sz w:val="22"/>
          <w:szCs w:val="22"/>
        </w:rPr>
        <w:t>Using social media platforms, including Twitter</w:t>
      </w:r>
      <w:r w:rsidR="00A53368">
        <w:rPr>
          <w:rFonts w:ascii="Arial" w:hAnsi="Arial" w:cs="Arial"/>
          <w:color w:val="0E101A"/>
          <w:sz w:val="22"/>
          <w:szCs w:val="22"/>
        </w:rPr>
        <w:t xml:space="preserve">, </w:t>
      </w:r>
      <w:r w:rsidRPr="00A53368">
        <w:rPr>
          <w:rFonts w:ascii="Arial" w:hAnsi="Arial" w:cs="Arial"/>
          <w:color w:val="0E101A"/>
          <w:sz w:val="22"/>
          <w:szCs w:val="22"/>
        </w:rPr>
        <w:t>Facebook</w:t>
      </w:r>
      <w:r w:rsidR="00A53368">
        <w:rPr>
          <w:rFonts w:ascii="Arial" w:hAnsi="Arial" w:cs="Arial"/>
          <w:color w:val="0E101A"/>
          <w:sz w:val="22"/>
          <w:szCs w:val="22"/>
        </w:rPr>
        <w:t>, TikTok, Instagram and YouTube</w:t>
      </w:r>
      <w:r w:rsidRPr="00A53368">
        <w:rPr>
          <w:rFonts w:ascii="Arial" w:hAnsi="Arial" w:cs="Arial"/>
          <w:color w:val="0E101A"/>
          <w:sz w:val="22"/>
          <w:szCs w:val="22"/>
        </w:rPr>
        <w:t xml:space="preserve">, would require a proactive approach to disseminate information, solicit feedback, and encourage community participation. </w:t>
      </w:r>
    </w:p>
    <w:p w14:paraId="4B26E5D1" w14:textId="31E65F0C" w:rsidR="00EA2136" w:rsidRPr="00A53368" w:rsidRDefault="00DA4088" w:rsidP="00A53368">
      <w:pPr>
        <w:spacing w:line="360" w:lineRule="auto"/>
        <w:rPr>
          <w:rFonts w:ascii="Arial" w:hAnsi="Arial" w:cs="Arial"/>
          <w:color w:val="0E101A"/>
          <w:sz w:val="22"/>
          <w:szCs w:val="22"/>
        </w:rPr>
      </w:pPr>
      <w:r>
        <w:rPr>
          <w:rFonts w:ascii="Arial" w:hAnsi="Arial" w:cs="Arial"/>
          <w:color w:val="0E101A"/>
          <w:sz w:val="22"/>
          <w:szCs w:val="22"/>
        </w:rPr>
        <w:t xml:space="preserve">               </w:t>
      </w:r>
      <w:r w:rsidR="00336363">
        <w:rPr>
          <w:rFonts w:ascii="Arial" w:hAnsi="Arial" w:cs="Arial"/>
          <w:color w:val="0E101A"/>
          <w:sz w:val="22"/>
          <w:szCs w:val="22"/>
        </w:rPr>
        <w:t xml:space="preserve">Facebook, YouTube and </w:t>
      </w:r>
      <w:r w:rsidR="00A53368">
        <w:rPr>
          <w:rFonts w:ascii="Arial" w:hAnsi="Arial" w:cs="Arial"/>
          <w:color w:val="0E101A"/>
          <w:sz w:val="22"/>
          <w:szCs w:val="22"/>
        </w:rPr>
        <w:t>TikTok</w:t>
      </w:r>
      <w:r w:rsidR="00EA2136" w:rsidRPr="00A53368">
        <w:rPr>
          <w:rFonts w:ascii="Arial" w:hAnsi="Arial" w:cs="Arial"/>
          <w:color w:val="0E101A"/>
          <w:sz w:val="22"/>
          <w:szCs w:val="22"/>
        </w:rPr>
        <w:t xml:space="preserve"> is an excellent platform for sharing project updates, photos, and videos. It can also create events, polls, and surveys to gather stakeholder feedback. Conversely, LinkedIn can </w:t>
      </w:r>
      <w:r w:rsidR="00C03012">
        <w:rPr>
          <w:rFonts w:ascii="Arial" w:hAnsi="Arial" w:cs="Arial"/>
          <w:color w:val="0E101A"/>
          <w:sz w:val="22"/>
          <w:szCs w:val="22"/>
        </w:rPr>
        <w:t xml:space="preserve">also </w:t>
      </w:r>
      <w:r w:rsidR="00EA2136" w:rsidRPr="00A53368">
        <w:rPr>
          <w:rFonts w:ascii="Arial" w:hAnsi="Arial" w:cs="Arial"/>
          <w:color w:val="0E101A"/>
          <w:sz w:val="22"/>
          <w:szCs w:val="22"/>
        </w:rPr>
        <w:t>be used to connect with local businesses and organisations and promote the project's benefits to the community. Social media will enable the programme to seek and incorporate feedback from the community throughout the project's life cycle (</w:t>
      </w:r>
      <w:proofErr w:type="spellStart"/>
      <w:r w:rsidR="00EA2136" w:rsidRPr="00A53368">
        <w:rPr>
          <w:rFonts w:ascii="Arial" w:hAnsi="Arial" w:cs="Arial"/>
          <w:color w:val="0E101A"/>
          <w:sz w:val="22"/>
          <w:szCs w:val="22"/>
        </w:rPr>
        <w:t>Ciobotaru</w:t>
      </w:r>
      <w:proofErr w:type="spellEnd"/>
      <w:r w:rsidR="00EA2136" w:rsidRPr="00A53368">
        <w:rPr>
          <w:rFonts w:ascii="Arial" w:hAnsi="Arial" w:cs="Arial"/>
          <w:color w:val="0E101A"/>
          <w:sz w:val="22"/>
          <w:szCs w:val="22"/>
        </w:rPr>
        <w:t xml:space="preserve"> et al., 2022). Understanding the needs and expectations of these stakeholders is critical to ensuring that the project meets their needs and expectations.</w:t>
      </w:r>
    </w:p>
    <w:p w14:paraId="2E4B4E4E" w14:textId="77777777" w:rsidR="00EA2136" w:rsidRPr="00A53368" w:rsidRDefault="00EA2136" w:rsidP="00A53368">
      <w:pPr>
        <w:spacing w:line="360" w:lineRule="auto"/>
        <w:ind w:firstLine="720"/>
        <w:rPr>
          <w:rFonts w:ascii="Arial" w:hAnsi="Arial" w:cs="Arial"/>
          <w:color w:val="0E101A"/>
          <w:sz w:val="22"/>
          <w:szCs w:val="22"/>
        </w:rPr>
      </w:pPr>
      <w:r w:rsidRPr="00A53368">
        <w:rPr>
          <w:rFonts w:ascii="Arial" w:hAnsi="Arial" w:cs="Arial"/>
          <w:color w:val="0E101A"/>
          <w:sz w:val="22"/>
          <w:szCs w:val="22"/>
        </w:rPr>
        <w:t xml:space="preserve">The New Community Centre Project (NCCP) project team will also improve engagement by conducting community events such as town hall meetings, community fairs, and workshops. These events provide opportunities for residents to interact with council officials and provide feedback on critical issues affecting the community. Engaging in one-on-one discussions with residents can also be valuable, allowing for more personalised and in-depth conversations about specific concerns or ideas. The NCCP project team can create a community centre that genuinely meets the community's needs by ensuring that residents' </w:t>
      </w:r>
      <w:r w:rsidRPr="00A53368">
        <w:rPr>
          <w:rFonts w:ascii="Arial" w:hAnsi="Arial" w:cs="Arial"/>
          <w:color w:val="0E101A"/>
          <w:sz w:val="22"/>
          <w:szCs w:val="22"/>
        </w:rPr>
        <w:lastRenderedPageBreak/>
        <w:t>voices are heard, and their needs are considered. Overall, this approach to community engagement demonstrates a commitment to collaboration and support for the project among community members.</w:t>
      </w:r>
    </w:p>
    <w:p w14:paraId="413A8CA7" w14:textId="77777777" w:rsidR="00A53368" w:rsidRDefault="00A53368" w:rsidP="00A53368">
      <w:pPr>
        <w:spacing w:line="360" w:lineRule="auto"/>
        <w:rPr>
          <w:rFonts w:ascii="Arial" w:hAnsi="Arial" w:cs="Arial"/>
          <w:b/>
          <w:color w:val="0E101A"/>
          <w:sz w:val="22"/>
          <w:szCs w:val="22"/>
        </w:rPr>
      </w:pPr>
    </w:p>
    <w:p w14:paraId="7CEF27F4" w14:textId="687188C9" w:rsidR="00A53368" w:rsidRDefault="00C836A9" w:rsidP="00A53368">
      <w:pPr>
        <w:spacing w:line="360" w:lineRule="auto"/>
        <w:rPr>
          <w:rFonts w:ascii="Arial" w:hAnsi="Arial" w:cs="Arial"/>
          <w:b/>
          <w:color w:val="0E101A"/>
          <w:sz w:val="22"/>
          <w:szCs w:val="22"/>
        </w:rPr>
      </w:pPr>
      <w:r>
        <w:rPr>
          <w:rFonts w:ascii="Arial" w:hAnsi="Arial" w:cs="Arial"/>
          <w:b/>
          <w:noProof/>
          <w:color w:val="0E101A"/>
          <w:sz w:val="22"/>
          <w:szCs w:val="22"/>
        </w:rPr>
        <w:drawing>
          <wp:inline distT="0" distB="0" distL="0" distR="0" wp14:anchorId="66996354" wp14:editId="4A563C11">
            <wp:extent cx="5078355" cy="2731089"/>
            <wp:effectExtent l="0" t="0" r="1905"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57506" cy="2827435"/>
                    </a:xfrm>
                    <a:prstGeom prst="rect">
                      <a:avLst/>
                    </a:prstGeom>
                  </pic:spPr>
                </pic:pic>
              </a:graphicData>
            </a:graphic>
          </wp:inline>
        </w:drawing>
      </w:r>
    </w:p>
    <w:p w14:paraId="17A664A6" w14:textId="60F6B416" w:rsidR="00A53368" w:rsidRDefault="00C836A9" w:rsidP="00A53368">
      <w:pPr>
        <w:spacing w:line="360" w:lineRule="auto"/>
        <w:rPr>
          <w:rFonts w:ascii="Arial" w:hAnsi="Arial" w:cs="Arial"/>
          <w:b/>
          <w:color w:val="0E101A"/>
          <w:sz w:val="22"/>
          <w:szCs w:val="22"/>
        </w:rPr>
      </w:pPr>
      <w:sdt>
        <w:sdtPr>
          <w:rPr>
            <w:rFonts w:ascii="Arial" w:hAnsi="Arial" w:cs="Arial"/>
            <w:b/>
            <w:color w:val="0E101A"/>
            <w:sz w:val="22"/>
            <w:szCs w:val="22"/>
          </w:rPr>
          <w:id w:val="2006401843"/>
          <w:citation/>
        </w:sdtPr>
        <w:sdtContent>
          <w:r>
            <w:rPr>
              <w:rFonts w:ascii="Arial" w:hAnsi="Arial" w:cs="Arial"/>
              <w:b/>
              <w:color w:val="0E101A"/>
              <w:sz w:val="22"/>
              <w:szCs w:val="22"/>
            </w:rPr>
            <w:fldChar w:fldCharType="begin"/>
          </w:r>
          <w:r>
            <w:rPr>
              <w:rFonts w:ascii="Arial" w:hAnsi="Arial" w:cs="Arial"/>
              <w:b/>
              <w:color w:val="0E101A"/>
              <w:sz w:val="22"/>
              <w:szCs w:val="22"/>
            </w:rPr>
            <w:instrText xml:space="preserve"> CITATION Wor22 \l 2057 </w:instrText>
          </w:r>
          <w:r>
            <w:rPr>
              <w:rFonts w:ascii="Arial" w:hAnsi="Arial" w:cs="Arial"/>
              <w:b/>
              <w:color w:val="0E101A"/>
              <w:sz w:val="22"/>
              <w:szCs w:val="22"/>
            </w:rPr>
            <w:fldChar w:fldCharType="separate"/>
          </w:r>
          <w:r w:rsidRPr="00C836A9">
            <w:rPr>
              <w:rFonts w:ascii="Arial" w:hAnsi="Arial" w:cs="Arial"/>
              <w:noProof/>
              <w:color w:val="0E101A"/>
              <w:sz w:val="22"/>
              <w:szCs w:val="22"/>
            </w:rPr>
            <w:t>(Wordsteam, 2022)</w:t>
          </w:r>
          <w:r>
            <w:rPr>
              <w:rFonts w:ascii="Arial" w:hAnsi="Arial" w:cs="Arial"/>
              <w:b/>
              <w:color w:val="0E101A"/>
              <w:sz w:val="22"/>
              <w:szCs w:val="22"/>
            </w:rPr>
            <w:fldChar w:fldCharType="end"/>
          </w:r>
        </w:sdtContent>
      </w:sdt>
    </w:p>
    <w:p w14:paraId="1509C811" w14:textId="77777777" w:rsidR="00A53368" w:rsidRDefault="00A53368" w:rsidP="00A53368">
      <w:pPr>
        <w:spacing w:line="360" w:lineRule="auto"/>
        <w:rPr>
          <w:rFonts w:ascii="Arial" w:hAnsi="Arial" w:cs="Arial"/>
          <w:b/>
          <w:color w:val="0E101A"/>
          <w:sz w:val="22"/>
          <w:szCs w:val="22"/>
        </w:rPr>
      </w:pPr>
    </w:p>
    <w:p w14:paraId="2A9EA97A" w14:textId="77777777" w:rsidR="00A53368" w:rsidRDefault="00A53368" w:rsidP="00A53368">
      <w:pPr>
        <w:spacing w:line="360" w:lineRule="auto"/>
        <w:rPr>
          <w:rFonts w:ascii="Arial" w:hAnsi="Arial" w:cs="Arial"/>
          <w:b/>
          <w:color w:val="0E101A"/>
          <w:sz w:val="22"/>
          <w:szCs w:val="22"/>
        </w:rPr>
      </w:pPr>
    </w:p>
    <w:p w14:paraId="1A07D5D6" w14:textId="26BAD142" w:rsidR="00EA2136" w:rsidRDefault="00EA2136" w:rsidP="00A53368">
      <w:pPr>
        <w:pStyle w:val="Heading1"/>
        <w:spacing w:line="360" w:lineRule="auto"/>
        <w:rPr>
          <w:rFonts w:ascii="Arial" w:eastAsia="Times New Roman" w:hAnsi="Arial" w:cs="Arial"/>
          <w:sz w:val="22"/>
          <w:szCs w:val="22"/>
        </w:rPr>
      </w:pPr>
      <w:bookmarkStart w:id="3" w:name="_Toc128662688"/>
      <w:r w:rsidRPr="00A53368">
        <w:rPr>
          <w:rFonts w:ascii="Arial" w:eastAsia="Times New Roman" w:hAnsi="Arial" w:cs="Arial"/>
          <w:sz w:val="22"/>
          <w:szCs w:val="22"/>
        </w:rPr>
        <w:t>The Community Asset Transfer Programme</w:t>
      </w:r>
      <w:bookmarkEnd w:id="3"/>
    </w:p>
    <w:p w14:paraId="67FA8C65" w14:textId="77777777" w:rsidR="004F3631" w:rsidRPr="004F3631" w:rsidRDefault="004F3631" w:rsidP="004F3631"/>
    <w:p w14:paraId="39A341DE" w14:textId="77777777" w:rsidR="00EA2136" w:rsidRPr="00A53368" w:rsidRDefault="00EA2136" w:rsidP="004F3631">
      <w:pPr>
        <w:spacing w:line="360" w:lineRule="auto"/>
        <w:rPr>
          <w:rFonts w:ascii="Arial" w:hAnsi="Arial" w:cs="Arial"/>
          <w:color w:val="0E101A"/>
          <w:sz w:val="22"/>
          <w:szCs w:val="22"/>
        </w:rPr>
      </w:pPr>
      <w:r w:rsidRPr="00A53368">
        <w:rPr>
          <w:rFonts w:ascii="Arial" w:hAnsi="Arial" w:cs="Arial"/>
          <w:color w:val="0E101A"/>
          <w:sz w:val="22"/>
          <w:szCs w:val="22"/>
        </w:rPr>
        <w:t>The Community Asset Transfer (CAT) Programme is a UK-based social development project that aims to transfer ownership and management of public assets to community groups. The programme was established to address social deprivation and the lack of recreational facilities in underserved communities (COSS, 2023). Through the CAT programme, community groups can take ownership of assets such as parks, community centres, and sports facilities and manage them for the benefit of the community.</w:t>
      </w:r>
    </w:p>
    <w:p w14:paraId="4722B44B" w14:textId="1F459B3E" w:rsidR="00EA2136" w:rsidRPr="00A53368" w:rsidRDefault="00DA4088" w:rsidP="004F3631">
      <w:pPr>
        <w:spacing w:line="360" w:lineRule="auto"/>
        <w:rPr>
          <w:rFonts w:ascii="Arial" w:hAnsi="Arial" w:cs="Arial"/>
          <w:color w:val="0E101A"/>
          <w:sz w:val="22"/>
          <w:szCs w:val="22"/>
        </w:rPr>
      </w:pPr>
      <w:r>
        <w:rPr>
          <w:rFonts w:ascii="Arial" w:hAnsi="Arial" w:cs="Arial"/>
          <w:color w:val="0E101A"/>
          <w:sz w:val="22"/>
          <w:szCs w:val="22"/>
        </w:rPr>
        <w:t xml:space="preserve">                    </w:t>
      </w:r>
      <w:r w:rsidR="00EA2136" w:rsidRPr="00A53368">
        <w:rPr>
          <w:rFonts w:ascii="Arial" w:hAnsi="Arial" w:cs="Arial"/>
          <w:color w:val="0E101A"/>
          <w:sz w:val="22"/>
          <w:szCs w:val="22"/>
        </w:rPr>
        <w:t xml:space="preserve">The CAT program offers a variety of opportunities for community involvement. Community organisations must submit a thorough business plan outlining their goals for the asset and strategies for administration, upkeep, and finance. The feasibility, societal benefit, and financial viability of any plan are factors that the council considers while evaluating it. </w:t>
      </w:r>
      <w:r>
        <w:rPr>
          <w:rFonts w:ascii="Arial" w:hAnsi="Arial" w:cs="Arial"/>
          <w:color w:val="0E101A"/>
          <w:sz w:val="22"/>
          <w:szCs w:val="22"/>
        </w:rPr>
        <w:t xml:space="preserve">                                                                        </w:t>
      </w:r>
      <w:r w:rsidR="00EA2136" w:rsidRPr="00A53368">
        <w:rPr>
          <w:rFonts w:ascii="Arial" w:hAnsi="Arial" w:cs="Arial"/>
          <w:color w:val="0E101A"/>
          <w:sz w:val="22"/>
          <w:szCs w:val="22"/>
        </w:rPr>
        <w:t>The council consults with neighbourhood organisations to offer direction and assistance throughout the review process (Nichols et al., 2020). With monthly meetings and reporting obligations, the CAT program also offers chances for continued community interaction. The council must receive yearly reports from community organisations that describe their success and give an update on their operations (</w:t>
      </w:r>
      <w:proofErr w:type="spellStart"/>
      <w:r w:rsidR="00EA2136" w:rsidRPr="00A53368">
        <w:rPr>
          <w:rFonts w:ascii="Arial" w:hAnsi="Arial" w:cs="Arial"/>
          <w:color w:val="0E101A"/>
          <w:sz w:val="22"/>
          <w:szCs w:val="22"/>
        </w:rPr>
        <w:t>C</w:t>
      </w:r>
      <w:r w:rsidR="00F66F61">
        <w:rPr>
          <w:rFonts w:ascii="Arial" w:hAnsi="Arial" w:cs="Arial"/>
          <w:color w:val="0E101A"/>
          <w:sz w:val="22"/>
          <w:szCs w:val="22"/>
        </w:rPr>
        <w:t>oss</w:t>
      </w:r>
      <w:proofErr w:type="spellEnd"/>
      <w:r w:rsidR="00EA2136" w:rsidRPr="00A53368">
        <w:rPr>
          <w:rFonts w:ascii="Arial" w:hAnsi="Arial" w:cs="Arial"/>
          <w:color w:val="0E101A"/>
          <w:sz w:val="22"/>
          <w:szCs w:val="22"/>
        </w:rPr>
        <w:t xml:space="preserve">, 2023). Also, the council makes </w:t>
      </w:r>
      <w:r w:rsidR="00EA2136" w:rsidRPr="00A53368">
        <w:rPr>
          <w:rFonts w:ascii="Arial" w:hAnsi="Arial" w:cs="Arial"/>
          <w:color w:val="0E101A"/>
          <w:sz w:val="22"/>
          <w:szCs w:val="22"/>
        </w:rPr>
        <w:lastRenderedPageBreak/>
        <w:t>frequent site inspections to check community organisations' compliance with their duties and upkeep of the asset.</w:t>
      </w:r>
    </w:p>
    <w:p w14:paraId="37EAB1A3" w14:textId="77777777" w:rsidR="00DA4088" w:rsidRDefault="00DA4088" w:rsidP="004F3631">
      <w:pPr>
        <w:pStyle w:val="Heading1"/>
        <w:spacing w:line="360" w:lineRule="auto"/>
        <w:rPr>
          <w:rFonts w:ascii="Arial" w:eastAsia="Arial" w:hAnsi="Arial" w:cs="Arial"/>
          <w:sz w:val="22"/>
          <w:szCs w:val="22"/>
        </w:rPr>
      </w:pPr>
      <w:bookmarkStart w:id="4" w:name="_Toc128662689"/>
    </w:p>
    <w:p w14:paraId="37FC5DEB" w14:textId="77777777" w:rsidR="00DA4088" w:rsidRDefault="00DA4088" w:rsidP="004F3631">
      <w:pPr>
        <w:pStyle w:val="Heading1"/>
        <w:spacing w:line="360" w:lineRule="auto"/>
        <w:rPr>
          <w:rFonts w:ascii="Arial" w:eastAsia="Arial" w:hAnsi="Arial" w:cs="Arial"/>
          <w:sz w:val="22"/>
          <w:szCs w:val="22"/>
        </w:rPr>
      </w:pPr>
    </w:p>
    <w:p w14:paraId="4394E12E" w14:textId="77777777" w:rsidR="00DA4088" w:rsidRDefault="00DA4088" w:rsidP="004F3631">
      <w:pPr>
        <w:pStyle w:val="Heading1"/>
        <w:spacing w:line="360" w:lineRule="auto"/>
        <w:rPr>
          <w:rFonts w:ascii="Arial" w:eastAsia="Arial" w:hAnsi="Arial" w:cs="Arial"/>
          <w:sz w:val="22"/>
          <w:szCs w:val="22"/>
        </w:rPr>
      </w:pPr>
    </w:p>
    <w:p w14:paraId="11E8DA1B" w14:textId="67ABC441" w:rsidR="004F3631" w:rsidRPr="00A53368" w:rsidRDefault="004F3631" w:rsidP="004F3631">
      <w:pPr>
        <w:pStyle w:val="Heading1"/>
        <w:spacing w:line="360" w:lineRule="auto"/>
        <w:rPr>
          <w:rFonts w:ascii="Arial" w:eastAsia="Arial" w:hAnsi="Arial" w:cs="Arial"/>
          <w:sz w:val="22"/>
          <w:szCs w:val="22"/>
        </w:rPr>
      </w:pPr>
      <w:r w:rsidRPr="00A53368">
        <w:rPr>
          <w:rFonts w:ascii="Arial" w:eastAsia="Arial" w:hAnsi="Arial" w:cs="Arial"/>
          <w:sz w:val="22"/>
          <w:szCs w:val="22"/>
        </w:rPr>
        <w:t>Conclusion</w:t>
      </w:r>
      <w:bookmarkEnd w:id="4"/>
      <w:r w:rsidRPr="00A53368">
        <w:rPr>
          <w:rFonts w:ascii="Arial" w:eastAsia="Arial" w:hAnsi="Arial" w:cs="Arial"/>
          <w:sz w:val="22"/>
          <w:szCs w:val="22"/>
        </w:rPr>
        <w:t xml:space="preserve"> </w:t>
      </w:r>
    </w:p>
    <w:p w14:paraId="5D3195A1" w14:textId="77777777" w:rsidR="00A53368" w:rsidRDefault="00A53368" w:rsidP="00A53368">
      <w:pPr>
        <w:spacing w:line="360" w:lineRule="auto"/>
        <w:rPr>
          <w:rFonts w:ascii="Arial" w:hAnsi="Arial" w:cs="Arial"/>
          <w:color w:val="0E101A"/>
          <w:sz w:val="22"/>
          <w:szCs w:val="22"/>
        </w:rPr>
      </w:pPr>
    </w:p>
    <w:p w14:paraId="196B8880" w14:textId="256635FB" w:rsidR="00EA2136" w:rsidRPr="00A53368" w:rsidRDefault="00EA2136" w:rsidP="00A53368">
      <w:pPr>
        <w:spacing w:line="360" w:lineRule="auto"/>
        <w:rPr>
          <w:rFonts w:ascii="Arial" w:hAnsi="Arial" w:cs="Arial"/>
          <w:color w:val="0E101A"/>
          <w:sz w:val="22"/>
          <w:szCs w:val="22"/>
        </w:rPr>
      </w:pPr>
      <w:r w:rsidRPr="00A53368">
        <w:rPr>
          <w:rFonts w:ascii="Arial" w:hAnsi="Arial" w:cs="Arial"/>
          <w:color w:val="0E101A"/>
          <w:sz w:val="22"/>
          <w:szCs w:val="22"/>
        </w:rPr>
        <w:t>Community engagement practitioners should take a forward approach to educate community members on the internal and external factors that influence community development. This will help community members understand the importance of participating in the project and how their contributions can impact the community. The council must adopt a forward approach to educating community members on internal and external factors influencing community development. Internal factors like lack of skills, education, and job opportunities can affect community development, while external factors like economic downturns and natural disasters can also significantly impact (Nichols et al., 2020). Educating community members on these factors can help them understand the community's challenges and enable them to contribute meaningfully to community development.</w:t>
      </w:r>
    </w:p>
    <w:p w14:paraId="4D605584" w14:textId="3A38F765" w:rsidR="00EA2136" w:rsidRPr="00A53368" w:rsidRDefault="00EA2136" w:rsidP="00A53368">
      <w:pPr>
        <w:spacing w:line="360" w:lineRule="auto"/>
        <w:rPr>
          <w:rFonts w:ascii="Arial" w:hAnsi="Arial" w:cs="Arial"/>
          <w:color w:val="0E101A"/>
          <w:sz w:val="22"/>
          <w:szCs w:val="22"/>
        </w:rPr>
      </w:pPr>
      <w:r w:rsidRPr="00A53368">
        <w:rPr>
          <w:rFonts w:ascii="Arial" w:hAnsi="Arial" w:cs="Arial"/>
          <w:color w:val="0E101A"/>
          <w:sz w:val="22"/>
          <w:szCs w:val="22"/>
        </w:rPr>
        <w:t xml:space="preserve">Effective community engagement is essential for local councils to build trust, promote civic participation, and foster a sense of belonging among residents. This report recommends that the council adopt several approaches to improve engagement, including establishing a community forum or advisory group, increasing the use of social media, and conducting community. Facebook, Twitter, </w:t>
      </w:r>
      <w:r w:rsidR="004F3631">
        <w:rPr>
          <w:rFonts w:ascii="Arial" w:hAnsi="Arial" w:cs="Arial"/>
          <w:color w:val="0E101A"/>
          <w:sz w:val="22"/>
          <w:szCs w:val="22"/>
        </w:rPr>
        <w:t xml:space="preserve">TikTok, YouTube and </w:t>
      </w:r>
      <w:r w:rsidRPr="00A53368">
        <w:rPr>
          <w:rFonts w:ascii="Arial" w:hAnsi="Arial" w:cs="Arial"/>
          <w:color w:val="0E101A"/>
          <w:sz w:val="22"/>
          <w:szCs w:val="22"/>
        </w:rPr>
        <w:t>Instagram are a few examples of social media sites that may be used to interact with stakeholders and advertise council projects. The case study of a project for social development made clear how crucial it is to recognize and include important stakeholders, make use of social media platforms, encourage diversity and inclusion, and inform community members about internal and external variables that affect community development. These tactics foster cooperation, diversity, inclusion, and community involvement, which increases sociocultural integration and multiculturalism.</w:t>
      </w:r>
    </w:p>
    <w:p w14:paraId="03BD7994" w14:textId="77777777" w:rsidR="00EA2136" w:rsidRPr="00A53368" w:rsidRDefault="00EA2136" w:rsidP="00A53368">
      <w:pPr>
        <w:spacing w:line="360" w:lineRule="auto"/>
        <w:rPr>
          <w:rFonts w:ascii="Arial" w:hAnsi="Arial" w:cs="Arial"/>
          <w:color w:val="0E101A"/>
          <w:sz w:val="22"/>
          <w:szCs w:val="22"/>
        </w:rPr>
      </w:pPr>
      <w:r w:rsidRPr="00A53368">
        <w:rPr>
          <w:rFonts w:ascii="Arial" w:hAnsi="Arial" w:cs="Arial"/>
          <w:sz w:val="22"/>
          <w:szCs w:val="22"/>
        </w:rPr>
        <w:br w:type="page"/>
      </w:r>
    </w:p>
    <w:p w14:paraId="298F1ACD" w14:textId="6ADF0039" w:rsidR="00A53368" w:rsidRDefault="00A53368" w:rsidP="00A53368">
      <w:pPr>
        <w:pStyle w:val="Heading1"/>
        <w:spacing w:line="360" w:lineRule="auto"/>
        <w:rPr>
          <w:rFonts w:ascii="Arial" w:hAnsi="Arial" w:cs="Arial"/>
          <w:sz w:val="22"/>
          <w:szCs w:val="22"/>
        </w:rPr>
      </w:pPr>
      <w:r>
        <w:rPr>
          <w:rFonts w:ascii="Arial" w:hAnsi="Arial" w:cs="Arial"/>
          <w:sz w:val="22"/>
          <w:szCs w:val="22"/>
        </w:rPr>
        <w:lastRenderedPageBreak/>
        <w:t xml:space="preserve">            </w:t>
      </w:r>
      <w:bookmarkStart w:id="5" w:name="_Toc128662690"/>
      <w:r w:rsidRPr="00A53368">
        <w:rPr>
          <w:rFonts w:ascii="Arial" w:hAnsi="Arial" w:cs="Arial"/>
          <w:sz w:val="22"/>
          <w:szCs w:val="22"/>
        </w:rPr>
        <w:t>References</w:t>
      </w:r>
      <w:bookmarkEnd w:id="5"/>
    </w:p>
    <w:p w14:paraId="08188AEA" w14:textId="77777777" w:rsidR="00A53368" w:rsidRPr="00A53368" w:rsidRDefault="00A53368" w:rsidP="00A53368"/>
    <w:p w14:paraId="3FD03CB6" w14:textId="77777777" w:rsidR="00EA2136" w:rsidRPr="00A53368" w:rsidRDefault="00EA2136" w:rsidP="00A53368">
      <w:pPr>
        <w:spacing w:line="360" w:lineRule="auto"/>
        <w:ind w:left="720"/>
        <w:rPr>
          <w:rFonts w:ascii="Arial" w:hAnsi="Arial" w:cs="Arial"/>
          <w:color w:val="0E101A"/>
          <w:sz w:val="22"/>
          <w:szCs w:val="22"/>
        </w:rPr>
      </w:pPr>
      <w:proofErr w:type="spellStart"/>
      <w:r w:rsidRPr="00A53368">
        <w:rPr>
          <w:rFonts w:ascii="Arial" w:hAnsi="Arial" w:cs="Arial"/>
          <w:color w:val="0E101A"/>
          <w:sz w:val="22"/>
          <w:szCs w:val="22"/>
        </w:rPr>
        <w:t>Caperon</w:t>
      </w:r>
      <w:proofErr w:type="spellEnd"/>
      <w:r w:rsidRPr="00A53368">
        <w:rPr>
          <w:rFonts w:ascii="Arial" w:hAnsi="Arial" w:cs="Arial"/>
          <w:color w:val="0E101A"/>
          <w:sz w:val="22"/>
          <w:szCs w:val="22"/>
        </w:rPr>
        <w:t xml:space="preserve">, L., Saville, F., &amp; Ahern, S. (2022). Developing a socio-ecological model for community engagement in a health programme in an underserved urban area. </w:t>
      </w:r>
      <w:r w:rsidRPr="00A53368">
        <w:rPr>
          <w:rFonts w:ascii="Arial" w:hAnsi="Arial" w:cs="Arial"/>
          <w:i/>
          <w:color w:val="0E101A"/>
          <w:sz w:val="22"/>
          <w:szCs w:val="22"/>
        </w:rPr>
        <w:t>PLOS ONE</w:t>
      </w:r>
      <w:r w:rsidRPr="00A53368">
        <w:rPr>
          <w:rFonts w:ascii="Arial" w:hAnsi="Arial" w:cs="Arial"/>
          <w:color w:val="0E101A"/>
          <w:sz w:val="22"/>
          <w:szCs w:val="22"/>
        </w:rPr>
        <w:t xml:space="preserve">, </w:t>
      </w:r>
      <w:r w:rsidRPr="00A53368">
        <w:rPr>
          <w:rFonts w:ascii="Arial" w:hAnsi="Arial" w:cs="Arial"/>
          <w:i/>
          <w:color w:val="0E101A"/>
          <w:sz w:val="22"/>
          <w:szCs w:val="22"/>
        </w:rPr>
        <w:t>17</w:t>
      </w:r>
      <w:r w:rsidRPr="00A53368">
        <w:rPr>
          <w:rFonts w:ascii="Arial" w:hAnsi="Arial" w:cs="Arial"/>
          <w:color w:val="0E101A"/>
          <w:sz w:val="22"/>
          <w:szCs w:val="22"/>
        </w:rPr>
        <w:t>(9), e0275092. https://doi.org/10.1371/journal.pone.0275092</w:t>
      </w:r>
    </w:p>
    <w:p w14:paraId="32B5D8A0" w14:textId="77777777" w:rsidR="00EA2136" w:rsidRPr="00A53368" w:rsidRDefault="00EA2136" w:rsidP="00A53368">
      <w:pPr>
        <w:spacing w:line="360" w:lineRule="auto"/>
        <w:ind w:left="720"/>
        <w:rPr>
          <w:rFonts w:ascii="Arial" w:hAnsi="Arial" w:cs="Arial"/>
          <w:color w:val="0E101A"/>
          <w:sz w:val="22"/>
          <w:szCs w:val="22"/>
        </w:rPr>
      </w:pPr>
      <w:proofErr w:type="spellStart"/>
      <w:r w:rsidRPr="00A53368">
        <w:rPr>
          <w:rFonts w:ascii="Arial" w:hAnsi="Arial" w:cs="Arial"/>
          <w:color w:val="0E101A"/>
          <w:sz w:val="22"/>
          <w:szCs w:val="22"/>
        </w:rPr>
        <w:t>Ciobotaru</w:t>
      </w:r>
      <w:proofErr w:type="spellEnd"/>
      <w:r w:rsidRPr="00A53368">
        <w:rPr>
          <w:rFonts w:ascii="Arial" w:hAnsi="Arial" w:cs="Arial"/>
          <w:color w:val="0E101A"/>
          <w:sz w:val="22"/>
          <w:szCs w:val="22"/>
        </w:rPr>
        <w:t xml:space="preserve">, S., Adams, C., Collie, C. J. R., &amp; Greene, K. S. (2022). Sharing Missing Persons Appeals on </w:t>
      </w:r>
      <w:proofErr w:type="gramStart"/>
      <w:r w:rsidRPr="00A53368">
        <w:rPr>
          <w:rFonts w:ascii="Arial" w:hAnsi="Arial" w:cs="Arial"/>
          <w:color w:val="0E101A"/>
          <w:sz w:val="22"/>
          <w:szCs w:val="22"/>
        </w:rPr>
        <w:t>Social Media</w:t>
      </w:r>
      <w:proofErr w:type="gramEnd"/>
      <w:r w:rsidRPr="00A53368">
        <w:rPr>
          <w:rFonts w:ascii="Arial" w:hAnsi="Arial" w:cs="Arial"/>
          <w:color w:val="0E101A"/>
          <w:sz w:val="22"/>
          <w:szCs w:val="22"/>
        </w:rPr>
        <w:t xml:space="preserve">. </w:t>
      </w:r>
      <w:r w:rsidRPr="00A53368">
        <w:rPr>
          <w:rFonts w:ascii="Arial" w:hAnsi="Arial" w:cs="Arial"/>
          <w:i/>
          <w:color w:val="0E101A"/>
          <w:sz w:val="22"/>
          <w:szCs w:val="22"/>
        </w:rPr>
        <w:t>Proceedings of the Conference on Computers and People Research</w:t>
      </w:r>
      <w:r w:rsidRPr="00A53368">
        <w:rPr>
          <w:rFonts w:ascii="Arial" w:hAnsi="Arial" w:cs="Arial"/>
          <w:color w:val="0E101A"/>
          <w:sz w:val="22"/>
          <w:szCs w:val="22"/>
        </w:rPr>
        <w:t>. https://doi.org/10.1145/3510606.3550200</w:t>
      </w:r>
    </w:p>
    <w:p w14:paraId="0544490C" w14:textId="77777777" w:rsidR="00EA2136" w:rsidRPr="00A53368" w:rsidRDefault="00EA2136" w:rsidP="00A53368">
      <w:pPr>
        <w:spacing w:line="360" w:lineRule="auto"/>
        <w:ind w:left="720"/>
        <w:rPr>
          <w:rFonts w:ascii="Arial" w:hAnsi="Arial" w:cs="Arial"/>
          <w:color w:val="0E101A"/>
          <w:sz w:val="22"/>
          <w:szCs w:val="22"/>
        </w:rPr>
      </w:pPr>
      <w:r w:rsidRPr="00A53368">
        <w:rPr>
          <w:rFonts w:ascii="Arial" w:hAnsi="Arial" w:cs="Arial"/>
          <w:color w:val="0E101A"/>
          <w:sz w:val="22"/>
          <w:szCs w:val="22"/>
        </w:rPr>
        <w:t xml:space="preserve">Coates, Nickson, J., Owens, &amp; Smith. (2021). </w:t>
      </w:r>
      <w:r w:rsidRPr="00A53368">
        <w:rPr>
          <w:rFonts w:ascii="Arial" w:hAnsi="Arial" w:cs="Arial"/>
          <w:i/>
          <w:color w:val="0E101A"/>
          <w:sz w:val="22"/>
          <w:szCs w:val="22"/>
        </w:rPr>
        <w:t>Community asset transfer: Research with the third sector, local authorities and community and town councils</w:t>
      </w:r>
      <w:r w:rsidRPr="00A53368">
        <w:rPr>
          <w:rFonts w:ascii="Arial" w:hAnsi="Arial" w:cs="Arial"/>
          <w:color w:val="0E101A"/>
          <w:sz w:val="22"/>
          <w:szCs w:val="22"/>
        </w:rPr>
        <w:t>. GOV.WALES. https://www.gov.wales/community-asset-transfer</w:t>
      </w:r>
    </w:p>
    <w:p w14:paraId="27B2F973" w14:textId="77777777" w:rsidR="00EA2136" w:rsidRPr="00A53368" w:rsidRDefault="00EA2136" w:rsidP="00A53368">
      <w:pPr>
        <w:spacing w:line="360" w:lineRule="auto"/>
        <w:ind w:left="720"/>
        <w:rPr>
          <w:rFonts w:ascii="Arial" w:hAnsi="Arial" w:cs="Arial"/>
          <w:color w:val="0E101A"/>
          <w:sz w:val="22"/>
          <w:szCs w:val="22"/>
        </w:rPr>
      </w:pPr>
      <w:r w:rsidRPr="00A53368">
        <w:rPr>
          <w:rFonts w:ascii="Arial" w:hAnsi="Arial" w:cs="Arial"/>
          <w:color w:val="0E101A"/>
          <w:sz w:val="22"/>
          <w:szCs w:val="22"/>
        </w:rPr>
        <w:t xml:space="preserve">Community First Yorkshire. (2023). </w:t>
      </w:r>
      <w:r w:rsidRPr="00A53368">
        <w:rPr>
          <w:rFonts w:ascii="Arial" w:hAnsi="Arial" w:cs="Arial"/>
          <w:i/>
          <w:color w:val="0E101A"/>
          <w:sz w:val="22"/>
          <w:szCs w:val="22"/>
        </w:rPr>
        <w:t>Support For Rural Communities &amp; Organisations</w:t>
      </w:r>
      <w:r w:rsidRPr="00A53368">
        <w:rPr>
          <w:rFonts w:ascii="Arial" w:hAnsi="Arial" w:cs="Arial"/>
          <w:color w:val="0E101A"/>
          <w:sz w:val="22"/>
          <w:szCs w:val="22"/>
        </w:rPr>
        <w:t>. Community First Yorkshire. https://www.communityfirstyorkshire.org.uk/</w:t>
      </w:r>
    </w:p>
    <w:p w14:paraId="18186B13" w14:textId="77777777" w:rsidR="00EA2136" w:rsidRPr="00A53368" w:rsidRDefault="00EA2136" w:rsidP="00A53368">
      <w:pPr>
        <w:spacing w:line="360" w:lineRule="auto"/>
        <w:ind w:left="720"/>
        <w:rPr>
          <w:rFonts w:ascii="Arial" w:hAnsi="Arial" w:cs="Arial"/>
          <w:color w:val="0E101A"/>
          <w:sz w:val="22"/>
          <w:szCs w:val="22"/>
        </w:rPr>
      </w:pPr>
      <w:r w:rsidRPr="00A53368">
        <w:rPr>
          <w:rFonts w:ascii="Arial" w:hAnsi="Arial" w:cs="Arial"/>
          <w:color w:val="0E101A"/>
          <w:sz w:val="22"/>
          <w:szCs w:val="22"/>
        </w:rPr>
        <w:t xml:space="preserve">COSS. (2023). </w:t>
      </w:r>
      <w:r w:rsidRPr="00A53368">
        <w:rPr>
          <w:rFonts w:ascii="Arial" w:hAnsi="Arial" w:cs="Arial"/>
          <w:i/>
          <w:color w:val="0E101A"/>
          <w:sz w:val="22"/>
          <w:szCs w:val="22"/>
        </w:rPr>
        <w:t>Community Asset Transfer | DTAS Community Ownership Support Service</w:t>
      </w:r>
      <w:r w:rsidRPr="00A53368">
        <w:rPr>
          <w:rFonts w:ascii="Arial" w:hAnsi="Arial" w:cs="Arial"/>
          <w:color w:val="0E101A"/>
          <w:sz w:val="22"/>
          <w:szCs w:val="22"/>
        </w:rPr>
        <w:t>. Dtascommunityownership.org.uk. https://dtascommunityownership.org.uk/community/community-asset-transfer</w:t>
      </w:r>
    </w:p>
    <w:p w14:paraId="7BD07783" w14:textId="56F0BD92" w:rsidR="00EA2136" w:rsidRPr="00A53368" w:rsidRDefault="00EA2136" w:rsidP="00A53368">
      <w:pPr>
        <w:spacing w:line="360" w:lineRule="auto"/>
        <w:ind w:left="720"/>
        <w:rPr>
          <w:rFonts w:ascii="Arial" w:hAnsi="Arial" w:cs="Arial"/>
          <w:color w:val="0E101A"/>
          <w:sz w:val="22"/>
          <w:szCs w:val="22"/>
        </w:rPr>
      </w:pPr>
      <w:r w:rsidRPr="00A53368">
        <w:rPr>
          <w:rFonts w:ascii="Arial" w:hAnsi="Arial" w:cs="Arial"/>
          <w:color w:val="0E101A"/>
          <w:sz w:val="22"/>
          <w:szCs w:val="22"/>
        </w:rPr>
        <w:t xml:space="preserve">Green, P. M., Bergen, D. J., Stewart, C. P., &amp; </w:t>
      </w:r>
      <w:proofErr w:type="spellStart"/>
      <w:r w:rsidRPr="00A53368">
        <w:rPr>
          <w:rFonts w:ascii="Arial" w:hAnsi="Arial" w:cs="Arial"/>
          <w:color w:val="0E101A"/>
          <w:sz w:val="22"/>
          <w:szCs w:val="22"/>
        </w:rPr>
        <w:t>Nayve</w:t>
      </w:r>
      <w:proofErr w:type="spellEnd"/>
      <w:r w:rsidRPr="00A53368">
        <w:rPr>
          <w:rFonts w:ascii="Arial" w:hAnsi="Arial" w:cs="Arial"/>
          <w:color w:val="0E101A"/>
          <w:sz w:val="22"/>
          <w:szCs w:val="22"/>
        </w:rPr>
        <w:t>, C. (2021). An Engagement of Hope: A Framework and Equity-</w:t>
      </w:r>
      <w:r w:rsidR="00A53368">
        <w:rPr>
          <w:rFonts w:ascii="Arial" w:hAnsi="Arial" w:cs="Arial"/>
          <w:color w:val="0E101A"/>
          <w:sz w:val="22"/>
          <w:szCs w:val="22"/>
        </w:rPr>
        <w:t>Centred</w:t>
      </w:r>
      <w:r w:rsidRPr="00A53368">
        <w:rPr>
          <w:rFonts w:ascii="Arial" w:hAnsi="Arial" w:cs="Arial"/>
          <w:color w:val="0E101A"/>
          <w:sz w:val="22"/>
          <w:szCs w:val="22"/>
        </w:rPr>
        <w:t xml:space="preserve"> Theory of Action for Community Engagement. </w:t>
      </w:r>
      <w:r w:rsidRPr="00A53368">
        <w:rPr>
          <w:rFonts w:ascii="Arial" w:hAnsi="Arial" w:cs="Arial"/>
          <w:i/>
          <w:color w:val="0E101A"/>
          <w:sz w:val="22"/>
          <w:szCs w:val="22"/>
        </w:rPr>
        <w:t>Metropolitan Universities</w:t>
      </w:r>
      <w:r w:rsidRPr="00A53368">
        <w:rPr>
          <w:rFonts w:ascii="Arial" w:hAnsi="Arial" w:cs="Arial"/>
          <w:color w:val="0E101A"/>
          <w:sz w:val="22"/>
          <w:szCs w:val="22"/>
        </w:rPr>
        <w:t xml:space="preserve">, </w:t>
      </w:r>
      <w:r w:rsidRPr="00A53368">
        <w:rPr>
          <w:rFonts w:ascii="Arial" w:hAnsi="Arial" w:cs="Arial"/>
          <w:i/>
          <w:color w:val="0E101A"/>
          <w:sz w:val="22"/>
          <w:szCs w:val="22"/>
        </w:rPr>
        <w:t>32</w:t>
      </w:r>
      <w:r w:rsidRPr="00A53368">
        <w:rPr>
          <w:rFonts w:ascii="Arial" w:hAnsi="Arial" w:cs="Arial"/>
          <w:color w:val="0E101A"/>
          <w:sz w:val="22"/>
          <w:szCs w:val="22"/>
        </w:rPr>
        <w:t>(2), 129–157. https://eric.ed.gov/?id=EJ1320850</w:t>
      </w:r>
    </w:p>
    <w:p w14:paraId="0785E4F7" w14:textId="28411DB8" w:rsidR="00EA2136" w:rsidRPr="00A53368" w:rsidRDefault="00EA2136" w:rsidP="00A53368">
      <w:pPr>
        <w:spacing w:line="360" w:lineRule="auto"/>
        <w:ind w:left="720"/>
        <w:rPr>
          <w:rFonts w:ascii="Arial" w:hAnsi="Arial" w:cs="Arial"/>
          <w:color w:val="0E101A"/>
          <w:sz w:val="22"/>
          <w:szCs w:val="22"/>
        </w:rPr>
      </w:pPr>
      <w:r w:rsidRPr="00A53368">
        <w:rPr>
          <w:rFonts w:ascii="Arial" w:hAnsi="Arial" w:cs="Arial"/>
          <w:color w:val="0E101A"/>
          <w:sz w:val="22"/>
          <w:szCs w:val="22"/>
        </w:rPr>
        <w:t xml:space="preserve">Local Government Association. (2021). </w:t>
      </w:r>
      <w:r w:rsidRPr="00A53368">
        <w:rPr>
          <w:rFonts w:ascii="Arial" w:hAnsi="Arial" w:cs="Arial"/>
          <w:i/>
          <w:color w:val="0E101A"/>
          <w:sz w:val="22"/>
          <w:szCs w:val="22"/>
        </w:rPr>
        <w:t>Retrofit Project in Low Socio-Economic Status Areas, Leeds City Council | Local Government Association</w:t>
      </w:r>
      <w:r w:rsidRPr="00A53368">
        <w:rPr>
          <w:rFonts w:ascii="Arial" w:hAnsi="Arial" w:cs="Arial"/>
          <w:color w:val="0E101A"/>
          <w:sz w:val="22"/>
          <w:szCs w:val="22"/>
        </w:rPr>
        <w:t xml:space="preserve">. </w:t>
      </w:r>
      <w:r w:rsidR="00C836A9">
        <w:rPr>
          <w:rFonts w:ascii="Arial" w:hAnsi="Arial" w:cs="Arial"/>
          <w:color w:val="0E101A"/>
          <w:sz w:val="22"/>
          <w:szCs w:val="22"/>
        </w:rPr>
        <w:t>w</w:t>
      </w:r>
      <w:r w:rsidRPr="00A53368">
        <w:rPr>
          <w:rFonts w:ascii="Arial" w:hAnsi="Arial" w:cs="Arial"/>
          <w:color w:val="0E101A"/>
          <w:sz w:val="22"/>
          <w:szCs w:val="22"/>
        </w:rPr>
        <w:t>ww.local.gov.uk. https://www.local.gov.uk/case-studies/retrofit-project-low-socio-economic-status-areas-leeds-city-council</w:t>
      </w:r>
    </w:p>
    <w:p w14:paraId="36AD7B53" w14:textId="22682438" w:rsidR="00EA2136" w:rsidRPr="00A53368" w:rsidRDefault="00A53368" w:rsidP="00A53368">
      <w:pPr>
        <w:spacing w:line="360" w:lineRule="auto"/>
        <w:ind w:left="720"/>
        <w:rPr>
          <w:rFonts w:ascii="Arial" w:hAnsi="Arial" w:cs="Arial"/>
          <w:color w:val="0E101A"/>
          <w:sz w:val="22"/>
          <w:szCs w:val="22"/>
        </w:rPr>
      </w:pPr>
      <w:r>
        <w:rPr>
          <w:rFonts w:ascii="Arial" w:hAnsi="Arial" w:cs="Arial"/>
          <w:color w:val="0E101A"/>
          <w:sz w:val="22"/>
          <w:szCs w:val="22"/>
        </w:rPr>
        <w:t>Mayowa</w:t>
      </w:r>
      <w:r w:rsidR="00EA2136" w:rsidRPr="00A53368">
        <w:rPr>
          <w:rFonts w:ascii="Arial" w:hAnsi="Arial" w:cs="Arial"/>
          <w:color w:val="0E101A"/>
          <w:sz w:val="22"/>
          <w:szCs w:val="22"/>
        </w:rPr>
        <w:t xml:space="preserve">, M. (2023, January 21). </w:t>
      </w:r>
      <w:r w:rsidR="00EA2136" w:rsidRPr="00A53368">
        <w:rPr>
          <w:rFonts w:ascii="Arial" w:hAnsi="Arial" w:cs="Arial"/>
          <w:i/>
          <w:color w:val="0E101A"/>
          <w:sz w:val="22"/>
          <w:szCs w:val="22"/>
        </w:rPr>
        <w:t>Yorkshire’s most deprived areas mapped using Census data</w:t>
      </w:r>
      <w:r w:rsidR="00EA2136" w:rsidRPr="00A53368">
        <w:rPr>
          <w:rFonts w:ascii="Arial" w:hAnsi="Arial" w:cs="Arial"/>
          <w:color w:val="0E101A"/>
          <w:sz w:val="22"/>
          <w:szCs w:val="22"/>
        </w:rPr>
        <w:t xml:space="preserve">. </w:t>
      </w:r>
      <w:r>
        <w:rPr>
          <w:rFonts w:ascii="Arial" w:hAnsi="Arial" w:cs="Arial"/>
          <w:color w:val="0E101A"/>
          <w:sz w:val="22"/>
          <w:szCs w:val="22"/>
        </w:rPr>
        <w:t>Yorkshire Live</w:t>
      </w:r>
      <w:r w:rsidR="00EA2136" w:rsidRPr="00A53368">
        <w:rPr>
          <w:rFonts w:ascii="Arial" w:hAnsi="Arial" w:cs="Arial"/>
          <w:color w:val="0E101A"/>
          <w:sz w:val="22"/>
          <w:szCs w:val="22"/>
        </w:rPr>
        <w:t>. https://www.examinerlive.co.uk/news/local-news/yorkshires-most-deprived-areas-mapped-26029742</w:t>
      </w:r>
    </w:p>
    <w:p w14:paraId="3860DD58" w14:textId="77777777" w:rsidR="00EA2136" w:rsidRPr="00A53368" w:rsidRDefault="00EA2136" w:rsidP="00A53368">
      <w:pPr>
        <w:spacing w:line="360" w:lineRule="auto"/>
        <w:ind w:left="720"/>
        <w:rPr>
          <w:rFonts w:ascii="Arial" w:hAnsi="Arial" w:cs="Arial"/>
          <w:color w:val="0E101A"/>
          <w:sz w:val="22"/>
          <w:szCs w:val="22"/>
        </w:rPr>
      </w:pPr>
      <w:r w:rsidRPr="00A53368">
        <w:rPr>
          <w:rFonts w:ascii="Arial" w:hAnsi="Arial" w:cs="Arial"/>
          <w:color w:val="0E101A"/>
          <w:sz w:val="22"/>
          <w:szCs w:val="22"/>
        </w:rPr>
        <w:t xml:space="preserve">McVicar, M. (2020). Gathering-In-Action: The Activation of a Civic Space. </w:t>
      </w:r>
      <w:r w:rsidRPr="00A53368">
        <w:rPr>
          <w:rFonts w:ascii="Arial" w:hAnsi="Arial" w:cs="Arial"/>
          <w:i/>
          <w:color w:val="0E101A"/>
          <w:sz w:val="22"/>
          <w:szCs w:val="22"/>
        </w:rPr>
        <w:t>Architecture and Culture</w:t>
      </w:r>
      <w:r w:rsidRPr="00A53368">
        <w:rPr>
          <w:rFonts w:ascii="Arial" w:hAnsi="Arial" w:cs="Arial"/>
          <w:color w:val="0E101A"/>
          <w:sz w:val="22"/>
          <w:szCs w:val="22"/>
        </w:rPr>
        <w:t>, 1–16. https://doi.org/10.1080/20507828.2020.1798164</w:t>
      </w:r>
    </w:p>
    <w:p w14:paraId="771849AA" w14:textId="77777777" w:rsidR="00EA2136" w:rsidRPr="00A53368" w:rsidRDefault="00EA2136" w:rsidP="00A53368">
      <w:pPr>
        <w:spacing w:line="360" w:lineRule="auto"/>
        <w:ind w:left="720"/>
        <w:rPr>
          <w:rFonts w:ascii="Arial" w:hAnsi="Arial" w:cs="Arial"/>
          <w:color w:val="0E101A"/>
          <w:sz w:val="22"/>
          <w:szCs w:val="22"/>
        </w:rPr>
      </w:pPr>
      <w:r w:rsidRPr="00A53368">
        <w:rPr>
          <w:rFonts w:ascii="Arial" w:hAnsi="Arial" w:cs="Arial"/>
          <w:color w:val="0E101A"/>
          <w:sz w:val="22"/>
          <w:szCs w:val="22"/>
        </w:rPr>
        <w:t xml:space="preserve">Nichols, G., Findlay-King, L., &amp; Forbes, D. (2020). The Community Asset Transfer of Leisure Facilities in the UK: A Review and Research Agenda. </w:t>
      </w:r>
      <w:r w:rsidRPr="00A53368">
        <w:rPr>
          <w:rFonts w:ascii="Arial" w:hAnsi="Arial" w:cs="Arial"/>
          <w:i/>
          <w:color w:val="0E101A"/>
          <w:sz w:val="22"/>
          <w:szCs w:val="22"/>
        </w:rPr>
        <w:t xml:space="preserve">VOLUNTAS: International Journal of Voluntary and </w:t>
      </w:r>
      <w:proofErr w:type="spellStart"/>
      <w:r w:rsidRPr="00A53368">
        <w:rPr>
          <w:rFonts w:ascii="Arial" w:hAnsi="Arial" w:cs="Arial"/>
          <w:i/>
          <w:color w:val="0E101A"/>
          <w:sz w:val="22"/>
          <w:szCs w:val="22"/>
        </w:rPr>
        <w:t>Nonprofit</w:t>
      </w:r>
      <w:proofErr w:type="spellEnd"/>
      <w:r w:rsidRPr="00A53368">
        <w:rPr>
          <w:rFonts w:ascii="Arial" w:hAnsi="Arial" w:cs="Arial"/>
          <w:i/>
          <w:color w:val="0E101A"/>
          <w:sz w:val="22"/>
          <w:szCs w:val="22"/>
        </w:rPr>
        <w:t xml:space="preserve"> Organizations</w:t>
      </w:r>
      <w:r w:rsidRPr="00A53368">
        <w:rPr>
          <w:rFonts w:ascii="Arial" w:hAnsi="Arial" w:cs="Arial"/>
          <w:color w:val="0E101A"/>
          <w:sz w:val="22"/>
          <w:szCs w:val="22"/>
        </w:rPr>
        <w:t xml:space="preserve">, </w:t>
      </w:r>
      <w:r w:rsidRPr="00A53368">
        <w:rPr>
          <w:rFonts w:ascii="Arial" w:hAnsi="Arial" w:cs="Arial"/>
          <w:i/>
          <w:color w:val="0E101A"/>
          <w:sz w:val="22"/>
          <w:szCs w:val="22"/>
        </w:rPr>
        <w:t>31</w:t>
      </w:r>
      <w:r w:rsidRPr="00A53368">
        <w:rPr>
          <w:rFonts w:ascii="Arial" w:hAnsi="Arial" w:cs="Arial"/>
          <w:color w:val="0E101A"/>
          <w:sz w:val="22"/>
          <w:szCs w:val="22"/>
        </w:rPr>
        <w:t>(6), 1159–1172. https://doi.org/10.1007/s11266-020-00263-0</w:t>
      </w:r>
    </w:p>
    <w:p w14:paraId="79CEF0A5" w14:textId="18FFDA35" w:rsidR="00EA2136" w:rsidRDefault="00EA2136" w:rsidP="00A53368">
      <w:pPr>
        <w:spacing w:line="360" w:lineRule="auto"/>
        <w:ind w:left="720"/>
        <w:rPr>
          <w:rFonts w:ascii="Arial" w:hAnsi="Arial" w:cs="Arial"/>
          <w:color w:val="0E101A"/>
          <w:sz w:val="22"/>
          <w:szCs w:val="22"/>
        </w:rPr>
      </w:pPr>
      <w:r w:rsidRPr="00A53368">
        <w:rPr>
          <w:rFonts w:ascii="Arial" w:hAnsi="Arial" w:cs="Arial"/>
          <w:color w:val="0E101A"/>
          <w:sz w:val="22"/>
          <w:szCs w:val="22"/>
        </w:rPr>
        <w:t xml:space="preserve">West Yorkshire Combined Authority. (2021). </w:t>
      </w:r>
      <w:r w:rsidRPr="00A53368">
        <w:rPr>
          <w:rFonts w:ascii="Arial" w:hAnsi="Arial" w:cs="Arial"/>
          <w:i/>
          <w:color w:val="0E101A"/>
          <w:sz w:val="22"/>
          <w:szCs w:val="22"/>
        </w:rPr>
        <w:t>State of the Region Report 2021</w:t>
      </w:r>
      <w:r w:rsidRPr="00A53368">
        <w:rPr>
          <w:rFonts w:ascii="Arial" w:hAnsi="Arial" w:cs="Arial"/>
          <w:color w:val="0E101A"/>
          <w:sz w:val="22"/>
          <w:szCs w:val="22"/>
        </w:rPr>
        <w:t>. West Yorkshire Combined Authority. https://www.westyorks-ca.gov.uk/growing-the-economy/state-of-the-region-report-2021/</w:t>
      </w:r>
    </w:p>
    <w:p w14:paraId="2A62F467" w14:textId="0B4FC7F2" w:rsidR="00C836A9" w:rsidRDefault="00C836A9" w:rsidP="00A53368">
      <w:pPr>
        <w:spacing w:line="360" w:lineRule="auto"/>
        <w:ind w:left="720"/>
        <w:rPr>
          <w:rFonts w:ascii="Arial" w:hAnsi="Arial" w:cs="Arial"/>
          <w:color w:val="0E101A"/>
          <w:sz w:val="22"/>
          <w:szCs w:val="22"/>
        </w:rPr>
      </w:pPr>
      <w:proofErr w:type="spellStart"/>
      <w:r>
        <w:rPr>
          <w:rFonts w:ascii="Arial" w:hAnsi="Arial" w:cs="Arial"/>
          <w:color w:val="0E101A"/>
          <w:sz w:val="22"/>
          <w:szCs w:val="22"/>
        </w:rPr>
        <w:lastRenderedPageBreak/>
        <w:t>Wordsteam</w:t>
      </w:r>
      <w:proofErr w:type="spellEnd"/>
      <w:r>
        <w:rPr>
          <w:rFonts w:ascii="Arial" w:hAnsi="Arial" w:cs="Arial"/>
          <w:color w:val="0E101A"/>
          <w:sz w:val="22"/>
          <w:szCs w:val="22"/>
        </w:rPr>
        <w:t xml:space="preserve">, 2022. The 6 Biggest, </w:t>
      </w:r>
      <w:proofErr w:type="spellStart"/>
      <w:r>
        <w:rPr>
          <w:rFonts w:ascii="Arial" w:hAnsi="Arial" w:cs="Arial"/>
          <w:color w:val="0E101A"/>
          <w:sz w:val="22"/>
          <w:szCs w:val="22"/>
        </w:rPr>
        <w:t>Baddest</w:t>
      </w:r>
      <w:proofErr w:type="spellEnd"/>
      <w:r>
        <w:rPr>
          <w:rFonts w:ascii="Arial" w:hAnsi="Arial" w:cs="Arial"/>
          <w:color w:val="0E101A"/>
          <w:sz w:val="22"/>
          <w:szCs w:val="22"/>
        </w:rPr>
        <w:t>, Most Popular</w:t>
      </w:r>
      <w:r w:rsidR="00954127">
        <w:rPr>
          <w:rFonts w:ascii="Arial" w:hAnsi="Arial" w:cs="Arial"/>
          <w:color w:val="0E101A"/>
          <w:sz w:val="22"/>
          <w:szCs w:val="22"/>
        </w:rPr>
        <w:t xml:space="preserve"> Social Media Platforms (=How to Wield Their Power). </w:t>
      </w:r>
      <w:r w:rsidR="00954127" w:rsidRPr="00C836A9">
        <w:rPr>
          <w:rFonts w:ascii="Arial" w:hAnsi="Arial" w:cs="Arial"/>
          <w:noProof/>
          <w:sz w:val="22"/>
          <w:szCs w:val="22"/>
        </w:rPr>
        <w:t>[Online]</w:t>
      </w:r>
      <w:r w:rsidR="00954127">
        <w:rPr>
          <w:rFonts w:ascii="Arial" w:hAnsi="Arial" w:cs="Arial"/>
          <w:noProof/>
          <w:sz w:val="22"/>
          <w:szCs w:val="22"/>
        </w:rPr>
        <w:t xml:space="preserve"> </w:t>
      </w:r>
      <w:r w:rsidR="00954127" w:rsidRPr="00C836A9">
        <w:rPr>
          <w:rFonts w:ascii="Arial" w:hAnsi="Arial" w:cs="Arial"/>
          <w:noProof/>
          <w:sz w:val="22"/>
          <w:szCs w:val="22"/>
        </w:rPr>
        <w:t>Available at: https://www.wordstream.com/blog/ws/2022/01/11/most-popular-social-media-platforms</w:t>
      </w:r>
      <w:r w:rsidR="00954127" w:rsidRPr="00C836A9">
        <w:rPr>
          <w:rFonts w:ascii="Arial" w:hAnsi="Arial" w:cs="Arial"/>
          <w:noProof/>
          <w:sz w:val="22"/>
          <w:szCs w:val="22"/>
        </w:rPr>
        <w:br/>
        <w:t>[Accessed 02 03 2023].</w:t>
      </w:r>
    </w:p>
    <w:sdt>
      <w:sdtPr>
        <w:id w:val="2111706009"/>
        <w:bibliography/>
      </w:sdtPr>
      <w:sdtContent>
        <w:p w14:paraId="68C023C9" w14:textId="0B61B24D" w:rsidR="00C836A9" w:rsidRPr="00A53368" w:rsidRDefault="00C836A9" w:rsidP="00954127">
          <w:pPr>
            <w:pStyle w:val="Bibliography"/>
            <w:spacing w:line="360" w:lineRule="auto"/>
            <w:rPr>
              <w:rFonts w:ascii="Arial" w:hAnsi="Arial" w:cs="Arial"/>
              <w:color w:val="0E101A"/>
              <w:sz w:val="22"/>
              <w:szCs w:val="22"/>
            </w:rPr>
          </w:pPr>
        </w:p>
        <w:p w14:paraId="3116AD6F" w14:textId="422CFEE6" w:rsidR="00545539" w:rsidRPr="00975349" w:rsidRDefault="00545539" w:rsidP="00C836A9">
          <w:pPr>
            <w:spacing w:line="360" w:lineRule="auto"/>
            <w:rPr>
              <w:rFonts w:ascii="Arial" w:hAnsi="Arial" w:cs="Arial"/>
              <w:sz w:val="22"/>
              <w:szCs w:val="22"/>
            </w:rPr>
          </w:pPr>
        </w:p>
        <w:p w14:paraId="7BB804D9" w14:textId="77777777" w:rsidR="00996AC2" w:rsidRPr="00A53368" w:rsidRDefault="00000000" w:rsidP="00A53368">
          <w:pPr>
            <w:spacing w:line="360" w:lineRule="auto"/>
            <w:rPr>
              <w:rFonts w:ascii="Arial" w:hAnsi="Arial" w:cs="Arial"/>
              <w:sz w:val="22"/>
              <w:szCs w:val="22"/>
            </w:rPr>
          </w:pPr>
        </w:p>
      </w:sdtContent>
    </w:sdt>
    <w:sectPr w:rsidR="00996AC2" w:rsidRPr="00A53368" w:rsidSect="008F1BF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F4200" w14:textId="77777777" w:rsidR="00B266BF" w:rsidRDefault="00B266BF" w:rsidP="00D639A4">
      <w:r>
        <w:separator/>
      </w:r>
    </w:p>
  </w:endnote>
  <w:endnote w:type="continuationSeparator" w:id="0">
    <w:p w14:paraId="7AD307CB" w14:textId="77777777" w:rsidR="00B266BF" w:rsidRDefault="00B266BF" w:rsidP="00D639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A16D1" w14:textId="77777777" w:rsidR="00B266BF" w:rsidRDefault="00B266BF" w:rsidP="00D639A4">
      <w:r>
        <w:separator/>
      </w:r>
    </w:p>
  </w:footnote>
  <w:footnote w:type="continuationSeparator" w:id="0">
    <w:p w14:paraId="3BB3D90A" w14:textId="77777777" w:rsidR="00B266BF" w:rsidRDefault="00B266BF" w:rsidP="00D639A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4E9"/>
    <w:rsid w:val="002701EF"/>
    <w:rsid w:val="00336363"/>
    <w:rsid w:val="00337A47"/>
    <w:rsid w:val="00375C7C"/>
    <w:rsid w:val="004F3631"/>
    <w:rsid w:val="00545539"/>
    <w:rsid w:val="005704E9"/>
    <w:rsid w:val="005734C8"/>
    <w:rsid w:val="00670211"/>
    <w:rsid w:val="006C045E"/>
    <w:rsid w:val="007C59B8"/>
    <w:rsid w:val="008F1BF9"/>
    <w:rsid w:val="00954127"/>
    <w:rsid w:val="00975349"/>
    <w:rsid w:val="009A138F"/>
    <w:rsid w:val="009C335C"/>
    <w:rsid w:val="00A53368"/>
    <w:rsid w:val="00AA3842"/>
    <w:rsid w:val="00B25590"/>
    <w:rsid w:val="00B266BF"/>
    <w:rsid w:val="00B33070"/>
    <w:rsid w:val="00C03012"/>
    <w:rsid w:val="00C836A9"/>
    <w:rsid w:val="00CC14B4"/>
    <w:rsid w:val="00CD26C6"/>
    <w:rsid w:val="00D639A4"/>
    <w:rsid w:val="00DA4088"/>
    <w:rsid w:val="00EA2136"/>
    <w:rsid w:val="00F5428F"/>
    <w:rsid w:val="00F66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444BF"/>
  <w15:chartTrackingRefBased/>
  <w15:docId w15:val="{87D637D8-C9F2-B044-B867-034931954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4E9"/>
    <w:rPr>
      <w:rFonts w:ascii="Times New Roman" w:eastAsia="Times New Roman" w:hAnsi="Times New Roman" w:cs="Times New Roman"/>
    </w:rPr>
  </w:style>
  <w:style w:type="paragraph" w:styleId="Heading1">
    <w:name w:val="heading 1"/>
    <w:basedOn w:val="Normal"/>
    <w:next w:val="Normal"/>
    <w:link w:val="Heading1Char"/>
    <w:uiPriority w:val="9"/>
    <w:qFormat/>
    <w:rsid w:val="0054553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704E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04E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455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553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45539"/>
    <w:pPr>
      <w:tabs>
        <w:tab w:val="right" w:leader="dot" w:pos="9010"/>
      </w:tabs>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545539"/>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54553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4553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4553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4553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4553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4553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45539"/>
    <w:pPr>
      <w:ind w:left="1920"/>
    </w:pPr>
    <w:rPr>
      <w:rFonts w:asciiTheme="minorHAnsi" w:hAnsiTheme="minorHAnsi" w:cstheme="minorHAnsi"/>
      <w:sz w:val="20"/>
      <w:szCs w:val="20"/>
    </w:rPr>
  </w:style>
  <w:style w:type="character" w:styleId="Hyperlink">
    <w:name w:val="Hyperlink"/>
    <w:basedOn w:val="DefaultParagraphFont"/>
    <w:uiPriority w:val="99"/>
    <w:unhideWhenUsed/>
    <w:rsid w:val="00545539"/>
    <w:rPr>
      <w:color w:val="0563C1" w:themeColor="hyperlink"/>
      <w:u w:val="single"/>
    </w:rPr>
  </w:style>
  <w:style w:type="paragraph" w:styleId="NoSpacing">
    <w:name w:val="No Spacing"/>
    <w:uiPriority w:val="1"/>
    <w:qFormat/>
    <w:rsid w:val="00D639A4"/>
    <w:rPr>
      <w:rFonts w:ascii="Times New Roman" w:eastAsia="Times New Roman" w:hAnsi="Times New Roman" w:cs="Times New Roman"/>
    </w:rPr>
  </w:style>
  <w:style w:type="character" w:customStyle="1" w:styleId="apple-converted-space">
    <w:name w:val="apple-converted-space"/>
    <w:basedOn w:val="DefaultParagraphFont"/>
    <w:rsid w:val="00D639A4"/>
  </w:style>
  <w:style w:type="character" w:styleId="Emphasis">
    <w:name w:val="Emphasis"/>
    <w:basedOn w:val="DefaultParagraphFont"/>
    <w:uiPriority w:val="20"/>
    <w:qFormat/>
    <w:rsid w:val="00D639A4"/>
    <w:rPr>
      <w:i/>
      <w:iCs/>
    </w:rPr>
  </w:style>
  <w:style w:type="paragraph" w:styleId="Header">
    <w:name w:val="header"/>
    <w:basedOn w:val="Normal"/>
    <w:link w:val="HeaderChar"/>
    <w:uiPriority w:val="99"/>
    <w:unhideWhenUsed/>
    <w:rsid w:val="00D639A4"/>
    <w:pPr>
      <w:tabs>
        <w:tab w:val="center" w:pos="4680"/>
        <w:tab w:val="right" w:pos="9360"/>
      </w:tabs>
    </w:pPr>
  </w:style>
  <w:style w:type="character" w:customStyle="1" w:styleId="HeaderChar">
    <w:name w:val="Header Char"/>
    <w:basedOn w:val="DefaultParagraphFont"/>
    <w:link w:val="Header"/>
    <w:uiPriority w:val="99"/>
    <w:rsid w:val="00D639A4"/>
    <w:rPr>
      <w:rFonts w:ascii="Times New Roman" w:eastAsia="Times New Roman" w:hAnsi="Times New Roman" w:cs="Times New Roman"/>
    </w:rPr>
  </w:style>
  <w:style w:type="paragraph" w:styleId="Footer">
    <w:name w:val="footer"/>
    <w:basedOn w:val="Normal"/>
    <w:link w:val="FooterChar"/>
    <w:uiPriority w:val="99"/>
    <w:unhideWhenUsed/>
    <w:rsid w:val="00D639A4"/>
    <w:pPr>
      <w:tabs>
        <w:tab w:val="center" w:pos="4680"/>
        <w:tab w:val="right" w:pos="9360"/>
      </w:tabs>
    </w:pPr>
  </w:style>
  <w:style w:type="character" w:customStyle="1" w:styleId="FooterChar">
    <w:name w:val="Footer Char"/>
    <w:basedOn w:val="DefaultParagraphFont"/>
    <w:link w:val="Footer"/>
    <w:uiPriority w:val="99"/>
    <w:rsid w:val="00D639A4"/>
    <w:rPr>
      <w:rFonts w:ascii="Times New Roman" w:eastAsia="Times New Roman" w:hAnsi="Times New Roman" w:cs="Times New Roman"/>
    </w:rPr>
  </w:style>
  <w:style w:type="paragraph" w:styleId="Bibliography">
    <w:name w:val="Bibliography"/>
    <w:basedOn w:val="Normal"/>
    <w:next w:val="Normal"/>
    <w:uiPriority w:val="37"/>
    <w:unhideWhenUsed/>
    <w:rsid w:val="00C836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430">
      <w:bodyDiv w:val="1"/>
      <w:marLeft w:val="0"/>
      <w:marRight w:val="0"/>
      <w:marTop w:val="0"/>
      <w:marBottom w:val="0"/>
      <w:divBdr>
        <w:top w:val="none" w:sz="0" w:space="0" w:color="auto"/>
        <w:left w:val="none" w:sz="0" w:space="0" w:color="auto"/>
        <w:bottom w:val="none" w:sz="0" w:space="0" w:color="auto"/>
        <w:right w:val="none" w:sz="0" w:space="0" w:color="auto"/>
      </w:divBdr>
    </w:div>
    <w:div w:id="22833048">
      <w:bodyDiv w:val="1"/>
      <w:marLeft w:val="0"/>
      <w:marRight w:val="0"/>
      <w:marTop w:val="0"/>
      <w:marBottom w:val="0"/>
      <w:divBdr>
        <w:top w:val="none" w:sz="0" w:space="0" w:color="auto"/>
        <w:left w:val="none" w:sz="0" w:space="0" w:color="auto"/>
        <w:bottom w:val="none" w:sz="0" w:space="0" w:color="auto"/>
        <w:right w:val="none" w:sz="0" w:space="0" w:color="auto"/>
      </w:divBdr>
    </w:div>
    <w:div w:id="563758092">
      <w:bodyDiv w:val="1"/>
      <w:marLeft w:val="0"/>
      <w:marRight w:val="0"/>
      <w:marTop w:val="0"/>
      <w:marBottom w:val="0"/>
      <w:divBdr>
        <w:top w:val="none" w:sz="0" w:space="0" w:color="auto"/>
        <w:left w:val="none" w:sz="0" w:space="0" w:color="auto"/>
        <w:bottom w:val="none" w:sz="0" w:space="0" w:color="auto"/>
        <w:right w:val="none" w:sz="0" w:space="0" w:color="auto"/>
      </w:divBdr>
    </w:div>
    <w:div w:id="1201632558">
      <w:bodyDiv w:val="1"/>
      <w:marLeft w:val="0"/>
      <w:marRight w:val="0"/>
      <w:marTop w:val="0"/>
      <w:marBottom w:val="0"/>
      <w:divBdr>
        <w:top w:val="none" w:sz="0" w:space="0" w:color="auto"/>
        <w:left w:val="none" w:sz="0" w:space="0" w:color="auto"/>
        <w:bottom w:val="none" w:sz="0" w:space="0" w:color="auto"/>
        <w:right w:val="none" w:sz="0" w:space="0" w:color="auto"/>
      </w:divBdr>
    </w:div>
    <w:div w:id="2099402368">
      <w:bodyDiv w:val="1"/>
      <w:marLeft w:val="0"/>
      <w:marRight w:val="0"/>
      <w:marTop w:val="0"/>
      <w:marBottom w:val="0"/>
      <w:divBdr>
        <w:top w:val="none" w:sz="0" w:space="0" w:color="auto"/>
        <w:left w:val="none" w:sz="0" w:space="0" w:color="auto"/>
        <w:bottom w:val="none" w:sz="0" w:space="0" w:color="auto"/>
        <w:right w:val="none" w:sz="0" w:space="0" w:color="auto"/>
      </w:divBdr>
    </w:div>
    <w:div w:id="2134395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Wor22</b:Tag>
    <b:SourceType>InternetSite</b:SourceType>
    <b:Guid>{919E7D64-AED1-F347-A15A-21F8A5C50805}</b:Guid>
    <b:Author>
      <b:Author>
        <b:Corporate>Wordsteam</b:Corporate>
      </b:Author>
    </b:Author>
    <b:Title>The 6 Biggest, Baddest, Most Popular Social Media Platforms (+How to Wield Their Power) </b:Title>
    <b:URL>https://www.wordstream.com/blog/ws/2022/01/11/most-popular-social-media-platforms</b:URL>
    <b:Year>2022</b:Year>
    <b:YearAccessed>2023</b:YearAccessed>
    <b:MonthAccessed>03</b:MonthAccessed>
    <b:DayAccessed>02</b:DayAccessed>
    <b:RefOrder>1</b:RefOrder>
  </b:Source>
</b:Sources>
</file>

<file path=customXml/itemProps1.xml><?xml version="1.0" encoding="utf-8"?>
<ds:datastoreItem xmlns:ds="http://schemas.openxmlformats.org/officeDocument/2006/customXml" ds:itemID="{B6966928-0925-B342-A74B-0F4F39107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10</Pages>
  <Words>2784</Words>
  <Characters>15869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Juman (2114362)</dc:creator>
  <cp:keywords/>
  <dc:description/>
  <cp:lastModifiedBy>Renaldo Juman (2114362)</cp:lastModifiedBy>
  <cp:revision>202</cp:revision>
  <dcterms:created xsi:type="dcterms:W3CDTF">2023-02-23T10:10:00Z</dcterms:created>
  <dcterms:modified xsi:type="dcterms:W3CDTF">2023-03-02T15:20:00Z</dcterms:modified>
</cp:coreProperties>
</file>