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55C02" w14:textId="0EC57B4B" w:rsidR="0090794F" w:rsidRPr="0090794F" w:rsidRDefault="0090794F">
      <w:pPr>
        <w:rPr>
          <w:sz w:val="22"/>
          <w:szCs w:val="22"/>
        </w:rPr>
      </w:pPr>
    </w:p>
    <w:p w14:paraId="34378C6C" w14:textId="77777777" w:rsidR="0090794F" w:rsidRPr="00F4799C" w:rsidRDefault="0090794F" w:rsidP="0090794F">
      <w:pPr>
        <w:jc w:val="center"/>
        <w:rPr>
          <w:rFonts w:asciiTheme="minorBidi" w:hAnsiTheme="minorBidi"/>
        </w:rPr>
      </w:pPr>
      <w:r w:rsidRPr="00F4799C">
        <w:rPr>
          <w:rFonts w:asciiTheme="minorBidi" w:hAnsiTheme="minorBidi"/>
          <w:noProof/>
        </w:rPr>
        <w:drawing>
          <wp:inline distT="0" distB="0" distL="0" distR="0" wp14:anchorId="4E505C80" wp14:editId="7BF9728A">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5212E0F4" w14:textId="77777777" w:rsidR="0090794F" w:rsidRPr="00F4799C" w:rsidRDefault="0090794F" w:rsidP="0090794F">
      <w:pPr>
        <w:jc w:val="center"/>
        <w:rPr>
          <w:rFonts w:asciiTheme="minorBidi" w:hAnsiTheme="minorBidi"/>
        </w:rPr>
      </w:pPr>
    </w:p>
    <w:p w14:paraId="30C651D2" w14:textId="77777777" w:rsidR="0090794F" w:rsidRPr="00F4799C" w:rsidRDefault="0090794F" w:rsidP="0090794F">
      <w:pPr>
        <w:rPr>
          <w:rFonts w:asciiTheme="minorBidi" w:hAnsiTheme="minorBidi"/>
        </w:rPr>
      </w:pPr>
    </w:p>
    <w:p w14:paraId="433DB2EA" w14:textId="77777777" w:rsidR="0090794F" w:rsidRPr="00F4799C" w:rsidRDefault="0090794F" w:rsidP="0090794F">
      <w:pPr>
        <w:jc w:val="center"/>
        <w:rPr>
          <w:rFonts w:asciiTheme="minorBidi" w:hAnsiTheme="minorBidi"/>
        </w:rPr>
      </w:pPr>
    </w:p>
    <w:p w14:paraId="31059BBE" w14:textId="0092F529" w:rsidR="0090794F" w:rsidRPr="00F4799C" w:rsidRDefault="0090794F" w:rsidP="0090794F">
      <w:pPr>
        <w:jc w:val="center"/>
        <w:rPr>
          <w:rFonts w:asciiTheme="minorBidi" w:hAnsiTheme="minorBidi"/>
          <w:b/>
          <w:bCs/>
          <w:sz w:val="28"/>
          <w:szCs w:val="28"/>
        </w:rPr>
      </w:pPr>
      <w:r w:rsidRPr="00F4799C">
        <w:rPr>
          <w:rFonts w:asciiTheme="minorBidi" w:hAnsiTheme="minorBidi"/>
          <w:b/>
          <w:bCs/>
          <w:sz w:val="28"/>
          <w:szCs w:val="28"/>
        </w:rPr>
        <w:t>Student Name:</w:t>
      </w:r>
      <w:r>
        <w:rPr>
          <w:rFonts w:asciiTheme="minorBidi" w:hAnsiTheme="minorBidi"/>
          <w:b/>
          <w:bCs/>
          <w:sz w:val="28"/>
          <w:szCs w:val="28"/>
        </w:rPr>
        <w:t xml:space="preserve"> Kuldip Bhuva</w:t>
      </w:r>
    </w:p>
    <w:p w14:paraId="3F348E9B" w14:textId="77777777" w:rsidR="0090794F" w:rsidRPr="00F4799C" w:rsidRDefault="0090794F" w:rsidP="0090794F">
      <w:pPr>
        <w:jc w:val="center"/>
        <w:rPr>
          <w:rFonts w:asciiTheme="minorBidi" w:hAnsiTheme="minorBidi"/>
          <w:b/>
          <w:bCs/>
          <w:sz w:val="28"/>
          <w:szCs w:val="28"/>
        </w:rPr>
      </w:pPr>
    </w:p>
    <w:p w14:paraId="5E4FAE31" w14:textId="60FAF879" w:rsidR="0090794F" w:rsidRPr="00F4799C" w:rsidRDefault="0090794F" w:rsidP="0090794F">
      <w:pPr>
        <w:jc w:val="center"/>
        <w:rPr>
          <w:rFonts w:asciiTheme="minorBidi" w:hAnsiTheme="minorBidi"/>
          <w:b/>
          <w:bCs/>
          <w:sz w:val="28"/>
          <w:szCs w:val="28"/>
        </w:rPr>
      </w:pPr>
      <w:r w:rsidRPr="00F4799C">
        <w:rPr>
          <w:rFonts w:asciiTheme="minorBidi" w:hAnsiTheme="minorBidi"/>
          <w:b/>
          <w:bCs/>
          <w:sz w:val="28"/>
          <w:szCs w:val="28"/>
        </w:rPr>
        <w:t>Student ID:</w:t>
      </w:r>
      <w:r>
        <w:rPr>
          <w:rFonts w:asciiTheme="minorBidi" w:hAnsiTheme="minorBidi"/>
          <w:b/>
          <w:bCs/>
          <w:sz w:val="28"/>
          <w:szCs w:val="28"/>
        </w:rPr>
        <w:t>2517333</w:t>
      </w:r>
    </w:p>
    <w:p w14:paraId="31DA7E7E" w14:textId="77777777" w:rsidR="0090794F" w:rsidRPr="00F4799C" w:rsidRDefault="0090794F" w:rsidP="0090794F">
      <w:pPr>
        <w:jc w:val="center"/>
        <w:rPr>
          <w:rFonts w:asciiTheme="minorBidi" w:hAnsiTheme="minorBidi"/>
          <w:sz w:val="28"/>
          <w:szCs w:val="28"/>
        </w:rPr>
      </w:pPr>
    </w:p>
    <w:p w14:paraId="263388CF" w14:textId="77777777" w:rsidR="0090794F" w:rsidRPr="00F4799C" w:rsidRDefault="0090794F" w:rsidP="0090794F">
      <w:pPr>
        <w:jc w:val="center"/>
        <w:rPr>
          <w:rFonts w:asciiTheme="minorBidi" w:hAnsiTheme="minorBidi"/>
          <w:sz w:val="28"/>
          <w:szCs w:val="28"/>
        </w:rPr>
      </w:pPr>
    </w:p>
    <w:p w14:paraId="2214294B" w14:textId="77777777" w:rsidR="0090794F" w:rsidRPr="00F4799C" w:rsidRDefault="0090794F" w:rsidP="0090794F">
      <w:pPr>
        <w:jc w:val="center"/>
        <w:rPr>
          <w:rFonts w:asciiTheme="minorBidi" w:hAnsiTheme="minorBidi"/>
          <w:b/>
          <w:bCs/>
          <w:sz w:val="28"/>
          <w:szCs w:val="28"/>
        </w:rPr>
      </w:pPr>
      <w:r w:rsidRPr="00F4799C">
        <w:rPr>
          <w:rFonts w:asciiTheme="minorBidi" w:hAnsiTheme="minorBidi"/>
          <w:b/>
          <w:bCs/>
          <w:sz w:val="28"/>
          <w:szCs w:val="28"/>
        </w:rPr>
        <w:t>Module Name: Marketing Management</w:t>
      </w:r>
    </w:p>
    <w:p w14:paraId="7A80EFA5" w14:textId="77777777" w:rsidR="0090794F" w:rsidRPr="00F4799C" w:rsidRDefault="0090794F" w:rsidP="0090794F">
      <w:pPr>
        <w:jc w:val="center"/>
        <w:rPr>
          <w:rFonts w:asciiTheme="minorBidi" w:hAnsiTheme="minorBidi"/>
          <w:b/>
          <w:bCs/>
          <w:sz w:val="28"/>
          <w:szCs w:val="28"/>
        </w:rPr>
      </w:pPr>
    </w:p>
    <w:p w14:paraId="3F767F22" w14:textId="77777777" w:rsidR="0090794F" w:rsidRPr="00F4799C" w:rsidRDefault="0090794F" w:rsidP="0090794F">
      <w:pPr>
        <w:jc w:val="center"/>
        <w:rPr>
          <w:rFonts w:asciiTheme="minorBidi" w:hAnsiTheme="minorBidi"/>
          <w:b/>
          <w:bCs/>
          <w:sz w:val="28"/>
          <w:szCs w:val="28"/>
        </w:rPr>
      </w:pPr>
      <w:r w:rsidRPr="00F4799C">
        <w:rPr>
          <w:rFonts w:asciiTheme="minorBidi" w:hAnsiTheme="minorBidi"/>
          <w:b/>
          <w:bCs/>
          <w:sz w:val="28"/>
          <w:szCs w:val="28"/>
        </w:rPr>
        <w:t>Module Code: LCMB7024</w:t>
      </w:r>
    </w:p>
    <w:p w14:paraId="3FF80E4C" w14:textId="77777777" w:rsidR="0090794F" w:rsidRPr="00F4799C" w:rsidRDefault="0090794F" w:rsidP="0090794F">
      <w:pPr>
        <w:jc w:val="center"/>
        <w:rPr>
          <w:rFonts w:asciiTheme="minorBidi" w:hAnsiTheme="minorBidi"/>
          <w:b/>
          <w:bCs/>
          <w:sz w:val="28"/>
          <w:szCs w:val="28"/>
        </w:rPr>
      </w:pPr>
    </w:p>
    <w:p w14:paraId="5A834F67" w14:textId="77777777" w:rsidR="0090794F" w:rsidRPr="00F4799C" w:rsidRDefault="0090794F" w:rsidP="0090794F">
      <w:pPr>
        <w:jc w:val="center"/>
        <w:rPr>
          <w:rFonts w:asciiTheme="minorBidi" w:hAnsiTheme="minorBidi"/>
          <w:b/>
          <w:bCs/>
          <w:sz w:val="28"/>
          <w:szCs w:val="28"/>
        </w:rPr>
      </w:pPr>
    </w:p>
    <w:p w14:paraId="7A8A1AE6" w14:textId="77777777" w:rsidR="0090794F" w:rsidRPr="00F4799C" w:rsidRDefault="0090794F" w:rsidP="0090794F">
      <w:pPr>
        <w:jc w:val="center"/>
        <w:rPr>
          <w:rFonts w:asciiTheme="minorBidi" w:hAnsiTheme="minorBidi"/>
          <w:b/>
          <w:bCs/>
          <w:sz w:val="28"/>
          <w:szCs w:val="28"/>
        </w:rPr>
      </w:pPr>
    </w:p>
    <w:p w14:paraId="1F36ECC2" w14:textId="7762FFCD" w:rsidR="0090794F" w:rsidRPr="00F4799C" w:rsidRDefault="0090794F" w:rsidP="0090794F">
      <w:pPr>
        <w:jc w:val="center"/>
        <w:rPr>
          <w:rFonts w:asciiTheme="minorBidi" w:hAnsiTheme="minorBidi"/>
          <w:b/>
          <w:bCs/>
          <w:sz w:val="28"/>
          <w:szCs w:val="28"/>
        </w:rPr>
      </w:pPr>
      <w:r w:rsidRPr="00F4799C">
        <w:rPr>
          <w:rFonts w:asciiTheme="minorBidi" w:hAnsiTheme="minorBidi"/>
          <w:b/>
          <w:bCs/>
          <w:sz w:val="28"/>
          <w:szCs w:val="28"/>
        </w:rPr>
        <w:t>Lecturer’s Name:</w:t>
      </w:r>
      <w:r w:rsidRPr="0090794F">
        <w:rPr>
          <w:rFonts w:ascii="Segoe UI" w:hAnsi="Segoe UI" w:cs="Segoe UI"/>
          <w:color w:val="1D2125"/>
          <w:sz w:val="20"/>
          <w:szCs w:val="20"/>
          <w:shd w:val="clear" w:color="auto" w:fill="FFFFFF"/>
        </w:rPr>
        <w:t xml:space="preserve"> </w:t>
      </w:r>
      <w:r w:rsidRPr="0090794F">
        <w:rPr>
          <w:rFonts w:asciiTheme="minorBidi" w:hAnsiTheme="minorBidi"/>
          <w:b/>
          <w:bCs/>
          <w:sz w:val="28"/>
          <w:szCs w:val="28"/>
        </w:rPr>
        <w:t>Dr Muhammad Tariq</w:t>
      </w:r>
    </w:p>
    <w:p w14:paraId="1925840E" w14:textId="77777777" w:rsidR="0090794F" w:rsidRPr="00F4799C" w:rsidRDefault="0090794F" w:rsidP="0090794F">
      <w:pPr>
        <w:jc w:val="center"/>
        <w:rPr>
          <w:rFonts w:asciiTheme="minorBidi" w:hAnsiTheme="minorBidi"/>
          <w:b/>
          <w:bCs/>
          <w:sz w:val="28"/>
          <w:szCs w:val="28"/>
        </w:rPr>
      </w:pPr>
    </w:p>
    <w:p w14:paraId="4F47BBB1" w14:textId="77777777" w:rsidR="0090794F" w:rsidRPr="00F4799C" w:rsidRDefault="0090794F" w:rsidP="0090794F">
      <w:pPr>
        <w:jc w:val="center"/>
        <w:rPr>
          <w:rFonts w:asciiTheme="minorBidi" w:hAnsiTheme="minorBidi"/>
          <w:b/>
          <w:bCs/>
          <w:sz w:val="28"/>
          <w:szCs w:val="28"/>
        </w:rPr>
      </w:pPr>
    </w:p>
    <w:p w14:paraId="0DF84E65" w14:textId="77777777" w:rsidR="0090794F" w:rsidRPr="00F4799C" w:rsidRDefault="0090794F" w:rsidP="0090794F">
      <w:pPr>
        <w:rPr>
          <w:rFonts w:asciiTheme="minorBidi" w:hAnsiTheme="minorBidi"/>
          <w:b/>
          <w:bCs/>
          <w:sz w:val="28"/>
          <w:szCs w:val="28"/>
        </w:rPr>
      </w:pPr>
    </w:p>
    <w:p w14:paraId="041BFD67" w14:textId="3BE0F3AA" w:rsidR="0090794F" w:rsidRPr="00F4799C" w:rsidRDefault="0090794F" w:rsidP="0090794F">
      <w:pPr>
        <w:jc w:val="center"/>
        <w:rPr>
          <w:rFonts w:asciiTheme="minorBidi" w:hAnsiTheme="minorBidi"/>
          <w:b/>
          <w:bCs/>
          <w:sz w:val="28"/>
          <w:szCs w:val="28"/>
        </w:rPr>
      </w:pPr>
      <w:r w:rsidRPr="00F4799C">
        <w:rPr>
          <w:rFonts w:asciiTheme="minorBidi" w:hAnsiTheme="minorBidi"/>
          <w:b/>
          <w:bCs/>
          <w:sz w:val="28"/>
          <w:szCs w:val="28"/>
        </w:rPr>
        <w:t>Work Count:</w:t>
      </w:r>
    </w:p>
    <w:p w14:paraId="48448137" w14:textId="77777777" w:rsidR="0090794F" w:rsidRDefault="0090794F" w:rsidP="0090794F">
      <w:pPr>
        <w:rPr>
          <w:rFonts w:asciiTheme="minorBidi" w:hAnsiTheme="minorBidi"/>
          <w:b/>
          <w:bCs/>
          <w:sz w:val="28"/>
          <w:szCs w:val="28"/>
        </w:rPr>
      </w:pPr>
    </w:p>
    <w:p w14:paraId="29435A4C" w14:textId="77777777" w:rsidR="0090794F" w:rsidRPr="00F4799C" w:rsidRDefault="0090794F" w:rsidP="0090794F">
      <w:pPr>
        <w:rPr>
          <w:rFonts w:asciiTheme="minorBidi" w:hAnsiTheme="minorBidi"/>
          <w:b/>
          <w:bCs/>
          <w:sz w:val="28"/>
          <w:szCs w:val="28"/>
        </w:rPr>
      </w:pPr>
    </w:p>
    <w:p w14:paraId="071E0622" w14:textId="77777777" w:rsidR="0090794F" w:rsidRPr="00F4799C" w:rsidRDefault="0090794F" w:rsidP="0090794F">
      <w:pPr>
        <w:jc w:val="center"/>
        <w:rPr>
          <w:rFonts w:asciiTheme="minorBidi" w:hAnsiTheme="minorBidi"/>
          <w:b/>
          <w:bCs/>
          <w:sz w:val="28"/>
          <w:szCs w:val="28"/>
        </w:rPr>
      </w:pPr>
      <w:r w:rsidRPr="00F4799C">
        <w:rPr>
          <w:rFonts w:asciiTheme="minorBidi" w:hAnsiTheme="minorBidi"/>
          <w:b/>
          <w:bCs/>
          <w:sz w:val="28"/>
          <w:szCs w:val="28"/>
        </w:rPr>
        <w:t>Term 1</w:t>
      </w:r>
    </w:p>
    <w:p w14:paraId="2999B33C" w14:textId="77777777" w:rsidR="0090794F" w:rsidRDefault="0090794F" w:rsidP="0090794F">
      <w:pPr>
        <w:spacing w:after="240" w:line="360" w:lineRule="auto"/>
        <w:jc w:val="center"/>
        <w:rPr>
          <w:b/>
          <w:bCs/>
          <w:sz w:val="28"/>
          <w:szCs w:val="28"/>
        </w:rPr>
      </w:pPr>
    </w:p>
    <w:p w14:paraId="5E8E1380" w14:textId="77777777" w:rsidR="0090794F" w:rsidRDefault="0090794F" w:rsidP="0090794F">
      <w:pPr>
        <w:spacing w:after="240" w:line="360" w:lineRule="auto"/>
        <w:jc w:val="center"/>
        <w:rPr>
          <w:b/>
          <w:bCs/>
          <w:sz w:val="28"/>
          <w:szCs w:val="28"/>
        </w:rPr>
      </w:pPr>
    </w:p>
    <w:p w14:paraId="063B85E0" w14:textId="77777777" w:rsidR="0090794F" w:rsidRDefault="0090794F" w:rsidP="0090794F">
      <w:pPr>
        <w:spacing w:after="240" w:line="360" w:lineRule="auto"/>
        <w:jc w:val="center"/>
        <w:rPr>
          <w:b/>
          <w:bCs/>
          <w:sz w:val="28"/>
          <w:szCs w:val="28"/>
        </w:rPr>
      </w:pPr>
    </w:p>
    <w:p w14:paraId="6A093D7A" w14:textId="77777777" w:rsidR="0090794F" w:rsidRDefault="0090794F" w:rsidP="0090794F">
      <w:pPr>
        <w:spacing w:after="240" w:line="360" w:lineRule="auto"/>
        <w:jc w:val="center"/>
        <w:rPr>
          <w:b/>
          <w:bCs/>
          <w:sz w:val="28"/>
          <w:szCs w:val="28"/>
        </w:rPr>
      </w:pPr>
    </w:p>
    <w:p w14:paraId="2E8C6978" w14:textId="77777777" w:rsidR="0090794F" w:rsidRDefault="0090794F" w:rsidP="0090794F">
      <w:pPr>
        <w:spacing w:after="240" w:line="360" w:lineRule="auto"/>
        <w:jc w:val="center"/>
        <w:rPr>
          <w:b/>
          <w:bCs/>
          <w:sz w:val="28"/>
          <w:szCs w:val="28"/>
        </w:rPr>
      </w:pPr>
    </w:p>
    <w:p w14:paraId="1203706B" w14:textId="77777777" w:rsidR="0090794F" w:rsidRDefault="0090794F" w:rsidP="0090794F">
      <w:pPr>
        <w:spacing w:after="240" w:line="360" w:lineRule="auto"/>
        <w:jc w:val="center"/>
        <w:rPr>
          <w:b/>
          <w:bCs/>
          <w:sz w:val="28"/>
          <w:szCs w:val="28"/>
        </w:rPr>
      </w:pPr>
    </w:p>
    <w:p w14:paraId="781D1542" w14:textId="77777777" w:rsidR="0090794F" w:rsidRDefault="0090794F" w:rsidP="0090794F">
      <w:pPr>
        <w:spacing w:after="240" w:line="360" w:lineRule="auto"/>
        <w:jc w:val="center"/>
        <w:rPr>
          <w:b/>
          <w:bCs/>
          <w:sz w:val="28"/>
          <w:szCs w:val="28"/>
        </w:rPr>
      </w:pPr>
    </w:p>
    <w:p w14:paraId="1B103840" w14:textId="28FC74E4" w:rsidR="0090794F" w:rsidRDefault="0090794F" w:rsidP="0090794F">
      <w:pPr>
        <w:spacing w:after="240" w:line="360" w:lineRule="auto"/>
        <w:jc w:val="center"/>
      </w:pPr>
      <w:r>
        <w:rPr>
          <w:b/>
          <w:bCs/>
          <w:sz w:val="28"/>
          <w:szCs w:val="28"/>
        </w:rPr>
        <w:t>Assessment Component 1:</w:t>
      </w:r>
    </w:p>
    <w:p w14:paraId="584AAC8A" w14:textId="77777777" w:rsidR="0090794F" w:rsidRDefault="0090794F" w:rsidP="0090794F">
      <w:pPr>
        <w:spacing w:after="240" w:line="360" w:lineRule="auto"/>
        <w:jc w:val="center"/>
      </w:pPr>
      <w:r>
        <w:rPr>
          <w:b/>
          <w:bCs/>
          <w:sz w:val="28"/>
          <w:szCs w:val="28"/>
        </w:rPr>
        <w:t>Marketing Environment Analysis</w:t>
      </w:r>
    </w:p>
    <w:p w14:paraId="43CA1A4D" w14:textId="77777777" w:rsidR="0090794F" w:rsidRDefault="0090794F" w:rsidP="0090794F">
      <w:pPr>
        <w:spacing w:after="240" w:line="360" w:lineRule="auto"/>
        <w:jc w:val="center"/>
      </w:pPr>
      <w:r>
        <w:rPr>
          <w:i/>
          <w:iCs/>
          <w:sz w:val="26"/>
          <w:szCs w:val="26"/>
        </w:rPr>
        <w:t>Tanishq (Pioneer) vs GIVA (Follower)</w:t>
      </w:r>
    </w:p>
    <w:p w14:paraId="3B5FD297" w14:textId="77777777" w:rsidR="0090794F" w:rsidRDefault="0090794F" w:rsidP="0090794F">
      <w:pPr>
        <w:spacing w:after="240" w:line="360" w:lineRule="auto"/>
        <w:jc w:val="center"/>
      </w:pPr>
      <w:r>
        <w:rPr>
          <w:i/>
          <w:iCs/>
        </w:rPr>
        <w:t>Indian Jewellery Industry</w:t>
      </w:r>
    </w:p>
    <w:p w14:paraId="25DDF017" w14:textId="77777777" w:rsidR="0090794F" w:rsidRPr="00F4799C" w:rsidRDefault="0090794F" w:rsidP="0090794F">
      <w:pPr>
        <w:rPr>
          <w:rFonts w:asciiTheme="minorBidi" w:hAnsiTheme="minorBidi"/>
          <w:b/>
          <w:bCs/>
        </w:rPr>
      </w:pPr>
      <w:r w:rsidRPr="00F4799C">
        <w:rPr>
          <w:rFonts w:asciiTheme="minorBidi" w:hAnsiTheme="minorBidi"/>
          <w:b/>
          <w:bCs/>
        </w:rPr>
        <w:br w:type="page"/>
      </w:r>
    </w:p>
    <w:p w14:paraId="1E2C95CA" w14:textId="77777777" w:rsidR="00324DF5" w:rsidRDefault="00324DF5">
      <w:pPr>
        <w:spacing w:after="240" w:line="360" w:lineRule="auto"/>
        <w:jc w:val="center"/>
        <w:sectPr w:rsidR="00324DF5">
          <w:pgSz w:w="11906" w:h="16838"/>
          <w:pgMar w:top="1440" w:right="1440" w:bottom="1440" w:left="1440" w:header="708" w:footer="708" w:gutter="0"/>
          <w:pgNumType w:start="1"/>
          <w:cols w:space="720"/>
        </w:sectPr>
      </w:pPr>
    </w:p>
    <w:p w14:paraId="4AF33931" w14:textId="77777777" w:rsidR="00324DF5" w:rsidRDefault="00324DF5">
      <w:pPr>
        <w:spacing w:after="240" w:line="360" w:lineRule="auto"/>
      </w:pPr>
    </w:p>
    <w:p w14:paraId="6FE5E883" w14:textId="77777777" w:rsidR="00324DF5" w:rsidRDefault="00000000">
      <w:pPr>
        <w:keepNext/>
        <w:keepLines/>
        <w:pBdr>
          <w:top w:val="nil"/>
          <w:left w:val="nil"/>
          <w:bottom w:val="nil"/>
          <w:right w:val="nil"/>
          <w:between w:val="nil"/>
        </w:pBdr>
        <w:spacing w:before="240" w:after="240" w:line="360" w:lineRule="auto"/>
        <w:rPr>
          <w:rFonts w:ascii="Calibri" w:eastAsia="Calibri" w:hAnsi="Calibri" w:cs="Calibri"/>
          <w:b/>
          <w:bCs/>
          <w:color w:val="2F5496"/>
          <w:sz w:val="32"/>
          <w:szCs w:val="32"/>
        </w:rPr>
      </w:pPr>
      <w:r>
        <w:rPr>
          <w:rFonts w:ascii="Calibri" w:eastAsia="Calibri" w:hAnsi="Calibri" w:cs="Calibri"/>
          <w:b/>
          <w:bCs/>
          <w:color w:val="2F5496"/>
          <w:sz w:val="32"/>
          <w:szCs w:val="32"/>
        </w:rPr>
        <w:t>Table of Contents</w:t>
      </w:r>
    </w:p>
    <w:sdt>
      <w:sdtPr>
        <w:id w:val="-31385267"/>
        <w:docPartObj>
          <w:docPartGallery w:val="Table of Contents"/>
          <w:docPartUnique/>
        </w:docPartObj>
      </w:sdtPr>
      <w:sdtContent>
        <w:p w14:paraId="6215D004" w14:textId="77777777" w:rsidR="00324DF5" w:rsidRDefault="00000000">
          <w:pPr>
            <w:pBdr>
              <w:top w:val="nil"/>
              <w:left w:val="nil"/>
              <w:bottom w:val="nil"/>
              <w:right w:val="nil"/>
              <w:between w:val="nil"/>
            </w:pBdr>
            <w:tabs>
              <w:tab w:val="right" w:leader="dot" w:pos="9016"/>
            </w:tabs>
            <w:spacing w:after="240" w:line="360" w:lineRule="auto"/>
            <w:rPr>
              <w:rFonts w:ascii="Calibri" w:eastAsia="Calibri" w:hAnsi="Calibri" w:cs="Calibri"/>
              <w:color w:val="000000"/>
            </w:rPr>
          </w:pPr>
          <w:r>
            <w:fldChar w:fldCharType="begin"/>
          </w:r>
          <w:r>
            <w:instrText xml:space="preserve"> TOC \h \u \z \t "Heading 1,1,Heading 2,2,Heading 3,3,"</w:instrText>
          </w:r>
          <w:r>
            <w:fldChar w:fldCharType="separate"/>
          </w:r>
          <w:hyperlink w:anchor="_heading=h.voag08xwpao7">
            <w:r>
              <w:rPr>
                <w:color w:val="000000"/>
              </w:rPr>
              <w:t>1. Introduction</w:t>
            </w:r>
            <w:r>
              <w:rPr>
                <w:color w:val="000000"/>
              </w:rPr>
              <w:tab/>
              <w:t>3</w:t>
            </w:r>
          </w:hyperlink>
        </w:p>
        <w:p w14:paraId="79DA0EFA" w14:textId="77777777" w:rsidR="00324DF5" w:rsidRDefault="00000000">
          <w:pPr>
            <w:pBdr>
              <w:top w:val="nil"/>
              <w:left w:val="nil"/>
              <w:bottom w:val="nil"/>
              <w:right w:val="nil"/>
              <w:between w:val="nil"/>
            </w:pBdr>
            <w:tabs>
              <w:tab w:val="right" w:leader="dot" w:pos="9016"/>
            </w:tabs>
            <w:spacing w:after="240" w:line="360" w:lineRule="auto"/>
            <w:rPr>
              <w:rFonts w:ascii="Calibri" w:eastAsia="Calibri" w:hAnsi="Calibri" w:cs="Calibri"/>
              <w:color w:val="000000"/>
            </w:rPr>
          </w:pPr>
          <w:hyperlink w:anchor="_heading=h.beezzsbugpg">
            <w:r>
              <w:rPr>
                <w:color w:val="000000"/>
              </w:rPr>
              <w:t>2. Macro-Marketing Environment Analysis</w:t>
            </w:r>
            <w:r>
              <w:rPr>
                <w:color w:val="000000"/>
              </w:rPr>
              <w:tab/>
              <w:t>4</w:t>
            </w:r>
          </w:hyperlink>
        </w:p>
        <w:p w14:paraId="3D7D91BE" w14:textId="77777777" w:rsidR="00324DF5" w:rsidRDefault="00000000">
          <w:pPr>
            <w:pBdr>
              <w:top w:val="nil"/>
              <w:left w:val="nil"/>
              <w:bottom w:val="nil"/>
              <w:right w:val="nil"/>
              <w:between w:val="nil"/>
            </w:pBdr>
            <w:tabs>
              <w:tab w:val="right" w:leader="dot" w:pos="9016"/>
            </w:tabs>
            <w:spacing w:after="240" w:line="360" w:lineRule="auto"/>
            <w:ind w:left="240"/>
            <w:rPr>
              <w:rFonts w:ascii="Calibri" w:eastAsia="Calibri" w:hAnsi="Calibri" w:cs="Calibri"/>
              <w:color w:val="000000"/>
            </w:rPr>
          </w:pPr>
          <w:hyperlink w:anchor="_heading=h.9wacq37fzs9a">
            <w:r>
              <w:rPr>
                <w:color w:val="000000"/>
              </w:rPr>
              <w:t>2.1 Technological Factors</w:t>
            </w:r>
            <w:r>
              <w:rPr>
                <w:color w:val="000000"/>
              </w:rPr>
              <w:tab/>
              <w:t>4</w:t>
            </w:r>
          </w:hyperlink>
        </w:p>
        <w:p w14:paraId="154D08DB" w14:textId="77777777" w:rsidR="00324DF5" w:rsidRDefault="00000000">
          <w:pPr>
            <w:pBdr>
              <w:top w:val="nil"/>
              <w:left w:val="nil"/>
              <w:bottom w:val="nil"/>
              <w:right w:val="nil"/>
              <w:between w:val="nil"/>
            </w:pBdr>
            <w:tabs>
              <w:tab w:val="right" w:leader="dot" w:pos="9016"/>
            </w:tabs>
            <w:spacing w:after="240" w:line="360" w:lineRule="auto"/>
            <w:ind w:left="240"/>
            <w:rPr>
              <w:rFonts w:ascii="Calibri" w:eastAsia="Calibri" w:hAnsi="Calibri" w:cs="Calibri"/>
              <w:color w:val="000000"/>
            </w:rPr>
          </w:pPr>
          <w:hyperlink w:anchor="_heading=h.dhcp7grn54wr">
            <w:r>
              <w:rPr>
                <w:color w:val="000000"/>
              </w:rPr>
              <w:t>2.2 Socio-Cultural Factors</w:t>
            </w:r>
            <w:r>
              <w:rPr>
                <w:color w:val="000000"/>
              </w:rPr>
              <w:tab/>
              <w:t>5</w:t>
            </w:r>
          </w:hyperlink>
        </w:p>
        <w:p w14:paraId="47598370" w14:textId="77777777" w:rsidR="00324DF5" w:rsidRDefault="00000000">
          <w:pPr>
            <w:pBdr>
              <w:top w:val="nil"/>
              <w:left w:val="nil"/>
              <w:bottom w:val="nil"/>
              <w:right w:val="nil"/>
              <w:between w:val="nil"/>
            </w:pBdr>
            <w:tabs>
              <w:tab w:val="right" w:leader="dot" w:pos="9016"/>
            </w:tabs>
            <w:spacing w:after="240" w:line="360" w:lineRule="auto"/>
            <w:rPr>
              <w:rFonts w:ascii="Calibri" w:eastAsia="Calibri" w:hAnsi="Calibri" w:cs="Calibri"/>
              <w:color w:val="000000"/>
            </w:rPr>
          </w:pPr>
          <w:hyperlink w:anchor="_heading=h.h80hzl1ym70i">
            <w:r>
              <w:rPr>
                <w:color w:val="000000"/>
              </w:rPr>
              <w:t>3. Strategic Responses: A Comparative Evaluation</w:t>
            </w:r>
            <w:r>
              <w:rPr>
                <w:color w:val="000000"/>
              </w:rPr>
              <w:tab/>
              <w:t>6</w:t>
            </w:r>
          </w:hyperlink>
        </w:p>
        <w:p w14:paraId="50143D46" w14:textId="77777777" w:rsidR="00324DF5" w:rsidRDefault="00000000">
          <w:pPr>
            <w:pBdr>
              <w:top w:val="nil"/>
              <w:left w:val="nil"/>
              <w:bottom w:val="nil"/>
              <w:right w:val="nil"/>
              <w:between w:val="nil"/>
            </w:pBdr>
            <w:tabs>
              <w:tab w:val="right" w:leader="dot" w:pos="9016"/>
            </w:tabs>
            <w:spacing w:after="240" w:line="360" w:lineRule="auto"/>
            <w:ind w:left="240"/>
            <w:rPr>
              <w:rFonts w:ascii="Calibri" w:eastAsia="Calibri" w:hAnsi="Calibri" w:cs="Calibri"/>
              <w:color w:val="000000"/>
            </w:rPr>
          </w:pPr>
          <w:hyperlink w:anchor="_heading=h.mcvksrjtjp37">
            <w:r>
              <w:rPr>
                <w:color w:val="000000"/>
              </w:rPr>
              <w:t>3.1 Porter’s Generic Strategies</w:t>
            </w:r>
            <w:r>
              <w:rPr>
                <w:color w:val="000000"/>
              </w:rPr>
              <w:tab/>
              <w:t>7</w:t>
            </w:r>
          </w:hyperlink>
        </w:p>
        <w:p w14:paraId="337F7B40" w14:textId="77777777" w:rsidR="00324DF5" w:rsidRDefault="00000000">
          <w:pPr>
            <w:pBdr>
              <w:top w:val="nil"/>
              <w:left w:val="nil"/>
              <w:bottom w:val="nil"/>
              <w:right w:val="nil"/>
              <w:between w:val="nil"/>
            </w:pBdr>
            <w:tabs>
              <w:tab w:val="right" w:leader="dot" w:pos="9016"/>
            </w:tabs>
            <w:spacing w:after="240" w:line="360" w:lineRule="auto"/>
            <w:ind w:left="480"/>
            <w:rPr>
              <w:rFonts w:ascii="Calibri" w:eastAsia="Calibri" w:hAnsi="Calibri" w:cs="Calibri"/>
              <w:color w:val="000000"/>
            </w:rPr>
          </w:pPr>
          <w:hyperlink w:anchor="_heading=h.gi343fftf162">
            <w:r>
              <w:rPr>
                <w:color w:val="000000"/>
              </w:rPr>
              <w:t>3.1.1 Tanishq: Broad Differentiation Strategy</w:t>
            </w:r>
            <w:r>
              <w:rPr>
                <w:color w:val="000000"/>
              </w:rPr>
              <w:tab/>
              <w:t>7</w:t>
            </w:r>
          </w:hyperlink>
        </w:p>
        <w:p w14:paraId="3CA81167" w14:textId="77777777" w:rsidR="00324DF5" w:rsidRDefault="00000000">
          <w:pPr>
            <w:pBdr>
              <w:top w:val="nil"/>
              <w:left w:val="nil"/>
              <w:bottom w:val="nil"/>
              <w:right w:val="nil"/>
              <w:between w:val="nil"/>
            </w:pBdr>
            <w:tabs>
              <w:tab w:val="right" w:leader="dot" w:pos="9016"/>
            </w:tabs>
            <w:spacing w:after="240" w:line="360" w:lineRule="auto"/>
            <w:ind w:left="480"/>
            <w:rPr>
              <w:rFonts w:ascii="Calibri" w:eastAsia="Calibri" w:hAnsi="Calibri" w:cs="Calibri"/>
              <w:color w:val="000000"/>
            </w:rPr>
          </w:pPr>
          <w:hyperlink w:anchor="_heading=h.ue2kozsdwg8i">
            <w:r>
              <w:rPr>
                <w:color w:val="000000"/>
              </w:rPr>
              <w:t>3.1.2 GIVA: Focused Differentiation Strategy</w:t>
            </w:r>
            <w:r>
              <w:rPr>
                <w:color w:val="000000"/>
              </w:rPr>
              <w:tab/>
              <w:t>7</w:t>
            </w:r>
          </w:hyperlink>
        </w:p>
        <w:p w14:paraId="16B07D61" w14:textId="77777777" w:rsidR="00324DF5" w:rsidRDefault="00000000">
          <w:pPr>
            <w:pBdr>
              <w:top w:val="nil"/>
              <w:left w:val="nil"/>
              <w:bottom w:val="nil"/>
              <w:right w:val="nil"/>
              <w:between w:val="nil"/>
            </w:pBdr>
            <w:tabs>
              <w:tab w:val="right" w:leader="dot" w:pos="9016"/>
            </w:tabs>
            <w:spacing w:after="240" w:line="360" w:lineRule="auto"/>
            <w:ind w:left="240"/>
            <w:rPr>
              <w:rFonts w:ascii="Calibri" w:eastAsia="Calibri" w:hAnsi="Calibri" w:cs="Calibri"/>
              <w:color w:val="000000"/>
            </w:rPr>
          </w:pPr>
          <w:hyperlink w:anchor="_heading=h.yizat69mnsvq">
            <w:r>
              <w:rPr>
                <w:color w:val="000000"/>
              </w:rPr>
              <w:t>3.2 Ansoff’s Growth Matrix</w:t>
            </w:r>
            <w:r>
              <w:rPr>
                <w:color w:val="000000"/>
              </w:rPr>
              <w:tab/>
              <w:t>8</w:t>
            </w:r>
          </w:hyperlink>
        </w:p>
        <w:p w14:paraId="0BC6A75E" w14:textId="77777777" w:rsidR="00324DF5" w:rsidRDefault="00000000">
          <w:pPr>
            <w:pBdr>
              <w:top w:val="nil"/>
              <w:left w:val="nil"/>
              <w:bottom w:val="nil"/>
              <w:right w:val="nil"/>
              <w:between w:val="nil"/>
            </w:pBdr>
            <w:tabs>
              <w:tab w:val="right" w:leader="dot" w:pos="9016"/>
            </w:tabs>
            <w:spacing w:after="240" w:line="360" w:lineRule="auto"/>
            <w:ind w:left="480"/>
            <w:rPr>
              <w:rFonts w:ascii="Calibri" w:eastAsia="Calibri" w:hAnsi="Calibri" w:cs="Calibri"/>
              <w:color w:val="000000"/>
            </w:rPr>
          </w:pPr>
          <w:hyperlink w:anchor="_heading=h.n7nns46dkm6p">
            <w:r>
              <w:rPr>
                <w:color w:val="000000"/>
              </w:rPr>
              <w:t>3.2.1 Tanishq: Market Penetration and Market Development</w:t>
            </w:r>
            <w:r>
              <w:rPr>
                <w:color w:val="000000"/>
              </w:rPr>
              <w:tab/>
              <w:t>8</w:t>
            </w:r>
          </w:hyperlink>
        </w:p>
        <w:p w14:paraId="5F0F6C4E" w14:textId="77777777" w:rsidR="00324DF5" w:rsidRDefault="00000000">
          <w:pPr>
            <w:pBdr>
              <w:top w:val="nil"/>
              <w:left w:val="nil"/>
              <w:bottom w:val="nil"/>
              <w:right w:val="nil"/>
              <w:between w:val="nil"/>
            </w:pBdr>
            <w:tabs>
              <w:tab w:val="right" w:leader="dot" w:pos="9016"/>
            </w:tabs>
            <w:spacing w:after="240" w:line="360" w:lineRule="auto"/>
            <w:ind w:left="480"/>
            <w:rPr>
              <w:rFonts w:ascii="Calibri" w:eastAsia="Calibri" w:hAnsi="Calibri" w:cs="Calibri"/>
              <w:color w:val="000000"/>
            </w:rPr>
          </w:pPr>
          <w:hyperlink w:anchor="_heading=h.qn3htsrjzd5v">
            <w:r>
              <w:rPr>
                <w:color w:val="000000"/>
              </w:rPr>
              <w:t>3.2.2 GIVA: Product Development and Market Penetration</w:t>
            </w:r>
            <w:r>
              <w:rPr>
                <w:color w:val="000000"/>
              </w:rPr>
              <w:tab/>
              <w:t>9</w:t>
            </w:r>
          </w:hyperlink>
        </w:p>
        <w:p w14:paraId="6DBADE26" w14:textId="77777777" w:rsidR="00324DF5" w:rsidRDefault="00000000">
          <w:pPr>
            <w:pBdr>
              <w:top w:val="nil"/>
              <w:left w:val="nil"/>
              <w:bottom w:val="nil"/>
              <w:right w:val="nil"/>
              <w:between w:val="nil"/>
            </w:pBdr>
            <w:tabs>
              <w:tab w:val="right" w:leader="dot" w:pos="9016"/>
            </w:tabs>
            <w:spacing w:after="240" w:line="360" w:lineRule="auto"/>
            <w:rPr>
              <w:rFonts w:ascii="Calibri" w:eastAsia="Calibri" w:hAnsi="Calibri" w:cs="Calibri"/>
              <w:color w:val="000000"/>
            </w:rPr>
          </w:pPr>
          <w:hyperlink w:anchor="_heading=h.hyv21jv8eyi5">
            <w:r>
              <w:rPr>
                <w:color w:val="000000"/>
              </w:rPr>
              <w:t>4. Conclusion</w:t>
            </w:r>
            <w:r>
              <w:rPr>
                <w:color w:val="000000"/>
              </w:rPr>
              <w:tab/>
              <w:t>10</w:t>
            </w:r>
          </w:hyperlink>
        </w:p>
        <w:p w14:paraId="34E954A3" w14:textId="77777777" w:rsidR="00324DF5" w:rsidRDefault="00000000">
          <w:pPr>
            <w:pBdr>
              <w:top w:val="nil"/>
              <w:left w:val="nil"/>
              <w:bottom w:val="nil"/>
              <w:right w:val="nil"/>
              <w:between w:val="nil"/>
            </w:pBdr>
            <w:tabs>
              <w:tab w:val="right" w:leader="dot" w:pos="9016"/>
            </w:tabs>
            <w:spacing w:after="240" w:line="360" w:lineRule="auto"/>
            <w:rPr>
              <w:rFonts w:ascii="Calibri" w:eastAsia="Calibri" w:hAnsi="Calibri" w:cs="Calibri"/>
              <w:color w:val="000000"/>
            </w:rPr>
          </w:pPr>
          <w:hyperlink w:anchor="_heading=h.desk6ex8wvw0">
            <w:r>
              <w:rPr>
                <w:color w:val="000000"/>
              </w:rPr>
              <w:t>Reference List</w:t>
            </w:r>
            <w:r>
              <w:rPr>
                <w:color w:val="000000"/>
              </w:rPr>
              <w:tab/>
              <w:t>12</w:t>
            </w:r>
          </w:hyperlink>
        </w:p>
        <w:p w14:paraId="7660BC5D" w14:textId="77777777" w:rsidR="00324DF5" w:rsidRDefault="00000000">
          <w:pPr>
            <w:spacing w:after="240" w:line="360" w:lineRule="auto"/>
          </w:pPr>
          <w:r>
            <w:fldChar w:fldCharType="end"/>
          </w:r>
        </w:p>
      </w:sdtContent>
    </w:sdt>
    <w:p w14:paraId="7827431A" w14:textId="77777777" w:rsidR="00324DF5" w:rsidRDefault="00324DF5">
      <w:pPr>
        <w:spacing w:after="240" w:line="360" w:lineRule="auto"/>
        <w:sectPr w:rsidR="00324DF5">
          <w:headerReference w:type="default" r:id="rId8"/>
          <w:footerReference w:type="default" r:id="rId9"/>
          <w:pgSz w:w="11906" w:h="16838"/>
          <w:pgMar w:top="1440" w:right="1440" w:bottom="1440" w:left="1440" w:header="708" w:footer="708" w:gutter="0"/>
          <w:cols w:space="720"/>
        </w:sectPr>
      </w:pPr>
    </w:p>
    <w:p w14:paraId="15463E73" w14:textId="77777777" w:rsidR="00324DF5" w:rsidRDefault="00000000">
      <w:pPr>
        <w:pStyle w:val="Heading1"/>
        <w:pBdr>
          <w:bottom w:val="single" w:sz="4" w:space="1" w:color="000000"/>
        </w:pBdr>
      </w:pPr>
      <w:bookmarkStart w:id="0" w:name="_heading=h.voag08xwpao7" w:colFirst="0" w:colLast="0"/>
      <w:bookmarkEnd w:id="0"/>
      <w:r>
        <w:lastRenderedPageBreak/>
        <w:t>1. Introduction</w:t>
      </w:r>
    </w:p>
    <w:p w14:paraId="42D67AF3" w14:textId="77777777" w:rsidR="00324DF5" w:rsidRDefault="00000000">
      <w:pPr>
        <w:spacing w:after="240" w:line="360" w:lineRule="auto"/>
        <w:jc w:val="both"/>
      </w:pPr>
      <w:r>
        <w:t>The macro-marketing environment is critical towards defining the strategic pathway of organisations that are engaged in competitive industries. Manuel (2022) argues that the PESTEL framework is an indispensable analysis method that allows managers to develop a full vision of opportunities and threats that arise on them due to external factors that are outside their control. The jewellery market has been estimated to be USD 381.54 Billion in 2025 and is expected to grow to USD 578.45 Billion in 2033 at a CAGR of 5.5 and the Asia-Pacific region has the largest demand at about 60% in 2025 (Grand View Research, 2025). In this international context, India has a special place; India jewellery market with USD 85.52 billion in the year 2023 taking about 24 per cent of the total global market (Grand View Research, 2024) and contributing about 7 per cent to the GDP of the country (India Brand Equity Foundation, 2025).</w:t>
      </w:r>
    </w:p>
    <w:p w14:paraId="39378675" w14:textId="77777777" w:rsidR="00324DF5" w:rsidRDefault="00000000">
      <w:pPr>
        <w:spacing w:after="240" w:line="360" w:lineRule="auto"/>
        <w:jc w:val="both"/>
      </w:pPr>
      <w:r>
        <w:t>This report picks Tanishq as the pioneer organisation that is a subsidiary of Titan Company Limited which is also located in the Tata Group. Tanishq is an Indian jewellery firm founded in 1994 as the first Indian jewellery brand with branded and hallmarked jewellery providing purity assurance (Titan Company Limited, 2025). GIVA, in its turn, was established in 2019 and is classified as the follower organisation a digital-first, direct-to-consumer (D2C) brand that specialises in low-cost 925 sterling silver jewellery and later extends to gold and lab-grown diamonds (Dhara Mandaliya, 2026). There are two macro-environment forces that are critically analysed in this report: technological and socio-cultural forces and the analysed strategic responses are evaluated with the help of Porters Generic Strategies and Ansoff Growth Matrix.</w:t>
      </w:r>
    </w:p>
    <w:p w14:paraId="222E099A" w14:textId="77777777" w:rsidR="00324DF5" w:rsidRDefault="00000000">
      <w:pPr>
        <w:spacing w:before="200" w:after="240" w:line="360" w:lineRule="auto"/>
        <w:jc w:val="center"/>
      </w:pPr>
      <w:r>
        <w:rPr>
          <w:b/>
          <w:bCs/>
          <w:sz w:val="22"/>
          <w:szCs w:val="22"/>
        </w:rPr>
        <w:t xml:space="preserve">Table 1: </w:t>
      </w:r>
      <w:r>
        <w:rPr>
          <w:i/>
          <w:iCs/>
          <w:sz w:val="22"/>
          <w:szCs w:val="22"/>
        </w:rPr>
        <w:t>Comparative Profile of Tanishq and GIVA</w:t>
      </w:r>
    </w:p>
    <w:tbl>
      <w:tblPr>
        <w:tblStyle w:val="a"/>
        <w:tblW w:w="9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00"/>
        <w:gridCol w:w="3513"/>
        <w:gridCol w:w="3513"/>
      </w:tblGrid>
      <w:tr w:rsidR="00324DF5" w14:paraId="32F75755" w14:textId="77777777">
        <w:tc>
          <w:tcPr>
            <w:tcW w:w="2000" w:type="dxa"/>
            <w:tcBorders>
              <w:top w:val="single" w:sz="4" w:space="0" w:color="999999"/>
              <w:left w:val="single" w:sz="4" w:space="0" w:color="999999"/>
              <w:bottom w:val="single" w:sz="4" w:space="0" w:color="999999"/>
              <w:right w:val="single" w:sz="4" w:space="0" w:color="999999"/>
            </w:tcBorders>
            <w:shd w:val="clear" w:color="auto" w:fill="1F3864"/>
            <w:tcMar>
              <w:top w:w="60" w:type="dxa"/>
              <w:left w:w="100" w:type="dxa"/>
              <w:bottom w:w="60" w:type="dxa"/>
              <w:right w:w="100" w:type="dxa"/>
            </w:tcMar>
            <w:vAlign w:val="center"/>
          </w:tcPr>
          <w:p w14:paraId="5B331D47" w14:textId="77777777" w:rsidR="00324DF5" w:rsidRDefault="00000000">
            <w:pPr>
              <w:spacing w:after="240" w:line="360" w:lineRule="auto"/>
            </w:pPr>
            <w:r>
              <w:rPr>
                <w:b/>
                <w:bCs/>
                <w:color w:val="FFFFFF"/>
                <w:sz w:val="22"/>
                <w:szCs w:val="22"/>
              </w:rPr>
              <w:t>Dimension</w:t>
            </w:r>
          </w:p>
        </w:tc>
        <w:tc>
          <w:tcPr>
            <w:tcW w:w="3513" w:type="dxa"/>
            <w:tcBorders>
              <w:top w:val="single" w:sz="4" w:space="0" w:color="999999"/>
              <w:left w:val="single" w:sz="4" w:space="0" w:color="999999"/>
              <w:bottom w:val="single" w:sz="4" w:space="0" w:color="999999"/>
              <w:right w:val="single" w:sz="4" w:space="0" w:color="999999"/>
            </w:tcBorders>
            <w:shd w:val="clear" w:color="auto" w:fill="1F3864"/>
            <w:tcMar>
              <w:top w:w="60" w:type="dxa"/>
              <w:left w:w="100" w:type="dxa"/>
              <w:bottom w:w="60" w:type="dxa"/>
              <w:right w:w="100" w:type="dxa"/>
            </w:tcMar>
            <w:vAlign w:val="center"/>
          </w:tcPr>
          <w:p w14:paraId="52F71FCF" w14:textId="77777777" w:rsidR="00324DF5" w:rsidRDefault="00000000">
            <w:pPr>
              <w:spacing w:after="240" w:line="360" w:lineRule="auto"/>
            </w:pPr>
            <w:r>
              <w:rPr>
                <w:b/>
                <w:bCs/>
                <w:color w:val="FFFFFF"/>
                <w:sz w:val="22"/>
                <w:szCs w:val="22"/>
              </w:rPr>
              <w:t>Tanishq (Pioneer)</w:t>
            </w:r>
          </w:p>
        </w:tc>
        <w:tc>
          <w:tcPr>
            <w:tcW w:w="3513" w:type="dxa"/>
            <w:tcBorders>
              <w:top w:val="single" w:sz="4" w:space="0" w:color="999999"/>
              <w:left w:val="single" w:sz="4" w:space="0" w:color="999999"/>
              <w:bottom w:val="single" w:sz="4" w:space="0" w:color="999999"/>
              <w:right w:val="single" w:sz="4" w:space="0" w:color="999999"/>
            </w:tcBorders>
            <w:shd w:val="clear" w:color="auto" w:fill="1F3864"/>
            <w:tcMar>
              <w:top w:w="60" w:type="dxa"/>
              <w:left w:w="100" w:type="dxa"/>
              <w:bottom w:w="60" w:type="dxa"/>
              <w:right w:w="100" w:type="dxa"/>
            </w:tcMar>
            <w:vAlign w:val="center"/>
          </w:tcPr>
          <w:p w14:paraId="6D8C1B11" w14:textId="77777777" w:rsidR="00324DF5" w:rsidRDefault="00000000">
            <w:pPr>
              <w:spacing w:after="240" w:line="360" w:lineRule="auto"/>
            </w:pPr>
            <w:r>
              <w:rPr>
                <w:b/>
                <w:bCs/>
                <w:color w:val="FFFFFF"/>
                <w:sz w:val="22"/>
                <w:szCs w:val="22"/>
              </w:rPr>
              <w:t>GIVA (Follower)</w:t>
            </w:r>
          </w:p>
        </w:tc>
      </w:tr>
      <w:tr w:rsidR="00324DF5" w14:paraId="1408D22B" w14:textId="77777777">
        <w:tc>
          <w:tcPr>
            <w:tcW w:w="2000" w:type="dxa"/>
            <w:tcBorders>
              <w:top w:val="single" w:sz="4" w:space="0" w:color="999999"/>
              <w:left w:val="single" w:sz="4" w:space="0" w:color="999999"/>
              <w:bottom w:val="single" w:sz="4" w:space="0" w:color="999999"/>
              <w:right w:val="single" w:sz="4" w:space="0" w:color="999999"/>
            </w:tcBorders>
            <w:shd w:val="clear" w:color="auto" w:fill="E8EEF4"/>
            <w:tcMar>
              <w:top w:w="60" w:type="dxa"/>
              <w:left w:w="100" w:type="dxa"/>
              <w:bottom w:w="60" w:type="dxa"/>
              <w:right w:w="100" w:type="dxa"/>
            </w:tcMar>
            <w:vAlign w:val="center"/>
          </w:tcPr>
          <w:p w14:paraId="55DE30F8" w14:textId="77777777" w:rsidR="00324DF5" w:rsidRDefault="00000000">
            <w:pPr>
              <w:spacing w:after="240" w:line="360" w:lineRule="auto"/>
            </w:pPr>
            <w:r>
              <w:rPr>
                <w:b/>
                <w:bCs/>
                <w:sz w:val="22"/>
                <w:szCs w:val="22"/>
              </w:rPr>
              <w:t>Founded</w:t>
            </w:r>
          </w:p>
        </w:tc>
        <w:tc>
          <w:tcPr>
            <w:tcW w:w="35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80972CF" w14:textId="77777777" w:rsidR="00324DF5" w:rsidRDefault="00000000">
            <w:pPr>
              <w:spacing w:after="240" w:line="360" w:lineRule="auto"/>
            </w:pPr>
            <w:r>
              <w:rPr>
                <w:sz w:val="22"/>
                <w:szCs w:val="22"/>
              </w:rPr>
              <w:t>1994 (Titan Company / Tata Group)</w:t>
            </w:r>
          </w:p>
        </w:tc>
        <w:tc>
          <w:tcPr>
            <w:tcW w:w="35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D864B70" w14:textId="77777777" w:rsidR="00324DF5" w:rsidRDefault="00000000">
            <w:pPr>
              <w:spacing w:after="240" w:line="360" w:lineRule="auto"/>
            </w:pPr>
            <w:r>
              <w:rPr>
                <w:sz w:val="22"/>
                <w:szCs w:val="22"/>
              </w:rPr>
              <w:t>2019 (Ishendra Agarwal)</w:t>
            </w:r>
          </w:p>
        </w:tc>
      </w:tr>
      <w:tr w:rsidR="00324DF5" w14:paraId="5BE54844" w14:textId="77777777">
        <w:tc>
          <w:tcPr>
            <w:tcW w:w="2000" w:type="dxa"/>
            <w:tcBorders>
              <w:top w:val="single" w:sz="4" w:space="0" w:color="999999"/>
              <w:left w:val="single" w:sz="4" w:space="0" w:color="999999"/>
              <w:bottom w:val="single" w:sz="4" w:space="0" w:color="999999"/>
              <w:right w:val="single" w:sz="4" w:space="0" w:color="999999"/>
            </w:tcBorders>
            <w:shd w:val="clear" w:color="auto" w:fill="E8EEF4"/>
            <w:tcMar>
              <w:top w:w="60" w:type="dxa"/>
              <w:left w:w="100" w:type="dxa"/>
              <w:bottom w:w="60" w:type="dxa"/>
              <w:right w:w="100" w:type="dxa"/>
            </w:tcMar>
            <w:vAlign w:val="center"/>
          </w:tcPr>
          <w:p w14:paraId="3173843A" w14:textId="77777777" w:rsidR="00324DF5" w:rsidRDefault="00000000">
            <w:pPr>
              <w:spacing w:after="240" w:line="360" w:lineRule="auto"/>
            </w:pPr>
            <w:r>
              <w:rPr>
                <w:b/>
                <w:bCs/>
                <w:sz w:val="22"/>
                <w:szCs w:val="22"/>
              </w:rPr>
              <w:t>Core Product</w:t>
            </w:r>
          </w:p>
        </w:tc>
        <w:tc>
          <w:tcPr>
            <w:tcW w:w="35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7A47F49" w14:textId="77777777" w:rsidR="00324DF5" w:rsidRDefault="00000000">
            <w:pPr>
              <w:spacing w:after="240" w:line="360" w:lineRule="auto"/>
            </w:pPr>
            <w:r>
              <w:rPr>
                <w:sz w:val="22"/>
                <w:szCs w:val="22"/>
              </w:rPr>
              <w:t>Gold, diamond, platinum jewellery</w:t>
            </w:r>
          </w:p>
        </w:tc>
        <w:tc>
          <w:tcPr>
            <w:tcW w:w="35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CB3E1AC" w14:textId="77777777" w:rsidR="00324DF5" w:rsidRDefault="00000000">
            <w:pPr>
              <w:spacing w:after="240" w:line="360" w:lineRule="auto"/>
            </w:pPr>
            <w:r>
              <w:rPr>
                <w:sz w:val="22"/>
                <w:szCs w:val="22"/>
              </w:rPr>
              <w:t>925 silver, lab-grown diamonds, gold</w:t>
            </w:r>
          </w:p>
        </w:tc>
      </w:tr>
      <w:tr w:rsidR="00324DF5" w14:paraId="44757DC6" w14:textId="77777777">
        <w:tc>
          <w:tcPr>
            <w:tcW w:w="2000" w:type="dxa"/>
            <w:tcBorders>
              <w:top w:val="single" w:sz="4" w:space="0" w:color="999999"/>
              <w:left w:val="single" w:sz="4" w:space="0" w:color="999999"/>
              <w:bottom w:val="single" w:sz="4" w:space="0" w:color="999999"/>
              <w:right w:val="single" w:sz="4" w:space="0" w:color="999999"/>
            </w:tcBorders>
            <w:shd w:val="clear" w:color="auto" w:fill="E8EEF4"/>
            <w:tcMar>
              <w:top w:w="60" w:type="dxa"/>
              <w:left w:w="100" w:type="dxa"/>
              <w:bottom w:w="60" w:type="dxa"/>
              <w:right w:w="100" w:type="dxa"/>
            </w:tcMar>
            <w:vAlign w:val="center"/>
          </w:tcPr>
          <w:p w14:paraId="06124F2B" w14:textId="77777777" w:rsidR="00324DF5" w:rsidRDefault="00000000">
            <w:pPr>
              <w:spacing w:after="240" w:line="360" w:lineRule="auto"/>
            </w:pPr>
            <w:r>
              <w:rPr>
                <w:b/>
                <w:bCs/>
                <w:sz w:val="22"/>
                <w:szCs w:val="22"/>
              </w:rPr>
              <w:lastRenderedPageBreak/>
              <w:t>Revenue</w:t>
            </w:r>
          </w:p>
        </w:tc>
        <w:tc>
          <w:tcPr>
            <w:tcW w:w="35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773DEC5" w14:textId="77777777" w:rsidR="00324DF5" w:rsidRDefault="00000000">
            <w:pPr>
              <w:spacing w:after="240" w:line="360" w:lineRule="auto"/>
            </w:pPr>
            <w:r>
              <w:rPr>
                <w:sz w:val="22"/>
                <w:szCs w:val="22"/>
              </w:rPr>
              <w:t>₹50,000+ crore (FY25 Titan consolidated)</w:t>
            </w:r>
          </w:p>
        </w:tc>
        <w:tc>
          <w:tcPr>
            <w:tcW w:w="35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335DD3F" w14:textId="77777777" w:rsidR="00324DF5" w:rsidRDefault="00000000">
            <w:pPr>
              <w:spacing w:after="240" w:line="360" w:lineRule="auto"/>
            </w:pPr>
            <w:r>
              <w:rPr>
                <w:sz w:val="22"/>
                <w:szCs w:val="22"/>
              </w:rPr>
              <w:t>₹273.6 crore (FY24)</w:t>
            </w:r>
          </w:p>
        </w:tc>
      </w:tr>
      <w:tr w:rsidR="00324DF5" w14:paraId="3F5C3CDE" w14:textId="77777777">
        <w:tc>
          <w:tcPr>
            <w:tcW w:w="2000" w:type="dxa"/>
            <w:tcBorders>
              <w:top w:val="single" w:sz="4" w:space="0" w:color="999999"/>
              <w:left w:val="single" w:sz="4" w:space="0" w:color="999999"/>
              <w:bottom w:val="single" w:sz="4" w:space="0" w:color="999999"/>
              <w:right w:val="single" w:sz="4" w:space="0" w:color="999999"/>
            </w:tcBorders>
            <w:shd w:val="clear" w:color="auto" w:fill="E8EEF4"/>
            <w:tcMar>
              <w:top w:w="60" w:type="dxa"/>
              <w:left w:w="100" w:type="dxa"/>
              <w:bottom w:w="60" w:type="dxa"/>
              <w:right w:w="100" w:type="dxa"/>
            </w:tcMar>
            <w:vAlign w:val="center"/>
          </w:tcPr>
          <w:p w14:paraId="6A66DE22" w14:textId="77777777" w:rsidR="00324DF5" w:rsidRDefault="00000000">
            <w:pPr>
              <w:spacing w:after="240" w:line="360" w:lineRule="auto"/>
            </w:pPr>
            <w:r>
              <w:rPr>
                <w:b/>
                <w:bCs/>
                <w:sz w:val="22"/>
                <w:szCs w:val="22"/>
              </w:rPr>
              <w:t>Store Network</w:t>
            </w:r>
          </w:p>
        </w:tc>
        <w:tc>
          <w:tcPr>
            <w:tcW w:w="35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764C0F5" w14:textId="77777777" w:rsidR="00324DF5" w:rsidRDefault="00000000">
            <w:pPr>
              <w:spacing w:after="240" w:line="360" w:lineRule="auto"/>
            </w:pPr>
            <w:r>
              <w:rPr>
                <w:sz w:val="22"/>
                <w:szCs w:val="22"/>
              </w:rPr>
              <w:t>3,322+ stores (incl. 23 international)</w:t>
            </w:r>
          </w:p>
        </w:tc>
        <w:tc>
          <w:tcPr>
            <w:tcW w:w="35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F4B1B1F" w14:textId="77777777" w:rsidR="00324DF5" w:rsidRDefault="00000000">
            <w:pPr>
              <w:spacing w:after="240" w:line="360" w:lineRule="auto"/>
            </w:pPr>
            <w:r>
              <w:rPr>
                <w:sz w:val="22"/>
                <w:szCs w:val="22"/>
              </w:rPr>
              <w:t>240+ stores (domestic only)</w:t>
            </w:r>
          </w:p>
        </w:tc>
      </w:tr>
      <w:tr w:rsidR="00324DF5" w14:paraId="49DB0934" w14:textId="77777777">
        <w:tc>
          <w:tcPr>
            <w:tcW w:w="2000" w:type="dxa"/>
            <w:tcBorders>
              <w:top w:val="single" w:sz="4" w:space="0" w:color="999999"/>
              <w:left w:val="single" w:sz="4" w:space="0" w:color="999999"/>
              <w:bottom w:val="single" w:sz="4" w:space="0" w:color="999999"/>
              <w:right w:val="single" w:sz="4" w:space="0" w:color="999999"/>
            </w:tcBorders>
            <w:shd w:val="clear" w:color="auto" w:fill="E8EEF4"/>
            <w:tcMar>
              <w:top w:w="60" w:type="dxa"/>
              <w:left w:w="100" w:type="dxa"/>
              <w:bottom w:w="60" w:type="dxa"/>
              <w:right w:w="100" w:type="dxa"/>
            </w:tcMar>
            <w:vAlign w:val="center"/>
          </w:tcPr>
          <w:p w14:paraId="5097EADD" w14:textId="77777777" w:rsidR="00324DF5" w:rsidRDefault="00000000">
            <w:pPr>
              <w:spacing w:after="240" w:line="360" w:lineRule="auto"/>
            </w:pPr>
            <w:r>
              <w:rPr>
                <w:b/>
                <w:bCs/>
                <w:sz w:val="22"/>
                <w:szCs w:val="22"/>
              </w:rPr>
              <w:t>Target Segment</w:t>
            </w:r>
          </w:p>
        </w:tc>
        <w:tc>
          <w:tcPr>
            <w:tcW w:w="35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F19EE6F" w14:textId="77777777" w:rsidR="00324DF5" w:rsidRDefault="00000000">
            <w:pPr>
              <w:spacing w:after="240" w:line="360" w:lineRule="auto"/>
            </w:pPr>
            <w:r>
              <w:rPr>
                <w:sz w:val="22"/>
                <w:szCs w:val="22"/>
              </w:rPr>
              <w:t>Broad: upper-middle and premium</w:t>
            </w:r>
          </w:p>
        </w:tc>
        <w:tc>
          <w:tcPr>
            <w:tcW w:w="35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0DD0379" w14:textId="77777777" w:rsidR="00324DF5" w:rsidRDefault="00000000">
            <w:pPr>
              <w:spacing w:after="240" w:line="360" w:lineRule="auto"/>
            </w:pPr>
            <w:r>
              <w:rPr>
                <w:sz w:val="22"/>
                <w:szCs w:val="22"/>
              </w:rPr>
              <w:t>Focused: Gen Z and millennials</w:t>
            </w:r>
          </w:p>
        </w:tc>
      </w:tr>
      <w:tr w:rsidR="00324DF5" w14:paraId="1FD5EBF6" w14:textId="77777777">
        <w:tc>
          <w:tcPr>
            <w:tcW w:w="2000" w:type="dxa"/>
            <w:tcBorders>
              <w:top w:val="single" w:sz="4" w:space="0" w:color="999999"/>
              <w:left w:val="single" w:sz="4" w:space="0" w:color="999999"/>
              <w:bottom w:val="single" w:sz="4" w:space="0" w:color="999999"/>
              <w:right w:val="single" w:sz="4" w:space="0" w:color="999999"/>
            </w:tcBorders>
            <w:shd w:val="clear" w:color="auto" w:fill="E8EEF4"/>
            <w:tcMar>
              <w:top w:w="60" w:type="dxa"/>
              <w:left w:w="100" w:type="dxa"/>
              <w:bottom w:w="60" w:type="dxa"/>
              <w:right w:w="100" w:type="dxa"/>
            </w:tcMar>
            <w:vAlign w:val="center"/>
          </w:tcPr>
          <w:p w14:paraId="72FCFE55" w14:textId="77777777" w:rsidR="00324DF5" w:rsidRDefault="00000000">
            <w:pPr>
              <w:spacing w:after="240" w:line="360" w:lineRule="auto"/>
            </w:pPr>
            <w:r>
              <w:rPr>
                <w:b/>
                <w:bCs/>
                <w:sz w:val="22"/>
                <w:szCs w:val="22"/>
              </w:rPr>
              <w:t>Channel Strategy</w:t>
            </w:r>
          </w:p>
        </w:tc>
        <w:tc>
          <w:tcPr>
            <w:tcW w:w="35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EB5F90A" w14:textId="77777777" w:rsidR="00324DF5" w:rsidRDefault="00000000">
            <w:pPr>
              <w:spacing w:after="240" w:line="360" w:lineRule="auto"/>
            </w:pPr>
            <w:r>
              <w:rPr>
                <w:sz w:val="22"/>
                <w:szCs w:val="22"/>
              </w:rPr>
              <w:t>Omnichannel (physical-led)</w:t>
            </w:r>
          </w:p>
        </w:tc>
        <w:tc>
          <w:tcPr>
            <w:tcW w:w="35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61FDFB4" w14:textId="77777777" w:rsidR="00324DF5" w:rsidRDefault="00000000">
            <w:pPr>
              <w:spacing w:after="240" w:line="360" w:lineRule="auto"/>
            </w:pPr>
            <w:r>
              <w:rPr>
                <w:sz w:val="22"/>
                <w:szCs w:val="22"/>
              </w:rPr>
              <w:t>Omnichannel (digital-first)</w:t>
            </w:r>
          </w:p>
        </w:tc>
      </w:tr>
    </w:tbl>
    <w:p w14:paraId="6CCA0199" w14:textId="77777777" w:rsidR="00324DF5" w:rsidRDefault="00000000">
      <w:pPr>
        <w:spacing w:before="80" w:after="240" w:line="360" w:lineRule="auto"/>
        <w:jc w:val="center"/>
      </w:pPr>
      <w:r>
        <w:rPr>
          <w:i/>
          <w:iCs/>
          <w:sz w:val="20"/>
          <w:szCs w:val="20"/>
        </w:rPr>
        <w:t>Source: Compiled from Titan Company Limited (2025), Business Standard (2024), Dhara Mandaliya (2026), Tradejini (2025)</w:t>
      </w:r>
    </w:p>
    <w:p w14:paraId="1CAC447E" w14:textId="77777777" w:rsidR="00324DF5" w:rsidRDefault="00000000">
      <w:pPr>
        <w:pStyle w:val="Heading1"/>
        <w:pBdr>
          <w:bottom w:val="single" w:sz="4" w:space="1" w:color="000000"/>
        </w:pBdr>
      </w:pPr>
      <w:bookmarkStart w:id="1" w:name="_heading=h.beezzsbugpg" w:colFirst="0" w:colLast="0"/>
      <w:bookmarkEnd w:id="1"/>
      <w:r>
        <w:t>2. Macro-Marketing Environment Analysis</w:t>
      </w:r>
    </w:p>
    <w:p w14:paraId="17CC5DA2" w14:textId="77777777" w:rsidR="00324DF5" w:rsidRDefault="00000000">
      <w:pPr>
        <w:spacing w:after="240" w:line="360" w:lineRule="auto"/>
        <w:jc w:val="both"/>
      </w:pPr>
      <w:r>
        <w:t>Hatoum et al. (2023) confirm that the PESTEL framework is an established strategic instrument to be used in analysing macro-environmental factors, which advance organisational change, but which the firm has no control over directly. This section looks at two of these critical forces, which are the technological and socio-cultural forces, and evaluates their respective opportunities and threats to the two organisations.</w:t>
      </w:r>
    </w:p>
    <w:p w14:paraId="1630CAC0" w14:textId="77777777" w:rsidR="00324DF5" w:rsidRDefault="00000000">
      <w:pPr>
        <w:pStyle w:val="Heading2"/>
        <w:spacing w:after="240"/>
      </w:pPr>
      <w:bookmarkStart w:id="2" w:name="_heading=h.9wacq37fzs9a" w:colFirst="0" w:colLast="0"/>
      <w:bookmarkEnd w:id="2"/>
      <w:r>
        <w:t>2.1 Technological Factors</w:t>
      </w:r>
    </w:p>
    <w:p w14:paraId="68DED262" w14:textId="77777777" w:rsidR="00324DF5" w:rsidRDefault="00000000">
      <w:pPr>
        <w:spacing w:after="240" w:line="360" w:lineRule="auto"/>
        <w:jc w:val="both"/>
      </w:pPr>
      <w:r>
        <w:t xml:space="preserve">The high digital technology development has essentially changed the jewellery industry both globally and nationally. In the global market, only about 84 percent of overall jewellery sales are held by offline shopping (Grand View Research, 2025), meaning that the digitalization of jewellery retail is still at rather young years of its development, and the number of ways to increase the sales is tremendous. This digital revelation has taken place especially in the direct-to-consumer region in India. The D2C jewellery market in India has also generated USD 104 million in funding in 2023, which is a 57 percent growth compared to the past year, and more than 550 D2C jewellery startups are currently present in India (Tracxn, 2024). These changes include </w:t>
      </w:r>
      <w:r>
        <w:lastRenderedPageBreak/>
        <w:t>virtual try-on features, artificial intelligence-powered customization and social media selling all of which have reduced the cost of entry to the new participants in the market.</w:t>
      </w:r>
    </w:p>
    <w:p w14:paraId="4739E101" w14:textId="77777777" w:rsidR="00324DF5" w:rsidRDefault="00000000">
      <w:pPr>
        <w:spacing w:after="240" w:line="360" w:lineRule="auto"/>
        <w:jc w:val="both"/>
      </w:pPr>
      <w:r>
        <w:t>In the case of Tanishq, technology creates an opportunity and threat in the macro-environment. Having more than 3322 retail stores in the country, Tanishq has capitalised on technology to create an omnichannel ecosystem, such as the tactical purchase of CaratLane, which is a digital-first jewellery brand (Tradejini, 2025). In July 2025, Titan Company Limited (2025) made the announcement of a 22 percent growth in total income by the FY25 exceeding the figure of 50,000 crore indicating efficiency in the capitalisation of both brick and mortar as well as online platforms. But the emergence of digitally native startups is a very real threat, since such nimble brands get into the hands of the consumer without the heavy capital required to build the physical retail infrastructure of a brick-and-mortar operation.</w:t>
      </w:r>
    </w:p>
    <w:p w14:paraId="1279B051" w14:textId="77777777" w:rsidR="00324DF5" w:rsidRDefault="00000000">
      <w:pPr>
        <w:spacing w:after="240" w:line="360" w:lineRule="auto"/>
        <w:jc w:val="both"/>
      </w:pPr>
      <w:r>
        <w:t>In the case of GIVA, on the other hand, opportunity has been made to take place overwhelmingly through the technological environment. According to Social Samosa (2025), the online marketing mix of GIVA, which included influencer and celebrity deals, earned the company 1 crore revenue during its first financial year, and the following year 274 crores. By April 2025, the brand would increase its physical stores to more than 200 and supplement its presence with quick-commerce opportunities, like Blinkit and Instamart (Dhara Mandaliya, 2026). Nonetheless, the commoditisation of D2C technology is growing faster, which means that, in future, new competitors will have an easier time replicating the GIVA digital-first model as a threat to its competitive position in the long term.</w:t>
      </w:r>
    </w:p>
    <w:p w14:paraId="616DDBCE" w14:textId="77777777" w:rsidR="00324DF5" w:rsidRDefault="00000000">
      <w:pPr>
        <w:pStyle w:val="Heading2"/>
        <w:spacing w:after="240"/>
      </w:pPr>
      <w:bookmarkStart w:id="3" w:name="_heading=h.dhcp7grn54wr" w:colFirst="0" w:colLast="0"/>
      <w:bookmarkEnd w:id="3"/>
      <w:r>
        <w:t>2.2 Socio-Cultural Factors</w:t>
      </w:r>
    </w:p>
    <w:p w14:paraId="4E965982" w14:textId="77777777" w:rsidR="00324DF5" w:rsidRDefault="00000000">
      <w:pPr>
        <w:spacing w:after="240" w:line="360" w:lineRule="auto"/>
        <w:jc w:val="both"/>
      </w:pPr>
      <w:r>
        <w:t xml:space="preserve">Jewellery market is experiencing a deep-seated generational change in the socio-cultural environment. Gold jewellery continues to hold the largest material share in the market at all of about 55 percent (Grand View Research, 2025) across the world, but consumer trends are shifting quite fast, especially in younger generations. In India, National Herald India (2026) states that, 51 percent of consumers in the Gen Z category has moved towards preferring silver jewellery, and 49 percent of the entire population prefer less bulky and more minimalist jewellery collections to the heavy, rich sets. This is a major break to the traditional consumption trends that have been </w:t>
      </w:r>
      <w:r>
        <w:lastRenderedPageBreak/>
        <w:t>dominated by gold, and whose causes are mainly weddings. The youths (millennials) are buying jewellery to lay non-ceremonial gifts like birthdays, daily unemployment, and work accomplishments (National Herald India, 2026).</w:t>
      </w:r>
    </w:p>
    <w:p w14:paraId="78F4AABD" w14:textId="77777777" w:rsidR="00324DF5" w:rsidRDefault="00000000">
      <w:pPr>
        <w:spacing w:after="240" w:line="360" w:lineRule="auto"/>
        <w:jc w:val="both"/>
      </w:pPr>
      <w:r>
        <w:t>In the case of Tanishq, the socio cultural environment is a two edged dynamic. The progressive introduction of compulsory BIS hallmarking by government has increased the number of mandatory districts gradually, reaching 343 to 2021- 2024 with registered jewellers growing to 34,647, to 194,039 (Press Information Bureau, 2024): this again favours long established purity assured brands, whose continued supply fits perfectly with the hallmarking needs. This is a regulatory trend, which is increasing the pace of unorganised to organised retail, which is of direct advantage to Tanishq. Nevertheless, the increasing popularity of the cheaper, design-oriented, and everyday jewellery among younger people is a risk to Tanishq in its luxury positioning in the segment of youths who are price-sensitive.</w:t>
      </w:r>
    </w:p>
    <w:p w14:paraId="5D46FEAF" w14:textId="77777777" w:rsidR="00324DF5" w:rsidRDefault="00000000">
      <w:pPr>
        <w:spacing w:after="240" w:line="360" w:lineRule="auto"/>
        <w:jc w:val="both"/>
      </w:pPr>
      <w:r>
        <w:t>In the case of GIVA, this socio-cultural change is a big opportunity. India silver jewellery market has a projected growth of 46 per cent a year until 2029, and the venture of GIVA in lab-grown diamond, which brought in nearly 20 per cent of its revenue in FY25, complements the clients who are more sustainability-conscious (Inc42, 2025). Business Standard (2024) verifies that in FY24, GIVA has an operating revenue of 273.6 crore as compared to 65.8% growth in FY23, which is a reflection of 65.8% YoY. However, it is dangerous that the cultural rituals of gold as an investment and an adornment are firmly ingrained and thus about 86 percent of Indian consumers believe that gold and jewellery are a desirable tool in wealth creation (National Herald India, 2026), thus limiting the long-term ability of GIVA to maintain its clientele as the customers grow up and their financial needs grow.</w:t>
      </w:r>
    </w:p>
    <w:p w14:paraId="07A55A51" w14:textId="77777777" w:rsidR="00324DF5" w:rsidRDefault="00000000">
      <w:pPr>
        <w:spacing w:before="200" w:after="240" w:line="360" w:lineRule="auto"/>
        <w:jc w:val="center"/>
      </w:pPr>
      <w:r>
        <w:rPr>
          <w:b/>
          <w:bCs/>
          <w:sz w:val="22"/>
          <w:szCs w:val="22"/>
        </w:rPr>
        <w:t xml:space="preserve">Table 2: </w:t>
      </w:r>
      <w:r>
        <w:rPr>
          <w:i/>
          <w:iCs/>
          <w:sz w:val="22"/>
          <w:szCs w:val="22"/>
        </w:rPr>
        <w:t>Summary of Macro-Environmental Opportunities and Threats</w:t>
      </w:r>
    </w:p>
    <w:tbl>
      <w:tblPr>
        <w:tblStyle w:val="a0"/>
        <w:tblW w:w="9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80"/>
        <w:gridCol w:w="1847"/>
        <w:gridCol w:w="1832"/>
        <w:gridCol w:w="1843"/>
        <w:gridCol w:w="1824"/>
      </w:tblGrid>
      <w:tr w:rsidR="00324DF5" w14:paraId="77F635A6" w14:textId="77777777">
        <w:tc>
          <w:tcPr>
            <w:tcW w:w="1680" w:type="dxa"/>
            <w:tcBorders>
              <w:top w:val="single" w:sz="4" w:space="0" w:color="999999"/>
              <w:left w:val="single" w:sz="4" w:space="0" w:color="999999"/>
              <w:bottom w:val="single" w:sz="4" w:space="0" w:color="999999"/>
              <w:right w:val="single" w:sz="4" w:space="0" w:color="999999"/>
            </w:tcBorders>
            <w:shd w:val="clear" w:color="auto" w:fill="1F3864"/>
            <w:tcMar>
              <w:top w:w="60" w:type="dxa"/>
              <w:left w:w="100" w:type="dxa"/>
              <w:bottom w:w="60" w:type="dxa"/>
              <w:right w:w="100" w:type="dxa"/>
            </w:tcMar>
            <w:vAlign w:val="center"/>
          </w:tcPr>
          <w:p w14:paraId="6D8687A0" w14:textId="77777777" w:rsidR="00324DF5" w:rsidRDefault="00000000">
            <w:pPr>
              <w:spacing w:after="240" w:line="360" w:lineRule="auto"/>
            </w:pPr>
            <w:r>
              <w:rPr>
                <w:b/>
                <w:bCs/>
                <w:color w:val="FFFFFF"/>
                <w:sz w:val="22"/>
                <w:szCs w:val="22"/>
              </w:rPr>
              <w:t>Factor</w:t>
            </w:r>
          </w:p>
        </w:tc>
        <w:tc>
          <w:tcPr>
            <w:tcW w:w="1847" w:type="dxa"/>
            <w:tcBorders>
              <w:top w:val="single" w:sz="4" w:space="0" w:color="999999"/>
              <w:left w:val="single" w:sz="4" w:space="0" w:color="999999"/>
              <w:bottom w:val="single" w:sz="4" w:space="0" w:color="999999"/>
              <w:right w:val="single" w:sz="4" w:space="0" w:color="999999"/>
            </w:tcBorders>
            <w:shd w:val="clear" w:color="auto" w:fill="1F3864"/>
            <w:tcMar>
              <w:top w:w="60" w:type="dxa"/>
              <w:left w:w="100" w:type="dxa"/>
              <w:bottom w:w="60" w:type="dxa"/>
              <w:right w:w="100" w:type="dxa"/>
            </w:tcMar>
            <w:vAlign w:val="center"/>
          </w:tcPr>
          <w:p w14:paraId="5D0DF9C9" w14:textId="77777777" w:rsidR="00324DF5" w:rsidRDefault="00000000">
            <w:pPr>
              <w:spacing w:after="240" w:line="360" w:lineRule="auto"/>
            </w:pPr>
            <w:r>
              <w:rPr>
                <w:b/>
                <w:bCs/>
                <w:color w:val="FFFFFF"/>
                <w:sz w:val="22"/>
                <w:szCs w:val="22"/>
              </w:rPr>
              <w:t>Tanishq Opportunity</w:t>
            </w:r>
          </w:p>
        </w:tc>
        <w:tc>
          <w:tcPr>
            <w:tcW w:w="1832" w:type="dxa"/>
            <w:tcBorders>
              <w:top w:val="single" w:sz="4" w:space="0" w:color="999999"/>
              <w:left w:val="single" w:sz="4" w:space="0" w:color="999999"/>
              <w:bottom w:val="single" w:sz="4" w:space="0" w:color="999999"/>
              <w:right w:val="single" w:sz="4" w:space="0" w:color="999999"/>
            </w:tcBorders>
            <w:shd w:val="clear" w:color="auto" w:fill="1F3864"/>
            <w:tcMar>
              <w:top w:w="60" w:type="dxa"/>
              <w:left w:w="100" w:type="dxa"/>
              <w:bottom w:w="60" w:type="dxa"/>
              <w:right w:w="100" w:type="dxa"/>
            </w:tcMar>
            <w:vAlign w:val="center"/>
          </w:tcPr>
          <w:p w14:paraId="7C348D2D" w14:textId="77777777" w:rsidR="00324DF5" w:rsidRDefault="00000000">
            <w:pPr>
              <w:spacing w:after="240" w:line="360" w:lineRule="auto"/>
            </w:pPr>
            <w:r>
              <w:rPr>
                <w:b/>
                <w:bCs/>
                <w:color w:val="FFFFFF"/>
                <w:sz w:val="22"/>
                <w:szCs w:val="22"/>
              </w:rPr>
              <w:t>Tanishq Threat</w:t>
            </w:r>
          </w:p>
        </w:tc>
        <w:tc>
          <w:tcPr>
            <w:tcW w:w="1843" w:type="dxa"/>
            <w:tcBorders>
              <w:top w:val="single" w:sz="4" w:space="0" w:color="999999"/>
              <w:left w:val="single" w:sz="4" w:space="0" w:color="999999"/>
              <w:bottom w:val="single" w:sz="4" w:space="0" w:color="999999"/>
              <w:right w:val="single" w:sz="4" w:space="0" w:color="999999"/>
            </w:tcBorders>
            <w:shd w:val="clear" w:color="auto" w:fill="1F3864"/>
            <w:tcMar>
              <w:top w:w="60" w:type="dxa"/>
              <w:left w:w="100" w:type="dxa"/>
              <w:bottom w:w="60" w:type="dxa"/>
              <w:right w:w="100" w:type="dxa"/>
            </w:tcMar>
            <w:vAlign w:val="center"/>
          </w:tcPr>
          <w:p w14:paraId="0718EC8A" w14:textId="77777777" w:rsidR="00324DF5" w:rsidRDefault="00000000">
            <w:pPr>
              <w:spacing w:after="240" w:line="360" w:lineRule="auto"/>
            </w:pPr>
            <w:r>
              <w:rPr>
                <w:b/>
                <w:bCs/>
                <w:color w:val="FFFFFF"/>
                <w:sz w:val="22"/>
                <w:szCs w:val="22"/>
              </w:rPr>
              <w:t>GIVA Opportunity</w:t>
            </w:r>
          </w:p>
        </w:tc>
        <w:tc>
          <w:tcPr>
            <w:tcW w:w="1824" w:type="dxa"/>
            <w:tcBorders>
              <w:top w:val="single" w:sz="4" w:space="0" w:color="999999"/>
              <w:left w:val="single" w:sz="4" w:space="0" w:color="999999"/>
              <w:bottom w:val="single" w:sz="4" w:space="0" w:color="999999"/>
              <w:right w:val="single" w:sz="4" w:space="0" w:color="999999"/>
            </w:tcBorders>
            <w:shd w:val="clear" w:color="auto" w:fill="1F3864"/>
            <w:tcMar>
              <w:top w:w="60" w:type="dxa"/>
              <w:left w:w="100" w:type="dxa"/>
              <w:bottom w:w="60" w:type="dxa"/>
              <w:right w:w="100" w:type="dxa"/>
            </w:tcMar>
            <w:vAlign w:val="center"/>
          </w:tcPr>
          <w:p w14:paraId="623720E7" w14:textId="77777777" w:rsidR="00324DF5" w:rsidRDefault="00000000">
            <w:pPr>
              <w:spacing w:after="240" w:line="360" w:lineRule="auto"/>
            </w:pPr>
            <w:r>
              <w:rPr>
                <w:b/>
                <w:bCs/>
                <w:color w:val="FFFFFF"/>
                <w:sz w:val="22"/>
                <w:szCs w:val="22"/>
              </w:rPr>
              <w:t>GIVA Threat</w:t>
            </w:r>
          </w:p>
        </w:tc>
      </w:tr>
      <w:tr w:rsidR="00324DF5" w14:paraId="21EB4F31" w14:textId="77777777">
        <w:tc>
          <w:tcPr>
            <w:tcW w:w="1680" w:type="dxa"/>
            <w:tcBorders>
              <w:top w:val="single" w:sz="4" w:space="0" w:color="999999"/>
              <w:left w:val="single" w:sz="4" w:space="0" w:color="999999"/>
              <w:bottom w:val="single" w:sz="4" w:space="0" w:color="999999"/>
              <w:right w:val="single" w:sz="4" w:space="0" w:color="999999"/>
            </w:tcBorders>
            <w:shd w:val="clear" w:color="auto" w:fill="E8EEF4"/>
            <w:tcMar>
              <w:top w:w="60" w:type="dxa"/>
              <w:left w:w="100" w:type="dxa"/>
              <w:bottom w:w="60" w:type="dxa"/>
              <w:right w:w="100" w:type="dxa"/>
            </w:tcMar>
            <w:vAlign w:val="center"/>
          </w:tcPr>
          <w:p w14:paraId="3B752B8C" w14:textId="77777777" w:rsidR="00324DF5" w:rsidRDefault="00000000">
            <w:pPr>
              <w:spacing w:after="240" w:line="360" w:lineRule="auto"/>
            </w:pPr>
            <w:r>
              <w:rPr>
                <w:b/>
                <w:bCs/>
                <w:sz w:val="22"/>
                <w:szCs w:val="22"/>
              </w:rPr>
              <w:t>Technological</w:t>
            </w:r>
          </w:p>
        </w:tc>
        <w:tc>
          <w:tcPr>
            <w:tcW w:w="1847"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91478A5" w14:textId="77777777" w:rsidR="00324DF5" w:rsidRDefault="00000000">
            <w:pPr>
              <w:spacing w:after="240" w:line="360" w:lineRule="auto"/>
            </w:pPr>
            <w:r>
              <w:rPr>
                <w:sz w:val="22"/>
                <w:szCs w:val="22"/>
              </w:rPr>
              <w:t xml:space="preserve">Omnichannel integration; </w:t>
            </w:r>
            <w:r>
              <w:rPr>
                <w:sz w:val="22"/>
                <w:szCs w:val="22"/>
              </w:rPr>
              <w:lastRenderedPageBreak/>
              <w:t>CaratLane acquisition</w:t>
            </w:r>
          </w:p>
        </w:tc>
        <w:tc>
          <w:tcPr>
            <w:tcW w:w="1832"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165232A" w14:textId="77777777" w:rsidR="00324DF5" w:rsidRDefault="00000000">
            <w:pPr>
              <w:spacing w:after="240" w:line="360" w:lineRule="auto"/>
            </w:pPr>
            <w:r>
              <w:rPr>
                <w:sz w:val="22"/>
                <w:szCs w:val="22"/>
              </w:rPr>
              <w:lastRenderedPageBreak/>
              <w:t xml:space="preserve">Digital-native competitors </w:t>
            </w:r>
            <w:r>
              <w:rPr>
                <w:sz w:val="22"/>
                <w:szCs w:val="22"/>
              </w:rPr>
              <w:lastRenderedPageBreak/>
              <w:t>bypassing physical retail</w:t>
            </w:r>
          </w:p>
        </w:tc>
        <w:tc>
          <w:tcPr>
            <w:tcW w:w="184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002D833" w14:textId="77777777" w:rsidR="00324DF5" w:rsidRDefault="00000000">
            <w:pPr>
              <w:spacing w:after="240" w:line="360" w:lineRule="auto"/>
            </w:pPr>
            <w:r>
              <w:rPr>
                <w:sz w:val="22"/>
                <w:szCs w:val="22"/>
              </w:rPr>
              <w:lastRenderedPageBreak/>
              <w:t xml:space="preserve">D2C model; social media </w:t>
            </w:r>
            <w:r>
              <w:rPr>
                <w:sz w:val="22"/>
                <w:szCs w:val="22"/>
              </w:rPr>
              <w:lastRenderedPageBreak/>
              <w:t>reach; quick commerce</w:t>
            </w:r>
          </w:p>
        </w:tc>
        <w:tc>
          <w:tcPr>
            <w:tcW w:w="1824"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82D037A" w14:textId="77777777" w:rsidR="00324DF5" w:rsidRDefault="00000000">
            <w:pPr>
              <w:spacing w:after="240" w:line="360" w:lineRule="auto"/>
            </w:pPr>
            <w:r>
              <w:rPr>
                <w:sz w:val="22"/>
                <w:szCs w:val="22"/>
              </w:rPr>
              <w:lastRenderedPageBreak/>
              <w:t>Low barriers to entry for new D2C rivals</w:t>
            </w:r>
          </w:p>
        </w:tc>
      </w:tr>
      <w:tr w:rsidR="00324DF5" w14:paraId="525E9AA9" w14:textId="77777777">
        <w:tc>
          <w:tcPr>
            <w:tcW w:w="1680" w:type="dxa"/>
            <w:tcBorders>
              <w:top w:val="single" w:sz="4" w:space="0" w:color="999999"/>
              <w:left w:val="single" w:sz="4" w:space="0" w:color="999999"/>
              <w:bottom w:val="single" w:sz="4" w:space="0" w:color="999999"/>
              <w:right w:val="single" w:sz="4" w:space="0" w:color="999999"/>
            </w:tcBorders>
            <w:shd w:val="clear" w:color="auto" w:fill="E8EEF4"/>
            <w:tcMar>
              <w:top w:w="60" w:type="dxa"/>
              <w:left w:w="100" w:type="dxa"/>
              <w:bottom w:w="60" w:type="dxa"/>
              <w:right w:w="100" w:type="dxa"/>
            </w:tcMar>
            <w:vAlign w:val="center"/>
          </w:tcPr>
          <w:p w14:paraId="5B49C58B" w14:textId="77777777" w:rsidR="00324DF5" w:rsidRDefault="00000000">
            <w:pPr>
              <w:spacing w:after="240" w:line="360" w:lineRule="auto"/>
            </w:pPr>
            <w:r>
              <w:rPr>
                <w:b/>
                <w:bCs/>
                <w:sz w:val="22"/>
                <w:szCs w:val="22"/>
              </w:rPr>
              <w:t>Socio-Cultural</w:t>
            </w:r>
          </w:p>
        </w:tc>
        <w:tc>
          <w:tcPr>
            <w:tcW w:w="1847"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82C4EEC" w14:textId="77777777" w:rsidR="00324DF5" w:rsidRDefault="00000000">
            <w:pPr>
              <w:spacing w:after="240" w:line="360" w:lineRule="auto"/>
            </w:pPr>
            <w:r>
              <w:rPr>
                <w:sz w:val="22"/>
                <w:szCs w:val="22"/>
              </w:rPr>
              <w:t>BIS hallmarking shift favours organised retail</w:t>
            </w:r>
          </w:p>
        </w:tc>
        <w:tc>
          <w:tcPr>
            <w:tcW w:w="1832"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6DC7D04" w14:textId="77777777" w:rsidR="00324DF5" w:rsidRDefault="00000000">
            <w:pPr>
              <w:spacing w:after="240" w:line="360" w:lineRule="auto"/>
            </w:pPr>
            <w:r>
              <w:rPr>
                <w:sz w:val="22"/>
                <w:szCs w:val="22"/>
              </w:rPr>
              <w:t>Gen Z preference for affordable everyday jewellery</w:t>
            </w:r>
          </w:p>
        </w:tc>
        <w:tc>
          <w:tcPr>
            <w:tcW w:w="184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3B4CEA8" w14:textId="77777777" w:rsidR="00324DF5" w:rsidRDefault="00000000">
            <w:pPr>
              <w:spacing w:after="240" w:line="360" w:lineRule="auto"/>
            </w:pPr>
            <w:r>
              <w:rPr>
                <w:sz w:val="22"/>
                <w:szCs w:val="22"/>
              </w:rPr>
              <w:t>Silver/lab-grown demand; everyday wear trend; tier-2/3 cities</w:t>
            </w:r>
          </w:p>
        </w:tc>
        <w:tc>
          <w:tcPr>
            <w:tcW w:w="1824"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A68D274" w14:textId="77777777" w:rsidR="00324DF5" w:rsidRDefault="00000000">
            <w:pPr>
              <w:spacing w:after="240" w:line="360" w:lineRule="auto"/>
            </w:pPr>
            <w:r>
              <w:rPr>
                <w:sz w:val="22"/>
                <w:szCs w:val="22"/>
              </w:rPr>
              <w:t>Cultural dominance of gold as wealth asset (86%)</w:t>
            </w:r>
          </w:p>
        </w:tc>
      </w:tr>
    </w:tbl>
    <w:p w14:paraId="12601C2A" w14:textId="77777777" w:rsidR="00324DF5" w:rsidRDefault="00000000">
      <w:pPr>
        <w:spacing w:before="80" w:after="240" w:line="360" w:lineRule="auto"/>
        <w:jc w:val="center"/>
      </w:pPr>
      <w:r>
        <w:rPr>
          <w:i/>
          <w:iCs/>
          <w:sz w:val="20"/>
          <w:szCs w:val="20"/>
        </w:rPr>
        <w:t>Source: Author’s analysis based on reviewed literature</w:t>
      </w:r>
    </w:p>
    <w:p w14:paraId="0C2537C6" w14:textId="77777777" w:rsidR="00324DF5" w:rsidRDefault="00000000">
      <w:pPr>
        <w:pStyle w:val="Heading1"/>
        <w:pBdr>
          <w:bottom w:val="single" w:sz="4" w:space="1" w:color="000000"/>
        </w:pBdr>
      </w:pPr>
      <w:bookmarkStart w:id="4" w:name="_heading=h.h80hzl1ym70i" w:colFirst="0" w:colLast="0"/>
      <w:bookmarkEnd w:id="4"/>
      <w:r>
        <w:t>3. Strategic Responses: A Comparative Evaluation</w:t>
      </w:r>
    </w:p>
    <w:p w14:paraId="0AD96978" w14:textId="77777777" w:rsidR="00324DF5" w:rsidRDefault="00000000">
      <w:pPr>
        <w:spacing w:after="240" w:line="360" w:lineRule="auto"/>
        <w:jc w:val="both"/>
      </w:pPr>
      <w:r>
        <w:t>This part follows the macro-environmental analysis, though, by assessing the strategic response Tanishq and GIVA have introduced to continue its development on the basis of Porters Generic Strategies and Ansoff Growth Matrix as the analytical.</w:t>
      </w:r>
    </w:p>
    <w:p w14:paraId="51AFDF75" w14:textId="77777777" w:rsidR="00324DF5" w:rsidRDefault="00000000">
      <w:pPr>
        <w:pStyle w:val="Heading2"/>
        <w:spacing w:after="240"/>
      </w:pPr>
      <w:bookmarkStart w:id="5" w:name="_heading=h.mcvksrjtjp37" w:colFirst="0" w:colLast="0"/>
      <w:bookmarkEnd w:id="5"/>
      <w:r>
        <w:t>3.1 Porter’s Generic Strategies</w:t>
      </w:r>
    </w:p>
    <w:p w14:paraId="631C748D" w14:textId="77777777" w:rsidR="00324DF5" w:rsidRDefault="00000000">
      <w:pPr>
        <w:spacing w:after="240" w:line="360" w:lineRule="auto"/>
        <w:jc w:val="both"/>
      </w:pPr>
      <w:r>
        <w:t>According to Porter, three basic competitive approaches include cost leadership, differentiation and focus in which companies attain sustainable competitive advantage (Islami, Mustafa and Topuzovska Latkovikj, 2020). The empirical evidence shows that the differentiation strategy is the most effective approach to achieve the best performance of the firm over cost leadership strategy or focus strategy (Islami, Mustafa and Topuzovska Latkovikj, 2020). Mashingaidze et al. (2024) also verify that market and technological innovation are also key mediating variables in the relationships between generic strategies and firm competitiveness.</w:t>
      </w:r>
    </w:p>
    <w:p w14:paraId="55B03863" w14:textId="77777777" w:rsidR="00324DF5" w:rsidRDefault="00000000">
      <w:pPr>
        <w:pStyle w:val="Heading3"/>
        <w:spacing w:after="240"/>
      </w:pPr>
      <w:bookmarkStart w:id="6" w:name="_heading=h.gi343fftf162" w:colFirst="0" w:colLast="0"/>
      <w:bookmarkEnd w:id="6"/>
      <w:r>
        <w:t>3.1.1 Tanishq: Broad Differentiation Strategy</w:t>
      </w:r>
    </w:p>
    <w:p w14:paraId="64700EC5" w14:textId="77777777" w:rsidR="00324DF5" w:rsidRDefault="00000000">
      <w:pPr>
        <w:spacing w:after="240" w:line="360" w:lineRule="auto"/>
        <w:jc w:val="both"/>
      </w:pPr>
      <w:r>
        <w:t xml:space="preserve">Tanishq has a wide differentiation approach, and the company is presented as the most reliable jewellery brand in India. Its Karatmeter technology of non-destructive ethos of verifying purity of gold was an unmatched innovation that had generated confidence in a market that had a history of apprehension of adulteration issues. The brand equity of the Tata Group parentage is the source of substantial value, and the sub-brands, including Mia, contemporary workwear, Zoya, ultra-luxury, and </w:t>
      </w:r>
      <w:r>
        <w:lastRenderedPageBreak/>
        <w:t>CaratLane, serving digital consumers, allow differentiating within numerous segments at the same time. With international growth to 23 stores in the UAE, USA and Singapore, new international openings in Sharjah, Atlanta and Santa Clara, Tanishq has been presented with the international branded jewellery market alongside international player. Failing to match Tanishq in their physical retail size, the scale has 3,322 stores altogether (Tradejini, 2025), this is a very powerful differentiator that cannot be recreated by digitally native competitors without a lot of effort.</w:t>
      </w:r>
    </w:p>
    <w:p w14:paraId="39F38F7B" w14:textId="77777777" w:rsidR="00324DF5" w:rsidRDefault="00000000">
      <w:pPr>
        <w:pStyle w:val="Heading3"/>
        <w:spacing w:after="240"/>
      </w:pPr>
      <w:bookmarkStart w:id="7" w:name="_heading=h.ue2kozsdwg8i" w:colFirst="0" w:colLast="0"/>
      <w:bookmarkEnd w:id="7"/>
      <w:r>
        <w:t>3.1.2 GIVA: Focused Differentiation Strategy</w:t>
      </w:r>
    </w:p>
    <w:p w14:paraId="4FD43B72" w14:textId="77777777" w:rsidR="00324DF5" w:rsidRDefault="00000000">
      <w:pPr>
        <w:spacing w:after="240" w:line="360" w:lineRule="auto"/>
        <w:jc w:val="both"/>
      </w:pPr>
      <w:r>
        <w:t>GIVA uses a focused differentiation approach, via providing Gen Z and millennial consumers with cheap but aesthetically high-quality jewellery. This has been realized in differentiation that is designed using forward-looking design, a digital-first customer interaction, and an omnichannel model that incorporates its site, presence in a marketplace, found in apps like Amazon and Nykaa, physical-franchise outlets, and expedited-commerce services delivery. When discussing the advantages of the franchise model, Dhara Mandaliya (2026) states that it minimizes capital requirements and allows GIVA to expand and go global to more than 240 stores. Investor confidence is indicated by the ₹530 crore Series C funding of GIVA led by Creaegis which values GIVA at about 2020 crore (Dhara Mandaliya, 2026). Nevertheless, a net loss of 58.6 crore (in FY24) asks important questions about the sustainability of such a fast growth when there is no corresponding increase in margins (Business Standard, 2024).</w:t>
      </w:r>
    </w:p>
    <w:p w14:paraId="1BF9757C" w14:textId="77777777" w:rsidR="00324DF5" w:rsidRDefault="00000000">
      <w:pPr>
        <w:spacing w:before="200" w:after="240" w:line="360" w:lineRule="auto"/>
        <w:jc w:val="center"/>
      </w:pPr>
      <w:r>
        <w:rPr>
          <w:b/>
          <w:bCs/>
          <w:sz w:val="22"/>
          <w:szCs w:val="22"/>
        </w:rPr>
        <w:t xml:space="preserve">Figure 1: </w:t>
      </w:r>
      <w:r>
        <w:rPr>
          <w:i/>
          <w:iCs/>
          <w:sz w:val="22"/>
          <w:szCs w:val="22"/>
        </w:rPr>
        <w:t>Application of Porter’s Generic Strategies to Tanishq and GIVA</w:t>
      </w:r>
    </w:p>
    <w:tbl>
      <w:tblPr>
        <w:tblStyle w:val="a1"/>
        <w:tblW w:w="9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00"/>
        <w:gridCol w:w="3413"/>
        <w:gridCol w:w="3413"/>
      </w:tblGrid>
      <w:tr w:rsidR="00324DF5" w14:paraId="533B3527" w14:textId="77777777">
        <w:tc>
          <w:tcPr>
            <w:tcW w:w="2200" w:type="dxa"/>
            <w:tcBorders>
              <w:top w:val="single" w:sz="4" w:space="0" w:color="999999"/>
              <w:left w:val="single" w:sz="4" w:space="0" w:color="999999"/>
              <w:bottom w:val="single" w:sz="4" w:space="0" w:color="999999"/>
              <w:right w:val="single" w:sz="4" w:space="0" w:color="999999"/>
            </w:tcBorders>
            <w:shd w:val="clear" w:color="auto" w:fill="1F3864"/>
            <w:tcMar>
              <w:top w:w="60" w:type="dxa"/>
              <w:left w:w="100" w:type="dxa"/>
              <w:bottom w:w="60" w:type="dxa"/>
              <w:right w:w="100" w:type="dxa"/>
            </w:tcMar>
            <w:vAlign w:val="center"/>
          </w:tcPr>
          <w:p w14:paraId="4C1CCD32" w14:textId="77777777" w:rsidR="00324DF5" w:rsidRDefault="00000000">
            <w:pPr>
              <w:spacing w:after="240" w:line="360" w:lineRule="auto"/>
            </w:pPr>
            <w:r>
              <w:rPr>
                <w:b/>
                <w:bCs/>
                <w:color w:val="FFFFFF"/>
                <w:sz w:val="22"/>
                <w:szCs w:val="22"/>
              </w:rPr>
              <w:t>Strategic Element</w:t>
            </w:r>
          </w:p>
        </w:tc>
        <w:tc>
          <w:tcPr>
            <w:tcW w:w="3413" w:type="dxa"/>
            <w:tcBorders>
              <w:top w:val="single" w:sz="4" w:space="0" w:color="999999"/>
              <w:left w:val="single" w:sz="4" w:space="0" w:color="999999"/>
              <w:bottom w:val="single" w:sz="4" w:space="0" w:color="999999"/>
              <w:right w:val="single" w:sz="4" w:space="0" w:color="999999"/>
            </w:tcBorders>
            <w:shd w:val="clear" w:color="auto" w:fill="1F3864"/>
            <w:tcMar>
              <w:top w:w="60" w:type="dxa"/>
              <w:left w:w="100" w:type="dxa"/>
              <w:bottom w:w="60" w:type="dxa"/>
              <w:right w:w="100" w:type="dxa"/>
            </w:tcMar>
            <w:vAlign w:val="center"/>
          </w:tcPr>
          <w:p w14:paraId="07F8C505" w14:textId="77777777" w:rsidR="00324DF5" w:rsidRDefault="00000000">
            <w:pPr>
              <w:spacing w:after="240" w:line="360" w:lineRule="auto"/>
            </w:pPr>
            <w:r>
              <w:rPr>
                <w:b/>
                <w:bCs/>
                <w:color w:val="FFFFFF"/>
                <w:sz w:val="22"/>
                <w:szCs w:val="22"/>
              </w:rPr>
              <w:t>Tanishq (Broad Differentiation)</w:t>
            </w:r>
          </w:p>
        </w:tc>
        <w:tc>
          <w:tcPr>
            <w:tcW w:w="3413" w:type="dxa"/>
            <w:tcBorders>
              <w:top w:val="single" w:sz="4" w:space="0" w:color="999999"/>
              <w:left w:val="single" w:sz="4" w:space="0" w:color="999999"/>
              <w:bottom w:val="single" w:sz="4" w:space="0" w:color="999999"/>
              <w:right w:val="single" w:sz="4" w:space="0" w:color="999999"/>
            </w:tcBorders>
            <w:shd w:val="clear" w:color="auto" w:fill="1F3864"/>
            <w:tcMar>
              <w:top w:w="60" w:type="dxa"/>
              <w:left w:w="100" w:type="dxa"/>
              <w:bottom w:w="60" w:type="dxa"/>
              <w:right w:w="100" w:type="dxa"/>
            </w:tcMar>
            <w:vAlign w:val="center"/>
          </w:tcPr>
          <w:p w14:paraId="6DAAF9BA" w14:textId="77777777" w:rsidR="00324DF5" w:rsidRDefault="00000000">
            <w:pPr>
              <w:spacing w:after="240" w:line="360" w:lineRule="auto"/>
            </w:pPr>
            <w:r>
              <w:rPr>
                <w:b/>
                <w:bCs/>
                <w:color w:val="FFFFFF"/>
                <w:sz w:val="22"/>
                <w:szCs w:val="22"/>
              </w:rPr>
              <w:t>GIVA (Focused Differentiation)</w:t>
            </w:r>
          </w:p>
        </w:tc>
      </w:tr>
      <w:tr w:rsidR="00324DF5" w14:paraId="14C978D6" w14:textId="77777777">
        <w:tc>
          <w:tcPr>
            <w:tcW w:w="2200" w:type="dxa"/>
            <w:tcBorders>
              <w:top w:val="single" w:sz="4" w:space="0" w:color="999999"/>
              <w:left w:val="single" w:sz="4" w:space="0" w:color="999999"/>
              <w:bottom w:val="single" w:sz="4" w:space="0" w:color="999999"/>
              <w:right w:val="single" w:sz="4" w:space="0" w:color="999999"/>
            </w:tcBorders>
            <w:shd w:val="clear" w:color="auto" w:fill="E8EEF4"/>
            <w:tcMar>
              <w:top w:w="60" w:type="dxa"/>
              <w:left w:w="100" w:type="dxa"/>
              <w:bottom w:w="60" w:type="dxa"/>
              <w:right w:w="100" w:type="dxa"/>
            </w:tcMar>
            <w:vAlign w:val="center"/>
          </w:tcPr>
          <w:p w14:paraId="2172F841" w14:textId="77777777" w:rsidR="00324DF5" w:rsidRDefault="00000000">
            <w:pPr>
              <w:spacing w:after="240" w:line="360" w:lineRule="auto"/>
            </w:pPr>
            <w:r>
              <w:rPr>
                <w:b/>
                <w:bCs/>
                <w:sz w:val="22"/>
                <w:szCs w:val="22"/>
              </w:rPr>
              <w:t>Competitive Scope</w:t>
            </w:r>
          </w:p>
        </w:tc>
        <w:tc>
          <w:tcPr>
            <w:tcW w:w="34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2AA9C58" w14:textId="77777777" w:rsidR="00324DF5" w:rsidRDefault="00000000">
            <w:pPr>
              <w:spacing w:after="240" w:line="360" w:lineRule="auto"/>
            </w:pPr>
            <w:r>
              <w:rPr>
                <w:sz w:val="22"/>
                <w:szCs w:val="22"/>
              </w:rPr>
              <w:t>Broad – all segments, domestic + international</w:t>
            </w:r>
          </w:p>
        </w:tc>
        <w:tc>
          <w:tcPr>
            <w:tcW w:w="34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63CC7CA" w14:textId="77777777" w:rsidR="00324DF5" w:rsidRDefault="00000000">
            <w:pPr>
              <w:spacing w:after="240" w:line="360" w:lineRule="auto"/>
            </w:pPr>
            <w:r>
              <w:rPr>
                <w:sz w:val="22"/>
                <w:szCs w:val="22"/>
              </w:rPr>
              <w:t>Narrow – Gen Z/millennials, affordable fine jewellery</w:t>
            </w:r>
          </w:p>
        </w:tc>
      </w:tr>
      <w:tr w:rsidR="00324DF5" w14:paraId="713DA397" w14:textId="77777777">
        <w:tc>
          <w:tcPr>
            <w:tcW w:w="2200" w:type="dxa"/>
            <w:tcBorders>
              <w:top w:val="single" w:sz="4" w:space="0" w:color="999999"/>
              <w:left w:val="single" w:sz="4" w:space="0" w:color="999999"/>
              <w:bottom w:val="single" w:sz="4" w:space="0" w:color="999999"/>
              <w:right w:val="single" w:sz="4" w:space="0" w:color="999999"/>
            </w:tcBorders>
            <w:shd w:val="clear" w:color="auto" w:fill="E8EEF4"/>
            <w:tcMar>
              <w:top w:w="60" w:type="dxa"/>
              <w:left w:w="100" w:type="dxa"/>
              <w:bottom w:w="60" w:type="dxa"/>
              <w:right w:w="100" w:type="dxa"/>
            </w:tcMar>
            <w:vAlign w:val="center"/>
          </w:tcPr>
          <w:p w14:paraId="102D6550" w14:textId="77777777" w:rsidR="00324DF5" w:rsidRDefault="00000000">
            <w:pPr>
              <w:spacing w:after="240" w:line="360" w:lineRule="auto"/>
            </w:pPr>
            <w:r>
              <w:rPr>
                <w:b/>
                <w:bCs/>
                <w:sz w:val="22"/>
                <w:szCs w:val="22"/>
              </w:rPr>
              <w:t>Source of Advantage</w:t>
            </w:r>
          </w:p>
        </w:tc>
        <w:tc>
          <w:tcPr>
            <w:tcW w:w="34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894710D" w14:textId="77777777" w:rsidR="00324DF5" w:rsidRDefault="00000000">
            <w:pPr>
              <w:spacing w:after="240" w:line="360" w:lineRule="auto"/>
            </w:pPr>
            <w:r>
              <w:rPr>
                <w:sz w:val="22"/>
                <w:szCs w:val="22"/>
              </w:rPr>
              <w:t>Purity guarantee, Tata brand trust, multi-brand portfolio</w:t>
            </w:r>
          </w:p>
        </w:tc>
        <w:tc>
          <w:tcPr>
            <w:tcW w:w="34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1C1C209" w14:textId="77777777" w:rsidR="00324DF5" w:rsidRDefault="00000000">
            <w:pPr>
              <w:spacing w:after="240" w:line="360" w:lineRule="auto"/>
            </w:pPr>
            <w:r>
              <w:rPr>
                <w:sz w:val="22"/>
                <w:szCs w:val="22"/>
              </w:rPr>
              <w:t>Design-forward, digital-first, affordable luxury pricing</w:t>
            </w:r>
          </w:p>
        </w:tc>
      </w:tr>
      <w:tr w:rsidR="00324DF5" w14:paraId="5A507896" w14:textId="77777777">
        <w:tc>
          <w:tcPr>
            <w:tcW w:w="2200" w:type="dxa"/>
            <w:tcBorders>
              <w:top w:val="single" w:sz="4" w:space="0" w:color="999999"/>
              <w:left w:val="single" w:sz="4" w:space="0" w:color="999999"/>
              <w:bottom w:val="single" w:sz="4" w:space="0" w:color="999999"/>
              <w:right w:val="single" w:sz="4" w:space="0" w:color="999999"/>
            </w:tcBorders>
            <w:shd w:val="clear" w:color="auto" w:fill="E8EEF4"/>
            <w:tcMar>
              <w:top w:w="60" w:type="dxa"/>
              <w:left w:w="100" w:type="dxa"/>
              <w:bottom w:w="60" w:type="dxa"/>
              <w:right w:w="100" w:type="dxa"/>
            </w:tcMar>
            <w:vAlign w:val="center"/>
          </w:tcPr>
          <w:p w14:paraId="64B9CD44" w14:textId="77777777" w:rsidR="00324DF5" w:rsidRDefault="00000000">
            <w:pPr>
              <w:spacing w:after="240" w:line="360" w:lineRule="auto"/>
            </w:pPr>
            <w:r>
              <w:rPr>
                <w:b/>
                <w:bCs/>
                <w:sz w:val="22"/>
                <w:szCs w:val="22"/>
              </w:rPr>
              <w:lastRenderedPageBreak/>
              <w:t>Key Resources</w:t>
            </w:r>
          </w:p>
        </w:tc>
        <w:tc>
          <w:tcPr>
            <w:tcW w:w="34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7049BD2" w14:textId="77777777" w:rsidR="00324DF5" w:rsidRDefault="00000000">
            <w:pPr>
              <w:spacing w:after="240" w:line="360" w:lineRule="auto"/>
            </w:pPr>
            <w:r>
              <w:rPr>
                <w:sz w:val="22"/>
                <w:szCs w:val="22"/>
              </w:rPr>
              <w:t>3,322+ stores, Karatmeter, celebrity endorsements</w:t>
            </w:r>
          </w:p>
        </w:tc>
        <w:tc>
          <w:tcPr>
            <w:tcW w:w="34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6DA9345" w14:textId="77777777" w:rsidR="00324DF5" w:rsidRDefault="00000000">
            <w:pPr>
              <w:spacing w:after="240" w:line="360" w:lineRule="auto"/>
            </w:pPr>
            <w:r>
              <w:rPr>
                <w:sz w:val="22"/>
                <w:szCs w:val="22"/>
              </w:rPr>
              <w:t>Social media, franchise model, quick commerce</w:t>
            </w:r>
          </w:p>
        </w:tc>
      </w:tr>
      <w:tr w:rsidR="00324DF5" w14:paraId="279F02DE" w14:textId="77777777">
        <w:tc>
          <w:tcPr>
            <w:tcW w:w="2200" w:type="dxa"/>
            <w:tcBorders>
              <w:top w:val="single" w:sz="4" w:space="0" w:color="999999"/>
              <w:left w:val="single" w:sz="4" w:space="0" w:color="999999"/>
              <w:bottom w:val="single" w:sz="4" w:space="0" w:color="999999"/>
              <w:right w:val="single" w:sz="4" w:space="0" w:color="999999"/>
            </w:tcBorders>
            <w:shd w:val="clear" w:color="auto" w:fill="E8EEF4"/>
            <w:tcMar>
              <w:top w:w="60" w:type="dxa"/>
              <w:left w:w="100" w:type="dxa"/>
              <w:bottom w:w="60" w:type="dxa"/>
              <w:right w:w="100" w:type="dxa"/>
            </w:tcMar>
            <w:vAlign w:val="center"/>
          </w:tcPr>
          <w:p w14:paraId="5C2EE703" w14:textId="77777777" w:rsidR="00324DF5" w:rsidRDefault="00000000">
            <w:pPr>
              <w:spacing w:after="240" w:line="360" w:lineRule="auto"/>
            </w:pPr>
            <w:r>
              <w:rPr>
                <w:b/>
                <w:bCs/>
                <w:sz w:val="22"/>
                <w:szCs w:val="22"/>
              </w:rPr>
              <w:t>Financial Performance</w:t>
            </w:r>
          </w:p>
        </w:tc>
        <w:tc>
          <w:tcPr>
            <w:tcW w:w="34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E6133BC" w14:textId="77777777" w:rsidR="00324DF5" w:rsidRDefault="00000000">
            <w:pPr>
              <w:spacing w:after="240" w:line="360" w:lineRule="auto"/>
            </w:pPr>
            <w:r>
              <w:rPr>
                <w:sz w:val="22"/>
                <w:szCs w:val="22"/>
              </w:rPr>
              <w:t>₹50,000+ crore (FY25); 22% YoY growth</w:t>
            </w:r>
          </w:p>
        </w:tc>
        <w:tc>
          <w:tcPr>
            <w:tcW w:w="34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20A7E60" w14:textId="77777777" w:rsidR="00324DF5" w:rsidRDefault="00000000">
            <w:pPr>
              <w:spacing w:after="240" w:line="360" w:lineRule="auto"/>
            </w:pPr>
            <w:r>
              <w:rPr>
                <w:sz w:val="22"/>
                <w:szCs w:val="22"/>
              </w:rPr>
              <w:t>₹273.6 crore (FY24); 65.8% YoY growth</w:t>
            </w:r>
          </w:p>
        </w:tc>
      </w:tr>
      <w:tr w:rsidR="00324DF5" w14:paraId="5ADED5D6" w14:textId="77777777">
        <w:tc>
          <w:tcPr>
            <w:tcW w:w="2200" w:type="dxa"/>
            <w:tcBorders>
              <w:top w:val="single" w:sz="4" w:space="0" w:color="999999"/>
              <w:left w:val="single" w:sz="4" w:space="0" w:color="999999"/>
              <w:bottom w:val="single" w:sz="4" w:space="0" w:color="999999"/>
              <w:right w:val="single" w:sz="4" w:space="0" w:color="999999"/>
            </w:tcBorders>
            <w:shd w:val="clear" w:color="auto" w:fill="E8EEF4"/>
            <w:tcMar>
              <w:top w:w="60" w:type="dxa"/>
              <w:left w:w="100" w:type="dxa"/>
              <w:bottom w:w="60" w:type="dxa"/>
              <w:right w:w="100" w:type="dxa"/>
            </w:tcMar>
            <w:vAlign w:val="center"/>
          </w:tcPr>
          <w:p w14:paraId="1A3DB7E5" w14:textId="77777777" w:rsidR="00324DF5" w:rsidRDefault="00000000">
            <w:pPr>
              <w:spacing w:after="240" w:line="360" w:lineRule="auto"/>
            </w:pPr>
            <w:r>
              <w:rPr>
                <w:b/>
                <w:bCs/>
                <w:sz w:val="22"/>
                <w:szCs w:val="22"/>
              </w:rPr>
              <w:t>Strategic Risk</w:t>
            </w:r>
          </w:p>
        </w:tc>
        <w:tc>
          <w:tcPr>
            <w:tcW w:w="34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CC49D57" w14:textId="77777777" w:rsidR="00324DF5" w:rsidRDefault="00000000">
            <w:pPr>
              <w:spacing w:after="240" w:line="360" w:lineRule="auto"/>
            </w:pPr>
            <w:r>
              <w:rPr>
                <w:sz w:val="22"/>
                <w:szCs w:val="22"/>
              </w:rPr>
              <w:t>Premium positioning may miss price-sensitive youth</w:t>
            </w:r>
          </w:p>
        </w:tc>
        <w:tc>
          <w:tcPr>
            <w:tcW w:w="3413"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DD4E195" w14:textId="77777777" w:rsidR="00324DF5" w:rsidRDefault="00000000">
            <w:pPr>
              <w:spacing w:after="240" w:line="360" w:lineRule="auto"/>
            </w:pPr>
            <w:r>
              <w:rPr>
                <w:sz w:val="22"/>
                <w:szCs w:val="22"/>
              </w:rPr>
              <w:t>Net loss ₹58.6 crore; profitability not yet achieved</w:t>
            </w:r>
          </w:p>
        </w:tc>
      </w:tr>
    </w:tbl>
    <w:p w14:paraId="31BE623D" w14:textId="77777777" w:rsidR="00324DF5" w:rsidRDefault="00000000">
      <w:pPr>
        <w:spacing w:before="80" w:after="240" w:line="360" w:lineRule="auto"/>
        <w:jc w:val="center"/>
      </w:pPr>
      <w:r>
        <w:rPr>
          <w:i/>
          <w:iCs/>
          <w:sz w:val="20"/>
          <w:szCs w:val="20"/>
        </w:rPr>
        <w:t>Source: Author’s analysis based on Islami, Mustafa and Topuzovska Latkovikj (2020), Titan Company Limited (2025), Business Standard (2024)</w:t>
      </w:r>
    </w:p>
    <w:p w14:paraId="6FCB7C6C" w14:textId="77777777" w:rsidR="00324DF5" w:rsidRDefault="00000000">
      <w:pPr>
        <w:pStyle w:val="Heading2"/>
        <w:spacing w:after="240"/>
      </w:pPr>
      <w:bookmarkStart w:id="8" w:name="_heading=h.yizat69mnsvq" w:colFirst="0" w:colLast="0"/>
      <w:bookmarkEnd w:id="8"/>
      <w:r>
        <w:t>3.2 Ansoff’s Growth Matrix</w:t>
      </w:r>
    </w:p>
    <w:p w14:paraId="6C713943" w14:textId="77777777" w:rsidR="00324DF5" w:rsidRDefault="00000000">
      <w:pPr>
        <w:spacing w:after="240" w:line="360" w:lineRule="auto"/>
        <w:jc w:val="both"/>
      </w:pPr>
      <w:r>
        <w:t>According to Growth Matrix by Ansoff, four strategies of strategic growth are presented depending on the overlap of the new and old products with the new and old markets: market penetration, market development, product development, and diversification (Ferreira and Marques, 2024). The framework allows organisations to consider growth opportunities as well as giving the organisation insight into the increasing risk of each subsequent strategy.</w:t>
      </w:r>
    </w:p>
    <w:p w14:paraId="4EAEAD42" w14:textId="77777777" w:rsidR="00324DF5" w:rsidRDefault="00000000">
      <w:pPr>
        <w:pStyle w:val="Heading3"/>
        <w:spacing w:after="240"/>
      </w:pPr>
      <w:bookmarkStart w:id="9" w:name="_heading=h.n7nns46dkm6p" w:colFirst="0" w:colLast="0"/>
      <w:bookmarkEnd w:id="9"/>
      <w:r>
        <w:t>3.2.1 Tanishq: Market Penetration and Market Development</w:t>
      </w:r>
    </w:p>
    <w:p w14:paraId="1E39A8CD" w14:textId="77777777" w:rsidR="00324DF5" w:rsidRDefault="00000000">
      <w:pPr>
        <w:spacing w:after="240" w:line="360" w:lineRule="auto"/>
        <w:jc w:val="both"/>
      </w:pPr>
      <w:r>
        <w:t>The main growth plan of Tanishq is in line with the market penetration into the local Indian market. The market share of organised jewellery retail has increased to 36–38% by FY25 since it was 22% in FY19 and Tanishq is the main beneficiary of this transition in structure (Tradejini, 2025). Tanishq strengthens its presence in the current segments by exploiting the binding hallmarking rules, improving the in-store experiences, and further marketing via festival and bridal promotions. The Indian gems and jewellery market is expected to grow by USD 35 billion to USD 130 billion over the coming decade to 2030 by India Brand Equity foundation (2025) which gives plenty of space to the domestic market.</w:t>
      </w:r>
    </w:p>
    <w:p w14:paraId="250D8290" w14:textId="77777777" w:rsidR="00324DF5" w:rsidRDefault="00000000">
      <w:pPr>
        <w:spacing w:after="240" w:line="360" w:lineRule="auto"/>
        <w:jc w:val="both"/>
      </w:pPr>
      <w:r>
        <w:t xml:space="preserve">At the same time, Tanishq is working on the market development strategy by expanding overseas. As Asia-Pacific controls majority of world jewellery requirements (Grand View Research, 2025), Tanishq 23 global stores are located on big Indian </w:t>
      </w:r>
      <w:r>
        <w:lastRenderedPageBreak/>
        <w:t>diaspora and luxury consumer markets in the UAE, USA, and Singapore (Titan Company Limited, 2025). This two-pronged strategy of penetration in the domestic market and market expansion in the foreign market is a moderate-risk strategy that exploits the brand image of Tanishq.</w:t>
      </w:r>
    </w:p>
    <w:p w14:paraId="125689BC" w14:textId="77777777" w:rsidR="00324DF5" w:rsidRDefault="00000000">
      <w:pPr>
        <w:pStyle w:val="Heading3"/>
        <w:spacing w:after="240"/>
      </w:pPr>
      <w:bookmarkStart w:id="10" w:name="_heading=h.qn3htsrjzd5v" w:colFirst="0" w:colLast="0"/>
      <w:bookmarkEnd w:id="10"/>
      <w:r>
        <w:t>3.2.2 GIVA: Product Development and Market Penetration</w:t>
      </w:r>
    </w:p>
    <w:p w14:paraId="1CEEA659" w14:textId="77777777" w:rsidR="00324DF5" w:rsidRDefault="00000000">
      <w:pPr>
        <w:spacing w:after="240" w:line="360" w:lineRule="auto"/>
        <w:jc w:val="both"/>
      </w:pPr>
      <w:r>
        <w:t>GIVA has a growth strategy which is more of a product development strategy. The diamond-studded jewellery market has increased to 17 percent of the jewelry market compared to the 7 percent that it was in 2019 (Inc42, 2025). GIVA has been able to take advantage of this trend by diversifying beyond its initial sterling silver product into 14K/18K gold and lab-grown diamonds, which have together added up to about 20 per cent of its FY25 revenue (Inc42, 2025). The fact that India is a major manufacturer of diamonds and this trend has been supported by the opening of the Surat Diamond Park in 2023, means that the product development strategy is especially feasible (Inc42, 2025).</w:t>
      </w:r>
    </w:p>
    <w:p w14:paraId="0A706EE4" w14:textId="77777777" w:rsidR="00324DF5" w:rsidRDefault="00000000">
      <w:pPr>
        <w:spacing w:after="240" w:line="360" w:lineRule="auto"/>
        <w:jc w:val="both"/>
      </w:pPr>
      <w:r>
        <w:t>In addition to product expansion, GIVA is undertaking vigorous penetration in terms of physical retailing expansion to tier-2 and tier-3 cities. GIVA has a tremendous growth rate with records showing that it had only a single store in May 2022 but had reached a network of 200 stores by April 2025 with projections of 145-150 more stores (Social Samosa, 2025). This growth capitalises on the technological macro-environment by implementing an omnichannel business model that integrates digital penetration with physical store points of retail experience, since jewellery buying is high-trust business. The success of this combined strategy is validated by revenue growth of 84 crore to 273.6 crore in FY22 to FY 24 (Business Standard, 2024), the risks associated with product development are considerably greater than the penetration strategy used by Tanishq, since the acceptance of lab-grown diamonds in India keeps changing.</w:t>
      </w:r>
    </w:p>
    <w:p w14:paraId="165ACA0B" w14:textId="77777777" w:rsidR="00324DF5" w:rsidRDefault="00000000">
      <w:pPr>
        <w:spacing w:before="200" w:after="240" w:line="360" w:lineRule="auto"/>
        <w:jc w:val="center"/>
      </w:pPr>
      <w:r>
        <w:rPr>
          <w:b/>
          <w:bCs/>
          <w:sz w:val="22"/>
          <w:szCs w:val="22"/>
        </w:rPr>
        <w:t xml:space="preserve">Figure 2: </w:t>
      </w:r>
      <w:r>
        <w:rPr>
          <w:i/>
          <w:iCs/>
          <w:sz w:val="22"/>
          <w:szCs w:val="22"/>
        </w:rPr>
        <w:t>Application of Ansoff’s Growth Matrix to Tanishq and GIVA</w:t>
      </w:r>
    </w:p>
    <w:tbl>
      <w:tblPr>
        <w:tblStyle w:val="a2"/>
        <w:tblW w:w="9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0"/>
        <w:gridCol w:w="3763"/>
        <w:gridCol w:w="3763"/>
      </w:tblGrid>
      <w:tr w:rsidR="00324DF5" w14:paraId="6093C2D3" w14:textId="77777777">
        <w:tc>
          <w:tcPr>
            <w:tcW w:w="1500" w:type="dxa"/>
            <w:tcBorders>
              <w:top w:val="single" w:sz="4" w:space="0" w:color="999999"/>
              <w:left w:val="single" w:sz="4" w:space="0" w:color="999999"/>
              <w:bottom w:val="single" w:sz="4" w:space="0" w:color="999999"/>
              <w:right w:val="single" w:sz="4" w:space="0" w:color="999999"/>
            </w:tcBorders>
            <w:shd w:val="clear" w:color="auto" w:fill="1F3864"/>
            <w:tcMar>
              <w:top w:w="60" w:type="dxa"/>
              <w:left w:w="100" w:type="dxa"/>
              <w:bottom w:w="60" w:type="dxa"/>
              <w:right w:w="100" w:type="dxa"/>
            </w:tcMar>
            <w:vAlign w:val="center"/>
          </w:tcPr>
          <w:p w14:paraId="3405B7BA" w14:textId="77777777" w:rsidR="00324DF5" w:rsidRDefault="00324DF5">
            <w:pPr>
              <w:spacing w:after="240" w:line="360" w:lineRule="auto"/>
            </w:pPr>
          </w:p>
        </w:tc>
        <w:tc>
          <w:tcPr>
            <w:tcW w:w="3763" w:type="dxa"/>
            <w:tcBorders>
              <w:top w:val="single" w:sz="4" w:space="0" w:color="999999"/>
              <w:left w:val="single" w:sz="4" w:space="0" w:color="999999"/>
              <w:bottom w:val="single" w:sz="4" w:space="0" w:color="999999"/>
              <w:right w:val="single" w:sz="4" w:space="0" w:color="999999"/>
            </w:tcBorders>
            <w:shd w:val="clear" w:color="auto" w:fill="1F3864"/>
            <w:tcMar>
              <w:top w:w="60" w:type="dxa"/>
              <w:left w:w="100" w:type="dxa"/>
              <w:bottom w:w="60" w:type="dxa"/>
              <w:right w:w="100" w:type="dxa"/>
            </w:tcMar>
            <w:vAlign w:val="center"/>
          </w:tcPr>
          <w:p w14:paraId="5A662918" w14:textId="77777777" w:rsidR="00324DF5" w:rsidRDefault="00000000">
            <w:pPr>
              <w:spacing w:after="240" w:line="360" w:lineRule="auto"/>
              <w:jc w:val="center"/>
            </w:pPr>
            <w:r>
              <w:rPr>
                <w:b/>
                <w:bCs/>
                <w:color w:val="FFFFFF"/>
                <w:sz w:val="22"/>
                <w:szCs w:val="22"/>
              </w:rPr>
              <w:t>EXISTING PRODUCTS</w:t>
            </w:r>
          </w:p>
        </w:tc>
        <w:tc>
          <w:tcPr>
            <w:tcW w:w="3763" w:type="dxa"/>
            <w:tcBorders>
              <w:top w:val="single" w:sz="4" w:space="0" w:color="999999"/>
              <w:left w:val="single" w:sz="4" w:space="0" w:color="999999"/>
              <w:bottom w:val="single" w:sz="4" w:space="0" w:color="999999"/>
              <w:right w:val="single" w:sz="4" w:space="0" w:color="999999"/>
            </w:tcBorders>
            <w:shd w:val="clear" w:color="auto" w:fill="1F3864"/>
            <w:tcMar>
              <w:top w:w="60" w:type="dxa"/>
              <w:left w:w="100" w:type="dxa"/>
              <w:bottom w:w="60" w:type="dxa"/>
              <w:right w:w="100" w:type="dxa"/>
            </w:tcMar>
            <w:vAlign w:val="center"/>
          </w:tcPr>
          <w:p w14:paraId="1C436559" w14:textId="77777777" w:rsidR="00324DF5" w:rsidRDefault="00000000">
            <w:pPr>
              <w:spacing w:after="240" w:line="360" w:lineRule="auto"/>
              <w:jc w:val="center"/>
            </w:pPr>
            <w:r>
              <w:rPr>
                <w:b/>
                <w:bCs/>
                <w:color w:val="FFFFFF"/>
                <w:sz w:val="22"/>
                <w:szCs w:val="22"/>
              </w:rPr>
              <w:t>NEW PRODUCTS</w:t>
            </w:r>
          </w:p>
        </w:tc>
      </w:tr>
      <w:tr w:rsidR="00324DF5" w14:paraId="57B31F2D" w14:textId="77777777">
        <w:tc>
          <w:tcPr>
            <w:tcW w:w="1500" w:type="dxa"/>
            <w:tcBorders>
              <w:top w:val="single" w:sz="4" w:space="0" w:color="999999"/>
              <w:left w:val="single" w:sz="4" w:space="0" w:color="999999"/>
              <w:bottom w:val="single" w:sz="4" w:space="0" w:color="999999"/>
              <w:right w:val="single" w:sz="4" w:space="0" w:color="999999"/>
            </w:tcBorders>
            <w:shd w:val="clear" w:color="auto" w:fill="2E5090"/>
            <w:tcMar>
              <w:top w:w="60" w:type="dxa"/>
              <w:left w:w="100" w:type="dxa"/>
              <w:bottom w:w="60" w:type="dxa"/>
              <w:right w:w="100" w:type="dxa"/>
            </w:tcMar>
            <w:vAlign w:val="center"/>
          </w:tcPr>
          <w:p w14:paraId="1FA5FB09" w14:textId="77777777" w:rsidR="00324DF5" w:rsidRDefault="00000000">
            <w:pPr>
              <w:spacing w:after="240" w:line="360" w:lineRule="auto"/>
            </w:pPr>
            <w:r>
              <w:rPr>
                <w:b/>
                <w:bCs/>
                <w:color w:val="FFFFFF"/>
                <w:sz w:val="22"/>
                <w:szCs w:val="22"/>
              </w:rPr>
              <w:t>EXISTING MARKETS</w:t>
            </w:r>
          </w:p>
        </w:tc>
        <w:tc>
          <w:tcPr>
            <w:tcW w:w="3763" w:type="dxa"/>
            <w:tcBorders>
              <w:top w:val="single" w:sz="4" w:space="0" w:color="999999"/>
              <w:left w:val="single" w:sz="4" w:space="0" w:color="999999"/>
              <w:bottom w:val="single" w:sz="4" w:space="0" w:color="999999"/>
              <w:right w:val="single" w:sz="4" w:space="0" w:color="999999"/>
            </w:tcBorders>
            <w:shd w:val="clear" w:color="auto" w:fill="D6E4F0"/>
            <w:tcMar>
              <w:top w:w="60" w:type="dxa"/>
              <w:left w:w="100" w:type="dxa"/>
              <w:bottom w:w="60" w:type="dxa"/>
              <w:right w:w="100" w:type="dxa"/>
            </w:tcMar>
            <w:vAlign w:val="center"/>
          </w:tcPr>
          <w:p w14:paraId="3D9C4EB4" w14:textId="77777777" w:rsidR="00324DF5" w:rsidRDefault="00000000">
            <w:pPr>
              <w:spacing w:after="240" w:line="360" w:lineRule="auto"/>
            </w:pPr>
            <w:sdt>
              <w:sdtPr>
                <w:tag w:val="goog_rdk_0"/>
                <w:id w:val="-302456743"/>
              </w:sdtPr>
              <w:sdtContent>
                <w:r>
                  <w:rPr>
                    <w:rFonts w:ascii="Arial Unicode MS" w:eastAsia="Arial Unicode MS" w:hAnsi="Arial Unicode MS" w:cs="Arial Unicode MS"/>
                    <w:sz w:val="22"/>
                    <w:szCs w:val="22"/>
                  </w:rPr>
                  <w:t xml:space="preserve">MARKET PENETRATION ▶ Tanishq: Domestic expansion; </w:t>
                </w:r>
                <w:r>
                  <w:rPr>
                    <w:rFonts w:ascii="Arial Unicode MS" w:eastAsia="Arial Unicode MS" w:hAnsi="Arial Unicode MS" w:cs="Arial Unicode MS"/>
                    <w:sz w:val="22"/>
                    <w:szCs w:val="22"/>
                  </w:rPr>
                  <w:lastRenderedPageBreak/>
                  <w:t>leveraging BIS hallmarking shift (22% → 36-38% organised share) ▶ GIVA: Tier-2/3 retail rollout (1 → 200 stores in 3 years)</w:t>
                </w:r>
              </w:sdtContent>
            </w:sdt>
          </w:p>
        </w:tc>
        <w:tc>
          <w:tcPr>
            <w:tcW w:w="3763" w:type="dxa"/>
            <w:tcBorders>
              <w:top w:val="single" w:sz="4" w:space="0" w:color="999999"/>
              <w:left w:val="single" w:sz="4" w:space="0" w:color="999999"/>
              <w:bottom w:val="single" w:sz="4" w:space="0" w:color="999999"/>
              <w:right w:val="single" w:sz="4" w:space="0" w:color="999999"/>
            </w:tcBorders>
            <w:shd w:val="clear" w:color="auto" w:fill="E8D5E0"/>
            <w:tcMar>
              <w:top w:w="60" w:type="dxa"/>
              <w:left w:w="100" w:type="dxa"/>
              <w:bottom w:w="60" w:type="dxa"/>
              <w:right w:w="100" w:type="dxa"/>
            </w:tcMar>
            <w:vAlign w:val="center"/>
          </w:tcPr>
          <w:p w14:paraId="30841F57" w14:textId="77777777" w:rsidR="00324DF5" w:rsidRDefault="00000000">
            <w:pPr>
              <w:spacing w:after="240" w:line="360" w:lineRule="auto"/>
            </w:pPr>
            <w:sdt>
              <w:sdtPr>
                <w:tag w:val="goog_rdk_1"/>
                <w:id w:val="-1686577573"/>
              </w:sdtPr>
              <w:sdtContent>
                <w:r>
                  <w:rPr>
                    <w:rFonts w:ascii="Arial Unicode MS" w:eastAsia="Arial Unicode MS" w:hAnsi="Arial Unicode MS" w:cs="Arial Unicode MS"/>
                    <w:sz w:val="22"/>
                    <w:szCs w:val="22"/>
                  </w:rPr>
                  <w:t xml:space="preserve">PRODUCT DEVELOPMENT ▶ GIVA: Silver → Gold → Lab-grown </w:t>
                </w:r>
                <w:r>
                  <w:rPr>
                    <w:rFonts w:ascii="Arial Unicode MS" w:eastAsia="Arial Unicode MS" w:hAnsi="Arial Unicode MS" w:cs="Arial Unicode MS"/>
                    <w:sz w:val="22"/>
                    <w:szCs w:val="22"/>
                  </w:rPr>
                  <w:lastRenderedPageBreak/>
                  <w:t>diamonds (20% of FY25 revenue) ▶ Tanishq: Sub-brand launches (Mia, Zoya, CaratLane)</w:t>
                </w:r>
              </w:sdtContent>
            </w:sdt>
          </w:p>
        </w:tc>
      </w:tr>
      <w:tr w:rsidR="00324DF5" w14:paraId="025CF4FB" w14:textId="77777777">
        <w:tc>
          <w:tcPr>
            <w:tcW w:w="1500" w:type="dxa"/>
            <w:tcBorders>
              <w:top w:val="single" w:sz="4" w:space="0" w:color="999999"/>
              <w:left w:val="single" w:sz="4" w:space="0" w:color="999999"/>
              <w:bottom w:val="single" w:sz="4" w:space="0" w:color="999999"/>
              <w:right w:val="single" w:sz="4" w:space="0" w:color="999999"/>
            </w:tcBorders>
            <w:shd w:val="clear" w:color="auto" w:fill="2E5090"/>
            <w:tcMar>
              <w:top w:w="60" w:type="dxa"/>
              <w:left w:w="100" w:type="dxa"/>
              <w:bottom w:w="60" w:type="dxa"/>
              <w:right w:w="100" w:type="dxa"/>
            </w:tcMar>
            <w:vAlign w:val="center"/>
          </w:tcPr>
          <w:p w14:paraId="0DBFE1A2" w14:textId="77777777" w:rsidR="00324DF5" w:rsidRDefault="00000000">
            <w:pPr>
              <w:spacing w:after="240" w:line="360" w:lineRule="auto"/>
            </w:pPr>
            <w:r>
              <w:rPr>
                <w:b/>
                <w:bCs/>
                <w:color w:val="FFFFFF"/>
                <w:sz w:val="22"/>
                <w:szCs w:val="22"/>
              </w:rPr>
              <w:t>NEW MARKETS</w:t>
            </w:r>
          </w:p>
        </w:tc>
        <w:tc>
          <w:tcPr>
            <w:tcW w:w="3763" w:type="dxa"/>
            <w:tcBorders>
              <w:top w:val="single" w:sz="4" w:space="0" w:color="999999"/>
              <w:left w:val="single" w:sz="4" w:space="0" w:color="999999"/>
              <w:bottom w:val="single" w:sz="4" w:space="0" w:color="999999"/>
              <w:right w:val="single" w:sz="4" w:space="0" w:color="999999"/>
            </w:tcBorders>
            <w:shd w:val="clear" w:color="auto" w:fill="D5E8D4"/>
            <w:tcMar>
              <w:top w:w="60" w:type="dxa"/>
              <w:left w:w="100" w:type="dxa"/>
              <w:bottom w:w="60" w:type="dxa"/>
              <w:right w:w="100" w:type="dxa"/>
            </w:tcMar>
            <w:vAlign w:val="center"/>
          </w:tcPr>
          <w:p w14:paraId="153FC6FE" w14:textId="77777777" w:rsidR="00324DF5" w:rsidRDefault="00000000">
            <w:pPr>
              <w:spacing w:after="240" w:line="360" w:lineRule="auto"/>
            </w:pPr>
            <w:r>
              <w:rPr>
                <w:sz w:val="22"/>
                <w:szCs w:val="22"/>
              </w:rPr>
              <w:t>MARKET DEVELOPMENT ▶ Tanishq: 23 international stores (UAE, USA, Singapore)</w:t>
            </w:r>
          </w:p>
        </w:tc>
        <w:tc>
          <w:tcPr>
            <w:tcW w:w="3763" w:type="dxa"/>
            <w:tcBorders>
              <w:top w:val="single" w:sz="4" w:space="0" w:color="999999"/>
              <w:left w:val="single" w:sz="4" w:space="0" w:color="999999"/>
              <w:bottom w:val="single" w:sz="4" w:space="0" w:color="999999"/>
              <w:right w:val="single" w:sz="4" w:space="0" w:color="999999"/>
            </w:tcBorders>
            <w:shd w:val="clear" w:color="auto" w:fill="F2F2F2"/>
            <w:tcMar>
              <w:top w:w="60" w:type="dxa"/>
              <w:left w:w="100" w:type="dxa"/>
              <w:bottom w:w="60" w:type="dxa"/>
              <w:right w:w="100" w:type="dxa"/>
            </w:tcMar>
            <w:vAlign w:val="center"/>
          </w:tcPr>
          <w:p w14:paraId="4AC1A828" w14:textId="77777777" w:rsidR="00324DF5" w:rsidRDefault="00000000">
            <w:pPr>
              <w:spacing w:after="240" w:line="360" w:lineRule="auto"/>
            </w:pPr>
            <w:r>
              <w:rPr>
                <w:sz w:val="22"/>
                <w:szCs w:val="22"/>
              </w:rPr>
              <w:t>DIVERSIFICATION ▶ Neither organisation currently pursuing full diversification</w:t>
            </w:r>
          </w:p>
        </w:tc>
      </w:tr>
    </w:tbl>
    <w:p w14:paraId="432EEA9E" w14:textId="77777777" w:rsidR="00324DF5" w:rsidRDefault="00000000">
      <w:pPr>
        <w:spacing w:before="80" w:after="240" w:line="360" w:lineRule="auto"/>
        <w:jc w:val="center"/>
      </w:pPr>
      <w:r>
        <w:rPr>
          <w:i/>
          <w:iCs/>
          <w:sz w:val="20"/>
          <w:szCs w:val="20"/>
        </w:rPr>
        <w:t>Source: Author’s analysis adapted from Ferreira and Marques (2024)</w:t>
      </w:r>
    </w:p>
    <w:p w14:paraId="79EB9A65" w14:textId="77777777" w:rsidR="00324DF5" w:rsidRDefault="00000000">
      <w:pPr>
        <w:pStyle w:val="Heading1"/>
        <w:pBdr>
          <w:bottom w:val="single" w:sz="4" w:space="1" w:color="000000"/>
        </w:pBdr>
      </w:pPr>
      <w:bookmarkStart w:id="11" w:name="_heading=h.hyv21jv8eyi5" w:colFirst="0" w:colLast="0"/>
      <w:bookmarkEnd w:id="11"/>
      <w:r>
        <w:t>4. Conclusion</w:t>
      </w:r>
    </w:p>
    <w:p w14:paraId="5E8F1438" w14:textId="77777777" w:rsidR="00324DF5" w:rsidRDefault="00000000">
      <w:pPr>
        <w:spacing w:after="240" w:line="360" w:lineRule="auto"/>
        <w:jc w:val="both"/>
      </w:pPr>
      <w:r>
        <w:t>This report has critically discussed the impact of the technological and socio-cultural macro-environmental forces on Tanishq and GIVA competitive landscape as a pioneer organisation and follower respectively within the Indian jewellery industry, that falls within a global market that is approximated to be USD 381.54 billion (Grand View Research, 2025). The digital revolution has provided avenues through which digitally native brands such as GIVA can take market share away of the established players, as it has also forced Tanishq to ensure that its retailing environment incorporates digital functionalities. Gen Z favouring affordable, lightweight and ethically sourced jewellery has led to the socio-cultural shift that presents new market segments where GIVA can employ its initiatives as Tanishq has been strengths in its gold purity and brand trust (National Herald India, 2026).</w:t>
      </w:r>
    </w:p>
    <w:p w14:paraId="3207882E" w14:textId="77777777" w:rsidR="00324DF5" w:rsidRDefault="00000000">
      <w:pPr>
        <w:spacing w:after="240" w:line="360" w:lineRule="auto"/>
        <w:jc w:val="both"/>
      </w:pPr>
      <w:r>
        <w:t xml:space="preserve">With the help of Generic Strategies by Porter, Tanishq may use the advantages of its wide differentiation through unmatched brand recognition, multi-brand framework, and distribution network of more than 3,322 stores (Tradejini, 2025), and GIVA could access the underserved segment of the market with attractive digital interaction. Ansoff Growth Matrix creates two specific avenues: Tanishq spreads domestic market share and international market execution into 23 stores located worldwide (Titan Company Limited, 2025), and GIVA balances development of products based on lab-grown diamonds and aggressive extension toward the physical retail (Inc42, 2025). In conclusion, it has been proved in both organisations that strategic agility, responsiveness to macro-environmental force, as well as ability to flex organisational </w:t>
      </w:r>
      <w:r>
        <w:lastRenderedPageBreak/>
        <w:t>capability according to the current consumer demands are the keys to sustainable competitive advantage in a very dynamic market.</w:t>
      </w:r>
    </w:p>
    <w:p w14:paraId="66000C66" w14:textId="77777777" w:rsidR="00324DF5" w:rsidRDefault="00000000">
      <w:pPr>
        <w:pStyle w:val="Heading1"/>
        <w:pBdr>
          <w:bottom w:val="single" w:sz="4" w:space="1" w:color="000000"/>
        </w:pBdr>
      </w:pPr>
      <w:bookmarkStart w:id="12" w:name="_heading=h.desk6ex8wvw0" w:colFirst="0" w:colLast="0"/>
      <w:bookmarkEnd w:id="12"/>
      <w:r>
        <w:br w:type="page"/>
      </w:r>
      <w:r>
        <w:lastRenderedPageBreak/>
        <w:t>Reference List</w:t>
      </w:r>
    </w:p>
    <w:p w14:paraId="2AE88E08" w14:textId="77777777" w:rsidR="00324DF5" w:rsidRDefault="00000000">
      <w:pPr>
        <w:spacing w:after="240" w:line="360" w:lineRule="auto"/>
        <w:ind w:left="720" w:hanging="720"/>
      </w:pPr>
      <w:r>
        <w:t xml:space="preserve">Business Standard (2024) Jewellery brand Giva’s revenue rises 66% in FY24, to Rs 273.6 crore. Available at: </w:t>
      </w:r>
      <w:hyperlink r:id="rId10">
        <w:r>
          <w:rPr>
            <w:color w:val="0563C1"/>
            <w:u w:val="single"/>
          </w:rPr>
          <w:t>https://www.business-standard.com/companies/news/jewellery-brand-giva-s-revenue-rises-66-in-fy24-to-rs-273-6-crore-124111501339_1.html</w:t>
        </w:r>
      </w:hyperlink>
      <w:r>
        <w:t xml:space="preserve">  (Accessed: 25 March 2026).</w:t>
      </w:r>
    </w:p>
    <w:p w14:paraId="369D8EBE" w14:textId="77777777" w:rsidR="00324DF5" w:rsidRDefault="00000000">
      <w:pPr>
        <w:spacing w:after="240" w:line="360" w:lineRule="auto"/>
        <w:ind w:left="720" w:hanging="720"/>
      </w:pPr>
      <w:r>
        <w:t xml:space="preserve">Dhara Mandaliya (2026) How GIVA disrupted India’s jewellery market (Complete startup analysis). The Hot Startups. Available at: </w:t>
      </w:r>
      <w:hyperlink r:id="rId11">
        <w:r>
          <w:rPr>
            <w:color w:val="0563C1"/>
            <w:u w:val="single"/>
          </w:rPr>
          <w:t>https://www.thehotstartups.com/p/how-giva-disrupted-india-s-jewellery-market-complete-startup-analysis</w:t>
        </w:r>
      </w:hyperlink>
      <w:r>
        <w:t xml:space="preserve">  (Accessed: 25 March 2026).</w:t>
      </w:r>
    </w:p>
    <w:p w14:paraId="5579CD96" w14:textId="77777777" w:rsidR="00324DF5" w:rsidRDefault="00000000">
      <w:pPr>
        <w:spacing w:after="240" w:line="360" w:lineRule="auto"/>
        <w:ind w:left="720" w:hanging="720"/>
      </w:pPr>
      <w:r>
        <w:t xml:space="preserve">Ferreira, A.C. and Marques, M.B. (2024) ‘The importance of the Ansoff Matrix for the study of the information services market’, BOBCATSSS Proceedings. Available at: </w:t>
      </w:r>
      <w:hyperlink r:id="rId12">
        <w:r>
          <w:rPr>
            <w:color w:val="0563C1"/>
            <w:u w:val="single"/>
          </w:rPr>
          <w:t>https://www.researchgate.net/publication/382141729</w:t>
        </w:r>
      </w:hyperlink>
      <w:r>
        <w:t xml:space="preserve">  (Accessed: 25 March 2026).</w:t>
      </w:r>
    </w:p>
    <w:p w14:paraId="3CD0E708" w14:textId="77777777" w:rsidR="00324DF5" w:rsidRDefault="00000000">
      <w:pPr>
        <w:spacing w:after="240" w:line="360" w:lineRule="auto"/>
        <w:ind w:left="720" w:hanging="720"/>
      </w:pPr>
      <w:r>
        <w:t xml:space="preserve">Grand View Research (2024) India jewelry market size and share | Industry report, 2030. Available at: </w:t>
      </w:r>
      <w:hyperlink r:id="rId13">
        <w:r>
          <w:rPr>
            <w:color w:val="0563C1"/>
            <w:u w:val="single"/>
          </w:rPr>
          <w:t>https://www.grandviewresearch.com/industry-analysis/india-jewelry-market-report</w:t>
        </w:r>
      </w:hyperlink>
      <w:r>
        <w:t xml:space="preserve">  (Accessed: 25 March 2026).</w:t>
      </w:r>
    </w:p>
    <w:p w14:paraId="353BFB31" w14:textId="77777777" w:rsidR="00324DF5" w:rsidRDefault="00000000">
      <w:pPr>
        <w:spacing w:after="240" w:line="360" w:lineRule="auto"/>
        <w:ind w:left="720" w:hanging="720"/>
      </w:pPr>
      <w:r>
        <w:t xml:space="preserve">Grand View Research (2025) Global jewelry market size, share &amp; trends analysis report, 2033. Available at: </w:t>
      </w:r>
      <w:hyperlink r:id="rId14">
        <w:r>
          <w:rPr>
            <w:color w:val="0563C1"/>
            <w:u w:val="single"/>
          </w:rPr>
          <w:t>https://www.grandviewresearch.com/industry-analysis/jewelry-market</w:t>
        </w:r>
      </w:hyperlink>
      <w:r>
        <w:t xml:space="preserve">  (Accessed: 25 March 2026).</w:t>
      </w:r>
    </w:p>
    <w:p w14:paraId="5920661C" w14:textId="77777777" w:rsidR="00324DF5" w:rsidRDefault="00000000">
      <w:pPr>
        <w:spacing w:after="240" w:line="360" w:lineRule="auto"/>
        <w:ind w:left="720" w:hanging="720"/>
      </w:pPr>
      <w:r>
        <w:t xml:space="preserve">Hatoum, M.B. et al. (2023) ‘Investigation of PESTEL factors driving change in capital project organizations’, Frontiers in Built Environment, 9, article 1207564. </w:t>
      </w:r>
      <w:hyperlink r:id="rId15">
        <w:r>
          <w:rPr>
            <w:color w:val="0563C1"/>
            <w:u w:val="single"/>
          </w:rPr>
          <w:t>https://www.frontiersin.org/journals/built-environment/articles/10.3389/fbuil.2023.1207564/full</w:t>
        </w:r>
      </w:hyperlink>
      <w:r>
        <w:t xml:space="preserve"> (Accessed: 25 March 2026).</w:t>
      </w:r>
    </w:p>
    <w:p w14:paraId="4AFA1BCF" w14:textId="77777777" w:rsidR="00324DF5" w:rsidRDefault="00000000">
      <w:pPr>
        <w:spacing w:after="240" w:line="360" w:lineRule="auto"/>
        <w:ind w:left="720" w:hanging="720"/>
      </w:pPr>
      <w:r>
        <w:t xml:space="preserve">Inc42 (2025) How GIVA crafted an INR 500 Cr+ brand on silver jewellery and lab-grown diamonds. Available at: </w:t>
      </w:r>
      <w:hyperlink r:id="rId16">
        <w:r>
          <w:rPr>
            <w:color w:val="0563C1"/>
            <w:u w:val="single"/>
          </w:rPr>
          <w:t>https://inc42.com/features/giva-revenue-growth-brand-silver-jewellery-lab-grown-diamonds/</w:t>
        </w:r>
      </w:hyperlink>
      <w:r>
        <w:t xml:space="preserve">  (Accessed: 25 March 2026).</w:t>
      </w:r>
    </w:p>
    <w:p w14:paraId="7809B3A8" w14:textId="77777777" w:rsidR="00324DF5" w:rsidRDefault="00000000">
      <w:pPr>
        <w:spacing w:after="240" w:line="360" w:lineRule="auto"/>
        <w:ind w:left="720" w:hanging="720"/>
      </w:pPr>
      <w:r>
        <w:lastRenderedPageBreak/>
        <w:t xml:space="preserve">India Brand Equity Foundation (2025) India’s gems and jewellery industry and its market size. Available at: </w:t>
      </w:r>
      <w:hyperlink r:id="rId17">
        <w:r>
          <w:rPr>
            <w:color w:val="0563C1"/>
            <w:u w:val="single"/>
          </w:rPr>
          <w:t>https://www.ibef.org/industry/gems-jewellery-india</w:t>
        </w:r>
      </w:hyperlink>
      <w:r>
        <w:t xml:space="preserve">  (Accessed: 25 March 2026).</w:t>
      </w:r>
    </w:p>
    <w:p w14:paraId="273E1D9B" w14:textId="77777777" w:rsidR="00324DF5" w:rsidRDefault="00000000">
      <w:pPr>
        <w:spacing w:after="240" w:line="360" w:lineRule="auto"/>
        <w:ind w:left="720" w:hanging="720"/>
      </w:pPr>
      <w:r>
        <w:t xml:space="preserve">Islami, X., Mustafa, N. and Topuzovska Latkovikj, M. (2020) ‘Linking Porter’s generic strategies to firm performance’, Future Business Journal, 6(1), pp. 1–15. </w:t>
      </w:r>
      <w:hyperlink r:id="rId18">
        <w:r>
          <w:rPr>
            <w:color w:val="0563C1"/>
            <w:u w:val="single"/>
          </w:rPr>
          <w:t>https://link.springer.com/article/10.1186/s43093-020-0009-1</w:t>
        </w:r>
      </w:hyperlink>
      <w:r>
        <w:t xml:space="preserve"> (Accessed: 25 March 2026).</w:t>
      </w:r>
    </w:p>
    <w:p w14:paraId="15029A9A" w14:textId="77777777" w:rsidR="00324DF5" w:rsidRDefault="00000000">
      <w:pPr>
        <w:spacing w:after="240" w:line="360" w:lineRule="auto"/>
        <w:ind w:left="720" w:hanging="720"/>
      </w:pPr>
      <w:r>
        <w:t xml:space="preserve">Manuel, L. (2022) ‘A firm’s external macro environment: PESTEL’, in Global marketing in a digital world. eCampusOntario Pressbooks. Available at: </w:t>
      </w:r>
      <w:hyperlink r:id="rId19">
        <w:r>
          <w:rPr>
            <w:color w:val="0563C1"/>
            <w:u w:val="single"/>
          </w:rPr>
          <w:t>https://ecampusontario.pressbooks.pub/globalmarketing/chapter/5-3-a-firms-external-macro-environment-pestel/</w:t>
        </w:r>
      </w:hyperlink>
      <w:r>
        <w:t xml:space="preserve">  (Accessed: 25 March 2026).</w:t>
      </w:r>
    </w:p>
    <w:p w14:paraId="1FF1D0E0" w14:textId="77777777" w:rsidR="00324DF5" w:rsidRDefault="00000000">
      <w:pPr>
        <w:spacing w:after="240" w:line="360" w:lineRule="auto"/>
        <w:ind w:left="720" w:hanging="720"/>
      </w:pPr>
      <w:r>
        <w:t xml:space="preserve">Mashingaidze, M. et al. (2024) ‘Porter’s strategies and firm competitiveness: The mediating role of market and technological innovation’, African Journal of Hospitality, Tourism and Leisure, 13(2), pp. 401–409. </w:t>
      </w:r>
      <w:hyperlink r:id="rId20">
        <w:r>
          <w:rPr>
            <w:color w:val="0563C1"/>
            <w:u w:val="single"/>
          </w:rPr>
          <w:t>https://www.ajhtl.com/uploads/7/1/6/3/7163688/article_22_13_2_401-409.pdf</w:t>
        </w:r>
      </w:hyperlink>
      <w:r>
        <w:t xml:space="preserve"> (Accessed: 25 March 2026).</w:t>
      </w:r>
    </w:p>
    <w:p w14:paraId="1AE6ED6E" w14:textId="77777777" w:rsidR="00324DF5" w:rsidRDefault="00000000">
      <w:pPr>
        <w:spacing w:after="240" w:line="360" w:lineRule="auto"/>
        <w:ind w:left="720" w:hanging="720"/>
      </w:pPr>
      <w:r>
        <w:t xml:space="preserve">National Herald India (2026) Gen Z reshapes jewellery buying, but asset appeal remains strong, says new report. Available at: </w:t>
      </w:r>
      <w:hyperlink r:id="rId21">
        <w:r>
          <w:rPr>
            <w:color w:val="0563C1"/>
            <w:u w:val="single"/>
          </w:rPr>
          <w:t>https://www.nationalheraldindia.com/business/gen-z-reshapes-jewellery-buying-but-asset-appeal-remains-strong-says-new-report</w:t>
        </w:r>
      </w:hyperlink>
      <w:r>
        <w:t xml:space="preserve">  (Accessed: 25 March 2026).</w:t>
      </w:r>
    </w:p>
    <w:p w14:paraId="282F5673" w14:textId="77777777" w:rsidR="00324DF5" w:rsidRDefault="00000000">
      <w:pPr>
        <w:spacing w:after="240" w:line="360" w:lineRule="auto"/>
        <w:ind w:left="720" w:hanging="720"/>
      </w:pPr>
      <w:r>
        <w:t xml:space="preserve">Press Information Bureau, Government of India (2024) Over 40 crore gold jewellery items hallmarked so far; fourth phase of mandatory hallmarking begins. Available at: </w:t>
      </w:r>
      <w:hyperlink r:id="rId22">
        <w:r>
          <w:rPr>
            <w:color w:val="0563C1"/>
            <w:u w:val="single"/>
          </w:rPr>
          <w:t>https://www.pib.gov.in/PressReleaseIframePage.aspx?PRID=2073332</w:t>
        </w:r>
      </w:hyperlink>
      <w:r>
        <w:t xml:space="preserve">  (Accessed: 25 March 2026).</w:t>
      </w:r>
    </w:p>
    <w:p w14:paraId="3B144A2D" w14:textId="77777777" w:rsidR="00324DF5" w:rsidRDefault="00000000">
      <w:pPr>
        <w:spacing w:after="240" w:line="360" w:lineRule="auto"/>
        <w:ind w:left="720" w:hanging="720"/>
      </w:pPr>
      <w:r>
        <w:t xml:space="preserve">Social Samosa (2025) Brand saga: The marketing and celebrity playbook behind GIVA’s rise. Available at: </w:t>
      </w:r>
      <w:hyperlink r:id="rId23">
        <w:r>
          <w:rPr>
            <w:color w:val="0563C1"/>
            <w:u w:val="single"/>
          </w:rPr>
          <w:t>https://www.socialsamosa.com/brand-saga/brand-saga-marketing-celebrity-playbook-giva-10787930</w:t>
        </w:r>
      </w:hyperlink>
      <w:r>
        <w:t xml:space="preserve">  (Accessed: 25 March 2026).</w:t>
      </w:r>
    </w:p>
    <w:p w14:paraId="146E765E" w14:textId="77777777" w:rsidR="00324DF5" w:rsidRDefault="00000000">
      <w:pPr>
        <w:spacing w:after="240" w:line="360" w:lineRule="auto"/>
        <w:ind w:left="720" w:hanging="720"/>
      </w:pPr>
      <w:r>
        <w:lastRenderedPageBreak/>
        <w:t xml:space="preserve">Titan Company Limited (2025) Titan crosses ₹50,000 crore revenues; grows 22% for Q4 and full year FY25. Available at: </w:t>
      </w:r>
      <w:hyperlink r:id="rId24">
        <w:r>
          <w:rPr>
            <w:color w:val="0563C1"/>
            <w:u w:val="single"/>
          </w:rPr>
          <w:t>https://www.titancompany.in/sites/default/files/2025-05/SEoutcome%20-%20Copy.pdf</w:t>
        </w:r>
      </w:hyperlink>
      <w:r>
        <w:t xml:space="preserve">  (Accessed: 25 March 2026).</w:t>
      </w:r>
    </w:p>
    <w:p w14:paraId="6CBFBBB4" w14:textId="77777777" w:rsidR="00324DF5" w:rsidRDefault="00000000">
      <w:pPr>
        <w:spacing w:after="240" w:line="360" w:lineRule="auto"/>
        <w:ind w:left="720" w:hanging="720"/>
      </w:pPr>
      <w:r>
        <w:t xml:space="preserve">Tracxn (2024) Jewellery 2.0: India’s shift to digital, sustainable and affordable. Available at: </w:t>
      </w:r>
      <w:hyperlink r:id="rId25">
        <w:r>
          <w:rPr>
            <w:color w:val="0563C1"/>
            <w:u w:val="single"/>
          </w:rPr>
          <w:t>https://w.tracxn.com/report-releases/d2c-jewellery-brands-india</w:t>
        </w:r>
      </w:hyperlink>
      <w:r>
        <w:t xml:space="preserve"> (Accessed: 25 March 2026).</w:t>
      </w:r>
    </w:p>
    <w:p w14:paraId="1290D424" w14:textId="77777777" w:rsidR="00324DF5" w:rsidRDefault="00000000">
      <w:pPr>
        <w:spacing w:after="240" w:line="360" w:lineRule="auto"/>
        <w:ind w:left="720" w:hanging="720"/>
      </w:pPr>
      <w:r>
        <w:t xml:space="preserve">Tradejini (2025) Indian jewellery industry: Investment analysis, key trends &amp; growth drivers. Available at: </w:t>
      </w:r>
      <w:hyperlink r:id="rId26">
        <w:r>
          <w:rPr>
            <w:color w:val="0563C1"/>
            <w:u w:val="single"/>
          </w:rPr>
          <w:t>https://www.tradejini.com/blogs/unlocking-growth-in-indias-90-billion-jewellery-industry</w:t>
        </w:r>
      </w:hyperlink>
      <w:r>
        <w:t xml:space="preserve">  (Accessed: 25 March 2026).</w:t>
      </w:r>
    </w:p>
    <w:sectPr w:rsidR="00324DF5">
      <w:headerReference w:type="default" r:id="rId27"/>
      <w:footerReference w:type="default" r:id="rId28"/>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9402E5" w14:textId="77777777" w:rsidR="00B0525B" w:rsidRDefault="00B0525B">
      <w:r>
        <w:separator/>
      </w:r>
    </w:p>
  </w:endnote>
  <w:endnote w:type="continuationSeparator" w:id="0">
    <w:p w14:paraId="00DCEC12" w14:textId="77777777" w:rsidR="00B0525B" w:rsidRDefault="00B052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1" w:fontKey="{5595739C-2B00-49A1-92DE-3AF64C6E4A8F}"/>
  </w:font>
  <w:font w:name="Shruti">
    <w:panose1 w:val="020B0502040204020203"/>
    <w:charset w:val="00"/>
    <w:family w:val="swiss"/>
    <w:pitch w:val="variable"/>
    <w:sig w:usb0="00040003" w:usb1="00000000" w:usb2="00000000" w:usb3="00000000" w:csb0="00000001" w:csb1="00000000"/>
    <w:embedRegular r:id="rId2" w:fontKey="{7715DA8F-E538-4B09-AAB1-958433AC127D}"/>
    <w:embedBold r:id="rId3" w:fontKey="{96B3F5B5-74A1-48FB-9227-8798A0B86C64}"/>
  </w:font>
  <w:font w:name="Georgia">
    <w:panose1 w:val="02040502050405020303"/>
    <w:charset w:val="00"/>
    <w:family w:val="roman"/>
    <w:pitch w:val="variable"/>
    <w:sig w:usb0="00000287" w:usb1="00000000" w:usb2="00000000" w:usb3="00000000" w:csb0="0000009F" w:csb1="00000000"/>
    <w:embedItalic r:id="rId4" w:fontKey="{F6442FEE-82EB-4F65-B97E-22FCECAFAB41}"/>
  </w:font>
  <w:font w:name="Segoe UI">
    <w:panose1 w:val="020B0502040204020203"/>
    <w:charset w:val="00"/>
    <w:family w:val="swiss"/>
    <w:pitch w:val="variable"/>
    <w:sig w:usb0="E4002EFF" w:usb1="C000E47F" w:usb2="00000009" w:usb3="00000000" w:csb0="000001FF" w:csb1="00000000"/>
    <w:embedRegular r:id="rId5" w:fontKey="{D4841313-BF5E-4F4A-8BE1-B5D9C2AC17C7}"/>
  </w:font>
  <w:font w:name="Calibri">
    <w:panose1 w:val="020F0502020204030204"/>
    <w:charset w:val="00"/>
    <w:family w:val="swiss"/>
    <w:pitch w:val="variable"/>
    <w:sig w:usb0="E4002EFF" w:usb1="C200247B" w:usb2="00000009" w:usb3="00000000" w:csb0="000001FF" w:csb1="00000000"/>
    <w:embedRegular r:id="rId6" w:fontKey="{1CA0FD35-711C-4B89-89D6-A956AA6C687F}"/>
    <w:embedBold r:id="rId7" w:fontKey="{A8DDE6EC-5F78-4B76-B0C5-EEC88536A3B0}"/>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2C3E7A" w14:textId="77777777" w:rsidR="00324DF5" w:rsidRDefault="00000000">
    <w:pPr>
      <w:jc w:val="center"/>
    </w:pPr>
    <w:r>
      <w:rPr>
        <w:sz w:val="20"/>
        <w:szCs w:val="20"/>
      </w:rPr>
      <w:fldChar w:fldCharType="begin"/>
    </w:r>
    <w:r>
      <w:rPr>
        <w:sz w:val="20"/>
        <w:szCs w:val="20"/>
      </w:rPr>
      <w:instrText>PAGE</w:instrText>
    </w:r>
    <w:r>
      <w:rPr>
        <w:sz w:val="20"/>
        <w:szCs w:val="20"/>
      </w:rPr>
      <w:fldChar w:fldCharType="separate"/>
    </w:r>
    <w:r w:rsidR="0090794F">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73D3C2" w14:textId="6361D650" w:rsidR="00324DF5" w:rsidRDefault="00000000">
    <w:pPr>
      <w:jc w:val="center"/>
    </w:pPr>
    <w:r>
      <w:rPr>
        <w:sz w:val="20"/>
        <w:szCs w:val="20"/>
      </w:rPr>
      <w:fldChar w:fldCharType="begin"/>
    </w:r>
    <w:r>
      <w:rPr>
        <w:sz w:val="20"/>
        <w:szCs w:val="20"/>
      </w:rPr>
      <w:instrText>PAGE</w:instrText>
    </w:r>
    <w:r>
      <w:rPr>
        <w:sz w:val="20"/>
        <w:szCs w:val="20"/>
      </w:rPr>
      <w:fldChar w:fldCharType="separate"/>
    </w:r>
    <w:r w:rsidR="0090794F">
      <w:rPr>
        <w:noProof/>
        <w:sz w:val="20"/>
        <w:szCs w:val="20"/>
      </w:rPr>
      <w:t>3</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CB96D0" w14:textId="77777777" w:rsidR="00B0525B" w:rsidRDefault="00B0525B">
      <w:r>
        <w:separator/>
      </w:r>
    </w:p>
  </w:footnote>
  <w:footnote w:type="continuationSeparator" w:id="0">
    <w:p w14:paraId="17E86C36" w14:textId="77777777" w:rsidR="00B0525B" w:rsidRDefault="00B052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A4040E" w14:textId="77777777" w:rsidR="00324DF5" w:rsidRDefault="00000000">
    <w:pPr>
      <w:spacing w:after="120" w:line="360" w:lineRule="auto"/>
      <w:jc w:val="right"/>
    </w:pPr>
    <w:r>
      <w:rPr>
        <w:i/>
        <w:iCs/>
        <w:sz w:val="18"/>
        <w:szCs w:val="18"/>
      </w:rPr>
      <w:t>LCMB7024 – Marketing Environment Analysis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858A67" w14:textId="77777777" w:rsidR="00324DF5" w:rsidRDefault="00000000">
    <w:pPr>
      <w:spacing w:after="120" w:line="360" w:lineRule="auto"/>
      <w:jc w:val="right"/>
    </w:pPr>
    <w:r>
      <w:rPr>
        <w:i/>
        <w:iCs/>
        <w:sz w:val="18"/>
        <w:szCs w:val="18"/>
      </w:rPr>
      <w:t>LCMB7024 – Marketing Environment Analysis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4DF5"/>
    <w:rsid w:val="00324DF5"/>
    <w:rsid w:val="0090794F"/>
    <w:rsid w:val="00B0525B"/>
    <w:rsid w:val="00EC4A4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F2EC4"/>
  <w15:docId w15:val="{7479453A-F3A9-4671-A2C7-141CCF0E0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gu-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94F"/>
  </w:style>
  <w:style w:type="paragraph" w:styleId="Heading1">
    <w:name w:val="heading 1"/>
    <w:basedOn w:val="Normal"/>
    <w:next w:val="Normal"/>
    <w:uiPriority w:val="9"/>
    <w:qFormat/>
    <w:pPr>
      <w:pBdr>
        <w:top w:val="nil"/>
        <w:left w:val="nil"/>
        <w:bottom w:val="nil"/>
        <w:right w:val="nil"/>
        <w:between w:val="nil"/>
      </w:pBdr>
      <w:spacing w:before="360" w:after="240" w:line="360" w:lineRule="auto"/>
      <w:outlineLvl w:val="0"/>
    </w:pPr>
    <w:rPr>
      <w:b/>
      <w:bCs/>
      <w:color w:val="1F4E79"/>
      <w:sz w:val="32"/>
      <w:szCs w:val="32"/>
    </w:rPr>
  </w:style>
  <w:style w:type="paragraph" w:styleId="Heading2">
    <w:name w:val="heading 2"/>
    <w:basedOn w:val="Normal"/>
    <w:next w:val="Normal"/>
    <w:uiPriority w:val="9"/>
    <w:unhideWhenUsed/>
    <w:qFormat/>
    <w:pPr>
      <w:pBdr>
        <w:top w:val="nil"/>
        <w:left w:val="nil"/>
        <w:bottom w:val="nil"/>
        <w:right w:val="nil"/>
        <w:between w:val="nil"/>
      </w:pBdr>
      <w:spacing w:before="240" w:after="180" w:line="360" w:lineRule="auto"/>
      <w:outlineLvl w:val="1"/>
    </w:pPr>
    <w:rPr>
      <w:b/>
      <w:bCs/>
      <w:color w:val="2E5090"/>
      <w:sz w:val="28"/>
      <w:szCs w:val="28"/>
    </w:rPr>
  </w:style>
  <w:style w:type="paragraph" w:styleId="Heading3">
    <w:name w:val="heading 3"/>
    <w:basedOn w:val="Normal"/>
    <w:next w:val="Normal"/>
    <w:uiPriority w:val="9"/>
    <w:unhideWhenUsed/>
    <w:qFormat/>
    <w:pPr>
      <w:pBdr>
        <w:top w:val="nil"/>
        <w:left w:val="nil"/>
        <w:bottom w:val="nil"/>
        <w:right w:val="nil"/>
        <w:between w:val="nil"/>
      </w:pBdr>
      <w:spacing w:before="200" w:after="120" w:line="360" w:lineRule="auto"/>
      <w:outlineLvl w:val="2"/>
    </w:pPr>
    <w:rPr>
      <w:b/>
      <w:bCs/>
      <w:color w:val="2E5090"/>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7D7175"/>
    <w:pPr>
      <w:spacing w:after="100"/>
    </w:pPr>
  </w:style>
  <w:style w:type="paragraph" w:styleId="TOC2">
    <w:name w:val="toc 2"/>
    <w:basedOn w:val="Normal"/>
    <w:next w:val="Normal"/>
    <w:autoRedefine/>
    <w:uiPriority w:val="39"/>
    <w:unhideWhenUsed/>
    <w:rsid w:val="007D7175"/>
    <w:pPr>
      <w:spacing w:after="100"/>
      <w:ind w:left="240"/>
    </w:pPr>
  </w:style>
  <w:style w:type="paragraph" w:styleId="TOC3">
    <w:name w:val="toc 3"/>
    <w:basedOn w:val="Normal"/>
    <w:next w:val="Normal"/>
    <w:autoRedefine/>
    <w:uiPriority w:val="39"/>
    <w:unhideWhenUsed/>
    <w:rsid w:val="007D7175"/>
    <w:pPr>
      <w:spacing w:after="100"/>
      <w:ind w:left="480"/>
    </w:pPr>
  </w:style>
  <w:style w:type="character" w:styleId="UnresolvedMention">
    <w:name w:val="Unresolved Mention"/>
    <w:basedOn w:val="DefaultParagraphFont"/>
    <w:uiPriority w:val="99"/>
    <w:semiHidden/>
    <w:unhideWhenUsed/>
    <w:rsid w:val="007D7175"/>
    <w:rPr>
      <w:color w:val="605E5C"/>
      <w:shd w:val="clear" w:color="auto" w:fill="E1DFDD"/>
    </w:rPr>
  </w:style>
  <w:style w:type="paragraph" w:styleId="TOCHeading">
    <w:name w:val="TOC Heading"/>
    <w:basedOn w:val="Heading1"/>
    <w:next w:val="Normal"/>
    <w:uiPriority w:val="39"/>
    <w:unhideWhenUsed/>
    <w:qFormat/>
    <w:rsid w:val="001853A1"/>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tblPr>
      <w:tblStyleRowBandSize w:val="1"/>
      <w:tblStyleColBandSize w:val="1"/>
      <w:tblCellMar>
        <w:left w:w="10" w:type="dxa"/>
        <w:right w:w="10" w:type="dxa"/>
      </w:tblCellMar>
    </w:tblPr>
  </w:style>
  <w:style w:type="table" w:customStyle="1" w:styleId="a0">
    <w:basedOn w:val="TableNormal"/>
    <w:tblPr>
      <w:tblStyleRowBandSize w:val="1"/>
      <w:tblStyleColBandSize w:val="1"/>
      <w:tblCellMar>
        <w:left w:w="10" w:type="dxa"/>
        <w:right w:w="10" w:type="dxa"/>
      </w:tblCellMar>
    </w:tblPr>
  </w:style>
  <w:style w:type="table" w:customStyle="1" w:styleId="a1">
    <w:basedOn w:val="TableNormal"/>
    <w:tblPr>
      <w:tblStyleRowBandSize w:val="1"/>
      <w:tblStyleColBandSize w:val="1"/>
      <w:tblCellMar>
        <w:left w:w="10" w:type="dxa"/>
        <w:right w:w="10" w:type="dxa"/>
      </w:tblCellMar>
    </w:tblPr>
  </w:style>
  <w:style w:type="table" w:customStyle="1" w:styleId="a2">
    <w:basedOn w:val="TableNormal"/>
    <w:tblPr>
      <w:tblStyleRowBandSize w:val="1"/>
      <w:tblStyleColBandSize w:val="1"/>
      <w:tblCellMar>
        <w:left w:w="10" w:type="dxa"/>
        <w:right w:w="1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grandviewresearch.com/industry-analysis/india-jewelry-market-report" TargetMode="External"/><Relationship Id="rId18" Type="http://schemas.openxmlformats.org/officeDocument/2006/relationships/hyperlink" Target="https://link.springer.com/article/10.1186/s43093-020-0009-1" TargetMode="External"/><Relationship Id="rId26" Type="http://schemas.openxmlformats.org/officeDocument/2006/relationships/hyperlink" Target="https://www.tradejini.com/blogs/unlocking-growth-in-indias-90-billion-jewellery-industry" TargetMode="External"/><Relationship Id="rId3" Type="http://schemas.openxmlformats.org/officeDocument/2006/relationships/settings" Target="settings.xml"/><Relationship Id="rId21" Type="http://schemas.openxmlformats.org/officeDocument/2006/relationships/hyperlink" Target="https://www.nationalheraldindia.com/business/gen-z-reshapes-jewellery-buying-but-asset-appeal-remains-strong-says-new-report" TargetMode="External"/><Relationship Id="rId7" Type="http://schemas.openxmlformats.org/officeDocument/2006/relationships/image" Target="media/image1.png"/><Relationship Id="rId12" Type="http://schemas.openxmlformats.org/officeDocument/2006/relationships/hyperlink" Target="https://www.researchgate.net/publication/382141729" TargetMode="External"/><Relationship Id="rId17" Type="http://schemas.openxmlformats.org/officeDocument/2006/relationships/hyperlink" Target="https://www.ibef.org/industry/gems-jewellery-india" TargetMode="External"/><Relationship Id="rId25" Type="http://schemas.openxmlformats.org/officeDocument/2006/relationships/hyperlink" Target="https://w.tracxn.com/report-releases/d2c-jewellery-brands-india" TargetMode="External"/><Relationship Id="rId2" Type="http://schemas.openxmlformats.org/officeDocument/2006/relationships/styles" Target="styles.xml"/><Relationship Id="rId16" Type="http://schemas.openxmlformats.org/officeDocument/2006/relationships/hyperlink" Target="https://inc42.com/features/giva-revenue-growth-brand-silver-jewellery-lab-grown-diamonds/" TargetMode="External"/><Relationship Id="rId20" Type="http://schemas.openxmlformats.org/officeDocument/2006/relationships/hyperlink" Target="https://www.ajhtl.com/uploads/7/1/6/3/7163688/article_22_13_2_401-409.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hotstartups.com/p/how-giva-disrupted-india-s-jewellery-market-complete-startup-analysis" TargetMode="External"/><Relationship Id="rId24" Type="http://schemas.openxmlformats.org/officeDocument/2006/relationships/hyperlink" Target="https://www.titancompany.in/sites/default/files/2025-05/SEoutcome%20-%20Copy.pdf" TargetMode="External"/><Relationship Id="rId5" Type="http://schemas.openxmlformats.org/officeDocument/2006/relationships/footnotes" Target="footnotes.xml"/><Relationship Id="rId15" Type="http://schemas.openxmlformats.org/officeDocument/2006/relationships/hyperlink" Target="https://www.frontiersin.org/journals/built-environment/articles/10.3389/fbuil.2023.1207564/full" TargetMode="External"/><Relationship Id="rId23" Type="http://schemas.openxmlformats.org/officeDocument/2006/relationships/hyperlink" Target="https://www.socialsamosa.com/brand-saga/brand-saga-marketing-celebrity-playbook-giva-10787930" TargetMode="External"/><Relationship Id="rId28" Type="http://schemas.openxmlformats.org/officeDocument/2006/relationships/footer" Target="footer2.xml"/><Relationship Id="rId10" Type="http://schemas.openxmlformats.org/officeDocument/2006/relationships/hyperlink" Target="https://www.business-standard.com/companies/news/jewellery-brand-giva-s-revenue-rises-66-in-fy24-to-rs-273-6-crore-124111501339_1.html" TargetMode="External"/><Relationship Id="rId19" Type="http://schemas.openxmlformats.org/officeDocument/2006/relationships/hyperlink" Target="https://ecampusontario.pressbooks.pub/globalmarketing/chapter/5-3-a-firms-external-macro-environment-pestel/"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grandviewresearch.com/industry-analysis/jewelry-market" TargetMode="External"/><Relationship Id="rId22" Type="http://schemas.openxmlformats.org/officeDocument/2006/relationships/hyperlink" Target="https://www.pib.gov.in/PressReleaseIframePage.aspx?PRID=2073332" TargetMode="External"/><Relationship Id="rId27" Type="http://schemas.openxmlformats.org/officeDocument/2006/relationships/header" Target="header2.xm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xDuOaAyMsdQ+5wIYYqQfj3ZgUw==">CgMxLjAaHQoBMBIYChYIB0ISEhBBcmlhbCBVbmljb2RlIE1TGh0KATESGAoWCAdCEhIQQXJpYWwgVW5pY29kZSBNUzIOaC52b2FnMDh4d3BhbzcyDWguYmVlenpzYnVncGcyDmguOXdhY3EzN2Z6czlhMg5oLmRoY3A3Z3JuNTR3cjIOaC5oODBoemwxeW03MGkyDmgubWN2a3NyanRqcDM3Mg5oLmdpMzQzZmZ0ZjE2MjIOaC51ZTJrb3pzZHdnOGkyDmgueWl6YXQ2OW1uc3ZxMg5oLm43bm5zNDZka202cDIOaC5xbjNodHNyanpkNXYyDmguaHl2MjFqdjhleWk1Mg5oLmRlc2s2ZXg4d3Z3MDgAciExUFJtYmV4R3BNbHk2aW9PRFNEZ2FmRjFjRUphSGVyMm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3907</Words>
  <Characters>22275</Characters>
  <Application>Microsoft Office Word</Application>
  <DocSecurity>0</DocSecurity>
  <Lines>185</Lines>
  <Paragraphs>52</Paragraphs>
  <ScaleCrop>false</ScaleCrop>
  <Company/>
  <LinksUpToDate>false</LinksUpToDate>
  <CharactersWithSpaces>26130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ronak devani</cp:lastModifiedBy>
  <cp:revision>2</cp:revision>
  <dcterms:created xsi:type="dcterms:W3CDTF">2026-03-25T07:48:00Z</dcterms:created>
  <dcterms:modified xsi:type="dcterms:W3CDTF">2026-03-25T16:56:00Z</dcterms:modified>
</cp:coreProperties>
</file>