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403D9" w14:textId="77777777" w:rsidR="000716A4" w:rsidRDefault="000716A4" w:rsidP="000716A4">
      <w:pPr>
        <w:jc w:val="center"/>
        <w:rPr>
          <w:rFonts w:cs="Times New Roman"/>
          <w:b/>
          <w:sz w:val="40"/>
          <w:szCs w:val="20"/>
        </w:rPr>
      </w:pPr>
      <w:bookmarkStart w:id="0" w:name="_Hlk181034112"/>
      <w:r>
        <w:rPr>
          <w:rFonts w:cs="Times New Roman"/>
          <w:b/>
          <w:bCs/>
          <w:noProof/>
          <w:u w:val="single"/>
        </w:rPr>
        <w:drawing>
          <wp:inline distT="0" distB="0" distL="0" distR="0" wp14:anchorId="7429C7EE" wp14:editId="01E7E9D4">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6E3476CB" w14:textId="77777777" w:rsidR="000716A4" w:rsidRPr="00E81A8C" w:rsidRDefault="000716A4" w:rsidP="000716A4">
      <w:pPr>
        <w:jc w:val="center"/>
        <w:rPr>
          <w:rFonts w:cs="Times New Roman"/>
          <w:b/>
          <w:sz w:val="26"/>
          <w:szCs w:val="6"/>
        </w:rPr>
      </w:pPr>
    </w:p>
    <w:p w14:paraId="78EEC9F4" w14:textId="77777777" w:rsidR="000716A4" w:rsidRPr="000716A4" w:rsidRDefault="000716A4" w:rsidP="000716A4">
      <w:pPr>
        <w:jc w:val="center"/>
        <w:rPr>
          <w:rFonts w:cs="Times New Roman"/>
          <w:b/>
          <w:bCs/>
          <w:noProof/>
          <w:sz w:val="40"/>
          <w:szCs w:val="40"/>
        </w:rPr>
      </w:pPr>
      <w:r w:rsidRPr="000716A4">
        <w:rPr>
          <w:rFonts w:cs="Times New Roman"/>
          <w:b/>
          <w:bCs/>
          <w:noProof/>
          <w:sz w:val="40"/>
          <w:szCs w:val="40"/>
        </w:rPr>
        <w:t>Event Strategic Planning and Delivery Considerations for an International Meeting.</w:t>
      </w:r>
    </w:p>
    <w:p w14:paraId="0955F4EA" w14:textId="15F6DA0F" w:rsidR="000716A4" w:rsidRPr="000716A4" w:rsidRDefault="00A133C0" w:rsidP="000716A4">
      <w:pPr>
        <w:jc w:val="center"/>
        <w:rPr>
          <w:rFonts w:cs="Times New Roman"/>
          <w:b/>
          <w:bCs/>
          <w:i/>
          <w:iCs/>
          <w:noProof/>
          <w:sz w:val="34"/>
          <w:szCs w:val="34"/>
        </w:rPr>
      </w:pPr>
      <w:r>
        <w:rPr>
          <w:rFonts w:cs="Times New Roman"/>
          <w:b/>
          <w:bCs/>
          <w:i/>
          <w:iCs/>
          <w:noProof/>
          <w:sz w:val="34"/>
          <w:szCs w:val="34"/>
        </w:rPr>
        <w:t>E</w:t>
      </w:r>
      <w:r w:rsidR="000716A4" w:rsidRPr="000716A4">
        <w:rPr>
          <w:rFonts w:cs="Times New Roman"/>
          <w:b/>
          <w:bCs/>
          <w:i/>
          <w:iCs/>
          <w:noProof/>
          <w:sz w:val="34"/>
          <w:szCs w:val="34"/>
        </w:rPr>
        <w:t>vent Name: The Winter Sports Tourism Conference 2024</w:t>
      </w:r>
    </w:p>
    <w:p w14:paraId="3559215B" w14:textId="77777777" w:rsidR="000716A4" w:rsidRPr="00E81A8C" w:rsidRDefault="000716A4" w:rsidP="000716A4">
      <w:pPr>
        <w:jc w:val="center"/>
        <w:rPr>
          <w:rFonts w:cs="Times New Roman"/>
          <w:b/>
          <w:sz w:val="28"/>
          <w:szCs w:val="6"/>
        </w:rPr>
      </w:pPr>
    </w:p>
    <w:p w14:paraId="37617AF3" w14:textId="77777777" w:rsidR="000716A4" w:rsidRPr="00E81A8C" w:rsidRDefault="000716A4" w:rsidP="000716A4">
      <w:pPr>
        <w:jc w:val="center"/>
        <w:rPr>
          <w:rFonts w:cs="Times New Roman"/>
          <w:b/>
          <w:sz w:val="36"/>
          <w:szCs w:val="14"/>
        </w:rPr>
      </w:pPr>
      <w:r w:rsidRPr="00E81A8C">
        <w:rPr>
          <w:rFonts w:cs="Times New Roman"/>
          <w:b/>
          <w:sz w:val="36"/>
          <w:szCs w:val="14"/>
        </w:rPr>
        <w:t xml:space="preserve">Module Name </w:t>
      </w:r>
    </w:p>
    <w:p w14:paraId="31B67C6B" w14:textId="77777777" w:rsidR="000716A4" w:rsidRPr="00E81A8C" w:rsidRDefault="000716A4" w:rsidP="000716A4">
      <w:pPr>
        <w:pStyle w:val="Default"/>
        <w:rPr>
          <w:rFonts w:ascii="Times New Roman" w:hAnsi="Times New Roman" w:cs="Times New Roman"/>
        </w:rPr>
      </w:pPr>
    </w:p>
    <w:p w14:paraId="40CFDAEE" w14:textId="77777777" w:rsidR="000716A4" w:rsidRPr="00E81A8C" w:rsidRDefault="000716A4" w:rsidP="000716A4">
      <w:pPr>
        <w:jc w:val="center"/>
        <w:rPr>
          <w:rFonts w:cs="Times New Roman"/>
          <w:bCs/>
          <w:sz w:val="32"/>
          <w:szCs w:val="32"/>
        </w:rPr>
      </w:pPr>
      <w:r w:rsidRPr="00E81A8C">
        <w:rPr>
          <w:rFonts w:cs="Times New Roman"/>
          <w:bCs/>
          <w:sz w:val="32"/>
          <w:szCs w:val="32"/>
        </w:rPr>
        <w:t xml:space="preserve"> </w:t>
      </w:r>
      <w:r w:rsidRPr="00E81A8C">
        <w:rPr>
          <w:rFonts w:cs="Times New Roman"/>
          <w:b/>
          <w:bCs/>
          <w:noProof/>
          <w:sz w:val="32"/>
          <w:szCs w:val="32"/>
        </w:rPr>
        <w:t>International Meetings Management for the Hotel Industry</w:t>
      </w:r>
      <w:r w:rsidRPr="00E81A8C">
        <w:rPr>
          <w:rFonts w:cs="Times New Roman"/>
          <w:bCs/>
          <w:sz w:val="32"/>
          <w:szCs w:val="32"/>
        </w:rPr>
        <w:t xml:space="preserve"> (BMIH6007)</w:t>
      </w:r>
    </w:p>
    <w:p w14:paraId="010EAFEF" w14:textId="77777777" w:rsidR="000716A4" w:rsidRPr="00E81A8C" w:rsidRDefault="000716A4" w:rsidP="000716A4">
      <w:pPr>
        <w:jc w:val="center"/>
        <w:rPr>
          <w:rFonts w:cs="Times New Roman"/>
          <w:sz w:val="18"/>
          <w:szCs w:val="16"/>
        </w:rPr>
      </w:pPr>
    </w:p>
    <w:p w14:paraId="1F035D5F" w14:textId="3FC9F847" w:rsidR="000716A4" w:rsidRPr="0029264C" w:rsidRDefault="000716A4" w:rsidP="0029264C">
      <w:pPr>
        <w:jc w:val="center"/>
        <w:rPr>
          <w:rFonts w:cs="Times New Roman"/>
          <w:b/>
          <w:bCs/>
          <w:sz w:val="36"/>
          <w:szCs w:val="34"/>
        </w:rPr>
      </w:pPr>
      <w:r w:rsidRPr="00E81A8C">
        <w:rPr>
          <w:rFonts w:cs="Times New Roman"/>
          <w:b/>
          <w:bCs/>
          <w:sz w:val="36"/>
          <w:szCs w:val="34"/>
        </w:rPr>
        <w:t>Lecturer’s Name</w:t>
      </w:r>
      <w:r w:rsidR="0029264C">
        <w:rPr>
          <w:rFonts w:cs="Times New Roman"/>
          <w:b/>
          <w:bCs/>
          <w:sz w:val="36"/>
          <w:szCs w:val="34"/>
        </w:rPr>
        <w:t>: Kathryn Flynn</w:t>
      </w:r>
    </w:p>
    <w:p w14:paraId="510A6660" w14:textId="77777777" w:rsidR="007676E6" w:rsidRPr="00E81A8C" w:rsidRDefault="007676E6" w:rsidP="000716A4">
      <w:pPr>
        <w:jc w:val="center"/>
        <w:rPr>
          <w:rFonts w:cs="Times New Roman"/>
          <w:b/>
          <w:bCs/>
          <w:i/>
          <w:iCs/>
          <w:noProof/>
          <w:sz w:val="28"/>
        </w:rPr>
      </w:pPr>
    </w:p>
    <w:p w14:paraId="5F21D875" w14:textId="2ED3744E" w:rsidR="000716A4" w:rsidRPr="00E81A8C" w:rsidRDefault="000716A4" w:rsidP="000716A4">
      <w:pPr>
        <w:jc w:val="center"/>
        <w:rPr>
          <w:rFonts w:cs="Times New Roman"/>
          <w:b/>
          <w:bCs/>
          <w:noProof/>
          <w:sz w:val="32"/>
          <w:szCs w:val="28"/>
        </w:rPr>
      </w:pPr>
      <w:r w:rsidRPr="00E81A8C">
        <w:rPr>
          <w:rFonts w:cs="Times New Roman"/>
          <w:b/>
          <w:bCs/>
          <w:noProof/>
          <w:sz w:val="32"/>
          <w:szCs w:val="28"/>
        </w:rPr>
        <w:t xml:space="preserve">Student’s Name: </w:t>
      </w:r>
      <w:r w:rsidRPr="000716A4">
        <w:rPr>
          <w:rFonts w:cs="Times New Roman"/>
          <w:b/>
          <w:bCs/>
          <w:noProof/>
          <w:sz w:val="32"/>
          <w:szCs w:val="28"/>
        </w:rPr>
        <w:t>Showkoth Choudhoury</w:t>
      </w:r>
    </w:p>
    <w:p w14:paraId="3079DD44" w14:textId="4696BB9D" w:rsidR="000716A4" w:rsidRPr="00E81A8C" w:rsidRDefault="000716A4" w:rsidP="000716A4">
      <w:pPr>
        <w:jc w:val="center"/>
        <w:rPr>
          <w:rFonts w:cs="Times New Roman"/>
          <w:b/>
          <w:bCs/>
          <w:noProof/>
          <w:sz w:val="28"/>
        </w:rPr>
      </w:pPr>
      <w:r w:rsidRPr="00E81A8C">
        <w:rPr>
          <w:rFonts w:cs="Times New Roman"/>
          <w:b/>
          <w:bCs/>
          <w:noProof/>
          <w:sz w:val="32"/>
          <w:szCs w:val="28"/>
        </w:rPr>
        <w:t>Student ID: 22</w:t>
      </w:r>
      <w:r>
        <w:rPr>
          <w:rFonts w:cs="Times New Roman"/>
          <w:b/>
          <w:bCs/>
          <w:noProof/>
          <w:sz w:val="32"/>
          <w:szCs w:val="28"/>
        </w:rPr>
        <w:t>08181</w:t>
      </w:r>
    </w:p>
    <w:p w14:paraId="4E2A4E99" w14:textId="77777777" w:rsidR="000716A4" w:rsidRPr="00E81A8C" w:rsidRDefault="000716A4" w:rsidP="000716A4">
      <w:pPr>
        <w:jc w:val="center"/>
        <w:rPr>
          <w:rFonts w:cs="Times New Roman"/>
          <w:bCs/>
          <w:sz w:val="28"/>
          <w:szCs w:val="26"/>
        </w:rPr>
      </w:pPr>
    </w:p>
    <w:p w14:paraId="481615B4" w14:textId="77777777" w:rsidR="000716A4" w:rsidRPr="00E81A8C" w:rsidRDefault="000716A4" w:rsidP="000716A4">
      <w:pPr>
        <w:jc w:val="center"/>
        <w:rPr>
          <w:rFonts w:cs="Times New Roman"/>
          <w:b/>
          <w:bCs/>
          <w:sz w:val="32"/>
          <w:szCs w:val="30"/>
        </w:rPr>
      </w:pPr>
      <w:r w:rsidRPr="00E81A8C">
        <w:rPr>
          <w:rFonts w:cs="Times New Roman"/>
          <w:b/>
          <w:bCs/>
          <w:sz w:val="32"/>
          <w:szCs w:val="30"/>
        </w:rPr>
        <w:t>Word Count</w:t>
      </w:r>
    </w:p>
    <w:p w14:paraId="124B773B" w14:textId="6E263036" w:rsidR="000716A4" w:rsidRDefault="000716A4" w:rsidP="000716A4">
      <w:pPr>
        <w:jc w:val="center"/>
        <w:rPr>
          <w:rFonts w:cs="Times New Roman"/>
          <w:b/>
          <w:bCs/>
          <w:sz w:val="28"/>
          <w:szCs w:val="26"/>
        </w:rPr>
      </w:pPr>
      <w:r>
        <w:rPr>
          <w:rFonts w:cs="Times New Roman"/>
          <w:b/>
          <w:bCs/>
          <w:sz w:val="28"/>
          <w:szCs w:val="26"/>
        </w:rPr>
        <w:t>2</w:t>
      </w:r>
      <w:r w:rsidR="00A133C0">
        <w:rPr>
          <w:rFonts w:cs="Times New Roman"/>
          <w:b/>
          <w:bCs/>
          <w:sz w:val="28"/>
          <w:szCs w:val="26"/>
        </w:rPr>
        <w:t>711</w:t>
      </w:r>
      <w:r w:rsidRPr="00E81A8C">
        <w:rPr>
          <w:rFonts w:cs="Times New Roman"/>
          <w:b/>
          <w:bCs/>
          <w:sz w:val="28"/>
          <w:szCs w:val="26"/>
        </w:rPr>
        <w:t xml:space="preserve"> words</w:t>
      </w:r>
    </w:p>
    <w:p w14:paraId="2B0960F4" w14:textId="77777777" w:rsidR="0029264C" w:rsidRPr="00E81A8C" w:rsidRDefault="0029264C" w:rsidP="000716A4">
      <w:pPr>
        <w:jc w:val="center"/>
        <w:rPr>
          <w:rFonts w:cs="Times New Roman"/>
          <w:b/>
          <w:bCs/>
          <w:sz w:val="36"/>
          <w:szCs w:val="36"/>
        </w:rPr>
      </w:pPr>
    </w:p>
    <w:p w14:paraId="4C34B5B1" w14:textId="77777777" w:rsidR="008D07D8" w:rsidRPr="008D07D8" w:rsidRDefault="008D07D8" w:rsidP="00EC7ED7">
      <w:pPr>
        <w:jc w:val="center"/>
        <w:rPr>
          <w:noProof/>
          <w:sz w:val="28"/>
          <w:szCs w:val="28"/>
          <w:u w:val="single"/>
        </w:rPr>
      </w:pPr>
      <w:r w:rsidRPr="008D07D8">
        <w:rPr>
          <w:noProof/>
          <w:sz w:val="28"/>
          <w:szCs w:val="28"/>
          <w:u w:val="single"/>
        </w:rPr>
        <w:lastRenderedPageBreak/>
        <w:t>Declaration</w:t>
      </w:r>
    </w:p>
    <w:p w14:paraId="1D2B2C9B" w14:textId="77777777" w:rsidR="008D07D8" w:rsidRDefault="008D07D8" w:rsidP="008D07D8">
      <w:pPr>
        <w:rPr>
          <w:rFonts w:cs="Times New Roman"/>
          <w:noProof/>
        </w:rPr>
      </w:pPr>
      <w:r>
        <w:rPr>
          <w:rFonts w:cs="Times New Roman"/>
          <w:noProo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9BFE0ED" w14:textId="77777777" w:rsidR="00C902CF" w:rsidRPr="005F17DE" w:rsidRDefault="00C902CF" w:rsidP="00993154">
      <w:pPr>
        <w:rPr>
          <w:rFonts w:cs="Times New Roman"/>
          <w:noProof/>
        </w:rPr>
      </w:pPr>
    </w:p>
    <w:p w14:paraId="783CB206" w14:textId="4B8681C5" w:rsidR="00B4511B" w:rsidRPr="005F17DE" w:rsidRDefault="00B4511B" w:rsidP="00993154">
      <w:pPr>
        <w:jc w:val="left"/>
        <w:rPr>
          <w:rFonts w:cs="Times New Roman"/>
          <w:noProof/>
        </w:rPr>
      </w:pPr>
      <w:r w:rsidRPr="005F17DE">
        <w:rPr>
          <w:rFonts w:cs="Times New Roman"/>
          <w:noProof/>
        </w:rPr>
        <w:br w:type="page"/>
      </w:r>
    </w:p>
    <w:sdt>
      <w:sdtPr>
        <w:rPr>
          <w:rFonts w:ascii="Times New Roman" w:eastAsiaTheme="minorHAnsi" w:hAnsi="Times New Roman" w:cs="Times New Roman"/>
          <w:noProof/>
          <w:color w:val="auto"/>
          <w:sz w:val="24"/>
          <w:szCs w:val="24"/>
          <w:lang w:eastAsia="en-US"/>
        </w:rPr>
        <w:id w:val="1893918389"/>
        <w:docPartObj>
          <w:docPartGallery w:val="Table of Contents"/>
          <w:docPartUnique/>
        </w:docPartObj>
      </w:sdtPr>
      <w:sdtEndPr>
        <w:rPr>
          <w:b/>
          <w:bCs/>
        </w:rPr>
      </w:sdtEndPr>
      <w:sdtContent>
        <w:p w14:paraId="0EC62187" w14:textId="37F47677" w:rsidR="00B4511B" w:rsidRPr="005F17DE" w:rsidRDefault="00B4511B" w:rsidP="00993154">
          <w:pPr>
            <w:pStyle w:val="TOCHeading"/>
            <w:spacing w:line="360" w:lineRule="auto"/>
            <w:rPr>
              <w:rFonts w:ascii="Times New Roman" w:hAnsi="Times New Roman" w:cs="Times New Roman"/>
              <w:noProof/>
            </w:rPr>
          </w:pPr>
          <w:r w:rsidRPr="005F17DE">
            <w:rPr>
              <w:rFonts w:ascii="Times New Roman" w:hAnsi="Times New Roman" w:cs="Times New Roman"/>
              <w:noProof/>
            </w:rPr>
            <w:t>Table of Contents</w:t>
          </w:r>
        </w:p>
        <w:p w14:paraId="4D71A540" w14:textId="526E3C22" w:rsidR="00B97213" w:rsidRDefault="00B4511B">
          <w:pPr>
            <w:pStyle w:val="TOC1"/>
            <w:tabs>
              <w:tab w:val="right" w:leader="dot" w:pos="9016"/>
            </w:tabs>
            <w:rPr>
              <w:rFonts w:asciiTheme="minorHAnsi" w:eastAsiaTheme="minorEastAsia" w:hAnsiTheme="minorHAnsi"/>
              <w:noProof/>
              <w:kern w:val="2"/>
              <w:lang w:eastAsia="en-GB"/>
              <w14:ligatures w14:val="standardContextual"/>
            </w:rPr>
          </w:pPr>
          <w:r w:rsidRPr="005F17DE">
            <w:rPr>
              <w:rFonts w:cs="Times New Roman"/>
              <w:noProof/>
            </w:rPr>
            <w:fldChar w:fldCharType="begin"/>
          </w:r>
          <w:r w:rsidRPr="005F17DE">
            <w:rPr>
              <w:rFonts w:cs="Times New Roman"/>
              <w:noProof/>
            </w:rPr>
            <w:instrText xml:space="preserve"> TOC \o "1-3" \h \z \u </w:instrText>
          </w:r>
          <w:r w:rsidRPr="005F17DE">
            <w:rPr>
              <w:rFonts w:cs="Times New Roman"/>
              <w:noProof/>
            </w:rPr>
            <w:fldChar w:fldCharType="separate"/>
          </w:r>
          <w:hyperlink w:anchor="_Toc181211031" w:history="1">
            <w:r w:rsidR="00B97213" w:rsidRPr="006F1B7E">
              <w:rPr>
                <w:rStyle w:val="Hyperlink"/>
                <w:rFonts w:cs="Times New Roman"/>
                <w:noProof/>
              </w:rPr>
              <w:t>1. Introduction</w:t>
            </w:r>
            <w:r w:rsidR="00B97213">
              <w:rPr>
                <w:noProof/>
                <w:webHidden/>
              </w:rPr>
              <w:tab/>
            </w:r>
            <w:r w:rsidR="00B97213">
              <w:rPr>
                <w:noProof/>
                <w:webHidden/>
              </w:rPr>
              <w:fldChar w:fldCharType="begin"/>
            </w:r>
            <w:r w:rsidR="00B97213">
              <w:rPr>
                <w:noProof/>
                <w:webHidden/>
              </w:rPr>
              <w:instrText xml:space="preserve"> PAGEREF _Toc181211031 \h </w:instrText>
            </w:r>
            <w:r w:rsidR="00B97213">
              <w:rPr>
                <w:noProof/>
                <w:webHidden/>
              </w:rPr>
            </w:r>
            <w:r w:rsidR="00B97213">
              <w:rPr>
                <w:noProof/>
                <w:webHidden/>
              </w:rPr>
              <w:fldChar w:fldCharType="separate"/>
            </w:r>
            <w:r w:rsidR="00B97213">
              <w:rPr>
                <w:noProof/>
                <w:webHidden/>
              </w:rPr>
              <w:t>4</w:t>
            </w:r>
            <w:r w:rsidR="00B97213">
              <w:rPr>
                <w:noProof/>
                <w:webHidden/>
              </w:rPr>
              <w:fldChar w:fldCharType="end"/>
            </w:r>
          </w:hyperlink>
        </w:p>
        <w:p w14:paraId="1BDD67A3" w14:textId="688ED42F"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32" w:history="1">
            <w:r w:rsidR="00B97213" w:rsidRPr="006F1B7E">
              <w:rPr>
                <w:rStyle w:val="Hyperlink"/>
                <w:rFonts w:cs="Times New Roman"/>
                <w:noProof/>
              </w:rPr>
              <w:t>2. The Event Cycle</w:t>
            </w:r>
            <w:r w:rsidR="00B97213">
              <w:rPr>
                <w:noProof/>
                <w:webHidden/>
              </w:rPr>
              <w:tab/>
            </w:r>
            <w:r w:rsidR="00B97213">
              <w:rPr>
                <w:noProof/>
                <w:webHidden/>
              </w:rPr>
              <w:fldChar w:fldCharType="begin"/>
            </w:r>
            <w:r w:rsidR="00B97213">
              <w:rPr>
                <w:noProof/>
                <w:webHidden/>
              </w:rPr>
              <w:instrText xml:space="preserve"> PAGEREF _Toc181211032 \h </w:instrText>
            </w:r>
            <w:r w:rsidR="00B97213">
              <w:rPr>
                <w:noProof/>
                <w:webHidden/>
              </w:rPr>
            </w:r>
            <w:r w:rsidR="00B97213">
              <w:rPr>
                <w:noProof/>
                <w:webHidden/>
              </w:rPr>
              <w:fldChar w:fldCharType="separate"/>
            </w:r>
            <w:r w:rsidR="00B97213">
              <w:rPr>
                <w:noProof/>
                <w:webHidden/>
              </w:rPr>
              <w:t>4</w:t>
            </w:r>
            <w:r w:rsidR="00B97213">
              <w:rPr>
                <w:noProof/>
                <w:webHidden/>
              </w:rPr>
              <w:fldChar w:fldCharType="end"/>
            </w:r>
          </w:hyperlink>
        </w:p>
        <w:p w14:paraId="17DD9476" w14:textId="6CF9E8AD"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33" w:history="1">
            <w:r w:rsidR="00B97213" w:rsidRPr="006F1B7E">
              <w:rPr>
                <w:rStyle w:val="Hyperlink"/>
                <w:rFonts w:cs="Times New Roman"/>
                <w:noProof/>
              </w:rPr>
              <w:t>3. Event Concept</w:t>
            </w:r>
            <w:r w:rsidR="00B97213">
              <w:rPr>
                <w:noProof/>
                <w:webHidden/>
              </w:rPr>
              <w:tab/>
            </w:r>
            <w:r w:rsidR="00B97213">
              <w:rPr>
                <w:noProof/>
                <w:webHidden/>
              </w:rPr>
              <w:fldChar w:fldCharType="begin"/>
            </w:r>
            <w:r w:rsidR="00B97213">
              <w:rPr>
                <w:noProof/>
                <w:webHidden/>
              </w:rPr>
              <w:instrText xml:space="preserve"> PAGEREF _Toc181211033 \h </w:instrText>
            </w:r>
            <w:r w:rsidR="00B97213">
              <w:rPr>
                <w:noProof/>
                <w:webHidden/>
              </w:rPr>
            </w:r>
            <w:r w:rsidR="00B97213">
              <w:rPr>
                <w:noProof/>
                <w:webHidden/>
              </w:rPr>
              <w:fldChar w:fldCharType="separate"/>
            </w:r>
            <w:r w:rsidR="00B97213">
              <w:rPr>
                <w:noProof/>
                <w:webHidden/>
              </w:rPr>
              <w:t>5</w:t>
            </w:r>
            <w:r w:rsidR="00B97213">
              <w:rPr>
                <w:noProof/>
                <w:webHidden/>
              </w:rPr>
              <w:fldChar w:fldCharType="end"/>
            </w:r>
          </w:hyperlink>
        </w:p>
        <w:p w14:paraId="2A9527D8" w14:textId="39E73258"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34" w:history="1">
            <w:r w:rsidR="00B97213" w:rsidRPr="006F1B7E">
              <w:rPr>
                <w:rStyle w:val="Hyperlink"/>
                <w:rFonts w:cs="Times New Roman"/>
                <w:noProof/>
              </w:rPr>
              <w:t>4. Aim and Objectives of the Event</w:t>
            </w:r>
            <w:r w:rsidR="00B97213">
              <w:rPr>
                <w:noProof/>
                <w:webHidden/>
              </w:rPr>
              <w:tab/>
            </w:r>
            <w:r w:rsidR="00B97213">
              <w:rPr>
                <w:noProof/>
                <w:webHidden/>
              </w:rPr>
              <w:fldChar w:fldCharType="begin"/>
            </w:r>
            <w:r w:rsidR="00B97213">
              <w:rPr>
                <w:noProof/>
                <w:webHidden/>
              </w:rPr>
              <w:instrText xml:space="preserve"> PAGEREF _Toc181211034 \h </w:instrText>
            </w:r>
            <w:r w:rsidR="00B97213">
              <w:rPr>
                <w:noProof/>
                <w:webHidden/>
              </w:rPr>
            </w:r>
            <w:r w:rsidR="00B97213">
              <w:rPr>
                <w:noProof/>
                <w:webHidden/>
              </w:rPr>
              <w:fldChar w:fldCharType="separate"/>
            </w:r>
            <w:r w:rsidR="00B97213">
              <w:rPr>
                <w:noProof/>
                <w:webHidden/>
              </w:rPr>
              <w:t>6</w:t>
            </w:r>
            <w:r w:rsidR="00B97213">
              <w:rPr>
                <w:noProof/>
                <w:webHidden/>
              </w:rPr>
              <w:fldChar w:fldCharType="end"/>
            </w:r>
          </w:hyperlink>
        </w:p>
        <w:p w14:paraId="37264D0E" w14:textId="1A13B2AE"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35" w:history="1">
            <w:r w:rsidR="00B97213" w:rsidRPr="006F1B7E">
              <w:rPr>
                <w:rStyle w:val="Hyperlink"/>
                <w:rFonts w:cs="Times New Roman"/>
                <w:noProof/>
              </w:rPr>
              <w:t>4.1 Aim of the Event</w:t>
            </w:r>
            <w:r w:rsidR="00B97213">
              <w:rPr>
                <w:noProof/>
                <w:webHidden/>
              </w:rPr>
              <w:tab/>
            </w:r>
            <w:r w:rsidR="00B97213">
              <w:rPr>
                <w:noProof/>
                <w:webHidden/>
              </w:rPr>
              <w:fldChar w:fldCharType="begin"/>
            </w:r>
            <w:r w:rsidR="00B97213">
              <w:rPr>
                <w:noProof/>
                <w:webHidden/>
              </w:rPr>
              <w:instrText xml:space="preserve"> PAGEREF _Toc181211035 \h </w:instrText>
            </w:r>
            <w:r w:rsidR="00B97213">
              <w:rPr>
                <w:noProof/>
                <w:webHidden/>
              </w:rPr>
            </w:r>
            <w:r w:rsidR="00B97213">
              <w:rPr>
                <w:noProof/>
                <w:webHidden/>
              </w:rPr>
              <w:fldChar w:fldCharType="separate"/>
            </w:r>
            <w:r w:rsidR="00B97213">
              <w:rPr>
                <w:noProof/>
                <w:webHidden/>
              </w:rPr>
              <w:t>6</w:t>
            </w:r>
            <w:r w:rsidR="00B97213">
              <w:rPr>
                <w:noProof/>
                <w:webHidden/>
              </w:rPr>
              <w:fldChar w:fldCharType="end"/>
            </w:r>
          </w:hyperlink>
        </w:p>
        <w:p w14:paraId="5366E5C8" w14:textId="1873A46D"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36" w:history="1">
            <w:r w:rsidR="00B97213" w:rsidRPr="006F1B7E">
              <w:rPr>
                <w:rStyle w:val="Hyperlink"/>
                <w:rFonts w:cs="Times New Roman"/>
                <w:noProof/>
              </w:rPr>
              <w:t>4.2 SMART Objectives</w:t>
            </w:r>
            <w:r w:rsidR="00B97213">
              <w:rPr>
                <w:noProof/>
                <w:webHidden/>
              </w:rPr>
              <w:tab/>
            </w:r>
            <w:r w:rsidR="00B97213">
              <w:rPr>
                <w:noProof/>
                <w:webHidden/>
              </w:rPr>
              <w:fldChar w:fldCharType="begin"/>
            </w:r>
            <w:r w:rsidR="00B97213">
              <w:rPr>
                <w:noProof/>
                <w:webHidden/>
              </w:rPr>
              <w:instrText xml:space="preserve"> PAGEREF _Toc181211036 \h </w:instrText>
            </w:r>
            <w:r w:rsidR="00B97213">
              <w:rPr>
                <w:noProof/>
                <w:webHidden/>
              </w:rPr>
            </w:r>
            <w:r w:rsidR="00B97213">
              <w:rPr>
                <w:noProof/>
                <w:webHidden/>
              </w:rPr>
              <w:fldChar w:fldCharType="separate"/>
            </w:r>
            <w:r w:rsidR="00B97213">
              <w:rPr>
                <w:noProof/>
                <w:webHidden/>
              </w:rPr>
              <w:t>6</w:t>
            </w:r>
            <w:r w:rsidR="00B97213">
              <w:rPr>
                <w:noProof/>
                <w:webHidden/>
              </w:rPr>
              <w:fldChar w:fldCharType="end"/>
            </w:r>
          </w:hyperlink>
        </w:p>
        <w:p w14:paraId="2D89FF60" w14:textId="331EABC5"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37" w:history="1">
            <w:r w:rsidR="00B97213" w:rsidRPr="006F1B7E">
              <w:rPr>
                <w:rStyle w:val="Hyperlink"/>
                <w:rFonts w:cs="Times New Roman"/>
                <w:noProof/>
              </w:rPr>
              <w:t>5. Event Management</w:t>
            </w:r>
            <w:r w:rsidR="00B97213">
              <w:rPr>
                <w:noProof/>
                <w:webHidden/>
              </w:rPr>
              <w:tab/>
            </w:r>
            <w:r w:rsidR="00B97213">
              <w:rPr>
                <w:noProof/>
                <w:webHidden/>
              </w:rPr>
              <w:fldChar w:fldCharType="begin"/>
            </w:r>
            <w:r w:rsidR="00B97213">
              <w:rPr>
                <w:noProof/>
                <w:webHidden/>
              </w:rPr>
              <w:instrText xml:space="preserve"> PAGEREF _Toc181211037 \h </w:instrText>
            </w:r>
            <w:r w:rsidR="00B97213">
              <w:rPr>
                <w:noProof/>
                <w:webHidden/>
              </w:rPr>
            </w:r>
            <w:r w:rsidR="00B97213">
              <w:rPr>
                <w:noProof/>
                <w:webHidden/>
              </w:rPr>
              <w:fldChar w:fldCharType="separate"/>
            </w:r>
            <w:r w:rsidR="00B97213">
              <w:rPr>
                <w:noProof/>
                <w:webHidden/>
              </w:rPr>
              <w:t>7</w:t>
            </w:r>
            <w:r w:rsidR="00B97213">
              <w:rPr>
                <w:noProof/>
                <w:webHidden/>
              </w:rPr>
              <w:fldChar w:fldCharType="end"/>
            </w:r>
          </w:hyperlink>
        </w:p>
        <w:p w14:paraId="2216D7EC" w14:textId="54AF6039"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38" w:history="1">
            <w:r w:rsidR="00B97213" w:rsidRPr="006F1B7E">
              <w:rPr>
                <w:rStyle w:val="Hyperlink"/>
                <w:rFonts w:cs="Times New Roman"/>
                <w:noProof/>
              </w:rPr>
              <w:t>5.1 Operational Requirements</w:t>
            </w:r>
            <w:r w:rsidR="00B97213">
              <w:rPr>
                <w:noProof/>
                <w:webHidden/>
              </w:rPr>
              <w:tab/>
            </w:r>
            <w:r w:rsidR="00B97213">
              <w:rPr>
                <w:noProof/>
                <w:webHidden/>
              </w:rPr>
              <w:fldChar w:fldCharType="begin"/>
            </w:r>
            <w:r w:rsidR="00B97213">
              <w:rPr>
                <w:noProof/>
                <w:webHidden/>
              </w:rPr>
              <w:instrText xml:space="preserve"> PAGEREF _Toc181211038 \h </w:instrText>
            </w:r>
            <w:r w:rsidR="00B97213">
              <w:rPr>
                <w:noProof/>
                <w:webHidden/>
              </w:rPr>
            </w:r>
            <w:r w:rsidR="00B97213">
              <w:rPr>
                <w:noProof/>
                <w:webHidden/>
              </w:rPr>
              <w:fldChar w:fldCharType="separate"/>
            </w:r>
            <w:r w:rsidR="00B97213">
              <w:rPr>
                <w:noProof/>
                <w:webHidden/>
              </w:rPr>
              <w:t>7</w:t>
            </w:r>
            <w:r w:rsidR="00B97213">
              <w:rPr>
                <w:noProof/>
                <w:webHidden/>
              </w:rPr>
              <w:fldChar w:fldCharType="end"/>
            </w:r>
          </w:hyperlink>
        </w:p>
        <w:p w14:paraId="61664E9A" w14:textId="2C65F046"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39" w:history="1">
            <w:r w:rsidR="00B97213" w:rsidRPr="006F1B7E">
              <w:rPr>
                <w:rStyle w:val="Hyperlink"/>
                <w:rFonts w:cs="Times New Roman"/>
                <w:noProof/>
              </w:rPr>
              <w:t>5.2 Planning</w:t>
            </w:r>
            <w:r w:rsidR="00B97213">
              <w:rPr>
                <w:noProof/>
                <w:webHidden/>
              </w:rPr>
              <w:tab/>
            </w:r>
            <w:r w:rsidR="00B97213">
              <w:rPr>
                <w:noProof/>
                <w:webHidden/>
              </w:rPr>
              <w:fldChar w:fldCharType="begin"/>
            </w:r>
            <w:r w:rsidR="00B97213">
              <w:rPr>
                <w:noProof/>
                <w:webHidden/>
              </w:rPr>
              <w:instrText xml:space="preserve"> PAGEREF _Toc181211039 \h </w:instrText>
            </w:r>
            <w:r w:rsidR="00B97213">
              <w:rPr>
                <w:noProof/>
                <w:webHidden/>
              </w:rPr>
            </w:r>
            <w:r w:rsidR="00B97213">
              <w:rPr>
                <w:noProof/>
                <w:webHidden/>
              </w:rPr>
              <w:fldChar w:fldCharType="separate"/>
            </w:r>
            <w:r w:rsidR="00B97213">
              <w:rPr>
                <w:noProof/>
                <w:webHidden/>
              </w:rPr>
              <w:t>7</w:t>
            </w:r>
            <w:r w:rsidR="00B97213">
              <w:rPr>
                <w:noProof/>
                <w:webHidden/>
              </w:rPr>
              <w:fldChar w:fldCharType="end"/>
            </w:r>
          </w:hyperlink>
        </w:p>
        <w:p w14:paraId="2CE249EE" w14:textId="6E931157"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0" w:history="1">
            <w:r w:rsidR="00B97213" w:rsidRPr="006F1B7E">
              <w:rPr>
                <w:rStyle w:val="Hyperlink"/>
                <w:rFonts w:cs="Times New Roman"/>
                <w:noProof/>
              </w:rPr>
              <w:t>5.3 Marketing Activities</w:t>
            </w:r>
            <w:r w:rsidR="00B97213">
              <w:rPr>
                <w:noProof/>
                <w:webHidden/>
              </w:rPr>
              <w:tab/>
            </w:r>
            <w:r w:rsidR="00B97213">
              <w:rPr>
                <w:noProof/>
                <w:webHidden/>
              </w:rPr>
              <w:fldChar w:fldCharType="begin"/>
            </w:r>
            <w:r w:rsidR="00B97213">
              <w:rPr>
                <w:noProof/>
                <w:webHidden/>
              </w:rPr>
              <w:instrText xml:space="preserve"> PAGEREF _Toc181211040 \h </w:instrText>
            </w:r>
            <w:r w:rsidR="00B97213">
              <w:rPr>
                <w:noProof/>
                <w:webHidden/>
              </w:rPr>
            </w:r>
            <w:r w:rsidR="00B97213">
              <w:rPr>
                <w:noProof/>
                <w:webHidden/>
              </w:rPr>
              <w:fldChar w:fldCharType="separate"/>
            </w:r>
            <w:r w:rsidR="00B97213">
              <w:rPr>
                <w:noProof/>
                <w:webHidden/>
              </w:rPr>
              <w:t>7</w:t>
            </w:r>
            <w:r w:rsidR="00B97213">
              <w:rPr>
                <w:noProof/>
                <w:webHidden/>
              </w:rPr>
              <w:fldChar w:fldCharType="end"/>
            </w:r>
          </w:hyperlink>
        </w:p>
        <w:p w14:paraId="003AFD17" w14:textId="2166CAB2"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41" w:history="1">
            <w:r w:rsidR="00B97213" w:rsidRPr="006F1B7E">
              <w:rPr>
                <w:rStyle w:val="Hyperlink"/>
                <w:rFonts w:cs="Times New Roman"/>
                <w:noProof/>
              </w:rPr>
              <w:t>6. Event Budget</w:t>
            </w:r>
            <w:r w:rsidR="00B97213">
              <w:rPr>
                <w:noProof/>
                <w:webHidden/>
              </w:rPr>
              <w:tab/>
            </w:r>
            <w:r w:rsidR="00B97213">
              <w:rPr>
                <w:noProof/>
                <w:webHidden/>
              </w:rPr>
              <w:fldChar w:fldCharType="begin"/>
            </w:r>
            <w:r w:rsidR="00B97213">
              <w:rPr>
                <w:noProof/>
                <w:webHidden/>
              </w:rPr>
              <w:instrText xml:space="preserve"> PAGEREF _Toc181211041 \h </w:instrText>
            </w:r>
            <w:r w:rsidR="00B97213">
              <w:rPr>
                <w:noProof/>
                <w:webHidden/>
              </w:rPr>
            </w:r>
            <w:r w:rsidR="00B97213">
              <w:rPr>
                <w:noProof/>
                <w:webHidden/>
              </w:rPr>
              <w:fldChar w:fldCharType="separate"/>
            </w:r>
            <w:r w:rsidR="00B97213">
              <w:rPr>
                <w:noProof/>
                <w:webHidden/>
              </w:rPr>
              <w:t>8</w:t>
            </w:r>
            <w:r w:rsidR="00B97213">
              <w:rPr>
                <w:noProof/>
                <w:webHidden/>
              </w:rPr>
              <w:fldChar w:fldCharType="end"/>
            </w:r>
          </w:hyperlink>
        </w:p>
        <w:p w14:paraId="720C15B9" w14:textId="382D2650"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2" w:history="1">
            <w:r w:rsidR="00B97213" w:rsidRPr="006F1B7E">
              <w:rPr>
                <w:rStyle w:val="Hyperlink"/>
                <w:rFonts w:cs="Times New Roman"/>
                <w:noProof/>
              </w:rPr>
              <w:t>6.1 Revenue Sources</w:t>
            </w:r>
            <w:r w:rsidR="00B97213">
              <w:rPr>
                <w:noProof/>
                <w:webHidden/>
              </w:rPr>
              <w:tab/>
            </w:r>
            <w:r w:rsidR="00B97213">
              <w:rPr>
                <w:noProof/>
                <w:webHidden/>
              </w:rPr>
              <w:fldChar w:fldCharType="begin"/>
            </w:r>
            <w:r w:rsidR="00B97213">
              <w:rPr>
                <w:noProof/>
                <w:webHidden/>
              </w:rPr>
              <w:instrText xml:space="preserve"> PAGEREF _Toc181211042 \h </w:instrText>
            </w:r>
            <w:r w:rsidR="00B97213">
              <w:rPr>
                <w:noProof/>
                <w:webHidden/>
              </w:rPr>
            </w:r>
            <w:r w:rsidR="00B97213">
              <w:rPr>
                <w:noProof/>
                <w:webHidden/>
              </w:rPr>
              <w:fldChar w:fldCharType="separate"/>
            </w:r>
            <w:r w:rsidR="00B97213">
              <w:rPr>
                <w:noProof/>
                <w:webHidden/>
              </w:rPr>
              <w:t>8</w:t>
            </w:r>
            <w:r w:rsidR="00B97213">
              <w:rPr>
                <w:noProof/>
                <w:webHidden/>
              </w:rPr>
              <w:fldChar w:fldCharType="end"/>
            </w:r>
          </w:hyperlink>
        </w:p>
        <w:p w14:paraId="54AA4727" w14:textId="14D347FA"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3" w:history="1">
            <w:r w:rsidR="00B97213" w:rsidRPr="006F1B7E">
              <w:rPr>
                <w:rStyle w:val="Hyperlink"/>
                <w:rFonts w:cs="Times New Roman"/>
                <w:noProof/>
              </w:rPr>
              <w:t>6.2 Expenditures</w:t>
            </w:r>
            <w:r w:rsidR="00B97213">
              <w:rPr>
                <w:noProof/>
                <w:webHidden/>
              </w:rPr>
              <w:tab/>
            </w:r>
            <w:r w:rsidR="00B97213">
              <w:rPr>
                <w:noProof/>
                <w:webHidden/>
              </w:rPr>
              <w:fldChar w:fldCharType="begin"/>
            </w:r>
            <w:r w:rsidR="00B97213">
              <w:rPr>
                <w:noProof/>
                <w:webHidden/>
              </w:rPr>
              <w:instrText xml:space="preserve"> PAGEREF _Toc181211043 \h </w:instrText>
            </w:r>
            <w:r w:rsidR="00B97213">
              <w:rPr>
                <w:noProof/>
                <w:webHidden/>
              </w:rPr>
            </w:r>
            <w:r w:rsidR="00B97213">
              <w:rPr>
                <w:noProof/>
                <w:webHidden/>
              </w:rPr>
              <w:fldChar w:fldCharType="separate"/>
            </w:r>
            <w:r w:rsidR="00B97213">
              <w:rPr>
                <w:noProof/>
                <w:webHidden/>
              </w:rPr>
              <w:t>8</w:t>
            </w:r>
            <w:r w:rsidR="00B97213">
              <w:rPr>
                <w:noProof/>
                <w:webHidden/>
              </w:rPr>
              <w:fldChar w:fldCharType="end"/>
            </w:r>
          </w:hyperlink>
        </w:p>
        <w:p w14:paraId="23788F71" w14:textId="0D59462E"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4" w:history="1">
            <w:r w:rsidR="00B97213" w:rsidRPr="006F1B7E">
              <w:rPr>
                <w:rStyle w:val="Hyperlink"/>
                <w:rFonts w:cs="Times New Roman"/>
                <w:noProof/>
              </w:rPr>
              <w:t>6.3 Financial Analysis</w:t>
            </w:r>
            <w:r w:rsidR="00B97213">
              <w:rPr>
                <w:noProof/>
                <w:webHidden/>
              </w:rPr>
              <w:tab/>
            </w:r>
            <w:r w:rsidR="00B97213">
              <w:rPr>
                <w:noProof/>
                <w:webHidden/>
              </w:rPr>
              <w:fldChar w:fldCharType="begin"/>
            </w:r>
            <w:r w:rsidR="00B97213">
              <w:rPr>
                <w:noProof/>
                <w:webHidden/>
              </w:rPr>
              <w:instrText xml:space="preserve"> PAGEREF _Toc181211044 \h </w:instrText>
            </w:r>
            <w:r w:rsidR="00B97213">
              <w:rPr>
                <w:noProof/>
                <w:webHidden/>
              </w:rPr>
            </w:r>
            <w:r w:rsidR="00B97213">
              <w:rPr>
                <w:noProof/>
                <w:webHidden/>
              </w:rPr>
              <w:fldChar w:fldCharType="separate"/>
            </w:r>
            <w:r w:rsidR="00B97213">
              <w:rPr>
                <w:noProof/>
                <w:webHidden/>
              </w:rPr>
              <w:t>9</w:t>
            </w:r>
            <w:r w:rsidR="00B97213">
              <w:rPr>
                <w:noProof/>
                <w:webHidden/>
              </w:rPr>
              <w:fldChar w:fldCharType="end"/>
            </w:r>
          </w:hyperlink>
        </w:p>
        <w:p w14:paraId="6323A795" w14:textId="6C620AA2"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45" w:history="1">
            <w:r w:rsidR="00B97213" w:rsidRPr="006F1B7E">
              <w:rPr>
                <w:rStyle w:val="Hyperlink"/>
                <w:rFonts w:cs="Times New Roman"/>
                <w:noProof/>
              </w:rPr>
              <w:t>7. Industry Trends/Issues/Impacts</w:t>
            </w:r>
            <w:r w:rsidR="00B97213">
              <w:rPr>
                <w:noProof/>
                <w:webHidden/>
              </w:rPr>
              <w:tab/>
            </w:r>
            <w:r w:rsidR="00B97213">
              <w:rPr>
                <w:noProof/>
                <w:webHidden/>
              </w:rPr>
              <w:fldChar w:fldCharType="begin"/>
            </w:r>
            <w:r w:rsidR="00B97213">
              <w:rPr>
                <w:noProof/>
                <w:webHidden/>
              </w:rPr>
              <w:instrText xml:space="preserve"> PAGEREF _Toc181211045 \h </w:instrText>
            </w:r>
            <w:r w:rsidR="00B97213">
              <w:rPr>
                <w:noProof/>
                <w:webHidden/>
              </w:rPr>
            </w:r>
            <w:r w:rsidR="00B97213">
              <w:rPr>
                <w:noProof/>
                <w:webHidden/>
              </w:rPr>
              <w:fldChar w:fldCharType="separate"/>
            </w:r>
            <w:r w:rsidR="00B97213">
              <w:rPr>
                <w:noProof/>
                <w:webHidden/>
              </w:rPr>
              <w:t>10</w:t>
            </w:r>
            <w:r w:rsidR="00B97213">
              <w:rPr>
                <w:noProof/>
                <w:webHidden/>
              </w:rPr>
              <w:fldChar w:fldCharType="end"/>
            </w:r>
          </w:hyperlink>
        </w:p>
        <w:p w14:paraId="69E0EE8C" w14:textId="715237D8"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6" w:history="1">
            <w:r w:rsidR="00B97213" w:rsidRPr="006F1B7E">
              <w:rPr>
                <w:rStyle w:val="Hyperlink"/>
                <w:rFonts w:cs="Times New Roman"/>
                <w:noProof/>
              </w:rPr>
              <w:t>7.1 Trends: Growing Demand for Eco-Tourism</w:t>
            </w:r>
            <w:r w:rsidR="00B97213">
              <w:rPr>
                <w:noProof/>
                <w:webHidden/>
              </w:rPr>
              <w:tab/>
            </w:r>
            <w:r w:rsidR="00B97213">
              <w:rPr>
                <w:noProof/>
                <w:webHidden/>
              </w:rPr>
              <w:fldChar w:fldCharType="begin"/>
            </w:r>
            <w:r w:rsidR="00B97213">
              <w:rPr>
                <w:noProof/>
                <w:webHidden/>
              </w:rPr>
              <w:instrText xml:space="preserve"> PAGEREF _Toc181211046 \h </w:instrText>
            </w:r>
            <w:r w:rsidR="00B97213">
              <w:rPr>
                <w:noProof/>
                <w:webHidden/>
              </w:rPr>
            </w:r>
            <w:r w:rsidR="00B97213">
              <w:rPr>
                <w:noProof/>
                <w:webHidden/>
              </w:rPr>
              <w:fldChar w:fldCharType="separate"/>
            </w:r>
            <w:r w:rsidR="00B97213">
              <w:rPr>
                <w:noProof/>
                <w:webHidden/>
              </w:rPr>
              <w:t>10</w:t>
            </w:r>
            <w:r w:rsidR="00B97213">
              <w:rPr>
                <w:noProof/>
                <w:webHidden/>
              </w:rPr>
              <w:fldChar w:fldCharType="end"/>
            </w:r>
          </w:hyperlink>
        </w:p>
        <w:p w14:paraId="752C4E84" w14:textId="3542453E"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7" w:history="1">
            <w:r w:rsidR="00B97213" w:rsidRPr="006F1B7E">
              <w:rPr>
                <w:rStyle w:val="Hyperlink"/>
                <w:rFonts w:cs="Times New Roman"/>
                <w:noProof/>
              </w:rPr>
              <w:t>7.2 Issues: Climate Change and Winter Sports</w:t>
            </w:r>
            <w:r w:rsidR="00B97213">
              <w:rPr>
                <w:noProof/>
                <w:webHidden/>
              </w:rPr>
              <w:tab/>
            </w:r>
            <w:r w:rsidR="00B97213">
              <w:rPr>
                <w:noProof/>
                <w:webHidden/>
              </w:rPr>
              <w:fldChar w:fldCharType="begin"/>
            </w:r>
            <w:r w:rsidR="00B97213">
              <w:rPr>
                <w:noProof/>
                <w:webHidden/>
              </w:rPr>
              <w:instrText xml:space="preserve"> PAGEREF _Toc181211047 \h </w:instrText>
            </w:r>
            <w:r w:rsidR="00B97213">
              <w:rPr>
                <w:noProof/>
                <w:webHidden/>
              </w:rPr>
            </w:r>
            <w:r w:rsidR="00B97213">
              <w:rPr>
                <w:noProof/>
                <w:webHidden/>
              </w:rPr>
              <w:fldChar w:fldCharType="separate"/>
            </w:r>
            <w:r w:rsidR="00B97213">
              <w:rPr>
                <w:noProof/>
                <w:webHidden/>
              </w:rPr>
              <w:t>10</w:t>
            </w:r>
            <w:r w:rsidR="00B97213">
              <w:rPr>
                <w:noProof/>
                <w:webHidden/>
              </w:rPr>
              <w:fldChar w:fldCharType="end"/>
            </w:r>
          </w:hyperlink>
        </w:p>
        <w:p w14:paraId="3FCD201B" w14:textId="75BB6671"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48" w:history="1">
            <w:r w:rsidR="00B97213" w:rsidRPr="006F1B7E">
              <w:rPr>
                <w:rStyle w:val="Hyperlink"/>
                <w:rFonts w:cs="Times New Roman"/>
                <w:noProof/>
              </w:rPr>
              <w:t>7.3 Impacts: Shift Toward Sustainable Event Practices</w:t>
            </w:r>
            <w:r w:rsidR="00B97213">
              <w:rPr>
                <w:noProof/>
                <w:webHidden/>
              </w:rPr>
              <w:tab/>
            </w:r>
            <w:r w:rsidR="00B97213">
              <w:rPr>
                <w:noProof/>
                <w:webHidden/>
              </w:rPr>
              <w:fldChar w:fldCharType="begin"/>
            </w:r>
            <w:r w:rsidR="00B97213">
              <w:rPr>
                <w:noProof/>
                <w:webHidden/>
              </w:rPr>
              <w:instrText xml:space="preserve"> PAGEREF _Toc181211048 \h </w:instrText>
            </w:r>
            <w:r w:rsidR="00B97213">
              <w:rPr>
                <w:noProof/>
                <w:webHidden/>
              </w:rPr>
            </w:r>
            <w:r w:rsidR="00B97213">
              <w:rPr>
                <w:noProof/>
                <w:webHidden/>
              </w:rPr>
              <w:fldChar w:fldCharType="separate"/>
            </w:r>
            <w:r w:rsidR="00B97213">
              <w:rPr>
                <w:noProof/>
                <w:webHidden/>
              </w:rPr>
              <w:t>10</w:t>
            </w:r>
            <w:r w:rsidR="00B97213">
              <w:rPr>
                <w:noProof/>
                <w:webHidden/>
              </w:rPr>
              <w:fldChar w:fldCharType="end"/>
            </w:r>
          </w:hyperlink>
        </w:p>
        <w:p w14:paraId="3B5572EB" w14:textId="7C5D5B6D"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49" w:history="1">
            <w:r w:rsidR="00B97213" w:rsidRPr="006F1B7E">
              <w:rPr>
                <w:rStyle w:val="Hyperlink"/>
                <w:rFonts w:cs="Times New Roman"/>
                <w:noProof/>
              </w:rPr>
              <w:t>8. Situational and Cultural Considerations</w:t>
            </w:r>
            <w:r w:rsidR="00B97213">
              <w:rPr>
                <w:noProof/>
                <w:webHidden/>
              </w:rPr>
              <w:tab/>
            </w:r>
            <w:r w:rsidR="00B97213">
              <w:rPr>
                <w:noProof/>
                <w:webHidden/>
              </w:rPr>
              <w:fldChar w:fldCharType="begin"/>
            </w:r>
            <w:r w:rsidR="00B97213">
              <w:rPr>
                <w:noProof/>
                <w:webHidden/>
              </w:rPr>
              <w:instrText xml:space="preserve"> PAGEREF _Toc181211049 \h </w:instrText>
            </w:r>
            <w:r w:rsidR="00B97213">
              <w:rPr>
                <w:noProof/>
                <w:webHidden/>
              </w:rPr>
            </w:r>
            <w:r w:rsidR="00B97213">
              <w:rPr>
                <w:noProof/>
                <w:webHidden/>
              </w:rPr>
              <w:fldChar w:fldCharType="separate"/>
            </w:r>
            <w:r w:rsidR="00B97213">
              <w:rPr>
                <w:noProof/>
                <w:webHidden/>
              </w:rPr>
              <w:t>11</w:t>
            </w:r>
            <w:r w:rsidR="00B97213">
              <w:rPr>
                <w:noProof/>
                <w:webHidden/>
              </w:rPr>
              <w:fldChar w:fldCharType="end"/>
            </w:r>
          </w:hyperlink>
        </w:p>
        <w:p w14:paraId="5826634F" w14:textId="5AAD1DF2"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50" w:history="1">
            <w:r w:rsidR="00B97213" w:rsidRPr="006F1B7E">
              <w:rPr>
                <w:rStyle w:val="Hyperlink"/>
                <w:rFonts w:cs="Times New Roman"/>
                <w:noProof/>
              </w:rPr>
              <w:t>8.1 PESTEL Analysis</w:t>
            </w:r>
            <w:r w:rsidR="00B97213">
              <w:rPr>
                <w:noProof/>
                <w:webHidden/>
              </w:rPr>
              <w:tab/>
            </w:r>
            <w:r w:rsidR="00B97213">
              <w:rPr>
                <w:noProof/>
                <w:webHidden/>
              </w:rPr>
              <w:fldChar w:fldCharType="begin"/>
            </w:r>
            <w:r w:rsidR="00B97213">
              <w:rPr>
                <w:noProof/>
                <w:webHidden/>
              </w:rPr>
              <w:instrText xml:space="preserve"> PAGEREF _Toc181211050 \h </w:instrText>
            </w:r>
            <w:r w:rsidR="00B97213">
              <w:rPr>
                <w:noProof/>
                <w:webHidden/>
              </w:rPr>
            </w:r>
            <w:r w:rsidR="00B97213">
              <w:rPr>
                <w:noProof/>
                <w:webHidden/>
              </w:rPr>
              <w:fldChar w:fldCharType="separate"/>
            </w:r>
            <w:r w:rsidR="00B97213">
              <w:rPr>
                <w:noProof/>
                <w:webHidden/>
              </w:rPr>
              <w:t>11</w:t>
            </w:r>
            <w:r w:rsidR="00B97213">
              <w:rPr>
                <w:noProof/>
                <w:webHidden/>
              </w:rPr>
              <w:fldChar w:fldCharType="end"/>
            </w:r>
          </w:hyperlink>
        </w:p>
        <w:p w14:paraId="53BCA18B" w14:textId="673DAAA0" w:rsidR="00B97213"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81211051" w:history="1">
            <w:r w:rsidR="00B97213" w:rsidRPr="006F1B7E">
              <w:rPr>
                <w:rStyle w:val="Hyperlink"/>
                <w:rFonts w:cs="Times New Roman"/>
                <w:noProof/>
              </w:rPr>
              <w:t>8.2 Cultural Considerations</w:t>
            </w:r>
            <w:r w:rsidR="00B97213">
              <w:rPr>
                <w:noProof/>
                <w:webHidden/>
              </w:rPr>
              <w:tab/>
            </w:r>
            <w:r w:rsidR="00B97213">
              <w:rPr>
                <w:noProof/>
                <w:webHidden/>
              </w:rPr>
              <w:fldChar w:fldCharType="begin"/>
            </w:r>
            <w:r w:rsidR="00B97213">
              <w:rPr>
                <w:noProof/>
                <w:webHidden/>
              </w:rPr>
              <w:instrText xml:space="preserve"> PAGEREF _Toc181211051 \h </w:instrText>
            </w:r>
            <w:r w:rsidR="00B97213">
              <w:rPr>
                <w:noProof/>
                <w:webHidden/>
              </w:rPr>
            </w:r>
            <w:r w:rsidR="00B97213">
              <w:rPr>
                <w:noProof/>
                <w:webHidden/>
              </w:rPr>
              <w:fldChar w:fldCharType="separate"/>
            </w:r>
            <w:r w:rsidR="00B97213">
              <w:rPr>
                <w:noProof/>
                <w:webHidden/>
              </w:rPr>
              <w:t>12</w:t>
            </w:r>
            <w:r w:rsidR="00B97213">
              <w:rPr>
                <w:noProof/>
                <w:webHidden/>
              </w:rPr>
              <w:fldChar w:fldCharType="end"/>
            </w:r>
          </w:hyperlink>
        </w:p>
        <w:p w14:paraId="068E3528" w14:textId="3EF6D1DB"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52" w:history="1">
            <w:r w:rsidR="00B97213" w:rsidRPr="006F1B7E">
              <w:rPr>
                <w:rStyle w:val="Hyperlink"/>
                <w:rFonts w:cs="Times New Roman"/>
                <w:noProof/>
              </w:rPr>
              <w:t>9. Conclusion</w:t>
            </w:r>
            <w:r w:rsidR="00B97213">
              <w:rPr>
                <w:noProof/>
                <w:webHidden/>
              </w:rPr>
              <w:tab/>
            </w:r>
            <w:r w:rsidR="00B97213">
              <w:rPr>
                <w:noProof/>
                <w:webHidden/>
              </w:rPr>
              <w:fldChar w:fldCharType="begin"/>
            </w:r>
            <w:r w:rsidR="00B97213">
              <w:rPr>
                <w:noProof/>
                <w:webHidden/>
              </w:rPr>
              <w:instrText xml:space="preserve"> PAGEREF _Toc181211052 \h </w:instrText>
            </w:r>
            <w:r w:rsidR="00B97213">
              <w:rPr>
                <w:noProof/>
                <w:webHidden/>
              </w:rPr>
            </w:r>
            <w:r w:rsidR="00B97213">
              <w:rPr>
                <w:noProof/>
                <w:webHidden/>
              </w:rPr>
              <w:fldChar w:fldCharType="separate"/>
            </w:r>
            <w:r w:rsidR="00B97213">
              <w:rPr>
                <w:noProof/>
                <w:webHidden/>
              </w:rPr>
              <w:t>13</w:t>
            </w:r>
            <w:r w:rsidR="00B97213">
              <w:rPr>
                <w:noProof/>
                <w:webHidden/>
              </w:rPr>
              <w:fldChar w:fldCharType="end"/>
            </w:r>
          </w:hyperlink>
        </w:p>
        <w:p w14:paraId="1899E2FA" w14:textId="76EE3D25" w:rsidR="00B97213"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81211053" w:history="1">
            <w:r w:rsidR="00B97213" w:rsidRPr="006F1B7E">
              <w:rPr>
                <w:rStyle w:val="Hyperlink"/>
                <w:rFonts w:cs="Times New Roman"/>
                <w:noProof/>
              </w:rPr>
              <w:t>Reference List</w:t>
            </w:r>
            <w:r w:rsidR="00B97213">
              <w:rPr>
                <w:noProof/>
                <w:webHidden/>
              </w:rPr>
              <w:tab/>
            </w:r>
            <w:r w:rsidR="00B97213">
              <w:rPr>
                <w:noProof/>
                <w:webHidden/>
              </w:rPr>
              <w:fldChar w:fldCharType="begin"/>
            </w:r>
            <w:r w:rsidR="00B97213">
              <w:rPr>
                <w:noProof/>
                <w:webHidden/>
              </w:rPr>
              <w:instrText xml:space="preserve"> PAGEREF _Toc181211053 \h </w:instrText>
            </w:r>
            <w:r w:rsidR="00B97213">
              <w:rPr>
                <w:noProof/>
                <w:webHidden/>
              </w:rPr>
            </w:r>
            <w:r w:rsidR="00B97213">
              <w:rPr>
                <w:noProof/>
                <w:webHidden/>
              </w:rPr>
              <w:fldChar w:fldCharType="separate"/>
            </w:r>
            <w:r w:rsidR="00B97213">
              <w:rPr>
                <w:noProof/>
                <w:webHidden/>
              </w:rPr>
              <w:t>14</w:t>
            </w:r>
            <w:r w:rsidR="00B97213">
              <w:rPr>
                <w:noProof/>
                <w:webHidden/>
              </w:rPr>
              <w:fldChar w:fldCharType="end"/>
            </w:r>
          </w:hyperlink>
        </w:p>
        <w:p w14:paraId="620102E5" w14:textId="62A54113" w:rsidR="00B4511B" w:rsidRPr="005F17DE" w:rsidRDefault="00B4511B" w:rsidP="00993154">
          <w:pPr>
            <w:rPr>
              <w:rFonts w:cs="Times New Roman"/>
              <w:noProof/>
            </w:rPr>
          </w:pPr>
          <w:r w:rsidRPr="005F17DE">
            <w:rPr>
              <w:rFonts w:cs="Times New Roman"/>
              <w:b/>
              <w:bCs/>
              <w:noProof/>
            </w:rPr>
            <w:fldChar w:fldCharType="end"/>
          </w:r>
        </w:p>
      </w:sdtContent>
    </w:sdt>
    <w:p w14:paraId="022D4A7F" w14:textId="77777777" w:rsidR="00B4511B" w:rsidRPr="005F17DE" w:rsidRDefault="00B4511B" w:rsidP="00993154">
      <w:pPr>
        <w:rPr>
          <w:rFonts w:cs="Times New Roman"/>
          <w:noProof/>
        </w:rPr>
      </w:pPr>
    </w:p>
    <w:p w14:paraId="22139A53" w14:textId="4B169CDB" w:rsidR="00BA02A1" w:rsidRPr="005F17DE" w:rsidRDefault="00BA02A1" w:rsidP="00993154">
      <w:pPr>
        <w:jc w:val="left"/>
        <w:rPr>
          <w:rFonts w:cs="Times New Roman"/>
          <w:noProof/>
        </w:rPr>
      </w:pPr>
      <w:r w:rsidRPr="005F17DE">
        <w:rPr>
          <w:rFonts w:cs="Times New Roman"/>
          <w:noProof/>
        </w:rPr>
        <w:br w:type="page"/>
      </w:r>
    </w:p>
    <w:p w14:paraId="2CEDF251" w14:textId="282CE272" w:rsidR="00BA02A1" w:rsidRPr="005F17DE" w:rsidRDefault="0090796A" w:rsidP="00993154">
      <w:pPr>
        <w:pStyle w:val="Heading1"/>
        <w:rPr>
          <w:rFonts w:cs="Times New Roman"/>
          <w:bCs/>
          <w:noProof/>
          <w:sz w:val="24"/>
          <w:szCs w:val="24"/>
        </w:rPr>
      </w:pPr>
      <w:bookmarkStart w:id="1" w:name="_Toc181211031"/>
      <w:r w:rsidRPr="005F17DE">
        <w:rPr>
          <w:rStyle w:val="Strong"/>
          <w:rFonts w:cs="Times New Roman"/>
          <w:b/>
          <w:bCs w:val="0"/>
          <w:noProof/>
        </w:rPr>
        <w:lastRenderedPageBreak/>
        <w:t xml:space="preserve">1. </w:t>
      </w:r>
      <w:r w:rsidR="00BA02A1" w:rsidRPr="005F17DE">
        <w:rPr>
          <w:rStyle w:val="Strong"/>
          <w:rFonts w:cs="Times New Roman"/>
          <w:b/>
          <w:bCs w:val="0"/>
          <w:noProof/>
        </w:rPr>
        <w:t>Introduction</w:t>
      </w:r>
      <w:bookmarkEnd w:id="1"/>
    </w:p>
    <w:p w14:paraId="1DA5A9FF" w14:textId="5D0DA0EF" w:rsidR="00645128" w:rsidRPr="005F17DE" w:rsidRDefault="00B4511B" w:rsidP="00993154">
      <w:pPr>
        <w:rPr>
          <w:rFonts w:cs="Times New Roman"/>
          <w:noProof/>
        </w:rPr>
      </w:pPr>
      <w:r w:rsidRPr="005F17DE">
        <w:rPr>
          <w:rFonts w:cs="Times New Roman"/>
          <w:noProof/>
        </w:rPr>
        <w:t>One elite industry event promoting sustainability and cooperation is the Winter Sports Tourism Conference 2024. Industry leaders, travel experts, and environmental activists will gather at the sustainable tourism conference to discuss fresh ideas for winter sports destination climate change mitigating solutions. This event supports responsible tourism and knowledge sharing, therefore complementing the growing focus of the sector on environmentally friendly travel.</w:t>
      </w:r>
      <w:r w:rsidR="00645128" w:rsidRPr="005F17DE">
        <w:rPr>
          <w:rFonts w:cs="Times New Roman"/>
          <w:noProof/>
        </w:rPr>
        <w:t xml:space="preserve"> </w:t>
      </w:r>
      <w:r w:rsidRPr="005F17DE">
        <w:rPr>
          <w:rFonts w:cs="Times New Roman"/>
          <w:noProof/>
        </w:rPr>
        <w:t xml:space="preserve">The conference's sustainable goal supports the triple bottom line philosophy—which combines social, economic, and environmental goals for long-term success—mathematically (Mathew, 2022). Triple-bottom-line environmentally sustainable solutions supported by the Winter Sports Tourism Conference will improve tourism, benefit nearby towns, and protect winter sports industry resources. Emphasising the need of keeping a balance between environmental and corporate obligations, it sets a standard for next business events. </w:t>
      </w:r>
    </w:p>
    <w:p w14:paraId="06A6A4AE" w14:textId="51D619B9" w:rsidR="00BA02A1" w:rsidRPr="005F17DE" w:rsidRDefault="0090796A" w:rsidP="00993154">
      <w:pPr>
        <w:pStyle w:val="Heading1"/>
        <w:rPr>
          <w:rFonts w:cs="Times New Roman"/>
          <w:noProof/>
          <w:sz w:val="24"/>
          <w:szCs w:val="24"/>
        </w:rPr>
      </w:pPr>
      <w:bookmarkStart w:id="2" w:name="_Toc181211032"/>
      <w:r w:rsidRPr="005F17DE">
        <w:rPr>
          <w:rStyle w:val="Strong"/>
          <w:rFonts w:cs="Times New Roman"/>
          <w:b/>
          <w:bCs w:val="0"/>
          <w:noProof/>
        </w:rPr>
        <w:t xml:space="preserve">2. </w:t>
      </w:r>
      <w:r w:rsidR="00BA02A1" w:rsidRPr="005F17DE">
        <w:rPr>
          <w:rStyle w:val="Strong"/>
          <w:rFonts w:cs="Times New Roman"/>
          <w:b/>
          <w:bCs w:val="0"/>
          <w:noProof/>
        </w:rPr>
        <w:t>The Event Cycle</w:t>
      </w:r>
      <w:bookmarkEnd w:id="2"/>
    </w:p>
    <w:p w14:paraId="39A2FCAD" w14:textId="34B57D0D" w:rsidR="00B4511B" w:rsidRPr="005F17DE" w:rsidRDefault="00B4511B" w:rsidP="00993154">
      <w:pPr>
        <w:rPr>
          <w:rFonts w:cs="Times New Roman"/>
          <w:noProof/>
        </w:rPr>
      </w:pPr>
      <w:r w:rsidRPr="005F17DE">
        <w:rPr>
          <w:rFonts w:cs="Times New Roman"/>
          <w:noProof/>
        </w:rPr>
        <w:t>Coordinating event planning, execution, and evaluation falls to the Event Cycle (Parent and Ruetsch, 2020). Four basic phases—idea conceptualisation, promotion, implementation, and post-event evaluation—are found by Brochado et al. (2022) to be absolutely necessary for the success of an event. The Winter Sports Tourism Conference 2024 may be developed, marketed, transported, and examined using the Event Cycle.</w:t>
      </w:r>
    </w:p>
    <w:p w14:paraId="4B845554" w14:textId="2069A6AD" w:rsidR="00C902CF" w:rsidRPr="005F17DE" w:rsidRDefault="00C902CF" w:rsidP="00993154">
      <w:pPr>
        <w:jc w:val="center"/>
        <w:rPr>
          <w:rFonts w:cs="Times New Roman"/>
          <w:noProof/>
        </w:rPr>
      </w:pPr>
      <w:r w:rsidRPr="005F17DE">
        <w:rPr>
          <w:rFonts w:cs="Times New Roman"/>
          <w:noProof/>
          <w14:ligatures w14:val="standardContextual"/>
        </w:rPr>
        <w:drawing>
          <wp:inline distT="0" distB="0" distL="0" distR="0" wp14:anchorId="102BEC14" wp14:editId="70E93408">
            <wp:extent cx="5248275" cy="3067050"/>
            <wp:effectExtent l="0" t="0" r="0" b="19050"/>
            <wp:docPr id="19762164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2DC22A4" w14:textId="0CA0A41D" w:rsidR="00C902CF" w:rsidRPr="005F17DE" w:rsidRDefault="00C902CF" w:rsidP="00993154">
      <w:pPr>
        <w:pStyle w:val="Caption"/>
        <w:spacing w:line="360" w:lineRule="auto"/>
        <w:jc w:val="center"/>
        <w:rPr>
          <w:rFonts w:cs="Times New Roman"/>
          <w:noProof/>
        </w:rPr>
      </w:pPr>
      <w:r w:rsidRPr="005F17DE">
        <w:rPr>
          <w:rFonts w:cs="Times New Roman"/>
          <w:noProof/>
        </w:rPr>
        <w:t xml:space="preserve">Figure </w:t>
      </w:r>
      <w:r w:rsidRPr="005F17DE">
        <w:rPr>
          <w:rFonts w:cs="Times New Roman"/>
          <w:noProof/>
        </w:rPr>
        <w:fldChar w:fldCharType="begin"/>
      </w:r>
      <w:r w:rsidRPr="005F17DE">
        <w:rPr>
          <w:rFonts w:cs="Times New Roman"/>
          <w:noProof/>
        </w:rPr>
        <w:instrText xml:space="preserve"> SEQ Figure \* ARABIC </w:instrText>
      </w:r>
      <w:r w:rsidRPr="005F17DE">
        <w:rPr>
          <w:rFonts w:cs="Times New Roman"/>
          <w:noProof/>
        </w:rPr>
        <w:fldChar w:fldCharType="separate"/>
      </w:r>
      <w:r w:rsidRPr="005F17DE">
        <w:rPr>
          <w:rFonts w:cs="Times New Roman"/>
          <w:noProof/>
        </w:rPr>
        <w:t>1</w:t>
      </w:r>
      <w:r w:rsidRPr="005F17DE">
        <w:rPr>
          <w:rFonts w:cs="Times New Roman"/>
          <w:noProof/>
        </w:rPr>
        <w:fldChar w:fldCharType="end"/>
      </w:r>
      <w:r w:rsidRPr="005F17DE">
        <w:rPr>
          <w:rFonts w:cs="Times New Roman"/>
          <w:noProof/>
        </w:rPr>
        <w:t>: The Event Cycle/Source: (Getz, 2012)</w:t>
      </w:r>
    </w:p>
    <w:p w14:paraId="5657FA6D" w14:textId="47C5BD62" w:rsidR="00BA02A1" w:rsidRPr="00B97213" w:rsidRDefault="00BA02A1" w:rsidP="00B97213">
      <w:pPr>
        <w:rPr>
          <w:rFonts w:cs="Times New Roman"/>
          <w:noProof/>
        </w:rPr>
      </w:pPr>
      <w:r w:rsidRPr="00B97213">
        <w:rPr>
          <w:rStyle w:val="Strong"/>
          <w:rFonts w:cs="Times New Roman"/>
          <w:noProof/>
        </w:rPr>
        <w:lastRenderedPageBreak/>
        <w:t>Idea Conceptualization</w:t>
      </w:r>
      <w:r w:rsidRPr="00B97213">
        <w:rPr>
          <w:rFonts w:cs="Times New Roman"/>
          <w:noProof/>
        </w:rPr>
        <w:t xml:space="preserve">: </w:t>
      </w:r>
      <w:r w:rsidR="008450D2" w:rsidRPr="00B97213">
        <w:rPr>
          <w:rFonts w:cs="Times New Roman"/>
          <w:noProof/>
        </w:rPr>
        <w:t>The goals, audience, and agenda of the conference define this phase (Getz, 2012). For those working in winter sports tourism, the conference was supposed to be creative and environmentally friendly. Using Getz's event tourism theory, which gives stakeholder networking and economic gains first priority, Chen (2024) sees events that meet industry needs.</w:t>
      </w:r>
    </w:p>
    <w:p w14:paraId="082F0F4D" w14:textId="7C274857" w:rsidR="00BA02A1" w:rsidRPr="00B97213" w:rsidRDefault="00BA02A1" w:rsidP="00B97213">
      <w:pPr>
        <w:rPr>
          <w:rFonts w:cs="Times New Roman"/>
          <w:noProof/>
        </w:rPr>
      </w:pPr>
      <w:r w:rsidRPr="00B97213">
        <w:rPr>
          <w:rStyle w:val="Strong"/>
          <w:rFonts w:cs="Times New Roman"/>
          <w:noProof/>
        </w:rPr>
        <w:t>Promotion</w:t>
      </w:r>
      <w:r w:rsidRPr="00B97213">
        <w:rPr>
          <w:rFonts w:cs="Times New Roman"/>
          <w:noProof/>
        </w:rPr>
        <w:t xml:space="preserve">: </w:t>
      </w:r>
      <w:r w:rsidR="008450D2" w:rsidRPr="00B97213">
        <w:rPr>
          <w:rFonts w:cs="Times New Roman"/>
          <w:noProof/>
        </w:rPr>
        <w:t>Once the idea has been developed, LinkedIn and industry forums help to highlight it to particular groups (Holmes and Ali-Knight, 2017). Influencer agreements improve the message (Brochado et al., 2022). The economic and social impact of the conference depends on successful advertising since events boost industry networking and economic activity following Getz's thesis (Chen, 2024).</w:t>
      </w:r>
    </w:p>
    <w:p w14:paraId="106ABF70" w14:textId="76B61F7D" w:rsidR="00BA02A1" w:rsidRPr="00B97213" w:rsidRDefault="00BA02A1" w:rsidP="00B97213">
      <w:pPr>
        <w:rPr>
          <w:rFonts w:cs="Times New Roman"/>
          <w:noProof/>
        </w:rPr>
      </w:pPr>
      <w:r w:rsidRPr="00B97213">
        <w:rPr>
          <w:rStyle w:val="Strong"/>
          <w:rFonts w:cs="Times New Roman"/>
          <w:noProof/>
        </w:rPr>
        <w:t>Implementation</w:t>
      </w:r>
      <w:r w:rsidRPr="00B97213">
        <w:rPr>
          <w:rFonts w:cs="Times New Roman"/>
          <w:noProof/>
        </w:rPr>
        <w:t xml:space="preserve">: </w:t>
      </w:r>
      <w:r w:rsidR="008450D2" w:rsidRPr="00B97213">
        <w:rPr>
          <w:rFonts w:cs="Times New Roman"/>
          <w:noProof/>
        </w:rPr>
        <w:t>Technical aid, attendance registration, and venue management complete this phase (Brochado et al., 2022). Butler's Tourism Area Life Cycle (TALC) approach will guide sustainability priorities for the Winter Sports Tourism Conference. Effective performance of functional and environmental criteria guarantees event success and sustainability (Herman et al., 2021).</w:t>
      </w:r>
    </w:p>
    <w:p w14:paraId="6A3EE395" w14:textId="4C0B416A" w:rsidR="00BA02A1" w:rsidRPr="00B97213" w:rsidRDefault="00BA02A1" w:rsidP="00B97213">
      <w:pPr>
        <w:rPr>
          <w:rFonts w:cs="Times New Roman"/>
          <w:noProof/>
        </w:rPr>
      </w:pPr>
      <w:r w:rsidRPr="00B97213">
        <w:rPr>
          <w:rStyle w:val="Strong"/>
          <w:rFonts w:cs="Times New Roman"/>
          <w:noProof/>
        </w:rPr>
        <w:t>Post-Event Evaluation</w:t>
      </w:r>
      <w:r w:rsidRPr="00B97213">
        <w:rPr>
          <w:rFonts w:cs="Times New Roman"/>
          <w:noProof/>
        </w:rPr>
        <w:t xml:space="preserve">: </w:t>
      </w:r>
      <w:r w:rsidR="008450D2" w:rsidRPr="00B97213">
        <w:rPr>
          <w:rFonts w:cs="Times New Roman"/>
          <w:noProof/>
        </w:rPr>
        <w:t>Future improvements are ultimately guided by financial performance, environmental impact, and attendance comments (Getz, 2012). In face of changing temperatures, the sustainable growth of winter sports tourism depends on this feedback loop (Steiger et al., 2023). Including post-event results supports Getz's social and economic goals (Chen, 2024).</w:t>
      </w:r>
    </w:p>
    <w:p w14:paraId="1303A5BD" w14:textId="77777777" w:rsidR="008450D2" w:rsidRPr="005F17DE" w:rsidRDefault="008450D2" w:rsidP="00993154">
      <w:pPr>
        <w:rPr>
          <w:rFonts w:cs="Times New Roman"/>
          <w:noProof/>
        </w:rPr>
      </w:pPr>
      <w:r w:rsidRPr="005F17DE">
        <w:rPr>
          <w:rFonts w:cs="Times New Roman"/>
          <w:noProof/>
        </w:rPr>
        <w:t>Based on Getz's theory, the Event Cycle strategically supports the goals of sustainable tourism, economic benefits, and industry cooperation of the Winter Sports Tourism Conference.</w:t>
      </w:r>
    </w:p>
    <w:p w14:paraId="2E7240BE" w14:textId="5AE0DB43" w:rsidR="00BA02A1" w:rsidRPr="005F17DE" w:rsidRDefault="0090796A" w:rsidP="00993154">
      <w:pPr>
        <w:pStyle w:val="Heading1"/>
        <w:rPr>
          <w:rFonts w:cs="Times New Roman"/>
          <w:bCs/>
          <w:noProof/>
          <w:sz w:val="24"/>
          <w:szCs w:val="24"/>
        </w:rPr>
      </w:pPr>
      <w:bookmarkStart w:id="3" w:name="_Toc181211033"/>
      <w:r w:rsidRPr="005F17DE">
        <w:rPr>
          <w:rStyle w:val="Strong"/>
          <w:rFonts w:cs="Times New Roman"/>
          <w:b/>
          <w:bCs w:val="0"/>
          <w:noProof/>
        </w:rPr>
        <w:t xml:space="preserve">3. </w:t>
      </w:r>
      <w:r w:rsidR="00BA02A1" w:rsidRPr="005F17DE">
        <w:rPr>
          <w:rStyle w:val="Strong"/>
          <w:rFonts w:cs="Times New Roman"/>
          <w:b/>
          <w:bCs w:val="0"/>
          <w:noProof/>
        </w:rPr>
        <w:t>Event Concept</w:t>
      </w:r>
      <w:bookmarkEnd w:id="3"/>
    </w:p>
    <w:p w14:paraId="25CF459B" w14:textId="77777777" w:rsidR="008450D2" w:rsidRPr="005F17DE" w:rsidRDefault="008450D2" w:rsidP="00993154">
      <w:pPr>
        <w:rPr>
          <w:rFonts w:cs="Times New Roman"/>
          <w:noProof/>
        </w:rPr>
      </w:pPr>
      <w:r w:rsidRPr="005F17DE">
        <w:rPr>
          <w:rFonts w:cs="Times New Roman"/>
          <w:noProof/>
        </w:rPr>
        <w:t>At the Winter Sports Tourism Conference 2024 participants will be treated to a day of sustainable innovation, cooperation, and insights. A keynote speech on sustainable tourism will highlight the need of environmentally friendly travel in areas of winter sports. Targeted seminars will centre green infrastructure investments, sustainable destination management, and climate-resilient travel. Every course offers experts useful knowledge and practical skills to handle changing environmental issues.</w:t>
      </w:r>
    </w:p>
    <w:p w14:paraId="1BAE1ABC" w14:textId="77777777" w:rsidR="008450D2" w:rsidRPr="005F17DE" w:rsidRDefault="008450D2" w:rsidP="00993154">
      <w:pPr>
        <w:rPr>
          <w:rFonts w:cs="Times New Roman"/>
          <w:noProof/>
        </w:rPr>
      </w:pPr>
      <w:r w:rsidRPr="005F17DE">
        <w:rPr>
          <w:rFonts w:cs="Times New Roman"/>
          <w:noProof/>
        </w:rPr>
        <w:t xml:space="preserve">In the afternoon visitors will be able to view environmentally friendly winter sports brands and sustainable travel ideas. Coordinated in association with well-known firms, these displays </w:t>
      </w:r>
      <w:r w:rsidRPr="005F17DE">
        <w:rPr>
          <w:rFonts w:cs="Times New Roman"/>
          <w:noProof/>
        </w:rPr>
        <w:lastRenderedPageBreak/>
        <w:t>support the sustainability goals of the event by providing hands-on experiences with the environmentally friendly winter tourism products and services (Jones, 2017). At the end of the day, participants have the chance to network with industry leaders, environmental travel experts, and other experts with related interests.</w:t>
      </w:r>
    </w:p>
    <w:p w14:paraId="01446675" w14:textId="77777777" w:rsidR="008450D2" w:rsidRPr="005F17DE" w:rsidRDefault="008450D2" w:rsidP="00993154">
      <w:pPr>
        <w:rPr>
          <w:rFonts w:cs="Times New Roman"/>
          <w:noProof/>
        </w:rPr>
      </w:pPr>
      <w:r w:rsidRPr="005F17DE">
        <w:rPr>
          <w:rFonts w:cs="Times New Roman"/>
          <w:noProof/>
        </w:rPr>
        <w:t>The design of the event conforms to the Tourism Area Life Cycle (TALC) model developed by Butler (2006), which extends the lifetime of places thereby supporting sustainable travel (Herman et al., 2021). Emphasising sustainable projects, the conference supports TALC's goals of long-term development, environmental preservation, and socioeconomic advantages for winter sports tourism locations (Higham and Vada, 2024). This strategy gives participants the chance to progress environmentally friendly projects in their own businesses by means of pragmatic knowledge and cooperative chances (Butler, 2006).</w:t>
      </w:r>
    </w:p>
    <w:p w14:paraId="00865845" w14:textId="060CCD9C" w:rsidR="00BA02A1" w:rsidRPr="005F17DE" w:rsidRDefault="0090796A" w:rsidP="00993154">
      <w:pPr>
        <w:pStyle w:val="Heading1"/>
        <w:rPr>
          <w:rFonts w:cs="Times New Roman"/>
          <w:bCs/>
          <w:noProof/>
          <w:sz w:val="24"/>
          <w:szCs w:val="24"/>
        </w:rPr>
      </w:pPr>
      <w:bookmarkStart w:id="4" w:name="_Toc181211034"/>
      <w:r w:rsidRPr="005F17DE">
        <w:rPr>
          <w:rStyle w:val="Strong"/>
          <w:rFonts w:cs="Times New Roman"/>
          <w:b/>
          <w:bCs w:val="0"/>
          <w:noProof/>
        </w:rPr>
        <w:t xml:space="preserve">4. </w:t>
      </w:r>
      <w:r w:rsidR="00BA02A1" w:rsidRPr="005F17DE">
        <w:rPr>
          <w:rStyle w:val="Strong"/>
          <w:rFonts w:cs="Times New Roman"/>
          <w:b/>
          <w:bCs w:val="0"/>
          <w:noProof/>
        </w:rPr>
        <w:t>Aim and Objectives of the Event</w:t>
      </w:r>
      <w:bookmarkEnd w:id="4"/>
    </w:p>
    <w:p w14:paraId="5BF6694D" w14:textId="28B76487" w:rsidR="00FD6A0A" w:rsidRPr="005F17DE" w:rsidRDefault="0090796A" w:rsidP="00993154">
      <w:pPr>
        <w:pStyle w:val="Heading2"/>
        <w:rPr>
          <w:rFonts w:cs="Times New Roman"/>
          <w:bCs/>
          <w:noProof/>
        </w:rPr>
      </w:pPr>
      <w:bookmarkStart w:id="5" w:name="_Toc181211035"/>
      <w:r w:rsidRPr="005F17DE">
        <w:rPr>
          <w:rStyle w:val="Strong"/>
          <w:rFonts w:cs="Times New Roman"/>
          <w:b/>
          <w:bCs w:val="0"/>
          <w:noProof/>
        </w:rPr>
        <w:t xml:space="preserve">4.1 </w:t>
      </w:r>
      <w:r w:rsidR="00BA02A1" w:rsidRPr="005F17DE">
        <w:rPr>
          <w:rStyle w:val="Strong"/>
          <w:rFonts w:cs="Times New Roman"/>
          <w:b/>
          <w:bCs w:val="0"/>
          <w:noProof/>
        </w:rPr>
        <w:t>Aim</w:t>
      </w:r>
      <w:r w:rsidRPr="005F17DE">
        <w:rPr>
          <w:rStyle w:val="Strong"/>
          <w:rFonts w:cs="Times New Roman"/>
          <w:b/>
          <w:bCs w:val="0"/>
          <w:noProof/>
        </w:rPr>
        <w:t xml:space="preserve"> of the Event</w:t>
      </w:r>
      <w:bookmarkEnd w:id="5"/>
    </w:p>
    <w:p w14:paraId="706A950F" w14:textId="77777777" w:rsidR="008450D2" w:rsidRPr="005F17DE" w:rsidRDefault="008450D2" w:rsidP="00993154">
      <w:pPr>
        <w:rPr>
          <w:rFonts w:cs="Times New Roman"/>
          <w:noProof/>
        </w:rPr>
      </w:pPr>
      <w:r w:rsidRPr="005F17DE">
        <w:rPr>
          <w:rFonts w:cs="Times New Roman"/>
          <w:noProof/>
        </w:rPr>
        <w:t>Convening at the Winter Sports Tourism Conference 2024 to forward sustainable winter sports tourism are business executives, travel agents, and environmentalists. The event is meant to help experts to share knowledge, solve problems, and create eco-tourism alliances among them.</w:t>
      </w:r>
    </w:p>
    <w:p w14:paraId="1B7B622F" w14:textId="70F009DF" w:rsidR="00BA02A1" w:rsidRPr="005F17DE" w:rsidRDefault="0090796A" w:rsidP="00993154">
      <w:pPr>
        <w:pStyle w:val="Heading2"/>
        <w:rPr>
          <w:rFonts w:cs="Times New Roman"/>
          <w:bCs/>
          <w:noProof/>
        </w:rPr>
      </w:pPr>
      <w:bookmarkStart w:id="6" w:name="_Toc181211036"/>
      <w:r w:rsidRPr="005F17DE">
        <w:rPr>
          <w:rStyle w:val="Strong"/>
          <w:rFonts w:cs="Times New Roman"/>
          <w:b/>
          <w:bCs w:val="0"/>
          <w:noProof/>
        </w:rPr>
        <w:t xml:space="preserve">4.2 </w:t>
      </w:r>
      <w:r w:rsidR="00BA02A1" w:rsidRPr="005F17DE">
        <w:rPr>
          <w:rStyle w:val="Strong"/>
          <w:rFonts w:cs="Times New Roman"/>
          <w:b/>
          <w:bCs w:val="0"/>
          <w:noProof/>
        </w:rPr>
        <w:t>SMART Objectives</w:t>
      </w:r>
      <w:bookmarkEnd w:id="6"/>
    </w:p>
    <w:p w14:paraId="67726D3A" w14:textId="77777777" w:rsidR="00BA02A1" w:rsidRPr="005F17DE" w:rsidRDefault="00BA02A1" w:rsidP="00993154">
      <w:pPr>
        <w:pStyle w:val="ListParagraph"/>
        <w:numPr>
          <w:ilvl w:val="0"/>
          <w:numId w:val="6"/>
        </w:numPr>
        <w:rPr>
          <w:rFonts w:cs="Times New Roman"/>
          <w:noProof/>
        </w:rPr>
      </w:pPr>
      <w:r w:rsidRPr="005F17DE">
        <w:rPr>
          <w:rStyle w:val="Strong"/>
          <w:rFonts w:cs="Times New Roman"/>
          <w:b w:val="0"/>
          <w:bCs w:val="0"/>
          <w:noProof/>
        </w:rPr>
        <w:t>Facilitate discussions on sustainable tourism</w:t>
      </w:r>
      <w:r w:rsidRPr="005F17DE">
        <w:rPr>
          <w:rFonts w:cs="Times New Roman"/>
          <w:noProof/>
        </w:rPr>
        <w:t xml:space="preserve"> by hosting three expert-led panel sessions on climate adaptation strategies and sustainable growth in winter sports destinations, engaging at least 80% of attendees in each session.</w:t>
      </w:r>
    </w:p>
    <w:p w14:paraId="2BD54734" w14:textId="77777777" w:rsidR="00BA02A1" w:rsidRPr="005F17DE" w:rsidRDefault="00BA02A1" w:rsidP="00993154">
      <w:pPr>
        <w:pStyle w:val="ListParagraph"/>
        <w:numPr>
          <w:ilvl w:val="0"/>
          <w:numId w:val="6"/>
        </w:numPr>
        <w:rPr>
          <w:rFonts w:cs="Times New Roman"/>
          <w:noProof/>
        </w:rPr>
      </w:pPr>
      <w:r w:rsidRPr="005F17DE">
        <w:rPr>
          <w:rStyle w:val="Strong"/>
          <w:rFonts w:cs="Times New Roman"/>
          <w:b w:val="0"/>
          <w:bCs w:val="0"/>
          <w:noProof/>
        </w:rPr>
        <w:t>Promote eco-friendly practices through collaborations</w:t>
      </w:r>
      <w:r w:rsidRPr="005F17DE">
        <w:rPr>
          <w:rFonts w:cs="Times New Roman"/>
          <w:noProof/>
        </w:rPr>
        <w:t xml:space="preserve"> by organizing interactive workshops with eco-conscious brands and regional tourism boards, aiming to establish at least five new sustainable partnership initiatives by the end of the conference.</w:t>
      </w:r>
    </w:p>
    <w:p w14:paraId="30195668" w14:textId="77777777" w:rsidR="00BA02A1" w:rsidRPr="005F17DE" w:rsidRDefault="00BA02A1" w:rsidP="00993154">
      <w:pPr>
        <w:pStyle w:val="ListParagraph"/>
        <w:numPr>
          <w:ilvl w:val="0"/>
          <w:numId w:val="6"/>
        </w:numPr>
        <w:rPr>
          <w:rFonts w:cs="Times New Roman"/>
          <w:noProof/>
        </w:rPr>
      </w:pPr>
      <w:r w:rsidRPr="005F17DE">
        <w:rPr>
          <w:rStyle w:val="Strong"/>
          <w:rFonts w:cs="Times New Roman"/>
          <w:b w:val="0"/>
          <w:bCs w:val="0"/>
          <w:noProof/>
        </w:rPr>
        <w:t>Enhance knowledge sharing</w:t>
      </w:r>
      <w:r w:rsidRPr="005F17DE">
        <w:rPr>
          <w:rFonts w:cs="Times New Roman"/>
          <w:noProof/>
        </w:rPr>
        <w:t xml:space="preserve"> by providing access to sustainability-focused resources and case studies via a digital platform, with a goal of 90% of attendees accessing the resources post-conference, reinforcing long-term industry engagement in sustainable practices.</w:t>
      </w:r>
    </w:p>
    <w:p w14:paraId="3865636E" w14:textId="4BADCFE4" w:rsidR="00BA02A1" w:rsidRPr="005F17DE" w:rsidRDefault="00BA02A1" w:rsidP="00993154">
      <w:pPr>
        <w:rPr>
          <w:rFonts w:cs="Times New Roman"/>
          <w:noProof/>
        </w:rPr>
      </w:pPr>
      <w:r w:rsidRPr="005F17DE">
        <w:rPr>
          <w:rFonts w:cs="Times New Roman"/>
          <w:noProof/>
        </w:rPr>
        <w:t>These objectives align with the event's commitment to fostering a sustainable future for winter tourism, leveraging collaboration, education, and actionable insights.</w:t>
      </w:r>
    </w:p>
    <w:p w14:paraId="33C996B5" w14:textId="257E5564" w:rsidR="00BA02A1" w:rsidRPr="005F17DE" w:rsidRDefault="0090796A" w:rsidP="00993154">
      <w:pPr>
        <w:pStyle w:val="Heading1"/>
        <w:rPr>
          <w:rFonts w:cs="Times New Roman"/>
          <w:bCs/>
          <w:noProof/>
          <w:sz w:val="24"/>
          <w:szCs w:val="24"/>
        </w:rPr>
      </w:pPr>
      <w:bookmarkStart w:id="7" w:name="_Toc181211037"/>
      <w:r w:rsidRPr="005F17DE">
        <w:rPr>
          <w:rStyle w:val="Strong"/>
          <w:rFonts w:cs="Times New Roman"/>
          <w:b/>
          <w:bCs w:val="0"/>
          <w:noProof/>
        </w:rPr>
        <w:lastRenderedPageBreak/>
        <w:t xml:space="preserve">5. </w:t>
      </w:r>
      <w:r w:rsidR="00BA02A1" w:rsidRPr="005F17DE">
        <w:rPr>
          <w:rStyle w:val="Strong"/>
          <w:rFonts w:cs="Times New Roman"/>
          <w:b/>
          <w:bCs w:val="0"/>
          <w:noProof/>
        </w:rPr>
        <w:t>Event Management</w:t>
      </w:r>
      <w:bookmarkEnd w:id="7"/>
    </w:p>
    <w:p w14:paraId="36B3B88A" w14:textId="77777777" w:rsidR="008450D2" w:rsidRPr="005F17DE" w:rsidRDefault="008450D2" w:rsidP="00993154">
      <w:pPr>
        <w:rPr>
          <w:rFonts w:cs="Times New Roman"/>
          <w:noProof/>
        </w:rPr>
      </w:pPr>
      <w:r w:rsidRPr="005F17DE">
        <w:rPr>
          <w:rFonts w:cs="Times New Roman"/>
          <w:noProof/>
        </w:rPr>
        <w:t>Ensuring the effective and successful running of the Winter Sports Tourism Conference 2024 calls on operational, planning, and marketing responsibilities. Event management—which covers logistics and strategic promotions—supported by the conference's sustainable tourism linkages and industry information exchange supports these areas.</w:t>
      </w:r>
    </w:p>
    <w:p w14:paraId="22BC9419" w14:textId="6EB400FA" w:rsidR="00FD6A0A" w:rsidRPr="005F17DE" w:rsidRDefault="0090796A" w:rsidP="00993154">
      <w:pPr>
        <w:pStyle w:val="Heading2"/>
        <w:rPr>
          <w:rFonts w:cs="Times New Roman"/>
          <w:b w:val="0"/>
          <w:bCs/>
          <w:noProof/>
        </w:rPr>
      </w:pPr>
      <w:bookmarkStart w:id="8" w:name="_Toc181211038"/>
      <w:r w:rsidRPr="005F17DE">
        <w:rPr>
          <w:rStyle w:val="Strong"/>
          <w:rFonts w:cs="Times New Roman"/>
          <w:b/>
          <w:bCs w:val="0"/>
          <w:noProof/>
        </w:rPr>
        <w:t xml:space="preserve">5.1 </w:t>
      </w:r>
      <w:r w:rsidR="00BA02A1" w:rsidRPr="005F17DE">
        <w:rPr>
          <w:rStyle w:val="Strong"/>
          <w:rFonts w:cs="Times New Roman"/>
          <w:b/>
          <w:bCs w:val="0"/>
          <w:noProof/>
        </w:rPr>
        <w:t>Operational Requirements</w:t>
      </w:r>
      <w:bookmarkEnd w:id="8"/>
    </w:p>
    <w:p w14:paraId="22A22E9B" w14:textId="1A81EB66" w:rsidR="008450D2" w:rsidRPr="005F17DE" w:rsidRDefault="008450D2" w:rsidP="00993154">
      <w:pPr>
        <w:rPr>
          <w:rFonts w:cs="Times New Roman"/>
          <w:noProof/>
        </w:rPr>
      </w:pPr>
      <w:r w:rsidRPr="005F17DE">
        <w:rPr>
          <w:rFonts w:cs="Times New Roman"/>
          <w:noProof/>
        </w:rPr>
        <w:t>Venue logistics, food, and technology support must all be painstakingly organised if one is to ensure the success of an event (Jones 2017). The Edinburgh International Conference Centre (EICC) was chosen because of its modern conveniences and proximity to winter sports venues, which matched the environmentally sustainable focus of the event (EICC, 2019). Energy-efficient utilities, sustainable waste management, and accessibility (Dowson et al., 2022) are required by venue logistics and event environmental objectives for which Catering events should mostly centre local, sustainable, plant-based, environmentally friendly cuisine. Lectures, seminars, and live-streaming for both in-person and remote guests also call for technological support (Getz and Page, 2019). An event of this scope and importance calls for technical administration to help to minimise disruptions and enable real-time participation (Brochado et al., 2022).</w:t>
      </w:r>
    </w:p>
    <w:p w14:paraId="4C09C062" w14:textId="77777777" w:rsidR="0090796A" w:rsidRPr="005F17DE" w:rsidRDefault="0090796A" w:rsidP="00993154">
      <w:pPr>
        <w:pStyle w:val="Heading2"/>
        <w:rPr>
          <w:rFonts w:cs="Times New Roman"/>
          <w:b w:val="0"/>
          <w:bCs/>
          <w:noProof/>
        </w:rPr>
      </w:pPr>
      <w:bookmarkStart w:id="9" w:name="_Toc181211039"/>
      <w:r w:rsidRPr="005F17DE">
        <w:rPr>
          <w:rStyle w:val="Strong"/>
          <w:rFonts w:cs="Times New Roman"/>
          <w:b/>
          <w:bCs w:val="0"/>
          <w:noProof/>
        </w:rPr>
        <w:t xml:space="preserve">5.2 </w:t>
      </w:r>
      <w:r w:rsidR="00BA02A1" w:rsidRPr="005F17DE">
        <w:rPr>
          <w:rStyle w:val="Strong"/>
          <w:rFonts w:cs="Times New Roman"/>
          <w:b/>
          <w:bCs w:val="0"/>
          <w:noProof/>
        </w:rPr>
        <w:t>Planning</w:t>
      </w:r>
      <w:bookmarkEnd w:id="9"/>
    </w:p>
    <w:p w14:paraId="44872E50" w14:textId="5B367E74" w:rsidR="008450D2" w:rsidRPr="005F17DE" w:rsidRDefault="008450D2" w:rsidP="00993154">
      <w:pPr>
        <w:rPr>
          <w:rFonts w:cs="Times New Roman"/>
          <w:noProof/>
        </w:rPr>
      </w:pPr>
      <w:r w:rsidRPr="005F17DE">
        <w:rPr>
          <w:rFonts w:cs="Times New Roman"/>
          <w:noProof/>
        </w:rPr>
        <w:t>Planning calls for the creation of backup plans, the distribution of exact resources, and the building of a chronology (Parent and Ruetsch</w:t>
      </w:r>
      <w:r w:rsidR="00992C4A" w:rsidRPr="005F17DE">
        <w:rPr>
          <w:rFonts w:cs="Times New Roman"/>
          <w:noProof/>
        </w:rPr>
        <w:t>,</w:t>
      </w:r>
      <w:r w:rsidRPr="005F17DE">
        <w:rPr>
          <w:rFonts w:cs="Times New Roman"/>
          <w:noProof/>
        </w:rPr>
        <w:t xml:space="preserve"> 2020). Effective resource allocation depends on sustainable materials and budgets that fit the event's aims for sustainability (Jones, 2017). The investment in environmentally friendly event supplies and renewable energy by the event indicates its dedication to responsible travel (Abdellatif, Hicham</w:t>
      </w:r>
      <w:r w:rsidR="00992C4A" w:rsidRPr="005F17DE">
        <w:rPr>
          <w:rFonts w:cs="Times New Roman"/>
          <w:noProof/>
        </w:rPr>
        <w:t xml:space="preserve"> </w:t>
      </w:r>
      <w:r w:rsidRPr="005F17DE">
        <w:rPr>
          <w:rFonts w:cs="Times New Roman"/>
          <w:noProof/>
        </w:rPr>
        <w:t>and Karim, 2024). From the first coordination of logistics and advertising to the post-event assessments, the formulation of a timeline guarantees that all activities are finished on time. Particularly for important events, Dowson et al. (2022) underline the need of contingency planning in helping the event management team to control technology difficulties and cancellements. At this meeting, backup power, remote travel, and flexible event venues might be accessible for last-minute changes.</w:t>
      </w:r>
    </w:p>
    <w:p w14:paraId="602918C4" w14:textId="7B9B0AEA" w:rsidR="00FD6A0A" w:rsidRPr="005F17DE" w:rsidRDefault="0090796A" w:rsidP="00993154">
      <w:pPr>
        <w:pStyle w:val="Heading2"/>
        <w:rPr>
          <w:rFonts w:cs="Times New Roman"/>
          <w:b w:val="0"/>
          <w:bCs/>
          <w:noProof/>
        </w:rPr>
      </w:pPr>
      <w:bookmarkStart w:id="10" w:name="_Toc181211040"/>
      <w:r w:rsidRPr="005F17DE">
        <w:rPr>
          <w:rStyle w:val="Strong"/>
          <w:rFonts w:cs="Times New Roman"/>
          <w:b/>
          <w:bCs w:val="0"/>
          <w:noProof/>
        </w:rPr>
        <w:t xml:space="preserve">5.3 </w:t>
      </w:r>
      <w:r w:rsidR="00BA02A1" w:rsidRPr="005F17DE">
        <w:rPr>
          <w:rStyle w:val="Strong"/>
          <w:rFonts w:cs="Times New Roman"/>
          <w:b/>
          <w:bCs w:val="0"/>
          <w:noProof/>
        </w:rPr>
        <w:t>Marketing Activities</w:t>
      </w:r>
      <w:bookmarkEnd w:id="10"/>
    </w:p>
    <w:p w14:paraId="1B1E5C21" w14:textId="77777777" w:rsidR="008450D2" w:rsidRPr="005F17DE" w:rsidRDefault="008450D2" w:rsidP="00993154">
      <w:pPr>
        <w:rPr>
          <w:rFonts w:cs="Times New Roman"/>
          <w:noProof/>
        </w:rPr>
      </w:pPr>
      <w:r w:rsidRPr="005F17DE">
        <w:rPr>
          <w:rFonts w:cs="Times New Roman"/>
          <w:noProof/>
        </w:rPr>
        <w:t xml:space="preserve">The event's marketing targets people working in the travel and winter sports sectors. Content on LinkedIn and industry forums as well as focused ads help relevant audiences to be reached. </w:t>
      </w:r>
      <w:r w:rsidRPr="005F17DE">
        <w:rPr>
          <w:rFonts w:cs="Times New Roman"/>
          <w:noProof/>
        </w:rPr>
        <w:lastRenderedPageBreak/>
        <w:t>Working with business leaders that give sustainability a priority will increase the conference attendees (Getz and Page, 2019). The marketing effort highlights the conference's focus on sustainable travel and offers analysis of past events to build credibility and draw well-known attendees (Dowson et al., 2022). Content marketing on LinkedIn and Instagram can promote environmentally friendly partnerships and keynote speakers to boost attendance and build excitement.</w:t>
      </w:r>
    </w:p>
    <w:p w14:paraId="76C122EB" w14:textId="77777777" w:rsidR="008450D2" w:rsidRPr="005F17DE" w:rsidRDefault="008450D2" w:rsidP="00993154">
      <w:pPr>
        <w:rPr>
          <w:rFonts w:cs="Times New Roman"/>
          <w:noProof/>
        </w:rPr>
      </w:pPr>
      <w:r w:rsidRPr="005F17DE">
        <w:rPr>
          <w:rFonts w:cs="Times New Roman"/>
          <w:noProof/>
        </w:rPr>
        <w:t>Using Dowson et al.'s (2022) event planning and contingency approaches, the management style of the Winter Sports Tourism Conference combines its sustainable tourism goal with operational, planning, and marketing activities. This proactive, well-planned strategy is very necessary for a successful event that satisfies participant expectations and reaches industry long-term growth targets.</w:t>
      </w:r>
    </w:p>
    <w:p w14:paraId="05DAC0E9" w14:textId="0BFCBBEE" w:rsidR="00BA02A1" w:rsidRPr="005F17DE" w:rsidRDefault="0090796A" w:rsidP="00993154">
      <w:pPr>
        <w:pStyle w:val="Heading1"/>
        <w:rPr>
          <w:rFonts w:cs="Times New Roman"/>
          <w:bCs/>
          <w:noProof/>
          <w:sz w:val="24"/>
          <w:szCs w:val="24"/>
        </w:rPr>
      </w:pPr>
      <w:bookmarkStart w:id="11" w:name="_Toc181211041"/>
      <w:r w:rsidRPr="005F17DE">
        <w:rPr>
          <w:rStyle w:val="Strong"/>
          <w:rFonts w:cs="Times New Roman"/>
          <w:b/>
          <w:bCs w:val="0"/>
          <w:noProof/>
        </w:rPr>
        <w:t xml:space="preserve">6. </w:t>
      </w:r>
      <w:r w:rsidR="00BA02A1" w:rsidRPr="005F17DE">
        <w:rPr>
          <w:rStyle w:val="Strong"/>
          <w:rFonts w:cs="Times New Roman"/>
          <w:b/>
          <w:bCs w:val="0"/>
          <w:noProof/>
        </w:rPr>
        <w:t>Event Budget</w:t>
      </w:r>
      <w:bookmarkEnd w:id="11"/>
    </w:p>
    <w:p w14:paraId="15442277" w14:textId="77777777" w:rsidR="008450D2" w:rsidRPr="005F17DE" w:rsidRDefault="008450D2" w:rsidP="00993154">
      <w:pPr>
        <w:rPr>
          <w:rFonts w:cs="Times New Roman"/>
          <w:noProof/>
        </w:rPr>
      </w:pPr>
      <w:r w:rsidRPr="005F17DE">
        <w:rPr>
          <w:rFonts w:cs="Times New Roman"/>
          <w:noProof/>
        </w:rPr>
        <w:t>The Winter Sports Tourism Conference's 2024 budget promises financial stability and encourages environmental sustainability. A thorough financial projection must balance predicted income and expenses if one is to reach profitability and a favourable ROI (Parent and Ruetsch, 2020). Using good financial forecasting, Smith (2012) argues that event managers can evaluate the sustainability of an event, allocate resources, and spot financial issues ahead of time.</w:t>
      </w:r>
    </w:p>
    <w:p w14:paraId="6AACF839" w14:textId="1682EDC9" w:rsidR="00FD6A0A" w:rsidRPr="005F17DE" w:rsidRDefault="0090796A" w:rsidP="00993154">
      <w:pPr>
        <w:pStyle w:val="Heading2"/>
        <w:rPr>
          <w:rFonts w:cs="Times New Roman"/>
          <w:b w:val="0"/>
          <w:bCs/>
          <w:noProof/>
        </w:rPr>
      </w:pPr>
      <w:bookmarkStart w:id="12" w:name="_Toc181211042"/>
      <w:r w:rsidRPr="005F17DE">
        <w:rPr>
          <w:rStyle w:val="Strong"/>
          <w:rFonts w:cs="Times New Roman"/>
          <w:b/>
          <w:bCs w:val="0"/>
          <w:noProof/>
        </w:rPr>
        <w:t xml:space="preserve">6.1 </w:t>
      </w:r>
      <w:r w:rsidR="00BA02A1" w:rsidRPr="005F17DE">
        <w:rPr>
          <w:rStyle w:val="Strong"/>
          <w:rFonts w:cs="Times New Roman"/>
          <w:b/>
          <w:bCs w:val="0"/>
          <w:noProof/>
        </w:rPr>
        <w:t>Revenue Sources</w:t>
      </w:r>
      <w:bookmarkEnd w:id="12"/>
    </w:p>
    <w:p w14:paraId="43A9679A" w14:textId="77777777" w:rsidR="008450D2" w:rsidRPr="005F17DE" w:rsidRDefault="008450D2" w:rsidP="00993154">
      <w:pPr>
        <w:rPr>
          <w:rFonts w:cs="Times New Roman"/>
          <w:noProof/>
        </w:rPr>
      </w:pPr>
      <w:r w:rsidRPr="005F17DE">
        <w:rPr>
          <w:rFonts w:cs="Times New Roman"/>
          <w:noProof/>
        </w:rPr>
        <w:t>Principal income sources are ticket sales, sponsorships, and exhibitor fees. With 500 expected attendees, tickets costing £200 might perhaps bring £100,000 each. Additionally expected to contribute £15,000 are environmentally concerned winter sports and tourist firms; exhibitor fees of £500 for every one of the 20 participating companies are expected to bring £10,000. These combined income sources are meant to guarantee that the event's financial goals are satisfied and that the required tools are at hand to offer a significant and high-quality experience.</w:t>
      </w:r>
    </w:p>
    <w:p w14:paraId="3C3E8C4F" w14:textId="792F3D10" w:rsidR="00FD6A0A" w:rsidRPr="005F17DE" w:rsidRDefault="0090796A" w:rsidP="00993154">
      <w:pPr>
        <w:pStyle w:val="Heading2"/>
        <w:rPr>
          <w:rFonts w:cs="Times New Roman"/>
          <w:bCs/>
          <w:noProof/>
        </w:rPr>
      </w:pPr>
      <w:bookmarkStart w:id="13" w:name="_Toc181211043"/>
      <w:r w:rsidRPr="005F17DE">
        <w:rPr>
          <w:rStyle w:val="Strong"/>
          <w:rFonts w:cs="Times New Roman"/>
          <w:b/>
          <w:bCs w:val="0"/>
          <w:noProof/>
        </w:rPr>
        <w:t xml:space="preserve">6.2 </w:t>
      </w:r>
      <w:r w:rsidR="00BA02A1" w:rsidRPr="005F17DE">
        <w:rPr>
          <w:rStyle w:val="Strong"/>
          <w:rFonts w:cs="Times New Roman"/>
          <w:b/>
          <w:bCs w:val="0"/>
          <w:noProof/>
        </w:rPr>
        <w:t>Expenditures</w:t>
      </w:r>
      <w:bookmarkEnd w:id="13"/>
    </w:p>
    <w:p w14:paraId="375F7284" w14:textId="6E114D5D" w:rsidR="008450D2" w:rsidRPr="005F17DE" w:rsidRDefault="008450D2" w:rsidP="00993154">
      <w:pPr>
        <w:rPr>
          <w:rFonts w:cs="Times New Roman"/>
          <w:noProof/>
        </w:rPr>
      </w:pPr>
      <w:r w:rsidRPr="005F17DE">
        <w:rPr>
          <w:rFonts w:cs="Times New Roman"/>
          <w:noProof/>
        </w:rPr>
        <w:t xml:space="preserve">Venue rental, catering, marketing, AV support, and sustainability initiatives rank first among the main outlays. Rentable from £12,000 for an environmentally conscious event, the Edinburgh International Conference Centre (EICC) is the £12,500 catering for the occasion will mirror its principles and give local, environmentally friendly choices top priority. Among </w:t>
      </w:r>
      <w:r w:rsidRPr="005F17DE">
        <w:rPr>
          <w:rFonts w:cs="Times New Roman"/>
          <w:noProof/>
        </w:rPr>
        <w:lastRenderedPageBreak/>
        <w:t>the marketing campaigns granted £8,000 are digital and focused industry outreach. £7,000 in AV support is required both for presentation and broadcasting live. Sustainability projects including waste reduction and renewable energy get £5,925, or 15% of the budget.</w:t>
      </w:r>
    </w:p>
    <w:p w14:paraId="7BD1D71D" w14:textId="28B08ADA" w:rsidR="00FD6A0A" w:rsidRPr="005F17DE" w:rsidRDefault="0090796A" w:rsidP="00993154">
      <w:pPr>
        <w:pStyle w:val="Heading2"/>
        <w:rPr>
          <w:rFonts w:cs="Times New Roman"/>
          <w:bCs/>
          <w:noProof/>
        </w:rPr>
      </w:pPr>
      <w:bookmarkStart w:id="14" w:name="_Toc181211044"/>
      <w:r w:rsidRPr="005F17DE">
        <w:rPr>
          <w:rStyle w:val="Strong"/>
          <w:rFonts w:cs="Times New Roman"/>
          <w:b/>
          <w:bCs w:val="0"/>
          <w:noProof/>
        </w:rPr>
        <w:t xml:space="preserve">6.3 </w:t>
      </w:r>
      <w:r w:rsidR="00BA02A1" w:rsidRPr="005F17DE">
        <w:rPr>
          <w:rStyle w:val="Strong"/>
          <w:rFonts w:cs="Times New Roman"/>
          <w:b/>
          <w:bCs w:val="0"/>
          <w:noProof/>
        </w:rPr>
        <w:t>Financial Analysis</w:t>
      </w:r>
      <w:bookmarkEnd w:id="14"/>
    </w:p>
    <w:p w14:paraId="0526A23E" w14:textId="3190B26C" w:rsidR="00BA02A1" w:rsidRPr="005F17DE" w:rsidRDefault="008450D2" w:rsidP="00993154">
      <w:pPr>
        <w:rPr>
          <w:rFonts w:cs="Times New Roman"/>
          <w:noProof/>
        </w:rPr>
      </w:pPr>
      <w:r w:rsidRPr="005F17DE">
        <w:rPr>
          <w:rFonts w:cs="Times New Roman"/>
          <w:noProof/>
        </w:rPr>
        <w:t>The net profit of £79,575—generated by an expected £125,000 in income and £45,425 in expenses—showcases financial viability. According to Smith (2012), lucrative events that meet long-term strategic goals call for thorough planning and financial forecasting—which this high ROI supports. By matching expenses with sustainable methods, the Winter Sports Tourism Conference not only meets its financial goals but also shows its commitment to ecologically friendly corporate behaviour. This can lead to more participation of stakeholders and sponsorship chances.</w:t>
      </w:r>
      <w:r w:rsidR="00BA02A1" w:rsidRPr="005F17DE">
        <w:rPr>
          <w:rFonts w:cs="Times New Roman"/>
          <w:noProof/>
        </w:rPr>
        <w:br w:type="page"/>
      </w:r>
    </w:p>
    <w:p w14:paraId="5888B037" w14:textId="76772A79" w:rsidR="00BA02A1" w:rsidRPr="005F17DE" w:rsidRDefault="0090796A" w:rsidP="00993154">
      <w:pPr>
        <w:pStyle w:val="Heading1"/>
        <w:rPr>
          <w:rFonts w:cs="Times New Roman"/>
          <w:bCs/>
          <w:noProof/>
          <w:sz w:val="24"/>
          <w:szCs w:val="24"/>
        </w:rPr>
      </w:pPr>
      <w:bookmarkStart w:id="15" w:name="_Toc181211045"/>
      <w:r w:rsidRPr="005F17DE">
        <w:rPr>
          <w:rStyle w:val="Strong"/>
          <w:rFonts w:cs="Times New Roman"/>
          <w:b/>
          <w:bCs w:val="0"/>
          <w:noProof/>
        </w:rPr>
        <w:lastRenderedPageBreak/>
        <w:t xml:space="preserve">7. </w:t>
      </w:r>
      <w:r w:rsidR="00BA02A1" w:rsidRPr="005F17DE">
        <w:rPr>
          <w:rStyle w:val="Strong"/>
          <w:rFonts w:cs="Times New Roman"/>
          <w:b/>
          <w:bCs w:val="0"/>
          <w:noProof/>
        </w:rPr>
        <w:t>Industry Trends/Issues/Impacts</w:t>
      </w:r>
      <w:bookmarkEnd w:id="15"/>
    </w:p>
    <w:p w14:paraId="3E1410CF" w14:textId="77777777" w:rsidR="008450D2" w:rsidRPr="005F17DE" w:rsidRDefault="008450D2" w:rsidP="00993154">
      <w:pPr>
        <w:rPr>
          <w:rFonts w:cs="Times New Roman"/>
          <w:noProof/>
        </w:rPr>
      </w:pPr>
      <w:r w:rsidRPr="005F17DE">
        <w:rPr>
          <w:rFonts w:cs="Times New Roman"/>
          <w:noProof/>
        </w:rPr>
        <w:t>In the tourist and sports sectors, a range of dynamic trends, issues, and elements shapes event planning strategies and outcomes. As sustainability takes front stage worldwide, demand for environmentally friendly events and travel has exploded (Getz and Page, 2019). These issues are meant to be addressed and combined at the Winter Sports Tourism Conference 2024 to enable more sustainable and resilient event operations.</w:t>
      </w:r>
    </w:p>
    <w:p w14:paraId="7AFB7C72" w14:textId="52BE3D9B" w:rsidR="00FD6A0A" w:rsidRPr="005F17DE" w:rsidRDefault="0090796A" w:rsidP="00993154">
      <w:pPr>
        <w:pStyle w:val="Heading2"/>
        <w:rPr>
          <w:rFonts w:cs="Times New Roman"/>
          <w:bCs/>
          <w:noProof/>
        </w:rPr>
      </w:pPr>
      <w:bookmarkStart w:id="16" w:name="_Toc181211046"/>
      <w:r w:rsidRPr="005F17DE">
        <w:rPr>
          <w:rStyle w:val="Strong"/>
          <w:rFonts w:cs="Times New Roman"/>
          <w:b/>
          <w:bCs w:val="0"/>
          <w:noProof/>
        </w:rPr>
        <w:t xml:space="preserve">7.1 </w:t>
      </w:r>
      <w:r w:rsidR="00BA02A1" w:rsidRPr="005F17DE">
        <w:rPr>
          <w:rStyle w:val="Strong"/>
          <w:rFonts w:cs="Times New Roman"/>
          <w:b/>
          <w:bCs w:val="0"/>
          <w:noProof/>
        </w:rPr>
        <w:t>Trends: Growing Demand for Eco-Tourism</w:t>
      </w:r>
      <w:bookmarkEnd w:id="16"/>
    </w:p>
    <w:p w14:paraId="1E7C5580" w14:textId="77777777" w:rsidR="00645128" w:rsidRPr="005F17DE" w:rsidRDefault="00645128" w:rsidP="00993154">
      <w:pPr>
        <w:rPr>
          <w:rFonts w:cs="Times New Roman"/>
          <w:noProof/>
        </w:rPr>
      </w:pPr>
      <w:r w:rsidRPr="005F17DE">
        <w:rPr>
          <w:rFonts w:cs="Times New Roman"/>
          <w:noProof/>
        </w:rPr>
        <w:t>Growing environmental concern and customer demand for responsible travel have driven demand for eco-tourism upward (Leber, 2024). Eco-tourism affects sports and tourism as, per Streimikiene et al. (2021), consumers choose sites and events that lower carbon footprints and protect the environment. This trend makes the Winter Sports Tourism Conference give sustainable practices top priority: the use of renewable energy, trash minimisation, and brand cooperation with environmentally friendly companies. The event satisfies the market for sustainable winter sports tourist practices and ranks among leaders in environmentally friendly event activities.</w:t>
      </w:r>
    </w:p>
    <w:p w14:paraId="6A3A7F33" w14:textId="521E7D45" w:rsidR="00FD6A0A" w:rsidRPr="005F17DE" w:rsidRDefault="0090796A" w:rsidP="00993154">
      <w:pPr>
        <w:pStyle w:val="Heading2"/>
        <w:rPr>
          <w:rFonts w:cs="Times New Roman"/>
          <w:bCs/>
          <w:noProof/>
        </w:rPr>
      </w:pPr>
      <w:bookmarkStart w:id="17" w:name="_Toc181211047"/>
      <w:r w:rsidRPr="005F17DE">
        <w:rPr>
          <w:rStyle w:val="Strong"/>
          <w:rFonts w:cs="Times New Roman"/>
          <w:b/>
          <w:bCs w:val="0"/>
          <w:noProof/>
        </w:rPr>
        <w:t xml:space="preserve">7.2 </w:t>
      </w:r>
      <w:r w:rsidR="00BA02A1" w:rsidRPr="005F17DE">
        <w:rPr>
          <w:rStyle w:val="Strong"/>
          <w:rFonts w:cs="Times New Roman"/>
          <w:b/>
          <w:bCs w:val="0"/>
          <w:noProof/>
        </w:rPr>
        <w:t>Issues: Climate Change and Winter Sports</w:t>
      </w:r>
      <w:bookmarkEnd w:id="17"/>
    </w:p>
    <w:p w14:paraId="67619CC9" w14:textId="77777777" w:rsidR="00645128" w:rsidRPr="005F17DE" w:rsidRDefault="00645128" w:rsidP="00993154">
      <w:pPr>
        <w:rPr>
          <w:rFonts w:cs="Times New Roman"/>
          <w:noProof/>
        </w:rPr>
      </w:pPr>
      <w:r w:rsidRPr="005F17DE">
        <w:rPr>
          <w:rFonts w:cs="Times New Roman"/>
          <w:noProof/>
        </w:rPr>
        <w:t>Climate change greatly influences travel for winter sports. Rising temperatures and erratic weather endanger winter sports venues, which depend on snowfall and cold conditions (Witting and Schmude, 2024). This uncertainty affects the availability and quality of winter sports tourism as well as the long-term sustainability issues of interest to stakeholders. In order to protect winter sports venues, professionals can participate in debates on sustainable practices and climate adaptation at the Winter Sports Tourism Conference (Leber, 2024). Mair and Smith (2022) claim that the need of resilience-oriented practices—which are impacted by climate change—renders the event planning industry more sustainable.</w:t>
      </w:r>
    </w:p>
    <w:p w14:paraId="0A5FCD1B" w14:textId="774F3120" w:rsidR="00FD6A0A" w:rsidRPr="005F17DE" w:rsidRDefault="0090796A" w:rsidP="00993154">
      <w:pPr>
        <w:pStyle w:val="Heading2"/>
        <w:rPr>
          <w:rFonts w:cs="Times New Roman"/>
          <w:bCs/>
          <w:noProof/>
        </w:rPr>
      </w:pPr>
      <w:bookmarkStart w:id="18" w:name="_Toc181211048"/>
      <w:r w:rsidRPr="005F17DE">
        <w:rPr>
          <w:rStyle w:val="Strong"/>
          <w:rFonts w:cs="Times New Roman"/>
          <w:b/>
          <w:bCs w:val="0"/>
          <w:noProof/>
        </w:rPr>
        <w:t xml:space="preserve">7.3 </w:t>
      </w:r>
      <w:r w:rsidR="00BA02A1" w:rsidRPr="005F17DE">
        <w:rPr>
          <w:rStyle w:val="Strong"/>
          <w:rFonts w:cs="Times New Roman"/>
          <w:b/>
          <w:bCs w:val="0"/>
          <w:noProof/>
        </w:rPr>
        <w:t>Impacts: Shift Toward Sustainable Event Practices</w:t>
      </w:r>
      <w:bookmarkEnd w:id="18"/>
    </w:p>
    <w:p w14:paraId="79747884" w14:textId="549E08B9" w:rsidR="00645128" w:rsidRPr="005F17DE" w:rsidRDefault="00645128" w:rsidP="00993154">
      <w:pPr>
        <w:rPr>
          <w:rFonts w:cs="Times New Roman"/>
          <w:noProof/>
        </w:rPr>
      </w:pPr>
      <w:r w:rsidRPr="005F17DE">
        <w:rPr>
          <w:rFonts w:cs="Times New Roman"/>
          <w:noProof/>
        </w:rPr>
        <w:t xml:space="preserve">Sustainable event practices that the sector has embraced have a major effect on the event organisation and view of events (Leber, 2024). Mair and Smith (2022) claim that by encouraging environmentally friendly locations, green technologies, and sustainable supply chains, sustainable event planning has transformed the sector. Environmental sustainability in operations, planning, and marketing is strongly valued by the Winter Sports Tourism Conference. The conference's dedication to industry sustainability is shown by its </w:t>
      </w:r>
      <w:r w:rsidRPr="005F17DE">
        <w:rPr>
          <w:rFonts w:cs="Times New Roman"/>
          <w:noProof/>
        </w:rPr>
        <w:lastRenderedPageBreak/>
        <w:t>environmentally friendly site logistics, sustainable cuisine, and alliances with environmentally friendly firms (Abdellatif, Hicham and Karim, 2024).</w:t>
      </w:r>
    </w:p>
    <w:p w14:paraId="461546B8" w14:textId="77777777" w:rsidR="00645128" w:rsidRPr="005F17DE" w:rsidRDefault="00645128" w:rsidP="00993154">
      <w:pPr>
        <w:rPr>
          <w:rFonts w:cs="Times New Roman"/>
          <w:noProof/>
        </w:rPr>
      </w:pPr>
      <w:r w:rsidRPr="005F17DE">
        <w:rPr>
          <w:rFonts w:cs="Times New Roman"/>
          <w:noProof/>
        </w:rPr>
        <w:t>The growing demand for eco-tourism, the difficulties caused by climate change, and the acceptance of sustainable practices affect the events sector. By matching with present trends and satisfying the needs of environmentally conscious consumers, the Winter Sports Tourism Conference strengthens its reputation as a forward-looking event supporting the survival of winter sports tourism. The event emphasises the need of industry innovation and flexibility in order to solve environmental and consumer issues.</w:t>
      </w:r>
    </w:p>
    <w:p w14:paraId="01962353" w14:textId="375EACBB" w:rsidR="00BA02A1" w:rsidRPr="005F17DE" w:rsidRDefault="0090796A" w:rsidP="00993154">
      <w:pPr>
        <w:pStyle w:val="Heading1"/>
        <w:rPr>
          <w:rFonts w:cs="Times New Roman"/>
          <w:noProof/>
        </w:rPr>
      </w:pPr>
      <w:bookmarkStart w:id="19" w:name="_Toc181211049"/>
      <w:r w:rsidRPr="005F17DE">
        <w:rPr>
          <w:rStyle w:val="Strong"/>
          <w:rFonts w:cs="Times New Roman"/>
          <w:b/>
          <w:bCs w:val="0"/>
          <w:noProof/>
        </w:rPr>
        <w:t xml:space="preserve">8. </w:t>
      </w:r>
      <w:r w:rsidR="00BA02A1" w:rsidRPr="005F17DE">
        <w:rPr>
          <w:rStyle w:val="Strong"/>
          <w:rFonts w:cs="Times New Roman"/>
          <w:b/>
          <w:bCs w:val="0"/>
          <w:noProof/>
        </w:rPr>
        <w:t>Situational and Cultural Considerations</w:t>
      </w:r>
      <w:bookmarkEnd w:id="19"/>
    </w:p>
    <w:p w14:paraId="69DEEFCB" w14:textId="1B59808A" w:rsidR="00645128" w:rsidRPr="005F17DE" w:rsidRDefault="00645128" w:rsidP="00993154">
      <w:pPr>
        <w:rPr>
          <w:rFonts w:cs="Times New Roman"/>
          <w:noProof/>
        </w:rPr>
      </w:pPr>
      <w:r w:rsidRPr="005F17DE">
        <w:rPr>
          <w:rFonts w:cs="Times New Roman"/>
          <w:noProof/>
        </w:rPr>
        <w:t>The PESTEL study of situational and cultural components of the Winter Sports Tourism Conference 2024 shows the possible influence of outside elements on event planning and execution. Designed to help event planners strategically handle Political, Economic, Social, Technological, Environmental, and Legal elements, PESTEL is a business analysis tool (Fox et al., 2014). Apart from situational issues, it is essential to recognise cultural nuances to meet the expectations of a foreign audience and create cosmopolitan surroundings.</w:t>
      </w:r>
    </w:p>
    <w:p w14:paraId="62312429" w14:textId="68E43133" w:rsidR="00BA02A1" w:rsidRPr="005F17DE" w:rsidRDefault="0090796A" w:rsidP="00993154">
      <w:pPr>
        <w:pStyle w:val="Heading2"/>
        <w:rPr>
          <w:rStyle w:val="Strong"/>
          <w:rFonts w:cs="Times New Roman"/>
          <w:b/>
          <w:bCs w:val="0"/>
          <w:noProof/>
        </w:rPr>
      </w:pPr>
      <w:bookmarkStart w:id="20" w:name="_Toc181211050"/>
      <w:r w:rsidRPr="005F17DE">
        <w:rPr>
          <w:rStyle w:val="Strong"/>
          <w:rFonts w:cs="Times New Roman"/>
          <w:b/>
          <w:bCs w:val="0"/>
          <w:noProof/>
        </w:rPr>
        <w:t xml:space="preserve">8.1 </w:t>
      </w:r>
      <w:r w:rsidR="00BA02A1" w:rsidRPr="005F17DE">
        <w:rPr>
          <w:rStyle w:val="Strong"/>
          <w:rFonts w:cs="Times New Roman"/>
          <w:b/>
          <w:bCs w:val="0"/>
          <w:noProof/>
        </w:rPr>
        <w:t>PESTEL Analysis</w:t>
      </w:r>
      <w:bookmarkEnd w:id="20"/>
    </w:p>
    <w:tbl>
      <w:tblPr>
        <w:tblStyle w:val="TableGrid"/>
        <w:tblW w:w="0" w:type="auto"/>
        <w:tblLook w:val="04A0" w:firstRow="1" w:lastRow="0" w:firstColumn="1" w:lastColumn="0" w:noHBand="0" w:noVBand="1"/>
      </w:tblPr>
      <w:tblGrid>
        <w:gridCol w:w="1763"/>
        <w:gridCol w:w="7253"/>
      </w:tblGrid>
      <w:tr w:rsidR="0090796A" w:rsidRPr="005F17DE" w14:paraId="2B440BE3" w14:textId="77777777" w:rsidTr="0090796A">
        <w:tc>
          <w:tcPr>
            <w:tcW w:w="1345" w:type="dxa"/>
          </w:tcPr>
          <w:p w14:paraId="4142902D" w14:textId="401BB365" w:rsidR="0090796A" w:rsidRPr="005F17DE" w:rsidRDefault="0090796A" w:rsidP="00993154">
            <w:pPr>
              <w:rPr>
                <w:rFonts w:cs="Times New Roman"/>
                <w:noProof/>
              </w:rPr>
            </w:pPr>
            <w:r w:rsidRPr="005F17DE">
              <w:rPr>
                <w:rStyle w:val="Strong"/>
                <w:rFonts w:cs="Times New Roman"/>
                <w:noProof/>
              </w:rPr>
              <w:t>Political</w:t>
            </w:r>
          </w:p>
        </w:tc>
        <w:tc>
          <w:tcPr>
            <w:tcW w:w="7671" w:type="dxa"/>
          </w:tcPr>
          <w:p w14:paraId="31A1E7BD" w14:textId="018DD48C" w:rsidR="0090796A" w:rsidRPr="005F17DE" w:rsidRDefault="0090796A" w:rsidP="00993154">
            <w:pPr>
              <w:rPr>
                <w:rFonts w:cs="Times New Roman"/>
                <w:noProof/>
              </w:rPr>
            </w:pPr>
            <w:r w:rsidRPr="005F17DE">
              <w:rPr>
                <w:rFonts w:cs="Times New Roman"/>
                <w:noProof/>
              </w:rPr>
              <w:t>As the event is hosted in Edinburgh, Scotland, political stability and supportive tourism policies enhance its appeal as a safe destination for international attendees. Scotland’s environmental policies, which align with the event’s eco-conscious theme, further support sustainable tourism practices (VisitScotland, 2024).</w:t>
            </w:r>
          </w:p>
        </w:tc>
      </w:tr>
      <w:tr w:rsidR="0090796A" w:rsidRPr="005F17DE" w14:paraId="402921D2" w14:textId="77777777" w:rsidTr="0090796A">
        <w:tc>
          <w:tcPr>
            <w:tcW w:w="1345" w:type="dxa"/>
          </w:tcPr>
          <w:p w14:paraId="6C88CF37" w14:textId="27EEE512" w:rsidR="0090796A" w:rsidRPr="005F17DE" w:rsidRDefault="0090796A" w:rsidP="00993154">
            <w:pPr>
              <w:rPr>
                <w:rFonts w:cs="Times New Roman"/>
                <w:noProof/>
              </w:rPr>
            </w:pPr>
            <w:r w:rsidRPr="005F17DE">
              <w:rPr>
                <w:rStyle w:val="Strong"/>
                <w:rFonts w:cs="Times New Roman"/>
                <w:noProof/>
              </w:rPr>
              <w:t>Economic</w:t>
            </w:r>
          </w:p>
        </w:tc>
        <w:tc>
          <w:tcPr>
            <w:tcW w:w="7671" w:type="dxa"/>
          </w:tcPr>
          <w:p w14:paraId="57826352" w14:textId="1AB1B115" w:rsidR="0090796A" w:rsidRPr="005F17DE" w:rsidRDefault="0090796A" w:rsidP="00993154">
            <w:pPr>
              <w:rPr>
                <w:rFonts w:cs="Times New Roman"/>
                <w:noProof/>
              </w:rPr>
            </w:pPr>
            <w:r w:rsidRPr="005F17DE">
              <w:rPr>
                <w:rFonts w:cs="Times New Roman"/>
                <w:noProof/>
              </w:rPr>
              <w:t>The current economic climate, influenced by post-pandemic recovery and inflationary pressures, impacts both costs and attendee budgets (Becker, Solberg and Heyerdahl, 2023). Budget-sensitive planning, including setting affordable ticket prices and providing accommodation options, will be essential. Furthermore, securing sponsorships from eco-friendly brands could offset costs and support the event’s green goals (Dowson et al., 2022).</w:t>
            </w:r>
          </w:p>
        </w:tc>
      </w:tr>
      <w:tr w:rsidR="0090796A" w:rsidRPr="005F17DE" w14:paraId="6F199C35" w14:textId="77777777" w:rsidTr="0090796A">
        <w:tc>
          <w:tcPr>
            <w:tcW w:w="1345" w:type="dxa"/>
          </w:tcPr>
          <w:p w14:paraId="050357C0" w14:textId="2CCA9712" w:rsidR="0090796A" w:rsidRPr="005F17DE" w:rsidRDefault="0090796A" w:rsidP="00993154">
            <w:pPr>
              <w:rPr>
                <w:rFonts w:cs="Times New Roman"/>
                <w:noProof/>
              </w:rPr>
            </w:pPr>
            <w:r w:rsidRPr="005F17DE">
              <w:rPr>
                <w:rStyle w:val="Strong"/>
                <w:rFonts w:cs="Times New Roman"/>
                <w:noProof/>
              </w:rPr>
              <w:t>Social</w:t>
            </w:r>
          </w:p>
        </w:tc>
        <w:tc>
          <w:tcPr>
            <w:tcW w:w="7671" w:type="dxa"/>
          </w:tcPr>
          <w:p w14:paraId="6C4A07C9" w14:textId="2018D44D" w:rsidR="0090796A" w:rsidRPr="005F17DE" w:rsidRDefault="0090796A" w:rsidP="00993154">
            <w:pPr>
              <w:rPr>
                <w:rFonts w:cs="Times New Roman"/>
                <w:noProof/>
              </w:rPr>
            </w:pPr>
            <w:r w:rsidRPr="005F17DE">
              <w:rPr>
                <w:rFonts w:cs="Times New Roman"/>
                <w:noProof/>
              </w:rPr>
              <w:t xml:space="preserve">The growing social demand for eco-friendly and responsible tourism aligns with the event’s objectives (Abdellatif, Hicham and Karim, 2024). Today’s travellers prioritize sustainable practices, and addressing this </w:t>
            </w:r>
            <w:r w:rsidRPr="005F17DE">
              <w:rPr>
                <w:rFonts w:cs="Times New Roman"/>
                <w:noProof/>
              </w:rPr>
              <w:lastRenderedPageBreak/>
              <w:t>expectation can attract a dedicated audience (</w:t>
            </w:r>
            <w:r w:rsidRPr="005F17DE">
              <w:rPr>
                <w:rFonts w:eastAsia="Times New Roman" w:cs="Times New Roman"/>
                <w:noProof/>
                <w:lang w:eastAsia="en-GB"/>
              </w:rPr>
              <w:t>Dodds, Novotny and Harper, 2022)</w:t>
            </w:r>
            <w:r w:rsidRPr="005F17DE">
              <w:rPr>
                <w:rFonts w:cs="Times New Roman"/>
                <w:noProof/>
              </w:rPr>
              <w:t>. Additionally, providing networking opportunities enhances the event’s appeal, as attendees seek industry connections and shared values (Streimikiene et al., 2021).</w:t>
            </w:r>
          </w:p>
        </w:tc>
      </w:tr>
      <w:tr w:rsidR="0090796A" w:rsidRPr="005F17DE" w14:paraId="1EE960AB" w14:textId="77777777" w:rsidTr="0090796A">
        <w:tc>
          <w:tcPr>
            <w:tcW w:w="1345" w:type="dxa"/>
          </w:tcPr>
          <w:p w14:paraId="448A9690" w14:textId="2E982905" w:rsidR="0090796A" w:rsidRPr="005F17DE" w:rsidRDefault="0090796A" w:rsidP="00993154">
            <w:pPr>
              <w:rPr>
                <w:rFonts w:cs="Times New Roman"/>
                <w:noProof/>
              </w:rPr>
            </w:pPr>
            <w:r w:rsidRPr="005F17DE">
              <w:rPr>
                <w:rStyle w:val="Strong"/>
                <w:rFonts w:cs="Times New Roman"/>
                <w:noProof/>
              </w:rPr>
              <w:lastRenderedPageBreak/>
              <w:t>Technological</w:t>
            </w:r>
          </w:p>
        </w:tc>
        <w:tc>
          <w:tcPr>
            <w:tcW w:w="7671" w:type="dxa"/>
          </w:tcPr>
          <w:p w14:paraId="13BEEF27" w14:textId="1D7481D3" w:rsidR="0090796A" w:rsidRPr="005F17DE" w:rsidRDefault="0090796A" w:rsidP="00993154">
            <w:pPr>
              <w:rPr>
                <w:rFonts w:cs="Times New Roman"/>
                <w:noProof/>
              </w:rPr>
            </w:pPr>
            <w:r w:rsidRPr="005F17DE">
              <w:rPr>
                <w:rFonts w:cs="Times New Roman"/>
                <w:noProof/>
              </w:rPr>
              <w:t>Advanced technology enhances the event experience, from virtual attendance options to digital sustainability initiatives like carbon footprint tracking apps (Mathew, 2022). Technology also allows real-time engagement, broadening the event’s reach to those unable to attend in person, further supporting inclusivity (Chen, 2024).</w:t>
            </w:r>
          </w:p>
        </w:tc>
      </w:tr>
      <w:tr w:rsidR="0090796A" w:rsidRPr="005F17DE" w14:paraId="59B8724C" w14:textId="77777777" w:rsidTr="0090796A">
        <w:tc>
          <w:tcPr>
            <w:tcW w:w="1345" w:type="dxa"/>
          </w:tcPr>
          <w:p w14:paraId="7A2E4E1E" w14:textId="6080CC56" w:rsidR="0090796A" w:rsidRPr="005F17DE" w:rsidRDefault="0090796A" w:rsidP="00993154">
            <w:pPr>
              <w:rPr>
                <w:rFonts w:cs="Times New Roman"/>
                <w:noProof/>
              </w:rPr>
            </w:pPr>
            <w:r w:rsidRPr="005F17DE">
              <w:rPr>
                <w:rStyle w:val="Strong"/>
                <w:rFonts w:cs="Times New Roman"/>
                <w:noProof/>
              </w:rPr>
              <w:t>Environmental</w:t>
            </w:r>
          </w:p>
        </w:tc>
        <w:tc>
          <w:tcPr>
            <w:tcW w:w="7671" w:type="dxa"/>
          </w:tcPr>
          <w:p w14:paraId="5D77D879" w14:textId="52EEE6BE" w:rsidR="0090796A" w:rsidRPr="005F17DE" w:rsidRDefault="0090796A" w:rsidP="00993154">
            <w:pPr>
              <w:rPr>
                <w:rFonts w:cs="Times New Roman"/>
                <w:noProof/>
              </w:rPr>
            </w:pPr>
            <w:r w:rsidRPr="005F17DE">
              <w:rPr>
                <w:rFonts w:cs="Times New Roman"/>
                <w:noProof/>
              </w:rPr>
              <w:t>Climate awareness is fundamental to this event. As winter sports tourism is heavily impacted by climate change, the event emphasizes sustainable practices, such as minimizing waste and promoting eco-friendly travel (Steiger et al., 2023). These efforts align with Butler’s Tourism Area Life Cycle (TALC) model, emphasizing the sustainable development of tourism destinations (Herman et al., 2021).</w:t>
            </w:r>
          </w:p>
        </w:tc>
      </w:tr>
      <w:tr w:rsidR="0090796A" w:rsidRPr="005F17DE" w14:paraId="706C9A87" w14:textId="77777777" w:rsidTr="0090796A">
        <w:tc>
          <w:tcPr>
            <w:tcW w:w="1345" w:type="dxa"/>
          </w:tcPr>
          <w:p w14:paraId="1405AD5F" w14:textId="684077C0" w:rsidR="0090796A" w:rsidRPr="005F17DE" w:rsidRDefault="0090796A" w:rsidP="00993154">
            <w:pPr>
              <w:rPr>
                <w:rFonts w:cs="Times New Roman"/>
                <w:noProof/>
              </w:rPr>
            </w:pPr>
            <w:r w:rsidRPr="005F17DE">
              <w:rPr>
                <w:rStyle w:val="Strong"/>
                <w:rFonts w:cs="Times New Roman"/>
                <w:noProof/>
              </w:rPr>
              <w:t>Legal</w:t>
            </w:r>
          </w:p>
        </w:tc>
        <w:tc>
          <w:tcPr>
            <w:tcW w:w="7671" w:type="dxa"/>
          </w:tcPr>
          <w:p w14:paraId="38D8CE3C" w14:textId="6151DF76" w:rsidR="0090796A" w:rsidRPr="005F17DE" w:rsidRDefault="0090796A" w:rsidP="00993154">
            <w:pPr>
              <w:rPr>
                <w:rFonts w:cs="Times New Roman"/>
                <w:noProof/>
              </w:rPr>
            </w:pPr>
            <w:r w:rsidRPr="005F17DE">
              <w:rPr>
                <w:rFonts w:cs="Times New Roman"/>
                <w:noProof/>
              </w:rPr>
              <w:t>Adhering to local regulations regarding environmental impact and data privacy ensures compliance and builds trust with attendees (Fox et al., 2014). Legal considerations also encompass health and safety protocols, which remain essential in post-pandemic event management (Mair and Smith, 2022).</w:t>
            </w:r>
          </w:p>
        </w:tc>
      </w:tr>
    </w:tbl>
    <w:p w14:paraId="66AFA1C4" w14:textId="4AF91BEC" w:rsidR="00BA02A1" w:rsidRPr="005F17DE" w:rsidRDefault="0090796A" w:rsidP="00993154">
      <w:pPr>
        <w:pStyle w:val="Heading2"/>
        <w:rPr>
          <w:rFonts w:cs="Times New Roman"/>
          <w:bCs/>
          <w:noProof/>
        </w:rPr>
      </w:pPr>
      <w:bookmarkStart w:id="21" w:name="_Toc181211051"/>
      <w:r w:rsidRPr="005F17DE">
        <w:rPr>
          <w:rStyle w:val="Strong"/>
          <w:rFonts w:cs="Times New Roman"/>
          <w:b/>
          <w:bCs w:val="0"/>
          <w:noProof/>
        </w:rPr>
        <w:t xml:space="preserve">8.2 </w:t>
      </w:r>
      <w:r w:rsidR="00BA02A1" w:rsidRPr="005F17DE">
        <w:rPr>
          <w:rStyle w:val="Strong"/>
          <w:rFonts w:cs="Times New Roman"/>
          <w:b/>
          <w:bCs w:val="0"/>
          <w:noProof/>
        </w:rPr>
        <w:t>Cultural Considerations</w:t>
      </w:r>
      <w:bookmarkEnd w:id="21"/>
    </w:p>
    <w:p w14:paraId="1097D8CC" w14:textId="6B65A6A6" w:rsidR="00645128" w:rsidRPr="005F17DE" w:rsidRDefault="00645128" w:rsidP="00993154">
      <w:pPr>
        <w:rPr>
          <w:rFonts w:cs="Times New Roman"/>
          <w:noProof/>
        </w:rPr>
      </w:pPr>
      <w:r w:rsidRPr="005F17DE">
        <w:rPr>
          <w:rFonts w:cs="Times New Roman"/>
          <w:noProof/>
        </w:rPr>
        <w:t>Managing expectations for worldwide events calls for knowledge of cultural factors as different guests bring different cultural norms and expectations (Dowson et al., 2022). Organisers have to consider language, cuisine, and regional etiquette (Oliveira et al., 2024) to guarantee cultural variety. Edinburgh's cosmopolitanism promotes respect and inclusivity, therefore meeting the several demands of visitors (ECIC, 2019).</w:t>
      </w:r>
    </w:p>
    <w:p w14:paraId="2C64B69E" w14:textId="77777777" w:rsidR="00645128" w:rsidRPr="005F17DE" w:rsidRDefault="00645128" w:rsidP="00993154">
      <w:pPr>
        <w:rPr>
          <w:rFonts w:cs="Times New Roman"/>
          <w:noProof/>
        </w:rPr>
      </w:pPr>
      <w:r w:rsidRPr="005F17DE">
        <w:rPr>
          <w:rFonts w:cs="Times New Roman"/>
          <w:noProof/>
        </w:rPr>
        <w:t>Cultural etiquette is especially crucial for event interactions in networking conferences when experts from many backgrounds share knowledge (Fox et al., 2014). Observing these intricacies makes the event more fun and visitor satisfaction and involvement rise.</w:t>
      </w:r>
    </w:p>
    <w:p w14:paraId="36A096EF" w14:textId="16F8CE4B" w:rsidR="00BA02A1" w:rsidRPr="005F17DE" w:rsidRDefault="00645128" w:rsidP="00993154">
      <w:pPr>
        <w:rPr>
          <w:rFonts w:cs="Times New Roman"/>
          <w:noProof/>
        </w:rPr>
      </w:pPr>
      <w:r w:rsidRPr="005F17DE">
        <w:rPr>
          <w:rFonts w:cs="Times New Roman"/>
          <w:noProof/>
        </w:rPr>
        <w:t xml:space="preserve">PESTEL presents a whole view of the situational and cultural aspects of the Winter Sports Tourism Conference. By carefully addressing every element, the event has the ability to transcend outside challenges, follow international standards, and provide a culturally </w:t>
      </w:r>
      <w:r w:rsidRPr="005F17DE">
        <w:rPr>
          <w:rFonts w:cs="Times New Roman"/>
          <w:noProof/>
        </w:rPr>
        <w:lastRenderedPageBreak/>
        <w:t>enhancing experience that promotes sustainable winter sports tourism. The conference adapts to the changing travel business by strengthening its commitment to an ethical and worldwide mindful event model.</w:t>
      </w:r>
    </w:p>
    <w:p w14:paraId="60FB19F1" w14:textId="6C5471D5" w:rsidR="00BA02A1" w:rsidRPr="005F17DE" w:rsidRDefault="0090796A" w:rsidP="00993154">
      <w:pPr>
        <w:pStyle w:val="Heading1"/>
        <w:rPr>
          <w:rFonts w:cs="Times New Roman"/>
          <w:bCs/>
          <w:noProof/>
          <w:sz w:val="24"/>
          <w:szCs w:val="24"/>
        </w:rPr>
      </w:pPr>
      <w:bookmarkStart w:id="22" w:name="_Toc181211052"/>
      <w:r w:rsidRPr="005F17DE">
        <w:rPr>
          <w:rStyle w:val="Strong"/>
          <w:rFonts w:cs="Times New Roman"/>
          <w:b/>
          <w:bCs w:val="0"/>
          <w:noProof/>
        </w:rPr>
        <w:t xml:space="preserve">9. </w:t>
      </w:r>
      <w:r w:rsidR="00BA02A1" w:rsidRPr="005F17DE">
        <w:rPr>
          <w:rStyle w:val="Strong"/>
          <w:rFonts w:cs="Times New Roman"/>
          <w:b/>
          <w:bCs w:val="0"/>
          <w:noProof/>
        </w:rPr>
        <w:t>Conclusion</w:t>
      </w:r>
      <w:bookmarkEnd w:id="22"/>
    </w:p>
    <w:p w14:paraId="71C442C4" w14:textId="29871118" w:rsidR="00645128" w:rsidRPr="005F17DE" w:rsidRDefault="00645128" w:rsidP="00993154">
      <w:pPr>
        <w:rPr>
          <w:rFonts w:cs="Times New Roman"/>
          <w:noProof/>
        </w:rPr>
      </w:pPr>
      <w:r w:rsidRPr="005F17DE">
        <w:rPr>
          <w:rFonts w:cs="Times New Roman"/>
          <w:noProof/>
        </w:rPr>
        <w:t>The Winter Sports Tourism Conference 2024 answers the growing need for winter sports' climate adaption and sustainable travel. The pre-emptive contingency measures, focused marketing, and environmentally responsible operations of the event support its aim to promote industry cooperation and sustainability. By using exact financial forecasts and situational knowledge to maximise its chances of success, the conference improves winter sports tourism.</w:t>
      </w:r>
    </w:p>
    <w:p w14:paraId="5986F7F3" w14:textId="77777777" w:rsidR="00A93762" w:rsidRDefault="00645128" w:rsidP="00993154">
      <w:pPr>
        <w:rPr>
          <w:rFonts w:cs="Times New Roman"/>
          <w:noProof/>
        </w:rPr>
      </w:pPr>
      <w:r w:rsidRPr="005F17DE">
        <w:rPr>
          <w:rFonts w:cs="Times New Roman"/>
          <w:noProof/>
        </w:rPr>
        <w:t xml:space="preserve">Strategically, the event emphasises the need of matching consumer expectations with environmental trends as it shows how long-term effect and operational success are created by strategic planning. Future events should include creative green technologies and virtual participation if </w:t>
      </w:r>
      <w:r w:rsidR="00F72D6F" w:rsidRPr="005F17DE">
        <w:rPr>
          <w:rFonts w:cs="Times New Roman"/>
          <w:noProof/>
        </w:rPr>
        <w:t>sustainability is to be improved</w:t>
      </w:r>
      <w:r w:rsidRPr="005F17DE">
        <w:rPr>
          <w:rFonts w:cs="Times New Roman"/>
          <w:noProof/>
        </w:rPr>
        <w:t>. As the sector keeps growing, this conference inspires like events to embrace sustainable practices and strengthen the tourist sector</w:t>
      </w:r>
      <w:r w:rsidR="00A93762">
        <w:rPr>
          <w:rFonts w:cs="Times New Roman"/>
          <w:noProof/>
        </w:rPr>
        <w:t>.</w:t>
      </w:r>
    </w:p>
    <w:p w14:paraId="447CE235" w14:textId="1FAA0B7A" w:rsidR="00AC0C3E" w:rsidRPr="005F17DE" w:rsidRDefault="00AC0C3E" w:rsidP="00993154">
      <w:pPr>
        <w:rPr>
          <w:rFonts w:cs="Times New Roman"/>
          <w:noProof/>
        </w:rPr>
      </w:pPr>
      <w:r w:rsidRPr="005F17DE">
        <w:rPr>
          <w:rFonts w:cs="Times New Roman"/>
          <w:noProof/>
        </w:rPr>
        <w:br w:type="page"/>
      </w:r>
    </w:p>
    <w:p w14:paraId="215F3C19" w14:textId="285F6634" w:rsidR="00AC0C3E" w:rsidRPr="005F17DE" w:rsidRDefault="00AC0C3E" w:rsidP="00993154">
      <w:pPr>
        <w:pStyle w:val="Heading1"/>
        <w:rPr>
          <w:rFonts w:cs="Times New Roman"/>
          <w:noProof/>
        </w:rPr>
      </w:pPr>
      <w:bookmarkStart w:id="23" w:name="_Toc181211053"/>
      <w:r w:rsidRPr="005F17DE">
        <w:rPr>
          <w:rFonts w:cs="Times New Roman"/>
          <w:noProof/>
        </w:rPr>
        <w:lastRenderedPageBreak/>
        <w:t>Reference List</w:t>
      </w:r>
      <w:bookmarkEnd w:id="23"/>
    </w:p>
    <w:bookmarkEnd w:id="0"/>
    <w:p w14:paraId="608270C0" w14:textId="77777777" w:rsidR="00992C4A" w:rsidRPr="005F17DE" w:rsidRDefault="00992C4A" w:rsidP="00993154">
      <w:pPr>
        <w:rPr>
          <w:rFonts w:cs="Times New Roman"/>
          <w:noProof/>
        </w:rPr>
      </w:pPr>
      <w:r w:rsidRPr="005F17DE">
        <w:rPr>
          <w:rFonts w:cs="Times New Roman"/>
          <w:noProof/>
        </w:rPr>
        <w:t xml:space="preserve">Abdellatif, H., Hicham, B. and Karim, B. (2024). Responsible green tourism: A new path for eco-friendly tourism development. </w:t>
      </w:r>
      <w:r w:rsidRPr="005F17DE">
        <w:rPr>
          <w:rFonts w:cs="Times New Roman"/>
          <w:i/>
          <w:iCs/>
          <w:noProof/>
        </w:rPr>
        <w:t>International journal of economic perspectives</w:t>
      </w:r>
      <w:r w:rsidRPr="005F17DE">
        <w:rPr>
          <w:rFonts w:cs="Times New Roman"/>
          <w:noProof/>
        </w:rPr>
        <w:t xml:space="preserve">, </w:t>
      </w:r>
      <w:r w:rsidRPr="005F17DE">
        <w:rPr>
          <w:rFonts w:cs="Times New Roman"/>
          <w:i/>
          <w:iCs/>
          <w:noProof/>
        </w:rPr>
        <w:t>18</w:t>
      </w:r>
      <w:r w:rsidRPr="005F17DE">
        <w:rPr>
          <w:rFonts w:cs="Times New Roman"/>
          <w:noProof/>
        </w:rPr>
        <w:t>(2), pp.560-589.</w:t>
      </w:r>
    </w:p>
    <w:p w14:paraId="072C5763" w14:textId="77777777" w:rsidR="00992C4A" w:rsidRPr="005F17DE" w:rsidRDefault="00992C4A" w:rsidP="00993154">
      <w:pPr>
        <w:rPr>
          <w:rFonts w:cs="Times New Roman"/>
          <w:noProof/>
        </w:rPr>
      </w:pPr>
      <w:r w:rsidRPr="005F17DE">
        <w:rPr>
          <w:rFonts w:cs="Times New Roman"/>
          <w:noProof/>
        </w:rPr>
        <w:t xml:space="preserve">Becker, D.M., Solberg, H.A. and Heyerdahl, G.S. (2023). The financial challenges of hosting sports events: a problem of insufficient separation between decision-making and decision-control. </w:t>
      </w:r>
      <w:r w:rsidRPr="005F17DE">
        <w:rPr>
          <w:rFonts w:cs="Times New Roman"/>
          <w:i/>
          <w:iCs/>
          <w:noProof/>
        </w:rPr>
        <w:t>European Sport Management Quarterly</w:t>
      </w:r>
      <w:r w:rsidRPr="005F17DE">
        <w:rPr>
          <w:rFonts w:cs="Times New Roman"/>
          <w:noProof/>
        </w:rPr>
        <w:t xml:space="preserve">, </w:t>
      </w:r>
      <w:r w:rsidRPr="005F17DE">
        <w:rPr>
          <w:rFonts w:cs="Times New Roman"/>
          <w:i/>
          <w:iCs/>
          <w:noProof/>
        </w:rPr>
        <w:t>23</w:t>
      </w:r>
      <w:r w:rsidRPr="005F17DE">
        <w:rPr>
          <w:rFonts w:cs="Times New Roman"/>
          <w:noProof/>
        </w:rPr>
        <w:t>(5), pp.1549-1566.</w:t>
      </w:r>
    </w:p>
    <w:p w14:paraId="4B211814" w14:textId="77777777" w:rsidR="00992C4A" w:rsidRPr="005F17DE" w:rsidRDefault="00992C4A" w:rsidP="00993154">
      <w:pPr>
        <w:rPr>
          <w:rFonts w:cs="Times New Roman"/>
          <w:noProof/>
        </w:rPr>
      </w:pPr>
      <w:r w:rsidRPr="005F17DE">
        <w:rPr>
          <w:rFonts w:eastAsia="Times New Roman" w:cs="Times New Roman"/>
          <w:noProof/>
          <w:lang w:eastAsia="en-GB"/>
        </w:rPr>
        <w:t xml:space="preserve">Brochado, A., Dionísio, P., Leal, M.D.C., Bouchet, A. and Conceição, H. (2022). Organizing sports events: the promoters’ perspective. </w:t>
      </w:r>
      <w:r w:rsidRPr="005F17DE">
        <w:rPr>
          <w:rFonts w:eastAsia="Times New Roman" w:cs="Times New Roman"/>
          <w:i/>
          <w:iCs/>
          <w:noProof/>
          <w:lang w:eastAsia="en-GB"/>
        </w:rPr>
        <w:t>Journal of business &amp; industrial marketing</w:t>
      </w:r>
      <w:r w:rsidRPr="005F17DE">
        <w:rPr>
          <w:rFonts w:eastAsia="Times New Roman" w:cs="Times New Roman"/>
          <w:noProof/>
          <w:lang w:eastAsia="en-GB"/>
        </w:rPr>
        <w:t xml:space="preserve">, </w:t>
      </w:r>
      <w:r w:rsidRPr="005F17DE">
        <w:rPr>
          <w:rFonts w:eastAsia="Times New Roman" w:cs="Times New Roman"/>
          <w:i/>
          <w:iCs/>
          <w:noProof/>
          <w:lang w:eastAsia="en-GB"/>
        </w:rPr>
        <w:t>37</w:t>
      </w:r>
      <w:r w:rsidRPr="005F17DE">
        <w:rPr>
          <w:rFonts w:eastAsia="Times New Roman" w:cs="Times New Roman"/>
          <w:noProof/>
          <w:lang w:eastAsia="en-GB"/>
        </w:rPr>
        <w:t>(6), pp.1281-1298.</w:t>
      </w:r>
    </w:p>
    <w:p w14:paraId="4FA58A10" w14:textId="77777777" w:rsidR="00992C4A" w:rsidRPr="005F17DE" w:rsidRDefault="00992C4A" w:rsidP="00993154">
      <w:pPr>
        <w:rPr>
          <w:rFonts w:cs="Times New Roman"/>
          <w:noProof/>
        </w:rPr>
      </w:pPr>
      <w:r w:rsidRPr="005F17DE">
        <w:rPr>
          <w:rFonts w:eastAsia="Times New Roman" w:cs="Times New Roman"/>
          <w:noProof/>
          <w:lang w:eastAsia="en-GB"/>
        </w:rPr>
        <w:t xml:space="preserve">Butler, R. ed. (2006). </w:t>
      </w:r>
      <w:r w:rsidRPr="005F17DE">
        <w:rPr>
          <w:rFonts w:eastAsia="Times New Roman" w:cs="Times New Roman"/>
          <w:i/>
          <w:iCs/>
          <w:noProof/>
          <w:lang w:eastAsia="en-GB"/>
        </w:rPr>
        <w:t>The tourism area life cycle</w:t>
      </w:r>
      <w:r w:rsidRPr="005F17DE">
        <w:rPr>
          <w:rFonts w:eastAsia="Times New Roman" w:cs="Times New Roman"/>
          <w:noProof/>
          <w:lang w:eastAsia="en-GB"/>
        </w:rPr>
        <w:t xml:space="preserve"> (Vol. 1). Channel view publications.</w:t>
      </w:r>
    </w:p>
    <w:p w14:paraId="1CAE56A4" w14:textId="77777777" w:rsidR="00992C4A" w:rsidRPr="005F17DE" w:rsidRDefault="00992C4A" w:rsidP="00993154">
      <w:pPr>
        <w:rPr>
          <w:rFonts w:cs="Times New Roman"/>
          <w:noProof/>
        </w:rPr>
      </w:pPr>
      <w:r w:rsidRPr="005F17DE">
        <w:rPr>
          <w:rFonts w:cs="Times New Roman"/>
          <w:noProof/>
        </w:rPr>
        <w:t xml:space="preserve">Chen, N. (2024). Mega‐events and Tourism. </w:t>
      </w:r>
      <w:r w:rsidRPr="005F17DE">
        <w:rPr>
          <w:rFonts w:cs="Times New Roman"/>
          <w:i/>
          <w:iCs/>
          <w:noProof/>
        </w:rPr>
        <w:t>The Wiley Blackwell Companion to Tourism</w:t>
      </w:r>
      <w:r w:rsidRPr="005F17DE">
        <w:rPr>
          <w:rFonts w:cs="Times New Roman"/>
          <w:noProof/>
        </w:rPr>
        <w:t>, pp.457-468.</w:t>
      </w:r>
    </w:p>
    <w:p w14:paraId="673E8859" w14:textId="77777777" w:rsidR="00992C4A" w:rsidRPr="005F17DE" w:rsidRDefault="00992C4A" w:rsidP="00993154">
      <w:pPr>
        <w:rPr>
          <w:rFonts w:cs="Times New Roman"/>
          <w:noProof/>
        </w:rPr>
      </w:pPr>
      <w:r w:rsidRPr="005F17DE">
        <w:rPr>
          <w:rFonts w:eastAsia="Times New Roman" w:cs="Times New Roman"/>
          <w:noProof/>
          <w:lang w:eastAsia="en-GB"/>
        </w:rPr>
        <w:t xml:space="preserve">Dodds, R., Novotny, M. and Harper, S. (2020). Shaping our perception of reality: sustainability communication by Canadian festivals. </w:t>
      </w:r>
      <w:r w:rsidRPr="005F17DE">
        <w:rPr>
          <w:rFonts w:eastAsia="Times New Roman" w:cs="Times New Roman"/>
          <w:i/>
          <w:iCs/>
          <w:noProof/>
          <w:lang w:eastAsia="en-GB"/>
        </w:rPr>
        <w:t>International Journal of Event and Festival Management</w:t>
      </w:r>
      <w:r w:rsidRPr="005F17DE">
        <w:rPr>
          <w:rFonts w:eastAsia="Times New Roman" w:cs="Times New Roman"/>
          <w:noProof/>
          <w:lang w:eastAsia="en-GB"/>
        </w:rPr>
        <w:t xml:space="preserve">, </w:t>
      </w:r>
      <w:r w:rsidRPr="005F17DE">
        <w:rPr>
          <w:rFonts w:eastAsia="Times New Roman" w:cs="Times New Roman"/>
          <w:i/>
          <w:iCs/>
          <w:noProof/>
          <w:lang w:eastAsia="en-GB"/>
        </w:rPr>
        <w:t>11</w:t>
      </w:r>
      <w:r w:rsidRPr="005F17DE">
        <w:rPr>
          <w:rFonts w:eastAsia="Times New Roman" w:cs="Times New Roman"/>
          <w:noProof/>
          <w:lang w:eastAsia="en-GB"/>
        </w:rPr>
        <w:t>(4), pp.473-492.</w:t>
      </w:r>
    </w:p>
    <w:p w14:paraId="6501B611" w14:textId="77777777" w:rsidR="00992C4A" w:rsidRPr="005F17DE" w:rsidRDefault="00992C4A" w:rsidP="00993154">
      <w:pPr>
        <w:rPr>
          <w:rFonts w:cs="Times New Roman"/>
          <w:noProof/>
        </w:rPr>
      </w:pPr>
      <w:r w:rsidRPr="005F17DE">
        <w:rPr>
          <w:rFonts w:cs="Times New Roman"/>
          <w:noProof/>
        </w:rPr>
        <w:t xml:space="preserve">Dowson, R., Albert, B. and Lomax, D. (2022). </w:t>
      </w:r>
      <w:r w:rsidRPr="005F17DE">
        <w:rPr>
          <w:rFonts w:cs="Times New Roman"/>
          <w:i/>
          <w:iCs/>
          <w:noProof/>
        </w:rPr>
        <w:t>Event planning and management: Principles, planning and practice</w:t>
      </w:r>
      <w:r w:rsidRPr="005F17DE">
        <w:rPr>
          <w:rFonts w:cs="Times New Roman"/>
          <w:noProof/>
        </w:rPr>
        <w:t>. Kogan Page Publishers.</w:t>
      </w:r>
    </w:p>
    <w:p w14:paraId="0DB28E0F" w14:textId="77777777" w:rsidR="00992C4A" w:rsidRPr="005F17DE" w:rsidRDefault="00992C4A" w:rsidP="00993154">
      <w:pPr>
        <w:rPr>
          <w:rFonts w:cs="Times New Roman"/>
          <w:noProof/>
        </w:rPr>
      </w:pPr>
      <w:r w:rsidRPr="005F17DE">
        <w:rPr>
          <w:rFonts w:cs="Times New Roman"/>
          <w:noProof/>
        </w:rPr>
        <w:t xml:space="preserve">EICC (2019). </w:t>
      </w:r>
      <w:r w:rsidRPr="005F17DE">
        <w:rPr>
          <w:rFonts w:cs="Times New Roman"/>
          <w:i/>
          <w:iCs/>
          <w:noProof/>
        </w:rPr>
        <w:t>Edinburgh International Conference Centre - EICC</w:t>
      </w:r>
      <w:r w:rsidRPr="005F17DE">
        <w:rPr>
          <w:rFonts w:cs="Times New Roman"/>
          <w:noProof/>
        </w:rPr>
        <w:t>. [online] EICC. Available at: https://www.eicc.co.uk/ [Accessed 11 Oct. 2024].</w:t>
      </w:r>
    </w:p>
    <w:p w14:paraId="16008DCC" w14:textId="77777777" w:rsidR="00992C4A" w:rsidRPr="005F17DE" w:rsidRDefault="00992C4A" w:rsidP="00993154">
      <w:pPr>
        <w:rPr>
          <w:rFonts w:cs="Times New Roman"/>
          <w:noProof/>
        </w:rPr>
      </w:pPr>
      <w:r w:rsidRPr="005F17DE">
        <w:rPr>
          <w:rFonts w:cs="Times New Roman"/>
          <w:noProof/>
        </w:rPr>
        <w:t xml:space="preserve">Fox, D. et al. (2014) </w:t>
      </w:r>
      <w:r w:rsidRPr="005F17DE">
        <w:rPr>
          <w:rFonts w:cs="Times New Roman"/>
          <w:i/>
          <w:iCs/>
          <w:noProof/>
        </w:rPr>
        <w:t>Doing events research: from theory to practice</w:t>
      </w:r>
      <w:r w:rsidRPr="005F17DE">
        <w:rPr>
          <w:rFonts w:cs="Times New Roman"/>
          <w:noProof/>
        </w:rPr>
        <w:t>. Routledge: Oxford.</w:t>
      </w:r>
    </w:p>
    <w:p w14:paraId="2E4C955D" w14:textId="77777777" w:rsidR="00992C4A" w:rsidRPr="005F17DE" w:rsidRDefault="00992C4A" w:rsidP="00993154">
      <w:pPr>
        <w:rPr>
          <w:rFonts w:cs="Times New Roman"/>
          <w:noProof/>
        </w:rPr>
      </w:pPr>
      <w:r w:rsidRPr="005F17DE">
        <w:rPr>
          <w:rFonts w:eastAsia="Times New Roman" w:cs="Times New Roman"/>
          <w:noProof/>
          <w:lang w:eastAsia="en-GB"/>
        </w:rPr>
        <w:t xml:space="preserve">Getz, D. (2012). Event studies: Discourses and future directions. </w:t>
      </w:r>
      <w:r w:rsidRPr="005F17DE">
        <w:rPr>
          <w:rFonts w:eastAsia="Times New Roman" w:cs="Times New Roman"/>
          <w:i/>
          <w:iCs/>
          <w:noProof/>
          <w:lang w:eastAsia="en-GB"/>
        </w:rPr>
        <w:t>Event management</w:t>
      </w:r>
      <w:r w:rsidRPr="005F17DE">
        <w:rPr>
          <w:rFonts w:eastAsia="Times New Roman" w:cs="Times New Roman"/>
          <w:noProof/>
          <w:lang w:eastAsia="en-GB"/>
        </w:rPr>
        <w:t xml:space="preserve">, </w:t>
      </w:r>
      <w:r w:rsidRPr="005F17DE">
        <w:rPr>
          <w:rFonts w:eastAsia="Times New Roman" w:cs="Times New Roman"/>
          <w:i/>
          <w:iCs/>
          <w:noProof/>
          <w:lang w:eastAsia="en-GB"/>
        </w:rPr>
        <w:t>16</w:t>
      </w:r>
      <w:r w:rsidRPr="005F17DE">
        <w:rPr>
          <w:rFonts w:eastAsia="Times New Roman" w:cs="Times New Roman"/>
          <w:noProof/>
          <w:lang w:eastAsia="en-GB"/>
        </w:rPr>
        <w:t>(2), pp.171-187.</w:t>
      </w:r>
    </w:p>
    <w:p w14:paraId="4B0AEAD9" w14:textId="77777777" w:rsidR="00992C4A" w:rsidRPr="005F17DE" w:rsidRDefault="00992C4A" w:rsidP="00993154">
      <w:pPr>
        <w:rPr>
          <w:rFonts w:cs="Times New Roman"/>
          <w:noProof/>
        </w:rPr>
      </w:pPr>
      <w:r w:rsidRPr="005F17DE">
        <w:rPr>
          <w:rFonts w:cs="Times New Roman"/>
          <w:noProof/>
        </w:rPr>
        <w:t xml:space="preserve">Getz, D. and Page, S. (2019) </w:t>
      </w:r>
      <w:r w:rsidRPr="005F17DE">
        <w:rPr>
          <w:rFonts w:cs="Times New Roman"/>
          <w:i/>
          <w:iCs/>
          <w:noProof/>
        </w:rPr>
        <w:t>Event studies: theory, research and policy for planned events</w:t>
      </w:r>
      <w:r w:rsidRPr="005F17DE">
        <w:rPr>
          <w:rFonts w:cs="Times New Roman"/>
          <w:noProof/>
        </w:rPr>
        <w:t>. 3rd Edition. Routledge: Oxford.</w:t>
      </w:r>
    </w:p>
    <w:p w14:paraId="7CE06D68" w14:textId="77777777" w:rsidR="00992C4A" w:rsidRPr="005F17DE" w:rsidRDefault="00992C4A" w:rsidP="00993154">
      <w:pPr>
        <w:rPr>
          <w:rFonts w:cs="Times New Roman"/>
          <w:noProof/>
        </w:rPr>
      </w:pPr>
      <w:r w:rsidRPr="005F17DE">
        <w:rPr>
          <w:rFonts w:cs="Times New Roman"/>
          <w:noProof/>
        </w:rPr>
        <w:t xml:space="preserve">Herman, G.V., Grama, V., Buhaș, S., Garai, L.D., Caciora, T., Grecu, A., Gruia, A.K., Hudea, O.S. and Peptenatu, D. (2021). The analysis of the ski slopes and the degree of economic dependence induced by winter sports tourism. The case of Romania. </w:t>
      </w:r>
      <w:r w:rsidRPr="005F17DE">
        <w:rPr>
          <w:rFonts w:cs="Times New Roman"/>
          <w:i/>
          <w:iCs/>
          <w:noProof/>
        </w:rPr>
        <w:t>Sustainability</w:t>
      </w:r>
      <w:r w:rsidRPr="005F17DE">
        <w:rPr>
          <w:rFonts w:cs="Times New Roman"/>
          <w:noProof/>
        </w:rPr>
        <w:t xml:space="preserve">, </w:t>
      </w:r>
      <w:r w:rsidRPr="005F17DE">
        <w:rPr>
          <w:rFonts w:cs="Times New Roman"/>
          <w:i/>
          <w:iCs/>
          <w:noProof/>
        </w:rPr>
        <w:t>13</w:t>
      </w:r>
      <w:r w:rsidRPr="005F17DE">
        <w:rPr>
          <w:rFonts w:cs="Times New Roman"/>
          <w:noProof/>
        </w:rPr>
        <w:t>(24), p.1-19.</w:t>
      </w:r>
    </w:p>
    <w:p w14:paraId="48D2222C" w14:textId="77777777" w:rsidR="00992C4A" w:rsidRPr="005F17DE" w:rsidRDefault="00992C4A" w:rsidP="00993154">
      <w:pPr>
        <w:rPr>
          <w:rFonts w:cs="Times New Roman"/>
          <w:noProof/>
        </w:rPr>
      </w:pPr>
      <w:r w:rsidRPr="005F17DE">
        <w:rPr>
          <w:rFonts w:eastAsia="Times New Roman" w:cs="Times New Roman"/>
          <w:noProof/>
          <w:lang w:eastAsia="en-GB"/>
        </w:rPr>
        <w:lastRenderedPageBreak/>
        <w:t xml:space="preserve">Higham, J. and Vada, S. (2024). The state-of-the-art in sport tourism geographies. </w:t>
      </w:r>
      <w:r w:rsidRPr="005F17DE">
        <w:rPr>
          <w:rFonts w:eastAsia="Times New Roman" w:cs="Times New Roman"/>
          <w:i/>
          <w:iCs/>
          <w:noProof/>
          <w:lang w:eastAsia="en-GB"/>
        </w:rPr>
        <w:t>Tourism Geographies</w:t>
      </w:r>
      <w:r w:rsidRPr="005F17DE">
        <w:rPr>
          <w:rFonts w:eastAsia="Times New Roman" w:cs="Times New Roman"/>
          <w:noProof/>
          <w:lang w:eastAsia="en-GB"/>
        </w:rPr>
        <w:t>, pp.1-14.</w:t>
      </w:r>
    </w:p>
    <w:p w14:paraId="4075C155" w14:textId="77777777" w:rsidR="00992C4A" w:rsidRPr="005F17DE" w:rsidRDefault="00992C4A" w:rsidP="00993154">
      <w:pPr>
        <w:rPr>
          <w:rFonts w:cs="Times New Roman"/>
          <w:noProof/>
        </w:rPr>
      </w:pPr>
      <w:r w:rsidRPr="005F17DE">
        <w:rPr>
          <w:rFonts w:eastAsia="Times New Roman" w:cs="Times New Roman"/>
          <w:noProof/>
          <w:lang w:eastAsia="en-GB"/>
        </w:rPr>
        <w:t xml:space="preserve">Holmes, K. and Ali-Knight, J. (2017). The event and festival life cycle–developing a new model for a new context. </w:t>
      </w:r>
      <w:r w:rsidRPr="005F17DE">
        <w:rPr>
          <w:rFonts w:eastAsia="Times New Roman" w:cs="Times New Roman"/>
          <w:i/>
          <w:iCs/>
          <w:noProof/>
          <w:lang w:eastAsia="en-GB"/>
        </w:rPr>
        <w:t>International Journal of Contemporary Hospitality Management</w:t>
      </w:r>
      <w:r w:rsidRPr="005F17DE">
        <w:rPr>
          <w:rFonts w:eastAsia="Times New Roman" w:cs="Times New Roman"/>
          <w:noProof/>
          <w:lang w:eastAsia="en-GB"/>
        </w:rPr>
        <w:t xml:space="preserve">, </w:t>
      </w:r>
      <w:r w:rsidRPr="005F17DE">
        <w:rPr>
          <w:rFonts w:eastAsia="Times New Roman" w:cs="Times New Roman"/>
          <w:i/>
          <w:iCs/>
          <w:noProof/>
          <w:lang w:eastAsia="en-GB"/>
        </w:rPr>
        <w:t>29</w:t>
      </w:r>
      <w:r w:rsidRPr="005F17DE">
        <w:rPr>
          <w:rFonts w:eastAsia="Times New Roman" w:cs="Times New Roman"/>
          <w:noProof/>
          <w:lang w:eastAsia="en-GB"/>
        </w:rPr>
        <w:t>(3), pp.986-1004.</w:t>
      </w:r>
    </w:p>
    <w:p w14:paraId="0086C16F" w14:textId="77777777" w:rsidR="00992C4A" w:rsidRPr="005F17DE" w:rsidRDefault="00992C4A" w:rsidP="00993154">
      <w:pPr>
        <w:rPr>
          <w:rFonts w:cs="Times New Roman"/>
          <w:noProof/>
        </w:rPr>
      </w:pPr>
      <w:r w:rsidRPr="005F17DE">
        <w:rPr>
          <w:rFonts w:eastAsia="Times New Roman" w:cs="Times New Roman"/>
          <w:noProof/>
          <w:lang w:eastAsia="en-GB"/>
        </w:rPr>
        <w:t xml:space="preserve">Jones, M. (2017). </w:t>
      </w:r>
      <w:r w:rsidRPr="005F17DE">
        <w:rPr>
          <w:rFonts w:eastAsia="Times New Roman" w:cs="Times New Roman"/>
          <w:i/>
          <w:iCs/>
          <w:noProof/>
          <w:lang w:eastAsia="en-GB"/>
        </w:rPr>
        <w:t>Sustainable event management: A practical guide</w:t>
      </w:r>
      <w:r w:rsidRPr="005F17DE">
        <w:rPr>
          <w:rFonts w:eastAsia="Times New Roman" w:cs="Times New Roman"/>
          <w:noProof/>
          <w:lang w:eastAsia="en-GB"/>
        </w:rPr>
        <w:t>. Routledge.</w:t>
      </w:r>
    </w:p>
    <w:p w14:paraId="4CB773D9" w14:textId="77777777" w:rsidR="00992C4A" w:rsidRPr="005F17DE" w:rsidRDefault="00992C4A" w:rsidP="00993154">
      <w:pPr>
        <w:rPr>
          <w:rFonts w:cs="Times New Roman"/>
          <w:noProof/>
        </w:rPr>
      </w:pPr>
      <w:r w:rsidRPr="005F17DE">
        <w:rPr>
          <w:rFonts w:eastAsia="Times New Roman" w:cs="Times New Roman"/>
          <w:noProof/>
          <w:lang w:eastAsia="en-GB"/>
        </w:rPr>
        <w:t xml:space="preserve">Leber, R. (2024). Winter Sport Tourism. </w:t>
      </w:r>
      <w:r w:rsidRPr="005F17DE">
        <w:rPr>
          <w:rFonts w:eastAsia="Times New Roman" w:cs="Times New Roman"/>
          <w:i/>
          <w:iCs/>
          <w:noProof/>
          <w:lang w:eastAsia="en-GB"/>
        </w:rPr>
        <w:t>International Perspectives in Sport Tourism Management</w:t>
      </w:r>
      <w:r w:rsidRPr="005F17DE">
        <w:rPr>
          <w:rFonts w:eastAsia="Times New Roman" w:cs="Times New Roman"/>
          <w:noProof/>
          <w:lang w:eastAsia="en-GB"/>
        </w:rPr>
        <w:t>, pp.81-96.</w:t>
      </w:r>
    </w:p>
    <w:p w14:paraId="34E43256" w14:textId="77777777" w:rsidR="00992C4A" w:rsidRPr="005F17DE" w:rsidRDefault="00992C4A" w:rsidP="00993154">
      <w:pPr>
        <w:rPr>
          <w:rFonts w:cs="Times New Roman"/>
          <w:noProof/>
        </w:rPr>
      </w:pPr>
      <w:r w:rsidRPr="005F17DE">
        <w:rPr>
          <w:rFonts w:cs="Times New Roman"/>
          <w:noProof/>
        </w:rPr>
        <w:t xml:space="preserve">Mair, J. and Smith, A. (2022). Events and sustainability: why making events more sustainable is not enough. In </w:t>
      </w:r>
      <w:r w:rsidRPr="005F17DE">
        <w:rPr>
          <w:rFonts w:cs="Times New Roman"/>
          <w:i/>
          <w:iCs/>
          <w:noProof/>
        </w:rPr>
        <w:t>Events and sustainability</w:t>
      </w:r>
      <w:r w:rsidRPr="005F17DE">
        <w:rPr>
          <w:rFonts w:cs="Times New Roman"/>
          <w:noProof/>
        </w:rPr>
        <w:t xml:space="preserve"> (pp. 1-17). Routledge.</w:t>
      </w:r>
    </w:p>
    <w:p w14:paraId="316BDEC4" w14:textId="77777777" w:rsidR="00992C4A" w:rsidRPr="005F17DE" w:rsidRDefault="00992C4A" w:rsidP="00993154">
      <w:pPr>
        <w:rPr>
          <w:rFonts w:cs="Times New Roman"/>
          <w:noProof/>
        </w:rPr>
      </w:pPr>
      <w:r w:rsidRPr="005F17DE">
        <w:rPr>
          <w:rFonts w:cs="Times New Roman"/>
          <w:noProof/>
        </w:rPr>
        <w:t xml:space="preserve">Mathew, P.V. (2022). Sustainable tourism development: discerning the impact of responsible tourism on community well-being. </w:t>
      </w:r>
      <w:r w:rsidRPr="005F17DE">
        <w:rPr>
          <w:rFonts w:cs="Times New Roman"/>
          <w:i/>
          <w:iCs/>
          <w:noProof/>
        </w:rPr>
        <w:t>Journal of Hospitality and Tourism Insights</w:t>
      </w:r>
      <w:r w:rsidRPr="005F17DE">
        <w:rPr>
          <w:rFonts w:cs="Times New Roman"/>
          <w:noProof/>
        </w:rPr>
        <w:t xml:space="preserve">, </w:t>
      </w:r>
      <w:r w:rsidRPr="005F17DE">
        <w:rPr>
          <w:rFonts w:cs="Times New Roman"/>
          <w:i/>
          <w:iCs/>
          <w:noProof/>
        </w:rPr>
        <w:t>5</w:t>
      </w:r>
      <w:r w:rsidRPr="005F17DE">
        <w:rPr>
          <w:rFonts w:cs="Times New Roman"/>
          <w:noProof/>
        </w:rPr>
        <w:t>(5), pp.987-1001.</w:t>
      </w:r>
    </w:p>
    <w:p w14:paraId="124DD0A9" w14:textId="77777777" w:rsidR="00992C4A" w:rsidRPr="005F17DE" w:rsidRDefault="00992C4A" w:rsidP="00993154">
      <w:pPr>
        <w:rPr>
          <w:rFonts w:cs="Times New Roman"/>
          <w:noProof/>
        </w:rPr>
      </w:pPr>
      <w:r w:rsidRPr="005F17DE">
        <w:rPr>
          <w:rFonts w:cs="Times New Roman"/>
          <w:noProof/>
        </w:rPr>
        <w:t xml:space="preserve">Oliveira, M., Silva, S. and Silva, C. (2024). Improving environmental sustainability in Hospitality and Tourism: the key strategies. In </w:t>
      </w:r>
      <w:r w:rsidRPr="005F17DE">
        <w:rPr>
          <w:rFonts w:cs="Times New Roman"/>
          <w:i/>
          <w:iCs/>
          <w:noProof/>
        </w:rPr>
        <w:t>Proceedings of the 7th International Conference on Tourism Research</w:t>
      </w:r>
      <w:r w:rsidRPr="005F17DE">
        <w:rPr>
          <w:rFonts w:cs="Times New Roman"/>
          <w:noProof/>
        </w:rPr>
        <w:t xml:space="preserve"> (Vol. 7, No. 1, pp. 306-313). Academic Conferences International Limited.</w:t>
      </w:r>
    </w:p>
    <w:p w14:paraId="4E4A937F" w14:textId="77777777" w:rsidR="00992C4A" w:rsidRPr="005F17DE" w:rsidRDefault="00992C4A" w:rsidP="00993154">
      <w:pPr>
        <w:rPr>
          <w:rFonts w:cs="Times New Roman"/>
          <w:noProof/>
        </w:rPr>
      </w:pPr>
      <w:r w:rsidRPr="005F17DE">
        <w:rPr>
          <w:rFonts w:eastAsia="Times New Roman" w:cs="Times New Roman"/>
          <w:noProof/>
          <w:lang w:eastAsia="en-GB"/>
        </w:rPr>
        <w:t xml:space="preserve">Parent, M.M. and Ruetsch, A. (2020). </w:t>
      </w:r>
      <w:r w:rsidRPr="005F17DE">
        <w:rPr>
          <w:rFonts w:eastAsia="Times New Roman" w:cs="Times New Roman"/>
          <w:i/>
          <w:iCs/>
          <w:noProof/>
          <w:lang w:eastAsia="en-GB"/>
        </w:rPr>
        <w:t>Managing major sports events: Theory and practice</w:t>
      </w:r>
      <w:r w:rsidRPr="005F17DE">
        <w:rPr>
          <w:rFonts w:eastAsia="Times New Roman" w:cs="Times New Roman"/>
          <w:noProof/>
          <w:lang w:eastAsia="en-GB"/>
        </w:rPr>
        <w:t>. Routledge.</w:t>
      </w:r>
    </w:p>
    <w:p w14:paraId="1E096081" w14:textId="77777777" w:rsidR="00992C4A" w:rsidRPr="005F17DE" w:rsidRDefault="00992C4A" w:rsidP="00993154">
      <w:pPr>
        <w:rPr>
          <w:rFonts w:cs="Times New Roman"/>
          <w:noProof/>
        </w:rPr>
      </w:pPr>
      <w:r w:rsidRPr="005F17DE">
        <w:rPr>
          <w:rFonts w:cs="Times New Roman"/>
          <w:noProof/>
        </w:rPr>
        <w:t xml:space="preserve">Smith, A. (2012) </w:t>
      </w:r>
      <w:r w:rsidRPr="005F17DE">
        <w:rPr>
          <w:rFonts w:cs="Times New Roman"/>
          <w:i/>
          <w:iCs/>
          <w:noProof/>
        </w:rPr>
        <w:t>Events and urban regeneration: the strategic use of events to revitalise cities</w:t>
      </w:r>
      <w:r w:rsidRPr="005F17DE">
        <w:rPr>
          <w:rFonts w:cs="Times New Roman"/>
          <w:noProof/>
        </w:rPr>
        <w:t>. Routledge: Oxford.</w:t>
      </w:r>
    </w:p>
    <w:p w14:paraId="68C807E2" w14:textId="77777777" w:rsidR="00992C4A" w:rsidRPr="005F17DE" w:rsidRDefault="00992C4A" w:rsidP="00993154">
      <w:pPr>
        <w:rPr>
          <w:rFonts w:cs="Times New Roman"/>
          <w:noProof/>
        </w:rPr>
      </w:pPr>
      <w:r w:rsidRPr="005F17DE">
        <w:rPr>
          <w:rFonts w:cs="Times New Roman"/>
          <w:noProof/>
        </w:rPr>
        <w:t xml:space="preserve">Steiger, R., Posch, E., Tappeiner, G. and Walde, J. (2023). Seasonality matters: simulating the impacts of climate change on winter tourism demand. </w:t>
      </w:r>
      <w:r w:rsidRPr="005F17DE">
        <w:rPr>
          <w:rFonts w:cs="Times New Roman"/>
          <w:i/>
          <w:iCs/>
          <w:noProof/>
        </w:rPr>
        <w:t>Current issues in tourism</w:t>
      </w:r>
      <w:r w:rsidRPr="005F17DE">
        <w:rPr>
          <w:rFonts w:cs="Times New Roman"/>
          <w:noProof/>
        </w:rPr>
        <w:t xml:space="preserve">, </w:t>
      </w:r>
      <w:r w:rsidRPr="005F17DE">
        <w:rPr>
          <w:rFonts w:cs="Times New Roman"/>
          <w:i/>
          <w:iCs/>
          <w:noProof/>
        </w:rPr>
        <w:t>26</w:t>
      </w:r>
      <w:r w:rsidRPr="005F17DE">
        <w:rPr>
          <w:rFonts w:cs="Times New Roman"/>
          <w:noProof/>
        </w:rPr>
        <w:t>(17), pp.2777-2793.</w:t>
      </w:r>
    </w:p>
    <w:p w14:paraId="5CE34CD4" w14:textId="77777777" w:rsidR="00992C4A" w:rsidRPr="005F17DE" w:rsidRDefault="00992C4A" w:rsidP="00993154">
      <w:pPr>
        <w:rPr>
          <w:rFonts w:cs="Times New Roman"/>
          <w:noProof/>
        </w:rPr>
      </w:pPr>
      <w:r w:rsidRPr="005F17DE">
        <w:rPr>
          <w:rFonts w:cs="Times New Roman"/>
          <w:noProof/>
        </w:rPr>
        <w:t xml:space="preserve">Streimikiene, D., Svagzdiene, B., Jasinskas, E. and Simanavicius, A. (2021). Sustainable tourism development and competitiveness: The systematic literature review. </w:t>
      </w:r>
      <w:r w:rsidRPr="005F17DE">
        <w:rPr>
          <w:rFonts w:cs="Times New Roman"/>
          <w:i/>
          <w:iCs/>
          <w:noProof/>
        </w:rPr>
        <w:t>Sustainable development</w:t>
      </w:r>
      <w:r w:rsidRPr="005F17DE">
        <w:rPr>
          <w:rFonts w:cs="Times New Roman"/>
          <w:noProof/>
        </w:rPr>
        <w:t xml:space="preserve">, </w:t>
      </w:r>
      <w:r w:rsidRPr="005F17DE">
        <w:rPr>
          <w:rFonts w:cs="Times New Roman"/>
          <w:i/>
          <w:iCs/>
          <w:noProof/>
        </w:rPr>
        <w:t>29</w:t>
      </w:r>
      <w:r w:rsidRPr="005F17DE">
        <w:rPr>
          <w:rFonts w:cs="Times New Roman"/>
          <w:noProof/>
        </w:rPr>
        <w:t>(1), pp.259-271.</w:t>
      </w:r>
    </w:p>
    <w:p w14:paraId="17075828" w14:textId="77777777" w:rsidR="00992C4A" w:rsidRPr="005F17DE" w:rsidRDefault="00992C4A" w:rsidP="00993154">
      <w:pPr>
        <w:rPr>
          <w:rFonts w:cs="Times New Roman"/>
          <w:noProof/>
        </w:rPr>
      </w:pPr>
      <w:r w:rsidRPr="005F17DE">
        <w:rPr>
          <w:rFonts w:eastAsia="Times New Roman" w:cs="Times New Roman"/>
          <w:noProof/>
          <w:lang w:eastAsia="en-GB"/>
        </w:rPr>
        <w:t xml:space="preserve">Witting, M. and Schmude, J. (2024). Climate change and winter (sports) tourism. In </w:t>
      </w:r>
      <w:r w:rsidRPr="005F17DE">
        <w:rPr>
          <w:rFonts w:eastAsia="Times New Roman" w:cs="Times New Roman"/>
          <w:i/>
          <w:iCs/>
          <w:noProof/>
          <w:lang w:eastAsia="en-GB"/>
        </w:rPr>
        <w:t>Research Handbook on Tourism, Complexity and Uncertainty</w:t>
      </w:r>
      <w:r w:rsidRPr="005F17DE">
        <w:rPr>
          <w:rFonts w:eastAsia="Times New Roman" w:cs="Times New Roman"/>
          <w:noProof/>
          <w:lang w:eastAsia="en-GB"/>
        </w:rPr>
        <w:t xml:space="preserve"> (pp. 161-173). Edward Elgar Publishing.</w:t>
      </w:r>
    </w:p>
    <w:sectPr w:rsidR="00992C4A" w:rsidRPr="005F17DE" w:rsidSect="005B5511">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B24CB" w14:textId="77777777" w:rsidR="008D6478" w:rsidRDefault="008D6478" w:rsidP="00B4511B">
      <w:pPr>
        <w:spacing w:after="0" w:line="240" w:lineRule="auto"/>
      </w:pPr>
      <w:r>
        <w:separator/>
      </w:r>
    </w:p>
  </w:endnote>
  <w:endnote w:type="continuationSeparator" w:id="0">
    <w:p w14:paraId="1452374C" w14:textId="77777777" w:rsidR="008D6478" w:rsidRDefault="008D6478" w:rsidP="00B45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30344"/>
      <w:docPartObj>
        <w:docPartGallery w:val="Page Numbers (Bottom of Page)"/>
        <w:docPartUnique/>
      </w:docPartObj>
    </w:sdtPr>
    <w:sdtContent>
      <w:p w14:paraId="4D7D3149" w14:textId="6910A9B2" w:rsidR="00B4511B" w:rsidRDefault="00B4511B">
        <w:pPr>
          <w:pStyle w:val="Footer"/>
          <w:jc w:val="right"/>
        </w:pPr>
        <w:r>
          <w:fldChar w:fldCharType="begin"/>
        </w:r>
        <w:r>
          <w:instrText>PAGE   \* MERGEFORMAT</w:instrText>
        </w:r>
        <w:r>
          <w:fldChar w:fldCharType="separate"/>
        </w:r>
        <w:r>
          <w:t>2</w:t>
        </w:r>
        <w:r>
          <w:fldChar w:fldCharType="end"/>
        </w:r>
      </w:p>
    </w:sdtContent>
  </w:sdt>
  <w:p w14:paraId="681AB73F" w14:textId="77777777" w:rsidR="00B4511B" w:rsidRDefault="00B45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0F4D2" w14:textId="77777777" w:rsidR="008D6478" w:rsidRDefault="008D6478" w:rsidP="00B4511B">
      <w:pPr>
        <w:spacing w:after="0" w:line="240" w:lineRule="auto"/>
      </w:pPr>
      <w:r>
        <w:separator/>
      </w:r>
    </w:p>
  </w:footnote>
  <w:footnote w:type="continuationSeparator" w:id="0">
    <w:p w14:paraId="0D611311" w14:textId="77777777" w:rsidR="008D6478" w:rsidRDefault="008D6478" w:rsidP="00B45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90809"/>
    <w:multiLevelType w:val="multilevel"/>
    <w:tmpl w:val="E9261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E712C4"/>
    <w:multiLevelType w:val="hybridMultilevel"/>
    <w:tmpl w:val="2A9E4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76486E"/>
    <w:multiLevelType w:val="hybridMultilevel"/>
    <w:tmpl w:val="E3B05AF8"/>
    <w:lvl w:ilvl="0" w:tplc="373A105C">
      <w:start w:val="1"/>
      <w:numFmt w:val="bullet"/>
      <w:lvlText w:val="•"/>
      <w:lvlJc w:val="left"/>
      <w:pPr>
        <w:tabs>
          <w:tab w:val="num" w:pos="720"/>
        </w:tabs>
        <w:ind w:left="720" w:hanging="360"/>
      </w:pPr>
      <w:rPr>
        <w:rFonts w:ascii="Arial" w:hAnsi="Arial" w:hint="default"/>
      </w:rPr>
    </w:lvl>
    <w:lvl w:ilvl="1" w:tplc="1132EEC6" w:tentative="1">
      <w:start w:val="1"/>
      <w:numFmt w:val="bullet"/>
      <w:lvlText w:val="•"/>
      <w:lvlJc w:val="left"/>
      <w:pPr>
        <w:tabs>
          <w:tab w:val="num" w:pos="1440"/>
        </w:tabs>
        <w:ind w:left="1440" w:hanging="360"/>
      </w:pPr>
      <w:rPr>
        <w:rFonts w:ascii="Arial" w:hAnsi="Arial" w:hint="default"/>
      </w:rPr>
    </w:lvl>
    <w:lvl w:ilvl="2" w:tplc="E55C820C" w:tentative="1">
      <w:start w:val="1"/>
      <w:numFmt w:val="bullet"/>
      <w:lvlText w:val="•"/>
      <w:lvlJc w:val="left"/>
      <w:pPr>
        <w:tabs>
          <w:tab w:val="num" w:pos="2160"/>
        </w:tabs>
        <w:ind w:left="2160" w:hanging="360"/>
      </w:pPr>
      <w:rPr>
        <w:rFonts w:ascii="Arial" w:hAnsi="Arial" w:hint="default"/>
      </w:rPr>
    </w:lvl>
    <w:lvl w:ilvl="3" w:tplc="64A8D97A" w:tentative="1">
      <w:start w:val="1"/>
      <w:numFmt w:val="bullet"/>
      <w:lvlText w:val="•"/>
      <w:lvlJc w:val="left"/>
      <w:pPr>
        <w:tabs>
          <w:tab w:val="num" w:pos="2880"/>
        </w:tabs>
        <w:ind w:left="2880" w:hanging="360"/>
      </w:pPr>
      <w:rPr>
        <w:rFonts w:ascii="Arial" w:hAnsi="Arial" w:hint="default"/>
      </w:rPr>
    </w:lvl>
    <w:lvl w:ilvl="4" w:tplc="CDBADC3C" w:tentative="1">
      <w:start w:val="1"/>
      <w:numFmt w:val="bullet"/>
      <w:lvlText w:val="•"/>
      <w:lvlJc w:val="left"/>
      <w:pPr>
        <w:tabs>
          <w:tab w:val="num" w:pos="3600"/>
        </w:tabs>
        <w:ind w:left="3600" w:hanging="360"/>
      </w:pPr>
      <w:rPr>
        <w:rFonts w:ascii="Arial" w:hAnsi="Arial" w:hint="default"/>
      </w:rPr>
    </w:lvl>
    <w:lvl w:ilvl="5" w:tplc="7902D218" w:tentative="1">
      <w:start w:val="1"/>
      <w:numFmt w:val="bullet"/>
      <w:lvlText w:val="•"/>
      <w:lvlJc w:val="left"/>
      <w:pPr>
        <w:tabs>
          <w:tab w:val="num" w:pos="4320"/>
        </w:tabs>
        <w:ind w:left="4320" w:hanging="360"/>
      </w:pPr>
      <w:rPr>
        <w:rFonts w:ascii="Arial" w:hAnsi="Arial" w:hint="default"/>
      </w:rPr>
    </w:lvl>
    <w:lvl w:ilvl="6" w:tplc="9F6C966C" w:tentative="1">
      <w:start w:val="1"/>
      <w:numFmt w:val="bullet"/>
      <w:lvlText w:val="•"/>
      <w:lvlJc w:val="left"/>
      <w:pPr>
        <w:tabs>
          <w:tab w:val="num" w:pos="5040"/>
        </w:tabs>
        <w:ind w:left="5040" w:hanging="360"/>
      </w:pPr>
      <w:rPr>
        <w:rFonts w:ascii="Arial" w:hAnsi="Arial" w:hint="default"/>
      </w:rPr>
    </w:lvl>
    <w:lvl w:ilvl="7" w:tplc="107482EE" w:tentative="1">
      <w:start w:val="1"/>
      <w:numFmt w:val="bullet"/>
      <w:lvlText w:val="•"/>
      <w:lvlJc w:val="left"/>
      <w:pPr>
        <w:tabs>
          <w:tab w:val="num" w:pos="5760"/>
        </w:tabs>
        <w:ind w:left="5760" w:hanging="360"/>
      </w:pPr>
      <w:rPr>
        <w:rFonts w:ascii="Arial" w:hAnsi="Arial" w:hint="default"/>
      </w:rPr>
    </w:lvl>
    <w:lvl w:ilvl="8" w:tplc="55366B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5C7160"/>
    <w:multiLevelType w:val="multilevel"/>
    <w:tmpl w:val="8BB4D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016587"/>
    <w:multiLevelType w:val="multilevel"/>
    <w:tmpl w:val="8342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2D02A9"/>
    <w:multiLevelType w:val="hybridMultilevel"/>
    <w:tmpl w:val="638AF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854C19"/>
    <w:multiLevelType w:val="hybridMultilevel"/>
    <w:tmpl w:val="43AEF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2226534">
    <w:abstractNumId w:val="0"/>
  </w:num>
  <w:num w:numId="2" w16cid:durableId="1044212838">
    <w:abstractNumId w:val="3"/>
  </w:num>
  <w:num w:numId="3" w16cid:durableId="559101373">
    <w:abstractNumId w:val="4"/>
  </w:num>
  <w:num w:numId="4" w16cid:durableId="2055078580">
    <w:abstractNumId w:val="2"/>
  </w:num>
  <w:num w:numId="5" w16cid:durableId="1545557508">
    <w:abstractNumId w:val="1"/>
  </w:num>
  <w:num w:numId="6" w16cid:durableId="1097561495">
    <w:abstractNumId w:val="6"/>
  </w:num>
  <w:num w:numId="7" w16cid:durableId="9026382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G1NLAwMDAytDCzMDVW0lEKTi0uzszPAykwqQUAVlkuFiwAAAA="/>
  </w:docVars>
  <w:rsids>
    <w:rsidRoot w:val="0013536D"/>
    <w:rsid w:val="000126C1"/>
    <w:rsid w:val="000345A9"/>
    <w:rsid w:val="00062ED8"/>
    <w:rsid w:val="000716A4"/>
    <w:rsid w:val="000A5EEE"/>
    <w:rsid w:val="000E4457"/>
    <w:rsid w:val="000E5953"/>
    <w:rsid w:val="000F3554"/>
    <w:rsid w:val="0011341F"/>
    <w:rsid w:val="00113679"/>
    <w:rsid w:val="0013536D"/>
    <w:rsid w:val="00151172"/>
    <w:rsid w:val="00162895"/>
    <w:rsid w:val="00173C65"/>
    <w:rsid w:val="001747A4"/>
    <w:rsid w:val="00177D24"/>
    <w:rsid w:val="001D6733"/>
    <w:rsid w:val="001E2935"/>
    <w:rsid w:val="001F497F"/>
    <w:rsid w:val="002075FB"/>
    <w:rsid w:val="00214C52"/>
    <w:rsid w:val="00256913"/>
    <w:rsid w:val="00275722"/>
    <w:rsid w:val="0029264C"/>
    <w:rsid w:val="0029739B"/>
    <w:rsid w:val="002A0C92"/>
    <w:rsid w:val="002A3081"/>
    <w:rsid w:val="002D2820"/>
    <w:rsid w:val="002E73F9"/>
    <w:rsid w:val="002F3BEE"/>
    <w:rsid w:val="00302487"/>
    <w:rsid w:val="00302FC8"/>
    <w:rsid w:val="00304CB5"/>
    <w:rsid w:val="00305480"/>
    <w:rsid w:val="00355B16"/>
    <w:rsid w:val="003C4525"/>
    <w:rsid w:val="003D0EAB"/>
    <w:rsid w:val="003E3389"/>
    <w:rsid w:val="0042520F"/>
    <w:rsid w:val="00436E95"/>
    <w:rsid w:val="00453BC3"/>
    <w:rsid w:val="00456BBF"/>
    <w:rsid w:val="00457823"/>
    <w:rsid w:val="00483E85"/>
    <w:rsid w:val="004A19D4"/>
    <w:rsid w:val="004C660A"/>
    <w:rsid w:val="00501953"/>
    <w:rsid w:val="00506E49"/>
    <w:rsid w:val="00567470"/>
    <w:rsid w:val="0057689B"/>
    <w:rsid w:val="00580126"/>
    <w:rsid w:val="00583789"/>
    <w:rsid w:val="00584E87"/>
    <w:rsid w:val="005A3D2B"/>
    <w:rsid w:val="005B5511"/>
    <w:rsid w:val="005E163D"/>
    <w:rsid w:val="005F17DE"/>
    <w:rsid w:val="00600C00"/>
    <w:rsid w:val="00614381"/>
    <w:rsid w:val="00645128"/>
    <w:rsid w:val="006452E7"/>
    <w:rsid w:val="00645DA3"/>
    <w:rsid w:val="0065507C"/>
    <w:rsid w:val="00691AF2"/>
    <w:rsid w:val="006A0D28"/>
    <w:rsid w:val="006E1720"/>
    <w:rsid w:val="006E6EDB"/>
    <w:rsid w:val="006F6B1D"/>
    <w:rsid w:val="00730A50"/>
    <w:rsid w:val="007429D6"/>
    <w:rsid w:val="00761944"/>
    <w:rsid w:val="007676E6"/>
    <w:rsid w:val="007B0062"/>
    <w:rsid w:val="007B0621"/>
    <w:rsid w:val="007D10BB"/>
    <w:rsid w:val="007D1718"/>
    <w:rsid w:val="007E62ED"/>
    <w:rsid w:val="007F763E"/>
    <w:rsid w:val="008450D2"/>
    <w:rsid w:val="00865DD8"/>
    <w:rsid w:val="008801BF"/>
    <w:rsid w:val="008A2730"/>
    <w:rsid w:val="008B31C4"/>
    <w:rsid w:val="008B63CE"/>
    <w:rsid w:val="008D07D8"/>
    <w:rsid w:val="008D6478"/>
    <w:rsid w:val="008E011E"/>
    <w:rsid w:val="008F57FD"/>
    <w:rsid w:val="0090796A"/>
    <w:rsid w:val="00912AA3"/>
    <w:rsid w:val="00936203"/>
    <w:rsid w:val="00951701"/>
    <w:rsid w:val="00971A42"/>
    <w:rsid w:val="00972A44"/>
    <w:rsid w:val="00974C71"/>
    <w:rsid w:val="00992C4A"/>
    <w:rsid w:val="00993154"/>
    <w:rsid w:val="00996A89"/>
    <w:rsid w:val="009A6756"/>
    <w:rsid w:val="009E0F70"/>
    <w:rsid w:val="00A133C0"/>
    <w:rsid w:val="00A26AA9"/>
    <w:rsid w:val="00A27611"/>
    <w:rsid w:val="00A341A3"/>
    <w:rsid w:val="00A3518A"/>
    <w:rsid w:val="00A41D77"/>
    <w:rsid w:val="00A47FC8"/>
    <w:rsid w:val="00A527EA"/>
    <w:rsid w:val="00A5405D"/>
    <w:rsid w:val="00A60A01"/>
    <w:rsid w:val="00A813EB"/>
    <w:rsid w:val="00A82359"/>
    <w:rsid w:val="00A93762"/>
    <w:rsid w:val="00A95FBE"/>
    <w:rsid w:val="00AA17CA"/>
    <w:rsid w:val="00AC0C3E"/>
    <w:rsid w:val="00AC72A3"/>
    <w:rsid w:val="00B00B94"/>
    <w:rsid w:val="00B10F98"/>
    <w:rsid w:val="00B11B11"/>
    <w:rsid w:val="00B137A7"/>
    <w:rsid w:val="00B31D4C"/>
    <w:rsid w:val="00B4511B"/>
    <w:rsid w:val="00B846E0"/>
    <w:rsid w:val="00B960A9"/>
    <w:rsid w:val="00B97213"/>
    <w:rsid w:val="00BA02A1"/>
    <w:rsid w:val="00BE473F"/>
    <w:rsid w:val="00BE7421"/>
    <w:rsid w:val="00BF051A"/>
    <w:rsid w:val="00C835FE"/>
    <w:rsid w:val="00C87761"/>
    <w:rsid w:val="00C902CF"/>
    <w:rsid w:val="00CA76F7"/>
    <w:rsid w:val="00CC1D1E"/>
    <w:rsid w:val="00CE0CA3"/>
    <w:rsid w:val="00CE7D0F"/>
    <w:rsid w:val="00D124A6"/>
    <w:rsid w:val="00D13141"/>
    <w:rsid w:val="00D6129E"/>
    <w:rsid w:val="00D97012"/>
    <w:rsid w:val="00DB0174"/>
    <w:rsid w:val="00DE1F4B"/>
    <w:rsid w:val="00DF13A4"/>
    <w:rsid w:val="00E11F52"/>
    <w:rsid w:val="00E27AE6"/>
    <w:rsid w:val="00E30999"/>
    <w:rsid w:val="00E43AB1"/>
    <w:rsid w:val="00E67474"/>
    <w:rsid w:val="00EA67AC"/>
    <w:rsid w:val="00EA7AED"/>
    <w:rsid w:val="00EB43F3"/>
    <w:rsid w:val="00EB5433"/>
    <w:rsid w:val="00EC7ED7"/>
    <w:rsid w:val="00F011CF"/>
    <w:rsid w:val="00F162EC"/>
    <w:rsid w:val="00F27A55"/>
    <w:rsid w:val="00F35FD5"/>
    <w:rsid w:val="00F63CE6"/>
    <w:rsid w:val="00F72D6F"/>
    <w:rsid w:val="00FA34B2"/>
    <w:rsid w:val="00FB6238"/>
    <w:rsid w:val="00FD2A99"/>
    <w:rsid w:val="00FD36EE"/>
    <w:rsid w:val="00FD6A0A"/>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F32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902C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902C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semiHidden/>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1353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536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53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53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53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53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02CF"/>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902CF"/>
    <w:rPr>
      <w:rFonts w:ascii="Times New Roman" w:eastAsiaTheme="majorEastAsia" w:hAnsi="Times New Roman" w:cstheme="majorBidi"/>
      <w:b/>
      <w:sz w:val="32"/>
      <w:szCs w:val="32"/>
      <w14:ligatures w14:val="none"/>
    </w:rPr>
  </w:style>
  <w:style w:type="character" w:customStyle="1" w:styleId="Heading3Char">
    <w:name w:val="Heading 3 Char"/>
    <w:basedOn w:val="DefaultParagraphFont"/>
    <w:link w:val="Heading3"/>
    <w:uiPriority w:val="9"/>
    <w:semiHidden/>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13536D"/>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13536D"/>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13536D"/>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13536D"/>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13536D"/>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13536D"/>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135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36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1353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36D"/>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13536D"/>
    <w:pPr>
      <w:spacing w:before="160"/>
      <w:jc w:val="center"/>
    </w:pPr>
    <w:rPr>
      <w:i/>
      <w:iCs/>
      <w:color w:val="404040" w:themeColor="text1" w:themeTint="BF"/>
    </w:rPr>
  </w:style>
  <w:style w:type="character" w:customStyle="1" w:styleId="QuoteChar">
    <w:name w:val="Quote Char"/>
    <w:basedOn w:val="DefaultParagraphFont"/>
    <w:link w:val="Quote"/>
    <w:uiPriority w:val="29"/>
    <w:rsid w:val="0013536D"/>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13536D"/>
    <w:pPr>
      <w:ind w:left="720"/>
      <w:contextualSpacing/>
    </w:pPr>
  </w:style>
  <w:style w:type="character" w:styleId="IntenseEmphasis">
    <w:name w:val="Intense Emphasis"/>
    <w:basedOn w:val="DefaultParagraphFont"/>
    <w:uiPriority w:val="21"/>
    <w:qFormat/>
    <w:rsid w:val="0013536D"/>
    <w:rPr>
      <w:i/>
      <w:iCs/>
      <w:color w:val="0F4761" w:themeColor="accent1" w:themeShade="BF"/>
    </w:rPr>
  </w:style>
  <w:style w:type="paragraph" w:styleId="IntenseQuote">
    <w:name w:val="Intense Quote"/>
    <w:basedOn w:val="Normal"/>
    <w:next w:val="Normal"/>
    <w:link w:val="IntenseQuoteChar"/>
    <w:uiPriority w:val="30"/>
    <w:qFormat/>
    <w:rsid w:val="00135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36D"/>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13536D"/>
    <w:rPr>
      <w:b/>
      <w:bCs/>
      <w:smallCaps/>
      <w:color w:val="0F4761" w:themeColor="accent1" w:themeShade="BF"/>
      <w:spacing w:val="5"/>
    </w:rPr>
  </w:style>
  <w:style w:type="paragraph" w:styleId="NormalWeb">
    <w:name w:val="Normal (Web)"/>
    <w:basedOn w:val="Normal"/>
    <w:uiPriority w:val="99"/>
    <w:semiHidden/>
    <w:unhideWhenUsed/>
    <w:rsid w:val="00BA02A1"/>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BA02A1"/>
    <w:rPr>
      <w:b/>
      <w:bCs/>
    </w:rPr>
  </w:style>
  <w:style w:type="table" w:styleId="TableGrid">
    <w:name w:val="Table Grid"/>
    <w:basedOn w:val="TableNormal"/>
    <w:uiPriority w:val="39"/>
    <w:rsid w:val="00907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02C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45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11B"/>
    <w:rPr>
      <w:rFonts w:ascii="Times New Roman" w:hAnsi="Times New Roman"/>
      <w:sz w:val="24"/>
      <w:szCs w:val="24"/>
      <w14:ligatures w14:val="none"/>
    </w:rPr>
  </w:style>
  <w:style w:type="paragraph" w:styleId="Footer">
    <w:name w:val="footer"/>
    <w:basedOn w:val="Normal"/>
    <w:link w:val="FooterChar"/>
    <w:uiPriority w:val="99"/>
    <w:unhideWhenUsed/>
    <w:rsid w:val="00B45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11B"/>
    <w:rPr>
      <w:rFonts w:ascii="Times New Roman" w:hAnsi="Times New Roman"/>
      <w:sz w:val="24"/>
      <w:szCs w:val="24"/>
      <w14:ligatures w14:val="none"/>
    </w:rPr>
  </w:style>
  <w:style w:type="paragraph" w:styleId="TOCHeading">
    <w:name w:val="TOC Heading"/>
    <w:basedOn w:val="Heading1"/>
    <w:next w:val="Normal"/>
    <w:uiPriority w:val="39"/>
    <w:unhideWhenUsed/>
    <w:qFormat/>
    <w:rsid w:val="00B4511B"/>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B4511B"/>
    <w:pPr>
      <w:spacing w:after="100"/>
    </w:pPr>
  </w:style>
  <w:style w:type="paragraph" w:styleId="TOC2">
    <w:name w:val="toc 2"/>
    <w:basedOn w:val="Normal"/>
    <w:next w:val="Normal"/>
    <w:autoRedefine/>
    <w:uiPriority w:val="39"/>
    <w:unhideWhenUsed/>
    <w:rsid w:val="00B4511B"/>
    <w:pPr>
      <w:spacing w:after="100"/>
      <w:ind w:left="240"/>
    </w:pPr>
  </w:style>
  <w:style w:type="character" w:styleId="Hyperlink">
    <w:name w:val="Hyperlink"/>
    <w:basedOn w:val="DefaultParagraphFont"/>
    <w:uiPriority w:val="99"/>
    <w:unhideWhenUsed/>
    <w:rsid w:val="00B4511B"/>
    <w:rPr>
      <w:color w:val="467886" w:themeColor="hyperlink"/>
      <w:u w:val="single"/>
    </w:rPr>
  </w:style>
  <w:style w:type="paragraph" w:customStyle="1" w:styleId="Default">
    <w:name w:val="Default"/>
    <w:rsid w:val="000716A4"/>
    <w:pPr>
      <w:autoSpaceDE w:val="0"/>
      <w:autoSpaceDN w:val="0"/>
      <w:adjustRightInd w:val="0"/>
      <w:spacing w:after="0" w:line="240" w:lineRule="auto"/>
    </w:pPr>
    <w:rPr>
      <w:rFonts w:ascii="Arial" w:hAnsi="Arial" w:cs="Arial"/>
      <w:color w:val="00000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09856">
      <w:bodyDiv w:val="1"/>
      <w:marLeft w:val="0"/>
      <w:marRight w:val="0"/>
      <w:marTop w:val="0"/>
      <w:marBottom w:val="0"/>
      <w:divBdr>
        <w:top w:val="none" w:sz="0" w:space="0" w:color="auto"/>
        <w:left w:val="none" w:sz="0" w:space="0" w:color="auto"/>
        <w:bottom w:val="none" w:sz="0" w:space="0" w:color="auto"/>
        <w:right w:val="none" w:sz="0" w:space="0" w:color="auto"/>
      </w:divBdr>
      <w:divsChild>
        <w:div w:id="1903444947">
          <w:marLeft w:val="360"/>
          <w:marRight w:val="0"/>
          <w:marTop w:val="0"/>
          <w:marBottom w:val="160"/>
          <w:divBdr>
            <w:top w:val="none" w:sz="0" w:space="0" w:color="auto"/>
            <w:left w:val="none" w:sz="0" w:space="0" w:color="auto"/>
            <w:bottom w:val="none" w:sz="0" w:space="0" w:color="auto"/>
            <w:right w:val="none" w:sz="0" w:space="0" w:color="auto"/>
          </w:divBdr>
        </w:div>
        <w:div w:id="367611606">
          <w:marLeft w:val="360"/>
          <w:marRight w:val="0"/>
          <w:marTop w:val="0"/>
          <w:marBottom w:val="160"/>
          <w:divBdr>
            <w:top w:val="none" w:sz="0" w:space="0" w:color="auto"/>
            <w:left w:val="none" w:sz="0" w:space="0" w:color="auto"/>
            <w:bottom w:val="none" w:sz="0" w:space="0" w:color="auto"/>
            <w:right w:val="none" w:sz="0" w:space="0" w:color="auto"/>
          </w:divBdr>
        </w:div>
        <w:div w:id="1807578613">
          <w:marLeft w:val="0"/>
          <w:marRight w:val="0"/>
          <w:marTop w:val="0"/>
          <w:marBottom w:val="160"/>
          <w:divBdr>
            <w:top w:val="none" w:sz="0" w:space="0" w:color="auto"/>
            <w:left w:val="none" w:sz="0" w:space="0" w:color="auto"/>
            <w:bottom w:val="none" w:sz="0" w:space="0" w:color="auto"/>
            <w:right w:val="none" w:sz="0" w:space="0" w:color="auto"/>
          </w:divBdr>
        </w:div>
        <w:div w:id="1276905954">
          <w:marLeft w:val="0"/>
          <w:marRight w:val="0"/>
          <w:marTop w:val="0"/>
          <w:marBottom w:val="160"/>
          <w:divBdr>
            <w:top w:val="none" w:sz="0" w:space="0" w:color="auto"/>
            <w:left w:val="none" w:sz="0" w:space="0" w:color="auto"/>
            <w:bottom w:val="none" w:sz="0" w:space="0" w:color="auto"/>
            <w:right w:val="none" w:sz="0" w:space="0" w:color="auto"/>
          </w:divBdr>
        </w:div>
        <w:div w:id="766467556">
          <w:marLeft w:val="0"/>
          <w:marRight w:val="0"/>
          <w:marTop w:val="0"/>
          <w:marBottom w:val="160"/>
          <w:divBdr>
            <w:top w:val="none" w:sz="0" w:space="0" w:color="auto"/>
            <w:left w:val="none" w:sz="0" w:space="0" w:color="auto"/>
            <w:bottom w:val="none" w:sz="0" w:space="0" w:color="auto"/>
            <w:right w:val="none" w:sz="0" w:space="0" w:color="auto"/>
          </w:divBdr>
        </w:div>
        <w:div w:id="1201240778">
          <w:marLeft w:val="0"/>
          <w:marRight w:val="0"/>
          <w:marTop w:val="0"/>
          <w:marBottom w:val="160"/>
          <w:divBdr>
            <w:top w:val="none" w:sz="0" w:space="0" w:color="auto"/>
            <w:left w:val="none" w:sz="0" w:space="0" w:color="auto"/>
            <w:bottom w:val="none" w:sz="0" w:space="0" w:color="auto"/>
            <w:right w:val="none" w:sz="0" w:space="0" w:color="auto"/>
          </w:divBdr>
        </w:div>
        <w:div w:id="1591042168">
          <w:marLeft w:val="0"/>
          <w:marRight w:val="0"/>
          <w:marTop w:val="0"/>
          <w:marBottom w:val="160"/>
          <w:divBdr>
            <w:top w:val="none" w:sz="0" w:space="0" w:color="auto"/>
            <w:left w:val="none" w:sz="0" w:space="0" w:color="auto"/>
            <w:bottom w:val="none" w:sz="0" w:space="0" w:color="auto"/>
            <w:right w:val="none" w:sz="0" w:space="0" w:color="auto"/>
          </w:divBdr>
        </w:div>
        <w:div w:id="1934705075">
          <w:marLeft w:val="0"/>
          <w:marRight w:val="0"/>
          <w:marTop w:val="0"/>
          <w:marBottom w:val="160"/>
          <w:divBdr>
            <w:top w:val="none" w:sz="0" w:space="0" w:color="auto"/>
            <w:left w:val="none" w:sz="0" w:space="0" w:color="auto"/>
            <w:bottom w:val="none" w:sz="0" w:space="0" w:color="auto"/>
            <w:right w:val="none" w:sz="0" w:space="0" w:color="auto"/>
          </w:divBdr>
        </w:div>
        <w:div w:id="1884900228">
          <w:marLeft w:val="0"/>
          <w:marRight w:val="0"/>
          <w:marTop w:val="0"/>
          <w:marBottom w:val="160"/>
          <w:divBdr>
            <w:top w:val="none" w:sz="0" w:space="0" w:color="auto"/>
            <w:left w:val="none" w:sz="0" w:space="0" w:color="auto"/>
            <w:bottom w:val="none" w:sz="0" w:space="0" w:color="auto"/>
            <w:right w:val="none" w:sz="0" w:space="0" w:color="auto"/>
          </w:divBdr>
        </w:div>
        <w:div w:id="1086801972">
          <w:marLeft w:val="0"/>
          <w:marRight w:val="0"/>
          <w:marTop w:val="0"/>
          <w:marBottom w:val="160"/>
          <w:divBdr>
            <w:top w:val="none" w:sz="0" w:space="0" w:color="auto"/>
            <w:left w:val="none" w:sz="0" w:space="0" w:color="auto"/>
            <w:bottom w:val="none" w:sz="0" w:space="0" w:color="auto"/>
            <w:right w:val="none" w:sz="0" w:space="0" w:color="auto"/>
          </w:divBdr>
        </w:div>
        <w:div w:id="1961374319">
          <w:marLeft w:val="0"/>
          <w:marRight w:val="0"/>
          <w:marTop w:val="0"/>
          <w:marBottom w:val="160"/>
          <w:divBdr>
            <w:top w:val="none" w:sz="0" w:space="0" w:color="auto"/>
            <w:left w:val="none" w:sz="0" w:space="0" w:color="auto"/>
            <w:bottom w:val="none" w:sz="0" w:space="0" w:color="auto"/>
            <w:right w:val="none" w:sz="0" w:space="0" w:color="auto"/>
          </w:divBdr>
        </w:div>
        <w:div w:id="385178872">
          <w:marLeft w:val="0"/>
          <w:marRight w:val="0"/>
          <w:marTop w:val="0"/>
          <w:marBottom w:val="160"/>
          <w:divBdr>
            <w:top w:val="none" w:sz="0" w:space="0" w:color="auto"/>
            <w:left w:val="none" w:sz="0" w:space="0" w:color="auto"/>
            <w:bottom w:val="none" w:sz="0" w:space="0" w:color="auto"/>
            <w:right w:val="none" w:sz="0" w:space="0" w:color="auto"/>
          </w:divBdr>
        </w:div>
        <w:div w:id="1930966777">
          <w:marLeft w:val="0"/>
          <w:marRight w:val="0"/>
          <w:marTop w:val="0"/>
          <w:marBottom w:val="160"/>
          <w:divBdr>
            <w:top w:val="none" w:sz="0" w:space="0" w:color="auto"/>
            <w:left w:val="none" w:sz="0" w:space="0" w:color="auto"/>
            <w:bottom w:val="none" w:sz="0" w:space="0" w:color="auto"/>
            <w:right w:val="none" w:sz="0" w:space="0" w:color="auto"/>
          </w:divBdr>
        </w:div>
        <w:div w:id="1307469888">
          <w:marLeft w:val="0"/>
          <w:marRight w:val="0"/>
          <w:marTop w:val="0"/>
          <w:marBottom w:val="160"/>
          <w:divBdr>
            <w:top w:val="none" w:sz="0" w:space="0" w:color="auto"/>
            <w:left w:val="none" w:sz="0" w:space="0" w:color="auto"/>
            <w:bottom w:val="none" w:sz="0" w:space="0" w:color="auto"/>
            <w:right w:val="none" w:sz="0" w:space="0" w:color="auto"/>
          </w:divBdr>
        </w:div>
        <w:div w:id="909190027">
          <w:marLeft w:val="0"/>
          <w:marRight w:val="0"/>
          <w:marTop w:val="0"/>
          <w:marBottom w:val="160"/>
          <w:divBdr>
            <w:top w:val="none" w:sz="0" w:space="0" w:color="auto"/>
            <w:left w:val="none" w:sz="0" w:space="0" w:color="auto"/>
            <w:bottom w:val="none" w:sz="0" w:space="0" w:color="auto"/>
            <w:right w:val="none" w:sz="0" w:space="0" w:color="auto"/>
          </w:divBdr>
        </w:div>
        <w:div w:id="692268552">
          <w:marLeft w:val="0"/>
          <w:marRight w:val="0"/>
          <w:marTop w:val="0"/>
          <w:marBottom w:val="160"/>
          <w:divBdr>
            <w:top w:val="none" w:sz="0" w:space="0" w:color="auto"/>
            <w:left w:val="none" w:sz="0" w:space="0" w:color="auto"/>
            <w:bottom w:val="none" w:sz="0" w:space="0" w:color="auto"/>
            <w:right w:val="none" w:sz="0" w:space="0" w:color="auto"/>
          </w:divBdr>
        </w:div>
        <w:div w:id="444665673">
          <w:marLeft w:val="0"/>
          <w:marRight w:val="0"/>
          <w:marTop w:val="0"/>
          <w:marBottom w:val="160"/>
          <w:divBdr>
            <w:top w:val="none" w:sz="0" w:space="0" w:color="auto"/>
            <w:left w:val="none" w:sz="0" w:space="0" w:color="auto"/>
            <w:bottom w:val="none" w:sz="0" w:space="0" w:color="auto"/>
            <w:right w:val="none" w:sz="0" w:space="0" w:color="auto"/>
          </w:divBdr>
        </w:div>
        <w:div w:id="156194339">
          <w:marLeft w:val="0"/>
          <w:marRight w:val="0"/>
          <w:marTop w:val="0"/>
          <w:marBottom w:val="160"/>
          <w:divBdr>
            <w:top w:val="none" w:sz="0" w:space="0" w:color="auto"/>
            <w:left w:val="none" w:sz="0" w:space="0" w:color="auto"/>
            <w:bottom w:val="none" w:sz="0" w:space="0" w:color="auto"/>
            <w:right w:val="none" w:sz="0" w:space="0" w:color="auto"/>
          </w:divBdr>
        </w:div>
        <w:div w:id="2099983365">
          <w:marLeft w:val="0"/>
          <w:marRight w:val="0"/>
          <w:marTop w:val="0"/>
          <w:marBottom w:val="160"/>
          <w:divBdr>
            <w:top w:val="none" w:sz="0" w:space="0" w:color="auto"/>
            <w:left w:val="none" w:sz="0" w:space="0" w:color="auto"/>
            <w:bottom w:val="none" w:sz="0" w:space="0" w:color="auto"/>
            <w:right w:val="none" w:sz="0" w:space="0" w:color="auto"/>
          </w:divBdr>
        </w:div>
        <w:div w:id="2146194618">
          <w:marLeft w:val="0"/>
          <w:marRight w:val="0"/>
          <w:marTop w:val="0"/>
          <w:marBottom w:val="160"/>
          <w:divBdr>
            <w:top w:val="none" w:sz="0" w:space="0" w:color="auto"/>
            <w:left w:val="none" w:sz="0" w:space="0" w:color="auto"/>
            <w:bottom w:val="none" w:sz="0" w:space="0" w:color="auto"/>
            <w:right w:val="none" w:sz="0" w:space="0" w:color="auto"/>
          </w:divBdr>
        </w:div>
      </w:divsChild>
    </w:div>
    <w:div w:id="237060738">
      <w:bodyDiv w:val="1"/>
      <w:marLeft w:val="0"/>
      <w:marRight w:val="0"/>
      <w:marTop w:val="0"/>
      <w:marBottom w:val="0"/>
      <w:divBdr>
        <w:top w:val="none" w:sz="0" w:space="0" w:color="auto"/>
        <w:left w:val="none" w:sz="0" w:space="0" w:color="auto"/>
        <w:bottom w:val="none" w:sz="0" w:space="0" w:color="auto"/>
        <w:right w:val="none" w:sz="0" w:space="0" w:color="auto"/>
      </w:divBdr>
      <w:divsChild>
        <w:div w:id="260187179">
          <w:marLeft w:val="0"/>
          <w:marRight w:val="0"/>
          <w:marTop w:val="0"/>
          <w:marBottom w:val="0"/>
          <w:divBdr>
            <w:top w:val="none" w:sz="0" w:space="0" w:color="auto"/>
            <w:left w:val="none" w:sz="0" w:space="0" w:color="auto"/>
            <w:bottom w:val="none" w:sz="0" w:space="0" w:color="auto"/>
            <w:right w:val="none" w:sz="0" w:space="0" w:color="auto"/>
          </w:divBdr>
        </w:div>
      </w:divsChild>
    </w:div>
    <w:div w:id="326632873">
      <w:bodyDiv w:val="1"/>
      <w:marLeft w:val="0"/>
      <w:marRight w:val="0"/>
      <w:marTop w:val="0"/>
      <w:marBottom w:val="0"/>
      <w:divBdr>
        <w:top w:val="none" w:sz="0" w:space="0" w:color="auto"/>
        <w:left w:val="none" w:sz="0" w:space="0" w:color="auto"/>
        <w:bottom w:val="none" w:sz="0" w:space="0" w:color="auto"/>
        <w:right w:val="none" w:sz="0" w:space="0" w:color="auto"/>
      </w:divBdr>
    </w:div>
    <w:div w:id="702748932">
      <w:bodyDiv w:val="1"/>
      <w:marLeft w:val="0"/>
      <w:marRight w:val="0"/>
      <w:marTop w:val="0"/>
      <w:marBottom w:val="0"/>
      <w:divBdr>
        <w:top w:val="none" w:sz="0" w:space="0" w:color="auto"/>
        <w:left w:val="none" w:sz="0" w:space="0" w:color="auto"/>
        <w:bottom w:val="none" w:sz="0" w:space="0" w:color="auto"/>
        <w:right w:val="none" w:sz="0" w:space="0" w:color="auto"/>
      </w:divBdr>
      <w:divsChild>
        <w:div w:id="190270120">
          <w:marLeft w:val="0"/>
          <w:marRight w:val="0"/>
          <w:marTop w:val="0"/>
          <w:marBottom w:val="0"/>
          <w:divBdr>
            <w:top w:val="none" w:sz="0" w:space="0" w:color="auto"/>
            <w:left w:val="none" w:sz="0" w:space="0" w:color="auto"/>
            <w:bottom w:val="none" w:sz="0" w:space="0" w:color="auto"/>
            <w:right w:val="none" w:sz="0" w:space="0" w:color="auto"/>
          </w:divBdr>
        </w:div>
      </w:divsChild>
    </w:div>
    <w:div w:id="944465304">
      <w:bodyDiv w:val="1"/>
      <w:marLeft w:val="0"/>
      <w:marRight w:val="0"/>
      <w:marTop w:val="0"/>
      <w:marBottom w:val="0"/>
      <w:divBdr>
        <w:top w:val="none" w:sz="0" w:space="0" w:color="auto"/>
        <w:left w:val="none" w:sz="0" w:space="0" w:color="auto"/>
        <w:bottom w:val="none" w:sz="0" w:space="0" w:color="auto"/>
        <w:right w:val="none" w:sz="0" w:space="0" w:color="auto"/>
      </w:divBdr>
    </w:div>
    <w:div w:id="947547244">
      <w:bodyDiv w:val="1"/>
      <w:marLeft w:val="0"/>
      <w:marRight w:val="0"/>
      <w:marTop w:val="0"/>
      <w:marBottom w:val="0"/>
      <w:divBdr>
        <w:top w:val="none" w:sz="0" w:space="0" w:color="auto"/>
        <w:left w:val="none" w:sz="0" w:space="0" w:color="auto"/>
        <w:bottom w:val="none" w:sz="0" w:space="0" w:color="auto"/>
        <w:right w:val="none" w:sz="0" w:space="0" w:color="auto"/>
      </w:divBdr>
    </w:div>
    <w:div w:id="1028292452">
      <w:bodyDiv w:val="1"/>
      <w:marLeft w:val="0"/>
      <w:marRight w:val="0"/>
      <w:marTop w:val="0"/>
      <w:marBottom w:val="0"/>
      <w:divBdr>
        <w:top w:val="none" w:sz="0" w:space="0" w:color="auto"/>
        <w:left w:val="none" w:sz="0" w:space="0" w:color="auto"/>
        <w:bottom w:val="none" w:sz="0" w:space="0" w:color="auto"/>
        <w:right w:val="none" w:sz="0" w:space="0" w:color="auto"/>
      </w:divBdr>
      <w:divsChild>
        <w:div w:id="53630126">
          <w:marLeft w:val="0"/>
          <w:marRight w:val="0"/>
          <w:marTop w:val="0"/>
          <w:marBottom w:val="0"/>
          <w:divBdr>
            <w:top w:val="none" w:sz="0" w:space="0" w:color="auto"/>
            <w:left w:val="none" w:sz="0" w:space="0" w:color="auto"/>
            <w:bottom w:val="none" w:sz="0" w:space="0" w:color="auto"/>
            <w:right w:val="none" w:sz="0" w:space="0" w:color="auto"/>
          </w:divBdr>
        </w:div>
      </w:divsChild>
    </w:div>
    <w:div w:id="1247619029">
      <w:bodyDiv w:val="1"/>
      <w:marLeft w:val="0"/>
      <w:marRight w:val="0"/>
      <w:marTop w:val="0"/>
      <w:marBottom w:val="0"/>
      <w:divBdr>
        <w:top w:val="none" w:sz="0" w:space="0" w:color="auto"/>
        <w:left w:val="none" w:sz="0" w:space="0" w:color="auto"/>
        <w:bottom w:val="none" w:sz="0" w:space="0" w:color="auto"/>
        <w:right w:val="none" w:sz="0" w:space="0" w:color="auto"/>
      </w:divBdr>
      <w:divsChild>
        <w:div w:id="652872707">
          <w:marLeft w:val="0"/>
          <w:marRight w:val="0"/>
          <w:marTop w:val="0"/>
          <w:marBottom w:val="0"/>
          <w:divBdr>
            <w:top w:val="none" w:sz="0" w:space="0" w:color="auto"/>
            <w:left w:val="none" w:sz="0" w:space="0" w:color="auto"/>
            <w:bottom w:val="none" w:sz="0" w:space="0" w:color="auto"/>
            <w:right w:val="none" w:sz="0" w:space="0" w:color="auto"/>
          </w:divBdr>
        </w:div>
      </w:divsChild>
    </w:div>
    <w:div w:id="1307054681">
      <w:bodyDiv w:val="1"/>
      <w:marLeft w:val="0"/>
      <w:marRight w:val="0"/>
      <w:marTop w:val="0"/>
      <w:marBottom w:val="0"/>
      <w:divBdr>
        <w:top w:val="none" w:sz="0" w:space="0" w:color="auto"/>
        <w:left w:val="none" w:sz="0" w:space="0" w:color="auto"/>
        <w:bottom w:val="none" w:sz="0" w:space="0" w:color="auto"/>
        <w:right w:val="none" w:sz="0" w:space="0" w:color="auto"/>
      </w:divBdr>
      <w:divsChild>
        <w:div w:id="1522433729">
          <w:marLeft w:val="0"/>
          <w:marRight w:val="0"/>
          <w:marTop w:val="0"/>
          <w:marBottom w:val="0"/>
          <w:divBdr>
            <w:top w:val="none" w:sz="0" w:space="0" w:color="auto"/>
            <w:left w:val="none" w:sz="0" w:space="0" w:color="auto"/>
            <w:bottom w:val="none" w:sz="0" w:space="0" w:color="auto"/>
            <w:right w:val="none" w:sz="0" w:space="0" w:color="auto"/>
          </w:divBdr>
        </w:div>
      </w:divsChild>
    </w:div>
    <w:div w:id="1328482328">
      <w:bodyDiv w:val="1"/>
      <w:marLeft w:val="0"/>
      <w:marRight w:val="0"/>
      <w:marTop w:val="0"/>
      <w:marBottom w:val="0"/>
      <w:divBdr>
        <w:top w:val="none" w:sz="0" w:space="0" w:color="auto"/>
        <w:left w:val="none" w:sz="0" w:space="0" w:color="auto"/>
        <w:bottom w:val="none" w:sz="0" w:space="0" w:color="auto"/>
        <w:right w:val="none" w:sz="0" w:space="0" w:color="auto"/>
      </w:divBdr>
    </w:div>
    <w:div w:id="1334990417">
      <w:bodyDiv w:val="1"/>
      <w:marLeft w:val="0"/>
      <w:marRight w:val="0"/>
      <w:marTop w:val="0"/>
      <w:marBottom w:val="0"/>
      <w:divBdr>
        <w:top w:val="none" w:sz="0" w:space="0" w:color="auto"/>
        <w:left w:val="none" w:sz="0" w:space="0" w:color="auto"/>
        <w:bottom w:val="none" w:sz="0" w:space="0" w:color="auto"/>
        <w:right w:val="none" w:sz="0" w:space="0" w:color="auto"/>
      </w:divBdr>
      <w:divsChild>
        <w:div w:id="1382170193">
          <w:marLeft w:val="0"/>
          <w:marRight w:val="0"/>
          <w:marTop w:val="0"/>
          <w:marBottom w:val="0"/>
          <w:divBdr>
            <w:top w:val="none" w:sz="0" w:space="0" w:color="auto"/>
            <w:left w:val="none" w:sz="0" w:space="0" w:color="auto"/>
            <w:bottom w:val="none" w:sz="0" w:space="0" w:color="auto"/>
            <w:right w:val="none" w:sz="0" w:space="0" w:color="auto"/>
          </w:divBdr>
        </w:div>
      </w:divsChild>
    </w:div>
    <w:div w:id="1385593019">
      <w:bodyDiv w:val="1"/>
      <w:marLeft w:val="0"/>
      <w:marRight w:val="0"/>
      <w:marTop w:val="0"/>
      <w:marBottom w:val="0"/>
      <w:divBdr>
        <w:top w:val="none" w:sz="0" w:space="0" w:color="auto"/>
        <w:left w:val="none" w:sz="0" w:space="0" w:color="auto"/>
        <w:bottom w:val="none" w:sz="0" w:space="0" w:color="auto"/>
        <w:right w:val="none" w:sz="0" w:space="0" w:color="auto"/>
      </w:divBdr>
    </w:div>
    <w:div w:id="1449356994">
      <w:bodyDiv w:val="1"/>
      <w:marLeft w:val="0"/>
      <w:marRight w:val="0"/>
      <w:marTop w:val="0"/>
      <w:marBottom w:val="0"/>
      <w:divBdr>
        <w:top w:val="none" w:sz="0" w:space="0" w:color="auto"/>
        <w:left w:val="none" w:sz="0" w:space="0" w:color="auto"/>
        <w:bottom w:val="none" w:sz="0" w:space="0" w:color="auto"/>
        <w:right w:val="none" w:sz="0" w:space="0" w:color="auto"/>
      </w:divBdr>
      <w:divsChild>
        <w:div w:id="543559623">
          <w:marLeft w:val="0"/>
          <w:marRight w:val="0"/>
          <w:marTop w:val="0"/>
          <w:marBottom w:val="0"/>
          <w:divBdr>
            <w:top w:val="none" w:sz="0" w:space="0" w:color="auto"/>
            <w:left w:val="none" w:sz="0" w:space="0" w:color="auto"/>
            <w:bottom w:val="none" w:sz="0" w:space="0" w:color="auto"/>
            <w:right w:val="none" w:sz="0" w:space="0" w:color="auto"/>
          </w:divBdr>
        </w:div>
      </w:divsChild>
    </w:div>
    <w:div w:id="1506244031">
      <w:bodyDiv w:val="1"/>
      <w:marLeft w:val="0"/>
      <w:marRight w:val="0"/>
      <w:marTop w:val="0"/>
      <w:marBottom w:val="0"/>
      <w:divBdr>
        <w:top w:val="none" w:sz="0" w:space="0" w:color="auto"/>
        <w:left w:val="none" w:sz="0" w:space="0" w:color="auto"/>
        <w:bottom w:val="none" w:sz="0" w:space="0" w:color="auto"/>
        <w:right w:val="none" w:sz="0" w:space="0" w:color="auto"/>
      </w:divBdr>
      <w:divsChild>
        <w:div w:id="333722466">
          <w:marLeft w:val="0"/>
          <w:marRight w:val="0"/>
          <w:marTop w:val="0"/>
          <w:marBottom w:val="0"/>
          <w:divBdr>
            <w:top w:val="none" w:sz="0" w:space="0" w:color="auto"/>
            <w:left w:val="none" w:sz="0" w:space="0" w:color="auto"/>
            <w:bottom w:val="none" w:sz="0" w:space="0" w:color="auto"/>
            <w:right w:val="none" w:sz="0" w:space="0" w:color="auto"/>
          </w:divBdr>
        </w:div>
      </w:divsChild>
    </w:div>
    <w:div w:id="1516070629">
      <w:bodyDiv w:val="1"/>
      <w:marLeft w:val="0"/>
      <w:marRight w:val="0"/>
      <w:marTop w:val="0"/>
      <w:marBottom w:val="0"/>
      <w:divBdr>
        <w:top w:val="none" w:sz="0" w:space="0" w:color="auto"/>
        <w:left w:val="none" w:sz="0" w:space="0" w:color="auto"/>
        <w:bottom w:val="none" w:sz="0" w:space="0" w:color="auto"/>
        <w:right w:val="none" w:sz="0" w:space="0" w:color="auto"/>
      </w:divBdr>
      <w:divsChild>
        <w:div w:id="473453806">
          <w:marLeft w:val="0"/>
          <w:marRight w:val="0"/>
          <w:marTop w:val="0"/>
          <w:marBottom w:val="0"/>
          <w:divBdr>
            <w:top w:val="none" w:sz="0" w:space="0" w:color="auto"/>
            <w:left w:val="none" w:sz="0" w:space="0" w:color="auto"/>
            <w:bottom w:val="none" w:sz="0" w:space="0" w:color="auto"/>
            <w:right w:val="none" w:sz="0" w:space="0" w:color="auto"/>
          </w:divBdr>
        </w:div>
      </w:divsChild>
    </w:div>
    <w:div w:id="1529757567">
      <w:bodyDiv w:val="1"/>
      <w:marLeft w:val="0"/>
      <w:marRight w:val="0"/>
      <w:marTop w:val="0"/>
      <w:marBottom w:val="0"/>
      <w:divBdr>
        <w:top w:val="none" w:sz="0" w:space="0" w:color="auto"/>
        <w:left w:val="none" w:sz="0" w:space="0" w:color="auto"/>
        <w:bottom w:val="none" w:sz="0" w:space="0" w:color="auto"/>
        <w:right w:val="none" w:sz="0" w:space="0" w:color="auto"/>
      </w:divBdr>
    </w:div>
    <w:div w:id="1538734680">
      <w:bodyDiv w:val="1"/>
      <w:marLeft w:val="0"/>
      <w:marRight w:val="0"/>
      <w:marTop w:val="0"/>
      <w:marBottom w:val="0"/>
      <w:divBdr>
        <w:top w:val="none" w:sz="0" w:space="0" w:color="auto"/>
        <w:left w:val="none" w:sz="0" w:space="0" w:color="auto"/>
        <w:bottom w:val="none" w:sz="0" w:space="0" w:color="auto"/>
        <w:right w:val="none" w:sz="0" w:space="0" w:color="auto"/>
      </w:divBdr>
    </w:div>
    <w:div w:id="1757165217">
      <w:bodyDiv w:val="1"/>
      <w:marLeft w:val="0"/>
      <w:marRight w:val="0"/>
      <w:marTop w:val="0"/>
      <w:marBottom w:val="0"/>
      <w:divBdr>
        <w:top w:val="none" w:sz="0" w:space="0" w:color="auto"/>
        <w:left w:val="none" w:sz="0" w:space="0" w:color="auto"/>
        <w:bottom w:val="none" w:sz="0" w:space="0" w:color="auto"/>
        <w:right w:val="none" w:sz="0" w:space="0" w:color="auto"/>
      </w:divBdr>
    </w:div>
    <w:div w:id="1761488938">
      <w:bodyDiv w:val="1"/>
      <w:marLeft w:val="0"/>
      <w:marRight w:val="0"/>
      <w:marTop w:val="0"/>
      <w:marBottom w:val="0"/>
      <w:divBdr>
        <w:top w:val="none" w:sz="0" w:space="0" w:color="auto"/>
        <w:left w:val="none" w:sz="0" w:space="0" w:color="auto"/>
        <w:bottom w:val="none" w:sz="0" w:space="0" w:color="auto"/>
        <w:right w:val="none" w:sz="0" w:space="0" w:color="auto"/>
      </w:divBdr>
      <w:divsChild>
        <w:div w:id="1395275616">
          <w:marLeft w:val="0"/>
          <w:marRight w:val="0"/>
          <w:marTop w:val="0"/>
          <w:marBottom w:val="0"/>
          <w:divBdr>
            <w:top w:val="none" w:sz="0" w:space="0" w:color="auto"/>
            <w:left w:val="none" w:sz="0" w:space="0" w:color="auto"/>
            <w:bottom w:val="none" w:sz="0" w:space="0" w:color="auto"/>
            <w:right w:val="none" w:sz="0" w:space="0" w:color="auto"/>
          </w:divBdr>
        </w:div>
      </w:divsChild>
    </w:div>
    <w:div w:id="1896313676">
      <w:bodyDiv w:val="1"/>
      <w:marLeft w:val="0"/>
      <w:marRight w:val="0"/>
      <w:marTop w:val="0"/>
      <w:marBottom w:val="0"/>
      <w:divBdr>
        <w:top w:val="none" w:sz="0" w:space="0" w:color="auto"/>
        <w:left w:val="none" w:sz="0" w:space="0" w:color="auto"/>
        <w:bottom w:val="none" w:sz="0" w:space="0" w:color="auto"/>
        <w:right w:val="none" w:sz="0" w:space="0" w:color="auto"/>
      </w:divBdr>
    </w:div>
    <w:div w:id="2022077520">
      <w:bodyDiv w:val="1"/>
      <w:marLeft w:val="0"/>
      <w:marRight w:val="0"/>
      <w:marTop w:val="0"/>
      <w:marBottom w:val="0"/>
      <w:divBdr>
        <w:top w:val="none" w:sz="0" w:space="0" w:color="auto"/>
        <w:left w:val="none" w:sz="0" w:space="0" w:color="auto"/>
        <w:bottom w:val="none" w:sz="0" w:space="0" w:color="auto"/>
        <w:right w:val="none" w:sz="0" w:space="0" w:color="auto"/>
      </w:divBdr>
    </w:div>
    <w:div w:id="2068067897">
      <w:bodyDiv w:val="1"/>
      <w:marLeft w:val="0"/>
      <w:marRight w:val="0"/>
      <w:marTop w:val="0"/>
      <w:marBottom w:val="0"/>
      <w:divBdr>
        <w:top w:val="none" w:sz="0" w:space="0" w:color="auto"/>
        <w:left w:val="none" w:sz="0" w:space="0" w:color="auto"/>
        <w:bottom w:val="none" w:sz="0" w:space="0" w:color="auto"/>
        <w:right w:val="none" w:sz="0" w:space="0" w:color="auto"/>
      </w:divBdr>
      <w:divsChild>
        <w:div w:id="1105807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2A91A8-762F-4E7B-9CAF-136092D6163D}"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GB"/>
        </a:p>
      </dgm:t>
    </dgm:pt>
    <dgm:pt modelId="{9A22772A-6FAD-452C-89B6-DBCB3EA78EFE}">
      <dgm:prSet phldrT="[Text]"/>
      <dgm:spPr/>
      <dgm:t>
        <a:bodyPr/>
        <a:lstStyle/>
        <a:p>
          <a:pPr algn="ctr"/>
          <a:r>
            <a:rPr lang="en-GB" b="1"/>
            <a:t>Idea Conceptualization</a:t>
          </a:r>
          <a:endParaRPr lang="en-GB"/>
        </a:p>
      </dgm:t>
    </dgm:pt>
    <dgm:pt modelId="{4CA6BEF4-289F-44D4-B77E-19E47376D775}" type="parTrans" cxnId="{E24A9DC1-D18E-4691-9308-89FC887B8A99}">
      <dgm:prSet/>
      <dgm:spPr/>
      <dgm:t>
        <a:bodyPr/>
        <a:lstStyle/>
        <a:p>
          <a:pPr algn="ctr"/>
          <a:endParaRPr lang="en-GB"/>
        </a:p>
      </dgm:t>
    </dgm:pt>
    <dgm:pt modelId="{641D8261-F241-4331-A2B1-541518001574}" type="sibTrans" cxnId="{E24A9DC1-D18E-4691-9308-89FC887B8A99}">
      <dgm:prSet/>
      <dgm:spPr/>
      <dgm:t>
        <a:bodyPr/>
        <a:lstStyle/>
        <a:p>
          <a:pPr algn="ctr"/>
          <a:endParaRPr lang="en-GB"/>
        </a:p>
      </dgm:t>
    </dgm:pt>
    <dgm:pt modelId="{DCA48261-0123-4597-AE04-13A8B6D49306}">
      <dgm:prSet/>
      <dgm:spPr/>
      <dgm:t>
        <a:bodyPr/>
        <a:lstStyle/>
        <a:p>
          <a:pPr algn="ctr"/>
          <a:r>
            <a:rPr lang="en-GB" b="1"/>
            <a:t>Promotion</a:t>
          </a:r>
          <a:endParaRPr lang="en-GB"/>
        </a:p>
      </dgm:t>
    </dgm:pt>
    <dgm:pt modelId="{9C056F62-8739-4B2D-8048-2CAE254AA34C}" type="parTrans" cxnId="{C71D5F24-77F1-4523-94EA-BB917A6DA2F1}">
      <dgm:prSet/>
      <dgm:spPr/>
      <dgm:t>
        <a:bodyPr/>
        <a:lstStyle/>
        <a:p>
          <a:pPr algn="ctr"/>
          <a:endParaRPr lang="en-GB"/>
        </a:p>
      </dgm:t>
    </dgm:pt>
    <dgm:pt modelId="{950DCC5D-43E1-4BE3-84A8-8DD1F6E0A6B7}" type="sibTrans" cxnId="{C71D5F24-77F1-4523-94EA-BB917A6DA2F1}">
      <dgm:prSet/>
      <dgm:spPr/>
      <dgm:t>
        <a:bodyPr/>
        <a:lstStyle/>
        <a:p>
          <a:pPr algn="ctr"/>
          <a:endParaRPr lang="en-GB"/>
        </a:p>
      </dgm:t>
    </dgm:pt>
    <dgm:pt modelId="{07520519-CC5E-4DDA-8156-7AD493FF6F57}">
      <dgm:prSet/>
      <dgm:spPr/>
      <dgm:t>
        <a:bodyPr/>
        <a:lstStyle/>
        <a:p>
          <a:pPr algn="ctr"/>
          <a:r>
            <a:rPr lang="en-GB" b="1"/>
            <a:t>Implementation</a:t>
          </a:r>
          <a:endParaRPr lang="en-GB"/>
        </a:p>
      </dgm:t>
    </dgm:pt>
    <dgm:pt modelId="{383561A6-C577-4F17-85E7-56D1C5A1E54C}" type="parTrans" cxnId="{336D5B05-3B78-4B17-ABB4-4E5011FC53EF}">
      <dgm:prSet/>
      <dgm:spPr/>
      <dgm:t>
        <a:bodyPr/>
        <a:lstStyle/>
        <a:p>
          <a:pPr algn="ctr"/>
          <a:endParaRPr lang="en-GB"/>
        </a:p>
      </dgm:t>
    </dgm:pt>
    <dgm:pt modelId="{30199CB7-9ACB-4B9F-8EBC-2F7E4F3EA7AA}" type="sibTrans" cxnId="{336D5B05-3B78-4B17-ABB4-4E5011FC53EF}">
      <dgm:prSet/>
      <dgm:spPr/>
      <dgm:t>
        <a:bodyPr/>
        <a:lstStyle/>
        <a:p>
          <a:pPr algn="ctr"/>
          <a:endParaRPr lang="en-GB"/>
        </a:p>
      </dgm:t>
    </dgm:pt>
    <dgm:pt modelId="{E46133BC-8282-4E19-8790-56717753C63A}">
      <dgm:prSet/>
      <dgm:spPr/>
      <dgm:t>
        <a:bodyPr/>
        <a:lstStyle/>
        <a:p>
          <a:pPr algn="ctr"/>
          <a:r>
            <a:rPr lang="en-GB" b="1"/>
            <a:t>Post-Event Evaluation</a:t>
          </a:r>
          <a:endParaRPr lang="en-GB"/>
        </a:p>
      </dgm:t>
    </dgm:pt>
    <dgm:pt modelId="{3A9D9D9D-3F82-4D62-A55B-600F9A11A916}" type="parTrans" cxnId="{59371B16-7E2C-4CBE-9E18-A56B74C4F4D6}">
      <dgm:prSet/>
      <dgm:spPr/>
      <dgm:t>
        <a:bodyPr/>
        <a:lstStyle/>
        <a:p>
          <a:pPr algn="ctr"/>
          <a:endParaRPr lang="en-GB"/>
        </a:p>
      </dgm:t>
    </dgm:pt>
    <dgm:pt modelId="{28586B1F-2CE0-4892-93DD-ABAB31CB9C68}" type="sibTrans" cxnId="{59371B16-7E2C-4CBE-9E18-A56B74C4F4D6}">
      <dgm:prSet/>
      <dgm:spPr/>
      <dgm:t>
        <a:bodyPr/>
        <a:lstStyle/>
        <a:p>
          <a:pPr algn="ctr"/>
          <a:endParaRPr lang="en-GB"/>
        </a:p>
      </dgm:t>
    </dgm:pt>
    <dgm:pt modelId="{995A04B9-42B0-4E6C-A916-8147FD4D3817}" type="pres">
      <dgm:prSet presAssocID="{A72A91A8-762F-4E7B-9CAF-136092D6163D}" presName="Name0" presStyleCnt="0">
        <dgm:presLayoutVars>
          <dgm:dir/>
          <dgm:resizeHandles val="exact"/>
        </dgm:presLayoutVars>
      </dgm:prSet>
      <dgm:spPr/>
    </dgm:pt>
    <dgm:pt modelId="{A7F8AFCC-F45E-4E94-B910-36AE9ABBFCF7}" type="pres">
      <dgm:prSet presAssocID="{A72A91A8-762F-4E7B-9CAF-136092D6163D}" presName="cycle" presStyleCnt="0"/>
      <dgm:spPr/>
    </dgm:pt>
    <dgm:pt modelId="{4FC52060-52FD-4035-910A-868DD6805B59}" type="pres">
      <dgm:prSet presAssocID="{9A22772A-6FAD-452C-89B6-DBCB3EA78EFE}" presName="nodeFirstNode" presStyleLbl="node1" presStyleIdx="0" presStyleCnt="4">
        <dgm:presLayoutVars>
          <dgm:bulletEnabled val="1"/>
        </dgm:presLayoutVars>
      </dgm:prSet>
      <dgm:spPr/>
    </dgm:pt>
    <dgm:pt modelId="{ECCA3B5B-8978-4EE7-8416-1C2A9FEFCA51}" type="pres">
      <dgm:prSet presAssocID="{641D8261-F241-4331-A2B1-541518001574}" presName="sibTransFirstNode" presStyleLbl="bgShp" presStyleIdx="0" presStyleCnt="1"/>
      <dgm:spPr/>
    </dgm:pt>
    <dgm:pt modelId="{758E1D4D-5902-4328-86A9-CECB6C6E2EBB}" type="pres">
      <dgm:prSet presAssocID="{DCA48261-0123-4597-AE04-13A8B6D49306}" presName="nodeFollowingNodes" presStyleLbl="node1" presStyleIdx="1" presStyleCnt="4">
        <dgm:presLayoutVars>
          <dgm:bulletEnabled val="1"/>
        </dgm:presLayoutVars>
      </dgm:prSet>
      <dgm:spPr/>
    </dgm:pt>
    <dgm:pt modelId="{F38ECA32-9C29-41E1-A937-01255701CB20}" type="pres">
      <dgm:prSet presAssocID="{07520519-CC5E-4DDA-8156-7AD493FF6F57}" presName="nodeFollowingNodes" presStyleLbl="node1" presStyleIdx="2" presStyleCnt="4">
        <dgm:presLayoutVars>
          <dgm:bulletEnabled val="1"/>
        </dgm:presLayoutVars>
      </dgm:prSet>
      <dgm:spPr/>
    </dgm:pt>
    <dgm:pt modelId="{7E4371D8-ED69-4250-9FED-76151B699BD2}" type="pres">
      <dgm:prSet presAssocID="{E46133BC-8282-4E19-8790-56717753C63A}" presName="nodeFollowingNodes" presStyleLbl="node1" presStyleIdx="3" presStyleCnt="4">
        <dgm:presLayoutVars>
          <dgm:bulletEnabled val="1"/>
        </dgm:presLayoutVars>
      </dgm:prSet>
      <dgm:spPr/>
    </dgm:pt>
  </dgm:ptLst>
  <dgm:cxnLst>
    <dgm:cxn modelId="{336D5B05-3B78-4B17-ABB4-4E5011FC53EF}" srcId="{A72A91A8-762F-4E7B-9CAF-136092D6163D}" destId="{07520519-CC5E-4DDA-8156-7AD493FF6F57}" srcOrd="2" destOrd="0" parTransId="{383561A6-C577-4F17-85E7-56D1C5A1E54C}" sibTransId="{30199CB7-9ACB-4B9F-8EBC-2F7E4F3EA7AA}"/>
    <dgm:cxn modelId="{F893EA0D-32AB-4903-AD24-2C01641C5978}" type="presOf" srcId="{9A22772A-6FAD-452C-89B6-DBCB3EA78EFE}" destId="{4FC52060-52FD-4035-910A-868DD6805B59}" srcOrd="0" destOrd="0" presId="urn:microsoft.com/office/officeart/2005/8/layout/cycle3"/>
    <dgm:cxn modelId="{59371B16-7E2C-4CBE-9E18-A56B74C4F4D6}" srcId="{A72A91A8-762F-4E7B-9CAF-136092D6163D}" destId="{E46133BC-8282-4E19-8790-56717753C63A}" srcOrd="3" destOrd="0" parTransId="{3A9D9D9D-3F82-4D62-A55B-600F9A11A916}" sibTransId="{28586B1F-2CE0-4892-93DD-ABAB31CB9C68}"/>
    <dgm:cxn modelId="{23DFC41E-5C1E-4016-B6F8-84AFBB4C000B}" type="presOf" srcId="{E46133BC-8282-4E19-8790-56717753C63A}" destId="{7E4371D8-ED69-4250-9FED-76151B699BD2}" srcOrd="0" destOrd="0" presId="urn:microsoft.com/office/officeart/2005/8/layout/cycle3"/>
    <dgm:cxn modelId="{C71D5F24-77F1-4523-94EA-BB917A6DA2F1}" srcId="{A72A91A8-762F-4E7B-9CAF-136092D6163D}" destId="{DCA48261-0123-4597-AE04-13A8B6D49306}" srcOrd="1" destOrd="0" parTransId="{9C056F62-8739-4B2D-8048-2CAE254AA34C}" sibTransId="{950DCC5D-43E1-4BE3-84A8-8DD1F6E0A6B7}"/>
    <dgm:cxn modelId="{81189C8A-C03F-4244-9720-69B2EDB6A85D}" type="presOf" srcId="{DCA48261-0123-4597-AE04-13A8B6D49306}" destId="{758E1D4D-5902-4328-86A9-CECB6C6E2EBB}" srcOrd="0" destOrd="0" presId="urn:microsoft.com/office/officeart/2005/8/layout/cycle3"/>
    <dgm:cxn modelId="{C6497ABF-E127-46F1-87A6-CBEFBEBB25FB}" type="presOf" srcId="{A72A91A8-762F-4E7B-9CAF-136092D6163D}" destId="{995A04B9-42B0-4E6C-A916-8147FD4D3817}" srcOrd="0" destOrd="0" presId="urn:microsoft.com/office/officeart/2005/8/layout/cycle3"/>
    <dgm:cxn modelId="{E24A9DC1-D18E-4691-9308-89FC887B8A99}" srcId="{A72A91A8-762F-4E7B-9CAF-136092D6163D}" destId="{9A22772A-6FAD-452C-89B6-DBCB3EA78EFE}" srcOrd="0" destOrd="0" parTransId="{4CA6BEF4-289F-44D4-B77E-19E47376D775}" sibTransId="{641D8261-F241-4331-A2B1-541518001574}"/>
    <dgm:cxn modelId="{E90B15C3-073E-4D84-863E-323D06D418C0}" type="presOf" srcId="{641D8261-F241-4331-A2B1-541518001574}" destId="{ECCA3B5B-8978-4EE7-8416-1C2A9FEFCA51}" srcOrd="0" destOrd="0" presId="urn:microsoft.com/office/officeart/2005/8/layout/cycle3"/>
    <dgm:cxn modelId="{7EF42DD9-B7C6-4F75-B9E6-9B50D0F51EA1}" type="presOf" srcId="{07520519-CC5E-4DDA-8156-7AD493FF6F57}" destId="{F38ECA32-9C29-41E1-A937-01255701CB20}" srcOrd="0" destOrd="0" presId="urn:microsoft.com/office/officeart/2005/8/layout/cycle3"/>
    <dgm:cxn modelId="{E3017891-7B4D-4EDC-A41B-06186CF422FE}" type="presParOf" srcId="{995A04B9-42B0-4E6C-A916-8147FD4D3817}" destId="{A7F8AFCC-F45E-4E94-B910-36AE9ABBFCF7}" srcOrd="0" destOrd="0" presId="urn:microsoft.com/office/officeart/2005/8/layout/cycle3"/>
    <dgm:cxn modelId="{4E27E976-D32E-42EB-B93E-C07D0A2394DD}" type="presParOf" srcId="{A7F8AFCC-F45E-4E94-B910-36AE9ABBFCF7}" destId="{4FC52060-52FD-4035-910A-868DD6805B59}" srcOrd="0" destOrd="0" presId="urn:microsoft.com/office/officeart/2005/8/layout/cycle3"/>
    <dgm:cxn modelId="{1F80BAB0-992E-4259-8A80-22AD0751AE31}" type="presParOf" srcId="{A7F8AFCC-F45E-4E94-B910-36AE9ABBFCF7}" destId="{ECCA3B5B-8978-4EE7-8416-1C2A9FEFCA51}" srcOrd="1" destOrd="0" presId="urn:microsoft.com/office/officeart/2005/8/layout/cycle3"/>
    <dgm:cxn modelId="{CE4F54F4-194D-4ACC-8C5D-F161DB4C18F3}" type="presParOf" srcId="{A7F8AFCC-F45E-4E94-B910-36AE9ABBFCF7}" destId="{758E1D4D-5902-4328-86A9-CECB6C6E2EBB}" srcOrd="2" destOrd="0" presId="urn:microsoft.com/office/officeart/2005/8/layout/cycle3"/>
    <dgm:cxn modelId="{639022E0-715F-4F7B-8CC6-1F5FAAAFC352}" type="presParOf" srcId="{A7F8AFCC-F45E-4E94-B910-36AE9ABBFCF7}" destId="{F38ECA32-9C29-41E1-A937-01255701CB20}" srcOrd="3" destOrd="0" presId="urn:microsoft.com/office/officeart/2005/8/layout/cycle3"/>
    <dgm:cxn modelId="{199632E0-F821-402A-B13D-BA55C154E8AF}" type="presParOf" srcId="{A7F8AFCC-F45E-4E94-B910-36AE9ABBFCF7}" destId="{7E4371D8-ED69-4250-9FED-76151B699BD2}" srcOrd="4"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CA3B5B-8978-4EE7-8416-1C2A9FEFCA51}">
      <dsp:nvSpPr>
        <dsp:cNvPr id="0" name=""/>
        <dsp:cNvSpPr/>
      </dsp:nvSpPr>
      <dsp:spPr>
        <a:xfrm>
          <a:off x="1137508" y="-49027"/>
          <a:ext cx="2973258" cy="2973258"/>
        </a:xfrm>
        <a:prstGeom prst="circularArrow">
          <a:avLst>
            <a:gd name="adj1" fmla="val 4668"/>
            <a:gd name="adj2" fmla="val 272909"/>
            <a:gd name="adj3" fmla="val 13064246"/>
            <a:gd name="adj4" fmla="val 17874182"/>
            <a:gd name="adj5" fmla="val 484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C52060-52FD-4035-910A-868DD6805B59}">
      <dsp:nvSpPr>
        <dsp:cNvPr id="0" name=""/>
        <dsp:cNvSpPr/>
      </dsp:nvSpPr>
      <dsp:spPr>
        <a:xfrm>
          <a:off x="1693901" y="809"/>
          <a:ext cx="1860472" cy="93023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Idea Conceptualization</a:t>
          </a:r>
          <a:endParaRPr lang="en-GB" sz="1500" kern="1200"/>
        </a:p>
      </dsp:txBody>
      <dsp:txXfrm>
        <a:off x="1739311" y="46219"/>
        <a:ext cx="1769652" cy="839416"/>
      </dsp:txXfrm>
    </dsp:sp>
    <dsp:sp modelId="{758E1D4D-5902-4328-86A9-CECB6C6E2EBB}">
      <dsp:nvSpPr>
        <dsp:cNvPr id="0" name=""/>
        <dsp:cNvSpPr/>
      </dsp:nvSpPr>
      <dsp:spPr>
        <a:xfrm>
          <a:off x="2761498" y="1068406"/>
          <a:ext cx="1860472" cy="93023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Promotion</a:t>
          </a:r>
          <a:endParaRPr lang="en-GB" sz="1500" kern="1200"/>
        </a:p>
      </dsp:txBody>
      <dsp:txXfrm>
        <a:off x="2806908" y="1113816"/>
        <a:ext cx="1769652" cy="839416"/>
      </dsp:txXfrm>
    </dsp:sp>
    <dsp:sp modelId="{F38ECA32-9C29-41E1-A937-01255701CB20}">
      <dsp:nvSpPr>
        <dsp:cNvPr id="0" name=""/>
        <dsp:cNvSpPr/>
      </dsp:nvSpPr>
      <dsp:spPr>
        <a:xfrm>
          <a:off x="1693901" y="2136004"/>
          <a:ext cx="1860472" cy="93023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Implementation</a:t>
          </a:r>
          <a:endParaRPr lang="en-GB" sz="1500" kern="1200"/>
        </a:p>
      </dsp:txBody>
      <dsp:txXfrm>
        <a:off x="1739311" y="2181414"/>
        <a:ext cx="1769652" cy="839416"/>
      </dsp:txXfrm>
    </dsp:sp>
    <dsp:sp modelId="{7E4371D8-ED69-4250-9FED-76151B699BD2}">
      <dsp:nvSpPr>
        <dsp:cNvPr id="0" name=""/>
        <dsp:cNvSpPr/>
      </dsp:nvSpPr>
      <dsp:spPr>
        <a:xfrm>
          <a:off x="626304" y="1068406"/>
          <a:ext cx="1860472" cy="93023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Post-Event Evaluation</a:t>
          </a:r>
          <a:endParaRPr lang="en-GB" sz="1500" kern="1200"/>
        </a:p>
      </dsp:txBody>
      <dsp:txXfrm>
        <a:off x="671714" y="1113816"/>
        <a:ext cx="1769652" cy="83941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B39AC-A758-4687-AF73-B086D352A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3956</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2024-11-01T17:37:00Z</dcterms:created>
  <dcterms:modified xsi:type="dcterms:W3CDTF">2024-11-03T22:26:00Z</dcterms:modified>
</cp:coreProperties>
</file>