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A9611" w14:textId="77777777" w:rsidR="00D014EC" w:rsidRDefault="00000000">
      <w:pPr>
        <w:spacing w:after="40"/>
        <w:jc w:val="center"/>
      </w:pPr>
      <w:r>
        <w:rPr>
          <w:b/>
          <w:color w:val="1B365D"/>
          <w:sz w:val="40"/>
        </w:rPr>
        <w:t>CYBERSECURITY AND DATA GOVERNANCE POLICY:</w:t>
      </w:r>
      <w:r>
        <w:rPr>
          <w:b/>
          <w:color w:val="1B365D"/>
          <w:sz w:val="40"/>
        </w:rPr>
        <w:br/>
        <w:t>STRATEGIC CYBER RESILIENCE FOR STEELFORM MANUFACTURING LTD</w:t>
      </w:r>
    </w:p>
    <w:p w14:paraId="11DC10C0" w14:textId="77777777" w:rsidR="00D014EC" w:rsidRDefault="00000000">
      <w:pPr>
        <w:spacing w:after="360"/>
        <w:jc w:val="center"/>
      </w:pPr>
      <w:r>
        <w:rPr>
          <w:i/>
          <w:color w:val="666666"/>
          <w:sz w:val="20"/>
        </w:rPr>
        <w:t>Module: ACCA4024 Networks and Cyber Security Essentials | UWTSD London Campus</w:t>
      </w:r>
    </w:p>
    <w:tbl>
      <w:tblPr>
        <w:tblW w:w="0" w:type="auto"/>
        <w:jc w:val="center"/>
        <w:tblLook w:val="04A0" w:firstRow="1" w:lastRow="0" w:firstColumn="1" w:lastColumn="0" w:noHBand="0" w:noVBand="1"/>
      </w:tblPr>
      <w:tblGrid>
        <w:gridCol w:w="9360"/>
      </w:tblGrid>
      <w:tr w:rsidR="00D014EC" w14:paraId="100278BE" w14:textId="77777777">
        <w:trPr>
          <w:jc w:val="center"/>
        </w:trPr>
        <w:tc>
          <w:tcPr>
            <w:tcW w:w="9360" w:type="dxa"/>
            <w:shd w:val="clear" w:color="auto" w:fill="F4F6F8"/>
            <w:tcMar>
              <w:top w:w="140" w:type="dxa"/>
              <w:left w:w="200" w:type="dxa"/>
              <w:bottom w:w="140" w:type="dxa"/>
              <w:right w:w="200" w:type="dxa"/>
            </w:tcMar>
          </w:tcPr>
          <w:p w14:paraId="427B51EB" w14:textId="47381994" w:rsidR="00D014EC" w:rsidRDefault="00000000">
            <w:pPr>
              <w:spacing w:after="0"/>
            </w:pPr>
            <w:r>
              <w:rPr>
                <w:b/>
              </w:rPr>
              <w:t xml:space="preserve">Student Name: </w:t>
            </w:r>
            <w:r>
              <w:t xml:space="preserve">Ata Polat   | </w:t>
            </w:r>
            <w:r w:rsidR="00294E7C" w:rsidRPr="00294E7C">
              <w:rPr>
                <w:b/>
              </w:rPr>
              <w:t>Student ID:</w:t>
            </w:r>
            <w:r w:rsidR="00294E7C">
              <w:t xml:space="preserve"> 2512871 </w:t>
            </w:r>
            <w:r w:rsidR="00294E7C">
              <w:t xml:space="preserve"> |   </w:t>
            </w:r>
            <w:r>
              <w:t xml:space="preserve">  </w:t>
            </w:r>
            <w:r>
              <w:rPr>
                <w:b/>
              </w:rPr>
              <w:t xml:space="preserve">Program: </w:t>
            </w:r>
            <w:r>
              <w:t>CertHE Computing Skills for the Workplace</w:t>
            </w:r>
            <w:r>
              <w:br/>
            </w:r>
            <w:r>
              <w:rPr>
                <w:b/>
              </w:rPr>
              <w:t xml:space="preserve">Institution: </w:t>
            </w:r>
            <w:r>
              <w:t xml:space="preserve">University of Wales Trinity Saint David (UWTSD)   |   </w:t>
            </w:r>
            <w:r>
              <w:rPr>
                <w:b/>
              </w:rPr>
              <w:t xml:space="preserve">Lecturer: </w:t>
            </w:r>
            <w:r>
              <w:t>Amit Naik</w:t>
            </w:r>
          </w:p>
        </w:tc>
      </w:tr>
    </w:tbl>
    <w:p w14:paraId="49DED8BB" w14:textId="77777777" w:rsidR="00D014EC" w:rsidRDefault="00D014EC">
      <w:pPr>
        <w:spacing w:after="240"/>
      </w:pPr>
    </w:p>
    <w:p w14:paraId="052D5142" w14:textId="77777777" w:rsidR="00D014EC" w:rsidRDefault="00000000">
      <w:pPr>
        <w:keepNext/>
        <w:spacing w:before="320"/>
      </w:pPr>
      <w:r>
        <w:rPr>
          <w:b/>
          <w:color w:val="1B365D"/>
          <w:sz w:val="32"/>
        </w:rPr>
        <w:t>Abstract</w:t>
      </w:r>
    </w:p>
    <w:p w14:paraId="369303DB" w14:textId="77777777" w:rsidR="00D014EC" w:rsidRDefault="00000000">
      <w:r>
        <w:t>This comprehensive report delivers an enterprise-grade Cybersecurity and Data Governance Policy tailored for SteelForm Manufacturing Ltd (SFM). As SFM transitions into Industry 4.0—integrating Internet of Things (IoT) sensors, automated machinery, and cloud-hosted manufacturing execution systems (MES)—its attack surface has widened substantially. Based on recent operational security incidents, this document establishes a threat identification matrix, formulates ISO 27001 and NIST-aligned security policies, proposes actionable mitigation architectures (including Zero Trust and micro-segmentation), outlines a continuous network monitoring and incident response framework, and designs a role-based employee security awareness training program. Finally, an executive presentation structure is appended for Board-level strategic justification.</w:t>
      </w:r>
    </w:p>
    <w:p w14:paraId="4107A8D9" w14:textId="77777777" w:rsidR="00D014EC" w:rsidRDefault="00000000">
      <w:pPr>
        <w:keepNext/>
        <w:spacing w:before="320"/>
      </w:pPr>
      <w:r>
        <w:rPr>
          <w:b/>
          <w:color w:val="1B365D"/>
          <w:sz w:val="32"/>
        </w:rPr>
        <w:t>1. Introduction &amp; Organizational Context</w:t>
      </w:r>
    </w:p>
    <w:p w14:paraId="5DE560D3" w14:textId="77777777" w:rsidR="00D014EC" w:rsidRDefault="00000000">
      <w:r>
        <w:t>SteelForm Manufacturing Ltd (SFM) operates as a key medium-sized manufacturer of precision-engineered components for highly regulated automotive and aerospace clients. To maintain market competitiveness, SFM has modernized its manufacturing infrastructure by integrating smart industrial control systems (ICS), operational technology (OT) assets, IoT environmental sensors, and cloud-based enterprise production management portals.</w:t>
      </w:r>
    </w:p>
    <w:p w14:paraId="43C0703E" w14:textId="77777777" w:rsidR="00D014EC" w:rsidRDefault="00000000">
      <w:r>
        <w:t>While these modernizations drive operational efficiency and predictive maintenance, they fundamentally eliminate the traditional physical 'air-gap' separating Information Technology (IT) and Operational Technology (OT) networks. Legacy industrial communication protocols (e.g., Modbus, PROFINET) were originally designed for isolated environments without native encryption or strong authentication mechanisms. Exposing these protocols to modern IT networks leaves SFM vulnerable to cyber threats. Recent anomalies—such as spear-phishing targeting procurement personnel and rogue scanning on production subnets—highlight the urgent need for a comprehensive cybersecurity policy.</w:t>
      </w:r>
    </w:p>
    <w:p w14:paraId="49906CE1" w14:textId="77777777" w:rsidR="002F4A4B" w:rsidRDefault="002F4A4B"/>
    <w:p w14:paraId="5D049DCB" w14:textId="77777777" w:rsidR="002F4A4B" w:rsidRDefault="002F4A4B"/>
    <w:tbl>
      <w:tblPr>
        <w:tblW w:w="0" w:type="auto"/>
        <w:jc w:val="center"/>
        <w:tblLook w:val="04A0" w:firstRow="1" w:lastRow="0" w:firstColumn="1" w:lastColumn="0" w:noHBand="0" w:noVBand="1"/>
      </w:tblPr>
      <w:tblGrid>
        <w:gridCol w:w="9360"/>
      </w:tblGrid>
      <w:tr w:rsidR="00D014EC" w14:paraId="12622D26" w14:textId="77777777">
        <w:trPr>
          <w:jc w:val="center"/>
        </w:trPr>
        <w:tc>
          <w:tcPr>
            <w:tcW w:w="9360" w:type="dxa"/>
            <w:shd w:val="clear" w:color="auto" w:fill="EAEFF5"/>
            <w:tcMar>
              <w:top w:w="150" w:type="dxa"/>
              <w:left w:w="200" w:type="dxa"/>
              <w:bottom w:w="150" w:type="dxa"/>
              <w:right w:w="200" w:type="dxa"/>
            </w:tcMar>
          </w:tcPr>
          <w:p w14:paraId="489EE273" w14:textId="77777777" w:rsidR="00D014EC" w:rsidRDefault="00000000">
            <w:pPr>
              <w:spacing w:after="0"/>
              <w:jc w:val="center"/>
            </w:pPr>
            <w:r>
              <w:rPr>
                <w:b/>
                <w:color w:val="1B365D"/>
                <w:sz w:val="19"/>
              </w:rPr>
              <w:lastRenderedPageBreak/>
              <w:t>FIGURE 1: SFM DIGITAL TRANSFORMATION SURFACE</w:t>
            </w:r>
            <w:r>
              <w:rPr>
                <w:b/>
                <w:color w:val="1B365D"/>
                <w:sz w:val="19"/>
              </w:rPr>
              <w:br/>
            </w:r>
            <w:r>
              <w:rPr>
                <w:sz w:val="18"/>
              </w:rPr>
              <w:t>[ Cloud Production Portal (MES) ]  &lt;---&gt;  [ Enterprise IT Network (Procurement) ]</w:t>
            </w:r>
            <w:r>
              <w:rPr>
                <w:sz w:val="18"/>
              </w:rPr>
              <w:br/>
              <w:t xml:space="preserve">                                                 |</w:t>
            </w:r>
            <w:r>
              <w:rPr>
                <w:sz w:val="18"/>
              </w:rPr>
              <w:br/>
              <w:t xml:space="preserve">                                    ( Industrial IT/OT Gateway )</w:t>
            </w:r>
            <w:r>
              <w:rPr>
                <w:sz w:val="18"/>
              </w:rPr>
              <w:br/>
              <w:t xml:space="preserve">                                                 v</w:t>
            </w:r>
            <w:r>
              <w:rPr>
                <w:sz w:val="18"/>
              </w:rPr>
              <w:br/>
              <w:t>[ Operational Technology (OT) ]    &lt;---&gt;  [ PLCs / Industrial Robotics / Sensors ]</w:t>
            </w:r>
          </w:p>
        </w:tc>
      </w:tr>
    </w:tbl>
    <w:p w14:paraId="5B6AB656" w14:textId="77777777" w:rsidR="00D014EC" w:rsidRDefault="00D014EC"/>
    <w:p w14:paraId="27E1EF8A" w14:textId="77777777" w:rsidR="00D014EC" w:rsidRDefault="00000000">
      <w:pPr>
        <w:keepNext/>
        <w:spacing w:before="320"/>
      </w:pPr>
      <w:r>
        <w:rPr>
          <w:b/>
          <w:color w:val="1B365D"/>
          <w:sz w:val="32"/>
        </w:rPr>
        <w:t>2. Scope &amp; Threat Modeling Methodology</w:t>
      </w:r>
    </w:p>
    <w:p w14:paraId="21AF42FF" w14:textId="77777777" w:rsidR="00D014EC" w:rsidRDefault="00000000">
      <w:r>
        <w:t>To evaluate system vulnerabilities, threat identification was performed using a hybrid methodology incorporating the STRIDE framework (Spoofing, Tampering, Repudiation, Information Disclosure, Denial of Service, Elevation of Privilege) combined with the CIA Triad (Confidentiality, Integrity, Availability). Threat vectors are divided into External vs. Internal origins and Intentional Malicious vs. Unintentional Accidental vectors.</w:t>
      </w:r>
    </w:p>
    <w:p w14:paraId="5BA9FD83" w14:textId="77777777" w:rsidR="00D014EC" w:rsidRDefault="00000000">
      <w:pPr>
        <w:keepNext/>
        <w:spacing w:before="320"/>
      </w:pPr>
      <w:r>
        <w:rPr>
          <w:b/>
          <w:color w:val="1B365D"/>
          <w:sz w:val="32"/>
        </w:rPr>
        <w:t>3. External Cyber Threat Analysis</w:t>
      </w:r>
    </w:p>
    <w:p w14:paraId="236F725E" w14:textId="77777777" w:rsidR="00D014EC" w:rsidRDefault="00000000">
      <w:r>
        <w:t>External threats originate outside SFM’s perimeter from actors seeking financial gain, intellectual property (IP) theft, or supply chain disruption.</w:t>
      </w:r>
    </w:p>
    <w:p w14:paraId="05834995" w14:textId="77777777" w:rsidR="00D014EC" w:rsidRDefault="00000000">
      <w:pPr>
        <w:keepNext/>
        <w:spacing w:before="240" w:after="80"/>
      </w:pPr>
      <w:r>
        <w:rPr>
          <w:b/>
          <w:color w:val="4A777A"/>
          <w:sz w:val="26"/>
        </w:rPr>
        <w:t>3.1 Ransomware Targeting OT and ICS Infrastructure</w:t>
      </w:r>
    </w:p>
    <w:p w14:paraId="18AA8CE8" w14:textId="77777777" w:rsidR="00D014EC" w:rsidRDefault="00000000">
      <w:r>
        <w:rPr>
          <w:b/>
        </w:rPr>
        <w:t xml:space="preserve">• Threat Dynamics: </w:t>
      </w:r>
      <w:r>
        <w:t>Ransomware poses the most severe threat to business continuity. Strains designed for industrial environments move laterally from IT to OT systems to compromise Programmable Logic Controllers (PLCs).</w:t>
      </w:r>
    </w:p>
    <w:p w14:paraId="61EC6776" w14:textId="77777777" w:rsidR="00D014EC" w:rsidRDefault="00000000">
      <w:r>
        <w:rPr>
          <w:b/>
        </w:rPr>
        <w:t xml:space="preserve">• Primary Vector: </w:t>
      </w:r>
      <w:r>
        <w:t>Spear-phishing emails containing malicious macros or compromised third-party remote access credentials.</w:t>
      </w:r>
    </w:p>
    <w:p w14:paraId="454A0923" w14:textId="77777777" w:rsidR="00D014EC" w:rsidRDefault="00000000">
      <w:r>
        <w:rPr>
          <w:b/>
        </w:rPr>
        <w:t xml:space="preserve">• Impact on CIA Triad: </w:t>
      </w:r>
      <w:r>
        <w:t>Catastrophic impact on Availability and Integrity. Encryption of production databases halts assembly lines, incurring severe financial penalties and lost client trust.</w:t>
      </w:r>
    </w:p>
    <w:p w14:paraId="444D5370" w14:textId="77777777" w:rsidR="00D014EC" w:rsidRDefault="00000000">
      <w:pPr>
        <w:keepNext/>
        <w:spacing w:before="240" w:after="80"/>
      </w:pPr>
      <w:r>
        <w:rPr>
          <w:b/>
          <w:color w:val="4A777A"/>
          <w:sz w:val="26"/>
        </w:rPr>
        <w:t>3.2 Industrial Espionage and Intellectual Property (IP) Theft</w:t>
      </w:r>
    </w:p>
    <w:p w14:paraId="6586D3B7" w14:textId="77777777" w:rsidR="00D014EC" w:rsidRDefault="00000000">
      <w:r>
        <w:rPr>
          <w:b/>
        </w:rPr>
        <w:t xml:space="preserve">• Threat Dynamics: </w:t>
      </w:r>
      <w:r>
        <w:t>SFM’s custom Computer-Aided Design (CAD) files, metallurgical alloy formulas, and precision tool specifications represent high-value targets for foreign nation-states and commercial competitors.</w:t>
      </w:r>
    </w:p>
    <w:p w14:paraId="00750021" w14:textId="77777777" w:rsidR="00D014EC" w:rsidRDefault="00000000">
      <w:r>
        <w:rPr>
          <w:b/>
        </w:rPr>
        <w:t xml:space="preserve">• Primary Vector: </w:t>
      </w:r>
      <w:r>
        <w:t>Advanced Persistent Threats (APTs) deploying Remote Access Trojans (RATs) and Living-off-the-Land (LotL) scripts to exfiltrate unencrypted files.</w:t>
      </w:r>
    </w:p>
    <w:p w14:paraId="2392B401" w14:textId="77777777" w:rsidR="00D014EC" w:rsidRDefault="00000000">
      <w:r>
        <w:rPr>
          <w:b/>
        </w:rPr>
        <w:t xml:space="preserve">• Impact on CIA Triad: </w:t>
      </w:r>
      <w:r>
        <w:t>Direct violation of Confidentiality, risking contractual breach under non-disclosure agreements (NDAs).</w:t>
      </w:r>
    </w:p>
    <w:p w14:paraId="4E103ED0" w14:textId="77777777" w:rsidR="00D014EC" w:rsidRDefault="00000000">
      <w:pPr>
        <w:keepNext/>
        <w:spacing w:before="240" w:after="80"/>
      </w:pPr>
      <w:r>
        <w:rPr>
          <w:b/>
          <w:color w:val="4A777A"/>
          <w:sz w:val="26"/>
        </w:rPr>
        <w:t>3.3 Supply Chain Exploitation &amp; Vendor Risk</w:t>
      </w:r>
    </w:p>
    <w:p w14:paraId="60469C99" w14:textId="77777777" w:rsidR="00D014EC" w:rsidRDefault="00000000">
      <w:r>
        <w:rPr>
          <w:b/>
        </w:rPr>
        <w:t xml:space="preserve">• Threat Dynamics: </w:t>
      </w:r>
      <w:r>
        <w:t>Cloud MES portals interface with external logistics partners and suppliers. Weak security at vendor endpoints enables transitive exploitation into SFM's internal network.</w:t>
      </w:r>
    </w:p>
    <w:p w14:paraId="0FF27273" w14:textId="77777777" w:rsidR="00D014EC" w:rsidRDefault="00000000">
      <w:r>
        <w:rPr>
          <w:b/>
        </w:rPr>
        <w:lastRenderedPageBreak/>
        <w:t xml:space="preserve">• Primary Vector: </w:t>
      </w:r>
      <w:r>
        <w:t>Stolen vendor credentials or malicious software updates injected through third-party maintenance utilities.</w:t>
      </w:r>
    </w:p>
    <w:p w14:paraId="631D6996" w14:textId="77777777" w:rsidR="00D014EC" w:rsidRDefault="00000000">
      <w:r>
        <w:rPr>
          <w:b/>
        </w:rPr>
        <w:t xml:space="preserve">• Impact on CIA Triad: </w:t>
      </w:r>
      <w:r>
        <w:t>Undermines Integrity and Confidentiality through unauthorized schedule manipulation or code injection.</w:t>
      </w:r>
    </w:p>
    <w:p w14:paraId="7A688817" w14:textId="77777777" w:rsidR="00D014EC" w:rsidRDefault="00000000">
      <w:pPr>
        <w:keepNext/>
        <w:spacing w:before="320"/>
      </w:pPr>
      <w:r>
        <w:rPr>
          <w:b/>
          <w:color w:val="1B365D"/>
          <w:sz w:val="32"/>
        </w:rPr>
        <w:t>4. Internal Cyber Threat Analysis</w:t>
      </w:r>
    </w:p>
    <w:p w14:paraId="1739CA14" w14:textId="77777777" w:rsidR="00D014EC" w:rsidRDefault="00000000">
      <w:r>
        <w:t>Internal threats originate from users with authorized access, bypassing edge firewalls.</w:t>
      </w:r>
    </w:p>
    <w:p w14:paraId="1F0A0E26" w14:textId="77777777" w:rsidR="00D014EC" w:rsidRDefault="00000000">
      <w:pPr>
        <w:keepNext/>
        <w:spacing w:before="240" w:after="80"/>
      </w:pPr>
      <w:r>
        <w:rPr>
          <w:b/>
          <w:color w:val="4A777A"/>
          <w:sz w:val="26"/>
        </w:rPr>
        <w:t>4.1 Social Engineering &amp; Procurement Phishing</w:t>
      </w:r>
    </w:p>
    <w:p w14:paraId="5FCD9A13" w14:textId="77777777" w:rsidR="00D014EC" w:rsidRDefault="00000000">
      <w:r>
        <w:rPr>
          <w:b/>
        </w:rPr>
        <w:t xml:space="preserve">• Threat Dynamics: </w:t>
      </w:r>
      <w:r>
        <w:t>Procurement staff frequently receive financial documents, making them primary targets for Business Email Compromise (BEC).</w:t>
      </w:r>
    </w:p>
    <w:p w14:paraId="6D9CB5AC" w14:textId="77777777" w:rsidR="00D014EC" w:rsidRDefault="00000000">
      <w:r>
        <w:rPr>
          <w:b/>
        </w:rPr>
        <w:t xml:space="preserve">• Primary Vector: </w:t>
      </w:r>
      <w:r>
        <w:t>Spear-phishing emails impersonating raw material vendors directing staff to credential-harvesting portals.</w:t>
      </w:r>
    </w:p>
    <w:p w14:paraId="2FF28178" w14:textId="77777777" w:rsidR="00D014EC" w:rsidRDefault="00000000">
      <w:r>
        <w:rPr>
          <w:b/>
        </w:rPr>
        <w:t xml:space="preserve">• Impact on CIA Triad: </w:t>
      </w:r>
      <w:r>
        <w:t>Direct loss of Confidentiality and Integrity, allowing illicit financial transactions or privilege escalation.</w:t>
      </w:r>
    </w:p>
    <w:p w14:paraId="055DA759" w14:textId="77777777" w:rsidR="00D014EC" w:rsidRDefault="00000000">
      <w:pPr>
        <w:keepNext/>
        <w:spacing w:before="240" w:after="80"/>
      </w:pPr>
      <w:r>
        <w:rPr>
          <w:b/>
          <w:color w:val="4A777A"/>
          <w:sz w:val="26"/>
        </w:rPr>
        <w:t>4.2 Malicious Insider Activity &amp; Disgruntled Employees</w:t>
      </w:r>
    </w:p>
    <w:p w14:paraId="74E9B122" w14:textId="77777777" w:rsidR="00D014EC" w:rsidRDefault="00000000">
      <w:r>
        <w:rPr>
          <w:b/>
        </w:rPr>
        <w:t xml:space="preserve">• Threat Dynamics: </w:t>
      </w:r>
      <w:r>
        <w:t>Personnel with elevated privileges (e.g., system administrators or plant technicians) pose significant risks if disgruntled.</w:t>
      </w:r>
    </w:p>
    <w:p w14:paraId="443D6135" w14:textId="77777777" w:rsidR="00D014EC" w:rsidRDefault="00000000">
      <w:r>
        <w:rPr>
          <w:b/>
        </w:rPr>
        <w:t xml:space="preserve">• Primary Vector: </w:t>
      </w:r>
      <w:r>
        <w:t>Direct exfiltration via rogue USB drives, deletion of cloud database backups, or malicious modification of PLC ladder logic.</w:t>
      </w:r>
    </w:p>
    <w:p w14:paraId="01C711D6" w14:textId="77777777" w:rsidR="00D014EC" w:rsidRDefault="00000000">
      <w:r>
        <w:rPr>
          <w:b/>
        </w:rPr>
        <w:t xml:space="preserve">• Impact on CIA Triad: </w:t>
      </w:r>
      <w:r>
        <w:t>Complete breach of Confidentiality, Integrity, and Availability, with potential physical equipment damage.</w:t>
      </w:r>
    </w:p>
    <w:p w14:paraId="4D040194" w14:textId="77777777" w:rsidR="00D014EC" w:rsidRDefault="00000000">
      <w:pPr>
        <w:keepNext/>
        <w:spacing w:before="240" w:after="80"/>
      </w:pPr>
      <w:r>
        <w:rPr>
          <w:b/>
          <w:color w:val="4A777A"/>
          <w:sz w:val="26"/>
        </w:rPr>
        <w:t>4.3 Unintentional Insider Errors &amp; Lack of Awareness</w:t>
      </w:r>
    </w:p>
    <w:p w14:paraId="2DBD6582" w14:textId="77777777" w:rsidR="00D014EC" w:rsidRDefault="00000000">
      <w:r>
        <w:rPr>
          <w:b/>
        </w:rPr>
        <w:t xml:space="preserve">• Threat Dynamics: </w:t>
      </w:r>
      <w:r>
        <w:t>Human error remains a major root cause of security incidents.</w:t>
      </w:r>
    </w:p>
    <w:p w14:paraId="55EBF56E" w14:textId="77777777" w:rsidR="00D014EC" w:rsidRDefault="00000000">
      <w:r>
        <w:rPr>
          <w:b/>
        </w:rPr>
        <w:t xml:space="preserve">• Primary Vector: </w:t>
      </w:r>
      <w:r>
        <w:t>Charging personal smartphones via OT IoT gateway USB ports, reusing weak passwords, or clicking unverified links.</w:t>
      </w:r>
    </w:p>
    <w:p w14:paraId="5833688F" w14:textId="77777777" w:rsidR="00D014EC" w:rsidRDefault="00000000">
      <w:r>
        <w:rPr>
          <w:b/>
        </w:rPr>
        <w:t xml:space="preserve">• Impact on CIA Triad: </w:t>
      </w:r>
      <w:r>
        <w:t>Degrades Availability and Integrity by introducing malware into operational environments.</w:t>
      </w:r>
    </w:p>
    <w:p w14:paraId="473F097F" w14:textId="13002472" w:rsidR="00D014EC" w:rsidRDefault="00000000">
      <w:pPr>
        <w:keepNext/>
        <w:spacing w:before="320"/>
      </w:pPr>
      <w:r>
        <w:rPr>
          <w:b/>
          <w:color w:val="1B365D"/>
          <w:sz w:val="32"/>
        </w:rPr>
        <w:t>5. Comprehensive Threat Identification Matrix</w:t>
      </w:r>
    </w:p>
    <w:p w14:paraId="585C14EB" w14:textId="7FE0862C" w:rsidR="00D014EC" w:rsidRDefault="002F4A4B">
      <w:pPr>
        <w:rPr>
          <w:i/>
          <w:iCs/>
        </w:rPr>
      </w:pPr>
      <w:r w:rsidRPr="002F4A4B">
        <w:rPr>
          <w:b/>
          <w:bCs/>
          <w:i/>
          <w:iCs/>
        </w:rPr>
        <w:t xml:space="preserve">Figure </w:t>
      </w:r>
      <w:r>
        <w:rPr>
          <w:b/>
          <w:bCs/>
          <w:i/>
          <w:iCs/>
        </w:rPr>
        <w:t>1</w:t>
      </w:r>
      <w:r w:rsidRPr="002F4A4B">
        <w:rPr>
          <w:b/>
          <w:bCs/>
          <w:i/>
          <w:iCs/>
        </w:rPr>
        <w:t>: Threat Risk Matrix</w:t>
      </w:r>
      <w:r w:rsidRPr="002F4A4B">
        <w:rPr>
          <w:i/>
          <w:iCs/>
        </w:rPr>
        <w:t xml:space="preserve"> - </w:t>
      </w:r>
      <w:r w:rsidRPr="002F4A4B">
        <w:t>The following matrix categorizes identified threats by risk level, using a color-coded system: Red (Critical - requiring immediate action), Orange (High - requiring urgent mitigation), Yellow (Medium-High - requiring planned mitigation), and Green (Medium - requiring monitoring). This classification is based on the potential impact on the CIA Triad and the likelihood of occurrence, aligned with ISO 27001 risk assessment methodology</w:t>
      </w:r>
      <w:r w:rsidRPr="002F4A4B">
        <w:rPr>
          <w:i/>
          <w:iCs/>
        </w:rPr>
        <w:t>.</w:t>
      </w:r>
    </w:p>
    <w:p w14:paraId="374C0C0A" w14:textId="77777777" w:rsidR="003C2051" w:rsidRDefault="003C2051"/>
    <w:tbl>
      <w:tblPr>
        <w:tblW w:w="1051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92"/>
        <w:gridCol w:w="1584"/>
        <w:gridCol w:w="2160"/>
        <w:gridCol w:w="1584"/>
        <w:gridCol w:w="2592"/>
      </w:tblGrid>
      <w:tr w:rsidR="00D014EC" w14:paraId="45D7116F" w14:textId="77777777" w:rsidTr="00294E7C">
        <w:trPr>
          <w:jc w:val="center"/>
        </w:trPr>
        <w:tc>
          <w:tcPr>
            <w:tcW w:w="2592" w:type="dxa"/>
            <w:shd w:val="clear" w:color="auto" w:fill="1B365D"/>
            <w:tcMar>
              <w:top w:w="100" w:type="dxa"/>
              <w:left w:w="120" w:type="dxa"/>
              <w:bottom w:w="100" w:type="dxa"/>
              <w:right w:w="120" w:type="dxa"/>
            </w:tcMar>
          </w:tcPr>
          <w:p w14:paraId="5F9B55A8" w14:textId="77777777" w:rsidR="00D014EC" w:rsidRDefault="00000000">
            <w:r>
              <w:rPr>
                <w:b/>
                <w:color w:val="FFFFFF"/>
                <w:sz w:val="19"/>
              </w:rPr>
              <w:lastRenderedPageBreak/>
              <w:t>Threat Description</w:t>
            </w:r>
          </w:p>
        </w:tc>
        <w:tc>
          <w:tcPr>
            <w:tcW w:w="1584" w:type="dxa"/>
            <w:shd w:val="clear" w:color="auto" w:fill="1B365D"/>
            <w:tcMar>
              <w:top w:w="100" w:type="dxa"/>
              <w:left w:w="120" w:type="dxa"/>
              <w:bottom w:w="100" w:type="dxa"/>
              <w:right w:w="120" w:type="dxa"/>
            </w:tcMar>
          </w:tcPr>
          <w:p w14:paraId="65320983" w14:textId="77777777" w:rsidR="00D014EC" w:rsidRDefault="00000000">
            <w:r>
              <w:rPr>
                <w:b/>
                <w:color w:val="FFFFFF"/>
                <w:sz w:val="19"/>
              </w:rPr>
              <w:t>Origin</w:t>
            </w:r>
          </w:p>
        </w:tc>
        <w:tc>
          <w:tcPr>
            <w:tcW w:w="2160" w:type="dxa"/>
            <w:shd w:val="clear" w:color="auto" w:fill="1B365D"/>
            <w:tcMar>
              <w:top w:w="100" w:type="dxa"/>
              <w:left w:w="120" w:type="dxa"/>
              <w:bottom w:w="100" w:type="dxa"/>
              <w:right w:w="120" w:type="dxa"/>
            </w:tcMar>
          </w:tcPr>
          <w:p w14:paraId="4BA3CD9E" w14:textId="77777777" w:rsidR="00D014EC" w:rsidRDefault="00000000">
            <w:r>
              <w:rPr>
                <w:b/>
                <w:color w:val="FFFFFF"/>
                <w:sz w:val="19"/>
              </w:rPr>
              <w:t>Impacted CIA Dimension</w:t>
            </w:r>
          </w:p>
        </w:tc>
        <w:tc>
          <w:tcPr>
            <w:tcW w:w="1584" w:type="dxa"/>
            <w:shd w:val="clear" w:color="auto" w:fill="1B365D"/>
            <w:tcMar>
              <w:top w:w="100" w:type="dxa"/>
              <w:left w:w="120" w:type="dxa"/>
              <w:bottom w:w="100" w:type="dxa"/>
              <w:right w:w="120" w:type="dxa"/>
            </w:tcMar>
          </w:tcPr>
          <w:p w14:paraId="6613F6DF" w14:textId="77777777" w:rsidR="00D014EC" w:rsidRDefault="00000000">
            <w:r>
              <w:rPr>
                <w:b/>
                <w:color w:val="FFFFFF"/>
                <w:sz w:val="19"/>
              </w:rPr>
              <w:t>Risk Level</w:t>
            </w:r>
          </w:p>
        </w:tc>
        <w:tc>
          <w:tcPr>
            <w:tcW w:w="2592" w:type="dxa"/>
            <w:shd w:val="clear" w:color="auto" w:fill="1B365D"/>
            <w:tcMar>
              <w:top w:w="100" w:type="dxa"/>
              <w:left w:w="120" w:type="dxa"/>
              <w:bottom w:w="100" w:type="dxa"/>
              <w:right w:w="120" w:type="dxa"/>
            </w:tcMar>
          </w:tcPr>
          <w:p w14:paraId="26F2A600" w14:textId="77777777" w:rsidR="00D014EC" w:rsidRDefault="00000000">
            <w:r>
              <w:rPr>
                <w:b/>
                <w:color w:val="FFFFFF"/>
                <w:sz w:val="19"/>
              </w:rPr>
              <w:t>Industry Standard Mapping</w:t>
            </w:r>
          </w:p>
        </w:tc>
      </w:tr>
      <w:tr w:rsidR="00D014EC" w14:paraId="13AB2E10" w14:textId="77777777" w:rsidTr="00294E7C">
        <w:trPr>
          <w:jc w:val="center"/>
        </w:trPr>
        <w:tc>
          <w:tcPr>
            <w:tcW w:w="2592" w:type="dxa"/>
            <w:shd w:val="clear" w:color="auto" w:fill="F4F6F8"/>
            <w:tcMar>
              <w:top w:w="100" w:type="dxa"/>
              <w:left w:w="120" w:type="dxa"/>
              <w:bottom w:w="100" w:type="dxa"/>
              <w:right w:w="120" w:type="dxa"/>
            </w:tcMar>
          </w:tcPr>
          <w:p w14:paraId="66C4BB72" w14:textId="77777777" w:rsidR="00D014EC" w:rsidRDefault="00000000">
            <w:r>
              <w:rPr>
                <w:sz w:val="18"/>
              </w:rPr>
              <w:t>OT/ICS Ransomware</w:t>
            </w:r>
          </w:p>
        </w:tc>
        <w:tc>
          <w:tcPr>
            <w:tcW w:w="1584" w:type="dxa"/>
            <w:shd w:val="clear" w:color="auto" w:fill="F4F6F8"/>
            <w:tcMar>
              <w:top w:w="100" w:type="dxa"/>
              <w:left w:w="120" w:type="dxa"/>
              <w:bottom w:w="100" w:type="dxa"/>
              <w:right w:w="120" w:type="dxa"/>
            </w:tcMar>
          </w:tcPr>
          <w:p w14:paraId="2457E260" w14:textId="77777777" w:rsidR="00D014EC" w:rsidRDefault="00000000">
            <w:r>
              <w:rPr>
                <w:sz w:val="18"/>
              </w:rPr>
              <w:t>External</w:t>
            </w:r>
          </w:p>
        </w:tc>
        <w:tc>
          <w:tcPr>
            <w:tcW w:w="2160" w:type="dxa"/>
            <w:shd w:val="clear" w:color="auto" w:fill="F4F6F8"/>
            <w:tcMar>
              <w:top w:w="100" w:type="dxa"/>
              <w:left w:w="120" w:type="dxa"/>
              <w:bottom w:w="100" w:type="dxa"/>
              <w:right w:w="120" w:type="dxa"/>
            </w:tcMar>
          </w:tcPr>
          <w:p w14:paraId="5A944E2C" w14:textId="77777777" w:rsidR="00D014EC" w:rsidRDefault="00000000">
            <w:r>
              <w:rPr>
                <w:sz w:val="18"/>
              </w:rPr>
              <w:t>Availability, Integrity</w:t>
            </w:r>
          </w:p>
        </w:tc>
        <w:tc>
          <w:tcPr>
            <w:tcW w:w="1584" w:type="dxa"/>
            <w:shd w:val="clear" w:color="auto" w:fill="EE0000"/>
            <w:tcMar>
              <w:top w:w="100" w:type="dxa"/>
              <w:left w:w="120" w:type="dxa"/>
              <w:bottom w:w="100" w:type="dxa"/>
              <w:right w:w="120" w:type="dxa"/>
            </w:tcMar>
          </w:tcPr>
          <w:p w14:paraId="0687CAE6" w14:textId="77777777" w:rsidR="00D014EC" w:rsidRDefault="00000000">
            <w:r>
              <w:rPr>
                <w:sz w:val="18"/>
              </w:rPr>
              <w:t>Critical (High)</w:t>
            </w:r>
          </w:p>
        </w:tc>
        <w:tc>
          <w:tcPr>
            <w:tcW w:w="2592" w:type="dxa"/>
            <w:shd w:val="clear" w:color="auto" w:fill="F4F6F8"/>
            <w:tcMar>
              <w:top w:w="100" w:type="dxa"/>
              <w:left w:w="120" w:type="dxa"/>
              <w:bottom w:w="100" w:type="dxa"/>
              <w:right w:w="120" w:type="dxa"/>
            </w:tcMar>
          </w:tcPr>
          <w:p w14:paraId="227F9606" w14:textId="77777777" w:rsidR="00D014EC" w:rsidRDefault="00000000">
            <w:r>
              <w:rPr>
                <w:sz w:val="18"/>
              </w:rPr>
              <w:t>NIST SP 800-82 / ISO 27001 A.12.2</w:t>
            </w:r>
          </w:p>
        </w:tc>
      </w:tr>
      <w:tr w:rsidR="00D014EC" w14:paraId="064545D7" w14:textId="77777777" w:rsidTr="00294E7C">
        <w:trPr>
          <w:jc w:val="center"/>
        </w:trPr>
        <w:tc>
          <w:tcPr>
            <w:tcW w:w="2592" w:type="dxa"/>
            <w:tcMar>
              <w:top w:w="100" w:type="dxa"/>
              <w:left w:w="120" w:type="dxa"/>
              <w:bottom w:w="100" w:type="dxa"/>
              <w:right w:w="120" w:type="dxa"/>
            </w:tcMar>
          </w:tcPr>
          <w:p w14:paraId="2912D309" w14:textId="77777777" w:rsidR="00D014EC" w:rsidRDefault="00000000">
            <w:r>
              <w:rPr>
                <w:sz w:val="18"/>
              </w:rPr>
              <w:t>Industrial Espionage (CAD Theft)</w:t>
            </w:r>
          </w:p>
        </w:tc>
        <w:tc>
          <w:tcPr>
            <w:tcW w:w="1584" w:type="dxa"/>
            <w:tcMar>
              <w:top w:w="100" w:type="dxa"/>
              <w:left w:w="120" w:type="dxa"/>
              <w:bottom w:w="100" w:type="dxa"/>
              <w:right w:w="120" w:type="dxa"/>
            </w:tcMar>
          </w:tcPr>
          <w:p w14:paraId="5236D516" w14:textId="77777777" w:rsidR="00D014EC" w:rsidRDefault="00000000">
            <w:r>
              <w:rPr>
                <w:sz w:val="18"/>
              </w:rPr>
              <w:t>External</w:t>
            </w:r>
          </w:p>
        </w:tc>
        <w:tc>
          <w:tcPr>
            <w:tcW w:w="2160" w:type="dxa"/>
            <w:tcMar>
              <w:top w:w="100" w:type="dxa"/>
              <w:left w:w="120" w:type="dxa"/>
              <w:bottom w:w="100" w:type="dxa"/>
              <w:right w:w="120" w:type="dxa"/>
            </w:tcMar>
          </w:tcPr>
          <w:p w14:paraId="1C999E83" w14:textId="77777777" w:rsidR="00D014EC" w:rsidRDefault="00000000">
            <w:r>
              <w:rPr>
                <w:sz w:val="18"/>
              </w:rPr>
              <w:t>Confidentiality</w:t>
            </w:r>
          </w:p>
        </w:tc>
        <w:tc>
          <w:tcPr>
            <w:tcW w:w="1584" w:type="dxa"/>
            <w:shd w:val="clear" w:color="auto" w:fill="EE0000"/>
            <w:tcMar>
              <w:top w:w="100" w:type="dxa"/>
              <w:left w:w="120" w:type="dxa"/>
              <w:bottom w:w="100" w:type="dxa"/>
              <w:right w:w="120" w:type="dxa"/>
            </w:tcMar>
          </w:tcPr>
          <w:p w14:paraId="4C62C22F" w14:textId="77777777" w:rsidR="00D014EC" w:rsidRDefault="00000000">
            <w:r>
              <w:rPr>
                <w:sz w:val="18"/>
              </w:rPr>
              <w:t>Critical (High)</w:t>
            </w:r>
          </w:p>
        </w:tc>
        <w:tc>
          <w:tcPr>
            <w:tcW w:w="2592" w:type="dxa"/>
            <w:tcMar>
              <w:top w:w="100" w:type="dxa"/>
              <w:left w:w="120" w:type="dxa"/>
              <w:bottom w:w="100" w:type="dxa"/>
              <w:right w:w="120" w:type="dxa"/>
            </w:tcMar>
          </w:tcPr>
          <w:p w14:paraId="03C06091" w14:textId="77777777" w:rsidR="00D014EC" w:rsidRDefault="00000000">
            <w:r>
              <w:rPr>
                <w:sz w:val="18"/>
              </w:rPr>
              <w:t>ISO 27001 A.8.2 / GDPR Art. 32</w:t>
            </w:r>
          </w:p>
        </w:tc>
      </w:tr>
      <w:tr w:rsidR="00D014EC" w:rsidRPr="00294E7C" w14:paraId="685B08E8" w14:textId="77777777" w:rsidTr="00294E7C">
        <w:trPr>
          <w:jc w:val="center"/>
        </w:trPr>
        <w:tc>
          <w:tcPr>
            <w:tcW w:w="2592" w:type="dxa"/>
            <w:shd w:val="clear" w:color="auto" w:fill="F4F6F8"/>
            <w:tcMar>
              <w:top w:w="100" w:type="dxa"/>
              <w:left w:w="120" w:type="dxa"/>
              <w:bottom w:w="100" w:type="dxa"/>
              <w:right w:w="120" w:type="dxa"/>
            </w:tcMar>
          </w:tcPr>
          <w:p w14:paraId="2A94EE32" w14:textId="77777777" w:rsidR="00D014EC" w:rsidRDefault="00000000">
            <w:r>
              <w:rPr>
                <w:sz w:val="18"/>
              </w:rPr>
              <w:t>Supply Chain / Vendor Compromise</w:t>
            </w:r>
          </w:p>
        </w:tc>
        <w:tc>
          <w:tcPr>
            <w:tcW w:w="1584" w:type="dxa"/>
            <w:shd w:val="clear" w:color="auto" w:fill="F4F6F8"/>
            <w:tcMar>
              <w:top w:w="100" w:type="dxa"/>
              <w:left w:w="120" w:type="dxa"/>
              <w:bottom w:w="100" w:type="dxa"/>
              <w:right w:w="120" w:type="dxa"/>
            </w:tcMar>
          </w:tcPr>
          <w:p w14:paraId="2E82CAA2" w14:textId="77777777" w:rsidR="00D014EC" w:rsidRDefault="00000000">
            <w:r>
              <w:rPr>
                <w:sz w:val="18"/>
              </w:rPr>
              <w:t>External</w:t>
            </w:r>
          </w:p>
        </w:tc>
        <w:tc>
          <w:tcPr>
            <w:tcW w:w="2160" w:type="dxa"/>
            <w:shd w:val="clear" w:color="auto" w:fill="F4F6F8"/>
            <w:tcMar>
              <w:top w:w="100" w:type="dxa"/>
              <w:left w:w="120" w:type="dxa"/>
              <w:bottom w:w="100" w:type="dxa"/>
              <w:right w:w="120" w:type="dxa"/>
            </w:tcMar>
          </w:tcPr>
          <w:p w14:paraId="6AA473DA" w14:textId="77777777" w:rsidR="00D014EC" w:rsidRDefault="00000000">
            <w:r>
              <w:rPr>
                <w:sz w:val="18"/>
              </w:rPr>
              <w:t>Integrity, Confidentiality</w:t>
            </w:r>
          </w:p>
        </w:tc>
        <w:tc>
          <w:tcPr>
            <w:tcW w:w="1584" w:type="dxa"/>
            <w:shd w:val="clear" w:color="auto" w:fill="FFC000"/>
            <w:tcMar>
              <w:top w:w="100" w:type="dxa"/>
              <w:left w:w="120" w:type="dxa"/>
              <w:bottom w:w="100" w:type="dxa"/>
              <w:right w:w="120" w:type="dxa"/>
            </w:tcMar>
          </w:tcPr>
          <w:p w14:paraId="41FD6B94" w14:textId="77777777" w:rsidR="00D014EC" w:rsidRDefault="00000000">
            <w:r>
              <w:rPr>
                <w:sz w:val="18"/>
              </w:rPr>
              <w:t>Medium-High</w:t>
            </w:r>
          </w:p>
        </w:tc>
        <w:tc>
          <w:tcPr>
            <w:tcW w:w="2592" w:type="dxa"/>
            <w:shd w:val="clear" w:color="auto" w:fill="F4F6F8"/>
            <w:tcMar>
              <w:top w:w="100" w:type="dxa"/>
              <w:left w:w="120" w:type="dxa"/>
              <w:bottom w:w="100" w:type="dxa"/>
              <w:right w:w="120" w:type="dxa"/>
            </w:tcMar>
          </w:tcPr>
          <w:p w14:paraId="3214F07F" w14:textId="77777777" w:rsidR="00D014EC" w:rsidRPr="002F4A4B" w:rsidRDefault="00000000">
            <w:pPr>
              <w:rPr>
                <w:lang w:val="de-DE"/>
              </w:rPr>
            </w:pPr>
            <w:r w:rsidRPr="002F4A4B">
              <w:rPr>
                <w:sz w:val="18"/>
                <w:lang w:val="de-DE"/>
              </w:rPr>
              <w:t>ISO 27001 A.15.1 / NIST CSF ID.SC</w:t>
            </w:r>
          </w:p>
        </w:tc>
      </w:tr>
      <w:tr w:rsidR="00D014EC" w14:paraId="3D6BD6B7" w14:textId="77777777" w:rsidTr="00294E7C">
        <w:trPr>
          <w:jc w:val="center"/>
        </w:trPr>
        <w:tc>
          <w:tcPr>
            <w:tcW w:w="2592" w:type="dxa"/>
            <w:tcMar>
              <w:top w:w="100" w:type="dxa"/>
              <w:left w:w="120" w:type="dxa"/>
              <w:bottom w:w="100" w:type="dxa"/>
              <w:right w:w="120" w:type="dxa"/>
            </w:tcMar>
          </w:tcPr>
          <w:p w14:paraId="0771A525" w14:textId="77777777" w:rsidR="00D014EC" w:rsidRDefault="00000000">
            <w:r>
              <w:rPr>
                <w:sz w:val="18"/>
              </w:rPr>
              <w:t>Spear-Phishing (Procurement)</w:t>
            </w:r>
          </w:p>
        </w:tc>
        <w:tc>
          <w:tcPr>
            <w:tcW w:w="1584" w:type="dxa"/>
            <w:tcMar>
              <w:top w:w="100" w:type="dxa"/>
              <w:left w:w="120" w:type="dxa"/>
              <w:bottom w:w="100" w:type="dxa"/>
              <w:right w:w="120" w:type="dxa"/>
            </w:tcMar>
          </w:tcPr>
          <w:p w14:paraId="2DD92F65" w14:textId="77777777" w:rsidR="00D014EC" w:rsidRDefault="00000000">
            <w:r>
              <w:rPr>
                <w:sz w:val="18"/>
              </w:rPr>
              <w:t>Internal (Victim)</w:t>
            </w:r>
          </w:p>
        </w:tc>
        <w:tc>
          <w:tcPr>
            <w:tcW w:w="2160" w:type="dxa"/>
            <w:tcMar>
              <w:top w:w="100" w:type="dxa"/>
              <w:left w:w="120" w:type="dxa"/>
              <w:bottom w:w="100" w:type="dxa"/>
              <w:right w:w="120" w:type="dxa"/>
            </w:tcMar>
          </w:tcPr>
          <w:p w14:paraId="7FFBFCF2" w14:textId="77777777" w:rsidR="00D014EC" w:rsidRDefault="00000000">
            <w:r>
              <w:rPr>
                <w:sz w:val="18"/>
              </w:rPr>
              <w:t>Confidentiality, Integrity</w:t>
            </w:r>
          </w:p>
        </w:tc>
        <w:tc>
          <w:tcPr>
            <w:tcW w:w="1584" w:type="dxa"/>
            <w:shd w:val="clear" w:color="auto" w:fill="FFFF00"/>
            <w:tcMar>
              <w:top w:w="100" w:type="dxa"/>
              <w:left w:w="120" w:type="dxa"/>
              <w:bottom w:w="100" w:type="dxa"/>
              <w:right w:w="120" w:type="dxa"/>
            </w:tcMar>
          </w:tcPr>
          <w:p w14:paraId="0123C628" w14:textId="77777777" w:rsidR="00D014EC" w:rsidRDefault="00000000">
            <w:r>
              <w:rPr>
                <w:sz w:val="18"/>
              </w:rPr>
              <w:t>High</w:t>
            </w:r>
          </w:p>
        </w:tc>
        <w:tc>
          <w:tcPr>
            <w:tcW w:w="2592" w:type="dxa"/>
            <w:tcMar>
              <w:top w:w="100" w:type="dxa"/>
              <w:left w:w="120" w:type="dxa"/>
              <w:bottom w:w="100" w:type="dxa"/>
              <w:right w:w="120" w:type="dxa"/>
            </w:tcMar>
          </w:tcPr>
          <w:p w14:paraId="547591EB" w14:textId="77777777" w:rsidR="00D014EC" w:rsidRDefault="00000000">
            <w:r>
              <w:rPr>
                <w:sz w:val="18"/>
              </w:rPr>
              <w:t>ISO 27001 A.7.2.2 / NIST SP 800-53</w:t>
            </w:r>
          </w:p>
        </w:tc>
      </w:tr>
      <w:tr w:rsidR="00D014EC" w:rsidRPr="00294E7C" w14:paraId="7E24A4CE" w14:textId="77777777" w:rsidTr="00294E7C">
        <w:trPr>
          <w:jc w:val="center"/>
        </w:trPr>
        <w:tc>
          <w:tcPr>
            <w:tcW w:w="2592" w:type="dxa"/>
            <w:shd w:val="clear" w:color="auto" w:fill="F4F6F8"/>
            <w:tcMar>
              <w:top w:w="100" w:type="dxa"/>
              <w:left w:w="120" w:type="dxa"/>
              <w:bottom w:w="100" w:type="dxa"/>
              <w:right w:w="120" w:type="dxa"/>
            </w:tcMar>
          </w:tcPr>
          <w:p w14:paraId="6D18F076" w14:textId="77777777" w:rsidR="00D014EC" w:rsidRDefault="00000000">
            <w:r>
              <w:rPr>
                <w:sz w:val="18"/>
              </w:rPr>
              <w:t>Malicious Insider Sabotage</w:t>
            </w:r>
          </w:p>
        </w:tc>
        <w:tc>
          <w:tcPr>
            <w:tcW w:w="1584" w:type="dxa"/>
            <w:shd w:val="clear" w:color="auto" w:fill="F4F6F8"/>
            <w:tcMar>
              <w:top w:w="100" w:type="dxa"/>
              <w:left w:w="120" w:type="dxa"/>
              <w:bottom w:w="100" w:type="dxa"/>
              <w:right w:w="120" w:type="dxa"/>
            </w:tcMar>
          </w:tcPr>
          <w:p w14:paraId="70CDD1BB" w14:textId="77777777" w:rsidR="00D014EC" w:rsidRDefault="00000000">
            <w:r>
              <w:rPr>
                <w:sz w:val="18"/>
              </w:rPr>
              <w:t>Internal</w:t>
            </w:r>
          </w:p>
        </w:tc>
        <w:tc>
          <w:tcPr>
            <w:tcW w:w="2160" w:type="dxa"/>
            <w:shd w:val="clear" w:color="auto" w:fill="F4F6F8"/>
            <w:tcMar>
              <w:top w:w="100" w:type="dxa"/>
              <w:left w:w="120" w:type="dxa"/>
              <w:bottom w:w="100" w:type="dxa"/>
              <w:right w:w="120" w:type="dxa"/>
            </w:tcMar>
          </w:tcPr>
          <w:p w14:paraId="22F3DE4F" w14:textId="77777777" w:rsidR="00D014EC" w:rsidRDefault="00000000">
            <w:r>
              <w:rPr>
                <w:sz w:val="18"/>
              </w:rPr>
              <w:t>Confidentiality, Integrity, Availability</w:t>
            </w:r>
          </w:p>
        </w:tc>
        <w:tc>
          <w:tcPr>
            <w:tcW w:w="1584" w:type="dxa"/>
            <w:shd w:val="clear" w:color="auto" w:fill="92D050"/>
            <w:tcMar>
              <w:top w:w="100" w:type="dxa"/>
              <w:left w:w="120" w:type="dxa"/>
              <w:bottom w:w="100" w:type="dxa"/>
              <w:right w:w="120" w:type="dxa"/>
            </w:tcMar>
          </w:tcPr>
          <w:p w14:paraId="00A43B6B" w14:textId="77777777" w:rsidR="00D014EC" w:rsidRDefault="00000000">
            <w:r>
              <w:rPr>
                <w:sz w:val="18"/>
              </w:rPr>
              <w:t>Medium</w:t>
            </w:r>
          </w:p>
        </w:tc>
        <w:tc>
          <w:tcPr>
            <w:tcW w:w="2592" w:type="dxa"/>
            <w:shd w:val="clear" w:color="auto" w:fill="F4F6F8"/>
            <w:tcMar>
              <w:top w:w="100" w:type="dxa"/>
              <w:left w:w="120" w:type="dxa"/>
              <w:bottom w:w="100" w:type="dxa"/>
              <w:right w:w="120" w:type="dxa"/>
            </w:tcMar>
          </w:tcPr>
          <w:p w14:paraId="37882C9F" w14:textId="77777777" w:rsidR="00D014EC" w:rsidRPr="002F4A4B" w:rsidRDefault="00000000">
            <w:pPr>
              <w:rPr>
                <w:lang w:val="de-DE"/>
              </w:rPr>
            </w:pPr>
            <w:r w:rsidRPr="002F4A4B">
              <w:rPr>
                <w:sz w:val="18"/>
                <w:lang w:val="de-DE"/>
              </w:rPr>
              <w:t>ISO 27001 A.9.2 / NIST SP 800-53 PS-4</w:t>
            </w:r>
          </w:p>
        </w:tc>
      </w:tr>
      <w:tr w:rsidR="00D014EC" w14:paraId="7F52563B" w14:textId="77777777" w:rsidTr="00294E7C">
        <w:trPr>
          <w:jc w:val="center"/>
        </w:trPr>
        <w:tc>
          <w:tcPr>
            <w:tcW w:w="2592" w:type="dxa"/>
            <w:tcMar>
              <w:top w:w="100" w:type="dxa"/>
              <w:left w:w="120" w:type="dxa"/>
              <w:bottom w:w="100" w:type="dxa"/>
              <w:right w:w="120" w:type="dxa"/>
            </w:tcMar>
          </w:tcPr>
          <w:p w14:paraId="5ED35E5B" w14:textId="77777777" w:rsidR="00D014EC" w:rsidRDefault="00000000">
            <w:r>
              <w:rPr>
                <w:sz w:val="18"/>
              </w:rPr>
              <w:t>Accidental Operational Error</w:t>
            </w:r>
          </w:p>
        </w:tc>
        <w:tc>
          <w:tcPr>
            <w:tcW w:w="1584" w:type="dxa"/>
            <w:tcMar>
              <w:top w:w="100" w:type="dxa"/>
              <w:left w:w="120" w:type="dxa"/>
              <w:bottom w:w="100" w:type="dxa"/>
              <w:right w:w="120" w:type="dxa"/>
            </w:tcMar>
          </w:tcPr>
          <w:p w14:paraId="6DD7BC12" w14:textId="77777777" w:rsidR="00D014EC" w:rsidRDefault="00000000">
            <w:r>
              <w:rPr>
                <w:sz w:val="18"/>
              </w:rPr>
              <w:t>Internal</w:t>
            </w:r>
          </w:p>
        </w:tc>
        <w:tc>
          <w:tcPr>
            <w:tcW w:w="2160" w:type="dxa"/>
            <w:tcMar>
              <w:top w:w="100" w:type="dxa"/>
              <w:left w:w="120" w:type="dxa"/>
              <w:bottom w:w="100" w:type="dxa"/>
              <w:right w:w="120" w:type="dxa"/>
            </w:tcMar>
          </w:tcPr>
          <w:p w14:paraId="0856F7C7" w14:textId="77777777" w:rsidR="00D014EC" w:rsidRDefault="00000000">
            <w:r>
              <w:rPr>
                <w:sz w:val="18"/>
              </w:rPr>
              <w:t>Integrity, Availability</w:t>
            </w:r>
          </w:p>
        </w:tc>
        <w:tc>
          <w:tcPr>
            <w:tcW w:w="1584" w:type="dxa"/>
            <w:shd w:val="clear" w:color="auto" w:fill="92D050"/>
            <w:tcMar>
              <w:top w:w="100" w:type="dxa"/>
              <w:left w:w="120" w:type="dxa"/>
              <w:bottom w:w="100" w:type="dxa"/>
              <w:right w:w="120" w:type="dxa"/>
            </w:tcMar>
          </w:tcPr>
          <w:p w14:paraId="0B6C3CE0" w14:textId="77777777" w:rsidR="00D014EC" w:rsidRDefault="00000000">
            <w:r>
              <w:rPr>
                <w:sz w:val="18"/>
              </w:rPr>
              <w:t>Medium</w:t>
            </w:r>
          </w:p>
        </w:tc>
        <w:tc>
          <w:tcPr>
            <w:tcW w:w="2592" w:type="dxa"/>
            <w:tcMar>
              <w:top w:w="100" w:type="dxa"/>
              <w:left w:w="120" w:type="dxa"/>
              <w:bottom w:w="100" w:type="dxa"/>
              <w:right w:w="120" w:type="dxa"/>
            </w:tcMar>
          </w:tcPr>
          <w:p w14:paraId="52681DF6" w14:textId="77777777" w:rsidR="00D014EC" w:rsidRDefault="00000000">
            <w:r>
              <w:rPr>
                <w:sz w:val="18"/>
              </w:rPr>
              <w:t>ISO 27001 A.12.1 / ISO 27002 6.3</w:t>
            </w:r>
          </w:p>
        </w:tc>
      </w:tr>
    </w:tbl>
    <w:p w14:paraId="14C31CE8" w14:textId="105C9FD4" w:rsidR="00D014EC" w:rsidRDefault="002F4A4B">
      <w:pPr>
        <w:spacing w:after="240"/>
      </w:pPr>
      <w:r>
        <w:rPr>
          <w:b/>
          <w:bCs/>
        </w:rPr>
        <w:t>Figure</w:t>
      </w:r>
      <w:r w:rsidRPr="002F4A4B">
        <w:rPr>
          <w:b/>
          <w:bCs/>
        </w:rPr>
        <w:t xml:space="preserve"> </w:t>
      </w:r>
      <w:r w:rsidR="003C2051">
        <w:rPr>
          <w:b/>
          <w:bCs/>
        </w:rPr>
        <w:t>2</w:t>
      </w:r>
      <w:r w:rsidRPr="002F4A4B">
        <w:rPr>
          <w:b/>
          <w:bCs/>
        </w:rPr>
        <w:t>: Comprehensive Threat Identification &amp; Risk Matrix</w:t>
      </w:r>
    </w:p>
    <w:p w14:paraId="1C38B358" w14:textId="77777777" w:rsidR="00D014EC" w:rsidRDefault="00000000">
      <w:pPr>
        <w:keepNext/>
        <w:spacing w:before="320"/>
      </w:pPr>
      <w:r>
        <w:rPr>
          <w:b/>
          <w:color w:val="1B365D"/>
          <w:sz w:val="32"/>
        </w:rPr>
        <w:t>6. Development of Formal Security Policies</w:t>
      </w:r>
    </w:p>
    <w:p w14:paraId="46450040" w14:textId="77777777" w:rsidR="00D014EC" w:rsidRDefault="00000000">
      <w:r>
        <w:t>To mitigate identified risks, SFM adopts three core security policies aligned with ISO/IEC 27001:2022 and NIST CSF.</w:t>
      </w:r>
    </w:p>
    <w:p w14:paraId="60276373" w14:textId="77777777" w:rsidR="00D014EC" w:rsidRDefault="00000000">
      <w:pPr>
        <w:keepNext/>
        <w:spacing w:before="240" w:after="80"/>
      </w:pPr>
      <w:r>
        <w:rPr>
          <w:b/>
          <w:color w:val="4A777A"/>
          <w:sz w:val="26"/>
        </w:rPr>
        <w:t>Policy 1: Zero-Trust Access Control &amp; Authentication Policy (ZTA-POL-01)</w:t>
      </w:r>
    </w:p>
    <w:p w14:paraId="621F2890" w14:textId="77777777" w:rsidR="00D014EC" w:rsidRDefault="00000000">
      <w:r>
        <w:t>Objective: Ensure all access requests across IT and OT are authenticated, authorized, and encrypted before granting access.</w:t>
      </w:r>
    </w:p>
    <w:p w14:paraId="60640AD4" w14:textId="77777777" w:rsidR="00D014EC" w:rsidRDefault="00000000">
      <w:r>
        <w:rPr>
          <w:b/>
        </w:rPr>
        <w:t xml:space="preserve">1. Multi-Factor Authentication (MFA): </w:t>
      </w:r>
      <w:r>
        <w:t>Mandatory phishing-resistant MFA (Hardware Token or FIDO2) for all staff accessing corporate portals, cloud MES, and remote VPNs.</w:t>
      </w:r>
    </w:p>
    <w:p w14:paraId="79006425" w14:textId="77777777" w:rsidR="00D014EC" w:rsidRDefault="00000000">
      <w:r>
        <w:rPr>
          <w:b/>
        </w:rPr>
        <w:t xml:space="preserve">2. Role-Based Access Control (RBAC): </w:t>
      </w:r>
      <w:r>
        <w:t>Access privileges must strictly adhere to the Principle of Least Privilege (PoLP). Procurement staff cannot access OT network segments, and machinery operators cannot modify system security configurations.</w:t>
      </w:r>
    </w:p>
    <w:p w14:paraId="1F0EC652" w14:textId="77777777" w:rsidR="00D014EC" w:rsidRDefault="00000000">
      <w:r>
        <w:rPr>
          <w:b/>
        </w:rPr>
        <w:t xml:space="preserve">3. Session Management: </w:t>
      </w:r>
      <w:r>
        <w:t>Privileged administrative sessions timeout after 15 minutes of inactivity and require re-authentication.</w:t>
      </w:r>
    </w:p>
    <w:p w14:paraId="14DAFA67" w14:textId="77777777" w:rsidR="00D014EC" w:rsidRDefault="00000000">
      <w:pPr>
        <w:keepNext/>
        <w:spacing w:before="240" w:after="80"/>
      </w:pPr>
      <w:r>
        <w:rPr>
          <w:b/>
          <w:color w:val="4A777A"/>
          <w:sz w:val="26"/>
        </w:rPr>
        <w:t>Policy 2: Network Segmentation &amp; OT Isolation Policy (NET-POL-02)</w:t>
      </w:r>
    </w:p>
    <w:p w14:paraId="2FC50741" w14:textId="77777777" w:rsidR="00D014EC" w:rsidRDefault="00000000">
      <w:r>
        <w:t>Objective: Prevent lateral threat movement between IT, Cloud, and OT networks.</w:t>
      </w:r>
    </w:p>
    <w:p w14:paraId="34B4072E" w14:textId="77777777" w:rsidR="00D014EC" w:rsidRDefault="00000000">
      <w:r>
        <w:rPr>
          <w:b/>
        </w:rPr>
        <w:t xml:space="preserve">1. Purdue Model Architecture: </w:t>
      </w:r>
      <w:r>
        <w:t>SFM’s network must be segmented according to ISA/IEC 62443 into distinct zones: Enterprise IT (Level 3/4), Manufacturing Execution (Level 3), and OT Cell Control (Levels 0–2).</w:t>
      </w:r>
    </w:p>
    <w:p w14:paraId="79843CE2" w14:textId="77777777" w:rsidR="00D014EC" w:rsidRDefault="00000000">
      <w:r>
        <w:rPr>
          <w:b/>
        </w:rPr>
        <w:lastRenderedPageBreak/>
        <w:t xml:space="preserve">2. Demilitarized Zone (DMZ): </w:t>
      </w:r>
      <w:r>
        <w:t>All traffic between IT and OT must traverse an air-gapped Industrial DMZ (IDMZ) fitted with dual Next-Generation Firewalls (NGFW) enforcing Deep Packet Inspection (DPI).</w:t>
      </w:r>
    </w:p>
    <w:p w14:paraId="6120ADC0" w14:textId="77777777" w:rsidR="00D014EC" w:rsidRDefault="00000000">
      <w:r>
        <w:rPr>
          <w:b/>
        </w:rPr>
        <w:t xml:space="preserve">3. Strict Media Control: </w:t>
      </w:r>
      <w:r>
        <w:t>Unregistered removable storage devices (USB drives) are disabled on all OT workstations via Endpoint Protection software.</w:t>
      </w:r>
    </w:p>
    <w:p w14:paraId="3DB67E22" w14:textId="77777777" w:rsidR="00D014EC" w:rsidRDefault="00000000">
      <w:pPr>
        <w:keepNext/>
        <w:spacing w:before="240" w:after="80"/>
      </w:pPr>
      <w:r>
        <w:rPr>
          <w:b/>
          <w:color w:val="4A777A"/>
          <w:sz w:val="26"/>
        </w:rPr>
        <w:t>Policy 3: Data Classification, Encryption &amp; Governance Policy (DAT-POL-03)</w:t>
      </w:r>
    </w:p>
    <w:p w14:paraId="1D11C0F6" w14:textId="77777777" w:rsidR="00D014EC" w:rsidRDefault="00000000">
      <w:r>
        <w:t>Objective: Protect intellectual property and maintain compliance with GDPR and client NDAs.</w:t>
      </w:r>
    </w:p>
    <w:p w14:paraId="4D245257" w14:textId="77777777" w:rsidR="00D014EC" w:rsidRDefault="00000000">
      <w:r>
        <w:rPr>
          <w:b/>
        </w:rPr>
        <w:t xml:space="preserve">1. Data Classification: </w:t>
      </w:r>
      <w:r>
        <w:t>Information is categorized into three tiers: Public, Internal, and Strictly Confidential (CAD/IP &amp; Financials).</w:t>
      </w:r>
    </w:p>
    <w:p w14:paraId="0577BD8F" w14:textId="77777777" w:rsidR="00D014EC" w:rsidRDefault="00000000">
      <w:r>
        <w:rPr>
          <w:b/>
        </w:rPr>
        <w:t xml:space="preserve">2. Encryption Standards: </w:t>
      </w:r>
      <w:r>
        <w:t>All CAD drawings and proprietary alloy specifications must be encrypted using AES-256 at rest and TLS 1.3 in transit.</w:t>
      </w:r>
    </w:p>
    <w:p w14:paraId="5DAFC448" w14:textId="77777777" w:rsidR="00D014EC" w:rsidRDefault="00000000">
      <w:r>
        <w:rPr>
          <w:b/>
        </w:rPr>
        <w:t xml:space="preserve">3. Data Loss Prevention (DLP): </w:t>
      </w:r>
      <w:r>
        <w:t>Automated DLP agents block exfiltration of classified CAD files across email, cloud upload, or removable media.</w:t>
      </w:r>
    </w:p>
    <w:p w14:paraId="3B09D3E0" w14:textId="77777777" w:rsidR="00D014EC" w:rsidRDefault="00000000">
      <w:pPr>
        <w:keepNext/>
        <w:spacing w:before="320"/>
      </w:pPr>
      <w:r>
        <w:rPr>
          <w:b/>
          <w:color w:val="1B365D"/>
          <w:sz w:val="32"/>
        </w:rPr>
        <w:t>7. Concrete Mitigation Measures &amp; Technical Architecture</w:t>
      </w:r>
    </w:p>
    <w:p w14:paraId="03120A6D" w14:textId="77777777" w:rsidR="00D014EC" w:rsidRDefault="00000000">
      <w:r>
        <w:t>To enforce security policies, SFM will implement the following technical controls:</w:t>
      </w:r>
    </w:p>
    <w:tbl>
      <w:tblPr>
        <w:tblW w:w="0" w:type="auto"/>
        <w:jc w:val="center"/>
        <w:tblLook w:val="04A0" w:firstRow="1" w:lastRow="0" w:firstColumn="1" w:lastColumn="0" w:noHBand="0" w:noVBand="1"/>
      </w:tblPr>
      <w:tblGrid>
        <w:gridCol w:w="9360"/>
      </w:tblGrid>
      <w:tr w:rsidR="00D014EC" w14:paraId="73E5706E" w14:textId="77777777">
        <w:trPr>
          <w:jc w:val="center"/>
        </w:trPr>
        <w:tc>
          <w:tcPr>
            <w:tcW w:w="9360" w:type="dxa"/>
            <w:shd w:val="clear" w:color="auto" w:fill="EAEFF5"/>
            <w:tcMar>
              <w:top w:w="150" w:type="dxa"/>
              <w:left w:w="200" w:type="dxa"/>
              <w:bottom w:w="150" w:type="dxa"/>
              <w:right w:w="200" w:type="dxa"/>
            </w:tcMar>
          </w:tcPr>
          <w:p w14:paraId="6626A71A" w14:textId="6E6FAB3D" w:rsidR="00D014EC" w:rsidRDefault="00000000">
            <w:pPr>
              <w:spacing w:after="0"/>
              <w:jc w:val="center"/>
            </w:pPr>
            <w:r>
              <w:rPr>
                <w:b/>
                <w:color w:val="1B365D"/>
                <w:sz w:val="19"/>
              </w:rPr>
              <w:t xml:space="preserve">FIGURE </w:t>
            </w:r>
            <w:r w:rsidR="003C2051">
              <w:rPr>
                <w:b/>
                <w:color w:val="1B365D"/>
                <w:sz w:val="19"/>
              </w:rPr>
              <w:t>3</w:t>
            </w:r>
            <w:r>
              <w:rPr>
                <w:b/>
                <w:color w:val="1B365D"/>
                <w:sz w:val="19"/>
              </w:rPr>
              <w:t>: TARGET MITIGATION ARCHITECTURE</w:t>
            </w:r>
            <w:r>
              <w:rPr>
                <w:b/>
                <w:color w:val="1B365D"/>
                <w:sz w:val="19"/>
              </w:rPr>
              <w:br/>
            </w:r>
            <w:r>
              <w:rPr>
                <w:sz w:val="18"/>
              </w:rPr>
              <w:t>[ Enterprise IT / Procurement ]  &lt;---&gt;  [ NGFW Firewall + Deep Packet Inspection ]</w:t>
            </w:r>
            <w:r>
              <w:rPr>
                <w:sz w:val="18"/>
              </w:rPr>
              <w:br/>
              <w:t xml:space="preserve">                                                     |</w:t>
            </w:r>
            <w:r>
              <w:rPr>
                <w:sz w:val="18"/>
              </w:rPr>
              <w:br/>
              <w:t xml:space="preserve">                                           [ Industrial DMZ (IDMZ) ]</w:t>
            </w:r>
            <w:r>
              <w:rPr>
                <w:sz w:val="18"/>
              </w:rPr>
              <w:br/>
              <w:t xml:space="preserve">                                                     |</w:t>
            </w:r>
            <w:r>
              <w:rPr>
                <w:sz w:val="18"/>
              </w:rPr>
              <w:br/>
              <w:t>[ OT Production Subnet ]         &lt;---&gt;  [ Micro-segmented VLANs + EDR Agents ]</w:t>
            </w:r>
          </w:p>
        </w:tc>
      </w:tr>
    </w:tbl>
    <w:p w14:paraId="44171097" w14:textId="77777777" w:rsidR="00D014EC" w:rsidRDefault="00D014EC"/>
    <w:p w14:paraId="43E44899" w14:textId="77777777" w:rsidR="00D014EC" w:rsidRDefault="00000000">
      <w:pPr>
        <w:keepNext/>
        <w:spacing w:before="240" w:after="80"/>
      </w:pPr>
      <w:r>
        <w:rPr>
          <w:b/>
          <w:color w:val="4A777A"/>
          <w:sz w:val="26"/>
        </w:rPr>
        <w:t>7.1 OT Network Hardening &amp; Micro-Segmentation</w:t>
      </w:r>
    </w:p>
    <w:p w14:paraId="27C1E3F5" w14:textId="77777777" w:rsidR="00D014EC" w:rsidRDefault="00000000">
      <w:r>
        <w:t>SFM will deploy industrial firewalls supporting protocol-aware filtering (e.g., inspecting Modbus/TCP command payloads to block unsanctioned write operations to PLCs). Virtual Local Area Networks (VLANs) will isolate separate production cells, preventing an infection in one assembly line from spreading across the facility.</w:t>
      </w:r>
    </w:p>
    <w:p w14:paraId="545307B1" w14:textId="77777777" w:rsidR="00D014EC" w:rsidRDefault="00000000">
      <w:pPr>
        <w:keepNext/>
        <w:spacing w:before="240" w:after="80"/>
      </w:pPr>
      <w:r>
        <w:rPr>
          <w:b/>
          <w:color w:val="4A777A"/>
          <w:sz w:val="26"/>
        </w:rPr>
        <w:t>7.2 Endpoint Detection and Response (EDR) &amp; USB Whitelisting</w:t>
      </w:r>
    </w:p>
    <w:p w14:paraId="105AFB67" w14:textId="77777777" w:rsidR="00D014EC" w:rsidRDefault="00000000">
      <w:r>
        <w:t>All IT and OT workstations will be secured using AI-driven Endpoint Detection and Response (EDR) software capable of detecting anomalous behavior (such as unauthorized PowerShell execution or bulk file encryption). Removable media execution is blocked at the kernel level; required firmware updates must be processed through an isolated 'Kiosk Clean Station' prior to execution.</w:t>
      </w:r>
    </w:p>
    <w:p w14:paraId="0D6B59B1" w14:textId="77777777" w:rsidR="00D014EC" w:rsidRDefault="00000000">
      <w:pPr>
        <w:keepNext/>
        <w:spacing w:before="240" w:after="80"/>
      </w:pPr>
      <w:r>
        <w:rPr>
          <w:b/>
          <w:color w:val="4A777A"/>
          <w:sz w:val="26"/>
        </w:rPr>
        <w:lastRenderedPageBreak/>
        <w:t>7.3 Immutable Backup Architecture</w:t>
      </w:r>
    </w:p>
    <w:p w14:paraId="6A5C8269" w14:textId="77777777" w:rsidR="00D014EC" w:rsidRDefault="00000000">
      <w:r>
        <w:t>To counter OT ransomware attacks, SFM will establish a 3-2-1-1-0 backup strategy: 3 copies of data, across 2 different media, 1 offsite, 1 immutable/air-gapped, with 0 errors during automated restoration testing.</w:t>
      </w:r>
    </w:p>
    <w:p w14:paraId="3A0034E8" w14:textId="514EF52A" w:rsidR="003C2051" w:rsidRDefault="003C2051" w:rsidP="003C2051">
      <w:pPr>
        <w:keepNext/>
        <w:spacing w:before="240" w:after="80"/>
        <w:rPr>
          <w:b/>
          <w:color w:val="4A777A"/>
          <w:sz w:val="26"/>
        </w:rPr>
      </w:pPr>
      <w:r w:rsidRPr="003C2051">
        <w:rPr>
          <w:b/>
          <w:color w:val="4A777A"/>
          <w:sz w:val="26"/>
        </w:rPr>
        <w:t>7.4 Investment Justification</w:t>
      </w:r>
    </w:p>
    <w:p w14:paraId="2FBD681C" w14:textId="77777777" w:rsidR="003C2051" w:rsidRPr="003C2051" w:rsidRDefault="003C2051" w:rsidP="003C2051">
      <w:r w:rsidRPr="003C2051">
        <w:t>The proposed mitigation measures represent a significant but necessary investment in SFM's operational resilience. Based on industry benchmarks for manufacturing SMEs, the initial capital expenditure for Next-Generation Firewalls, EDR licensing, SIEM integration, and immutable backup infrastructure is estimated at approximately £120,000-£150,000 over the first 12 months. Ongoing annual operational costs, including maintenance, licensing renewals, and SOC monitoring services, are projected at £40,000-£50,000 per annum.</w:t>
      </w:r>
    </w:p>
    <w:p w14:paraId="104FD823" w14:textId="2BFF9C1F" w:rsidR="003C2051" w:rsidRPr="003C2051" w:rsidRDefault="003C2051" w:rsidP="003C2051">
      <w:r w:rsidRPr="003C2051">
        <w:t>This investment is fully justified when compared to the potential financial impact of a single ransomware incident. According to industry reports, the average cost of a ransomware attack on a manufacturing organisation ranges from £300,000 to over £1 million when factoring in production downtime, forensic investigations, legal fees, and regulatory penalties. Additionally, a successful industrial espionage attack resulting in IP theft could compromise SFM's Tier-1 supplier status with major automotive and aerospace clients, leading to long-term revenue losses exceeding £2 million.</w:t>
      </w:r>
    </w:p>
    <w:p w14:paraId="622361A6" w14:textId="08151766" w:rsidR="003C2051" w:rsidRPr="003C2051" w:rsidRDefault="003C2051" w:rsidP="003C2051">
      <w:r w:rsidRPr="003C2051">
        <w:t>Therefore, the proposed security investments not only mitigate immediate threats but also provide a strong Return on Investment (ROI) by safeguarding SFM's production continuity, intellectual property, and market reputation. A phased implementation approach is recommended, prioritising OT network segmentation and EDR deployment in the first quarter, followed by SIEM integration and immutable backup configuration in the subsequent quarters</w:t>
      </w:r>
      <w:r>
        <w:t xml:space="preserve"> [12]</w:t>
      </w:r>
      <w:r w:rsidRPr="003C2051">
        <w:t>.</w:t>
      </w:r>
    </w:p>
    <w:p w14:paraId="7A03EF4D" w14:textId="77777777" w:rsidR="00D014EC" w:rsidRDefault="00000000">
      <w:pPr>
        <w:keepNext/>
        <w:spacing w:before="320"/>
      </w:pPr>
      <w:r>
        <w:rPr>
          <w:b/>
          <w:color w:val="1B365D"/>
          <w:sz w:val="32"/>
        </w:rPr>
        <w:t>8. Continuous Network Monitoring &amp; Incident Response Plan</w:t>
      </w:r>
    </w:p>
    <w:p w14:paraId="0400522A" w14:textId="77777777" w:rsidR="00D014EC" w:rsidRDefault="00000000">
      <w:r>
        <w:t>Rapid identification and mitigation of threats reduces operational downtime and data loss.</w:t>
      </w:r>
    </w:p>
    <w:p w14:paraId="1B5CCC08" w14:textId="77777777" w:rsidR="00D014EC" w:rsidRDefault="00000000">
      <w:pPr>
        <w:keepNext/>
        <w:spacing w:before="240" w:after="80"/>
      </w:pPr>
      <w:r>
        <w:rPr>
          <w:b/>
          <w:color w:val="4A777A"/>
          <w:sz w:val="26"/>
        </w:rPr>
        <w:t>8.1 SIEM &amp; SOC Monitoring Integration</w:t>
      </w:r>
    </w:p>
    <w:p w14:paraId="520C2047" w14:textId="77777777" w:rsidR="00D014EC" w:rsidRDefault="00000000">
      <w:r>
        <w:t>SFM will integrate a Security Information and Event Management (SIEM) system collecting real-time logs from firewalls, cloud portals, domain controllers, and OT network switches. Threat intelligence feeds will alert security analysts to suspicious login attempts or unassigned IP scanning in real time.</w:t>
      </w:r>
    </w:p>
    <w:p w14:paraId="363F27AC" w14:textId="77777777" w:rsidR="00D014EC" w:rsidRDefault="00000000">
      <w:pPr>
        <w:keepNext/>
        <w:spacing w:before="240" w:after="80"/>
        <w:rPr>
          <w:b/>
          <w:color w:val="4A777A"/>
          <w:sz w:val="26"/>
        </w:rPr>
      </w:pPr>
      <w:r>
        <w:rPr>
          <w:b/>
          <w:color w:val="4A777A"/>
          <w:sz w:val="26"/>
        </w:rPr>
        <w:lastRenderedPageBreak/>
        <w:t>8.2 Incident Response Workflow</w:t>
      </w:r>
    </w:p>
    <w:p w14:paraId="1A7D784C" w14:textId="026C4E5D" w:rsidR="002F4A4B" w:rsidRDefault="002F4A4B">
      <w:pPr>
        <w:keepNext/>
        <w:spacing w:before="240" w:after="80"/>
      </w:pPr>
      <w:r w:rsidRPr="002F4A4B">
        <w:rPr>
          <w:noProof/>
        </w:rPr>
        <w:drawing>
          <wp:inline distT="0" distB="0" distL="0" distR="0" wp14:anchorId="1006EDBA" wp14:editId="04F4C57A">
            <wp:extent cx="5943600" cy="3352165"/>
            <wp:effectExtent l="0" t="0" r="0" b="635"/>
            <wp:docPr id="1657011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011841" name=""/>
                    <pic:cNvPicPr/>
                  </pic:nvPicPr>
                  <pic:blipFill>
                    <a:blip r:embed="rId6"/>
                    <a:stretch>
                      <a:fillRect/>
                    </a:stretch>
                  </pic:blipFill>
                  <pic:spPr>
                    <a:xfrm>
                      <a:off x="0" y="0"/>
                      <a:ext cx="5943600" cy="3352165"/>
                    </a:xfrm>
                    <a:prstGeom prst="rect">
                      <a:avLst/>
                    </a:prstGeom>
                  </pic:spPr>
                </pic:pic>
              </a:graphicData>
            </a:graphic>
          </wp:inline>
        </w:drawing>
      </w:r>
    </w:p>
    <w:p w14:paraId="24D52E32" w14:textId="73598758" w:rsidR="002F4A4B" w:rsidRDefault="002F4A4B">
      <w:pPr>
        <w:keepNext/>
        <w:spacing w:before="240" w:after="80"/>
      </w:pPr>
      <w:r w:rsidRPr="002F4A4B">
        <w:t xml:space="preserve">Figure </w:t>
      </w:r>
      <w:r w:rsidR="003C2051">
        <w:t>4</w:t>
      </w:r>
      <w:r w:rsidRPr="002F4A4B">
        <w:t>: NIST SP 800-61 Compliant Incident Response Workflow</w:t>
      </w:r>
    </w:p>
    <w:p w14:paraId="285F38D3" w14:textId="77777777" w:rsidR="002F4A4B" w:rsidRPr="002F4A4B" w:rsidRDefault="002F4A4B">
      <w:pPr>
        <w:keepNext/>
        <w:spacing w:before="240" w:after="80"/>
      </w:pPr>
    </w:p>
    <w:p w14:paraId="2FE1D032" w14:textId="77777777" w:rsidR="00D014EC" w:rsidRDefault="00000000">
      <w:r>
        <w:t>Aligned with NIST SP 800-61 Rev. 2, SFM’s incident response procedure follows four structured phases:</w:t>
      </w:r>
    </w:p>
    <w:p w14:paraId="04FCD86C" w14:textId="77777777" w:rsidR="00D014EC" w:rsidRDefault="00000000">
      <w:r>
        <w:rPr>
          <w:b/>
        </w:rPr>
        <w:t xml:space="preserve">1. Preparation: </w:t>
      </w:r>
      <w:r>
        <w:t>Establish incident response toolkits, assign response roles, and maintain updated network topology maps.</w:t>
      </w:r>
    </w:p>
    <w:p w14:paraId="73075AEF" w14:textId="77777777" w:rsidR="00D014EC" w:rsidRDefault="00000000">
      <w:r>
        <w:rPr>
          <w:b/>
        </w:rPr>
        <w:t xml:space="preserve">2. Detection &amp; Analysis: </w:t>
      </w:r>
      <w:r>
        <w:t>The SIEM detects an anomaly (e.g., unauthorized PLC reprogram command). Analysts triage the alert and confirm breach severity.</w:t>
      </w:r>
    </w:p>
    <w:p w14:paraId="7C386966" w14:textId="77777777" w:rsidR="00D014EC" w:rsidRDefault="00000000">
      <w:r>
        <w:rPr>
          <w:b/>
        </w:rPr>
        <w:t xml:space="preserve">3. Containment &amp; Eradication: </w:t>
      </w:r>
      <w:r>
        <w:t>Automatically isolate the affected VLAN segment to prevent lateral movement, apply emergency security patches, revoke compromised credentials, and remove malicious artifacts using EDR tools.</w:t>
      </w:r>
    </w:p>
    <w:p w14:paraId="1B306186" w14:textId="77777777" w:rsidR="00D014EC" w:rsidRDefault="00000000">
      <w:r>
        <w:rPr>
          <w:b/>
        </w:rPr>
        <w:t xml:space="preserve">4. Recovery &amp; Lessons Learned: </w:t>
      </w:r>
      <w:r>
        <w:t>Restore systems from verified immutable backups, perform integrity checks on machinery logic, and conduct a post-incident review within 72 hours.</w:t>
      </w:r>
    </w:p>
    <w:p w14:paraId="2A1A01B6" w14:textId="77777777" w:rsidR="00D014EC" w:rsidRDefault="00000000">
      <w:pPr>
        <w:keepNext/>
        <w:spacing w:before="320"/>
      </w:pPr>
      <w:r>
        <w:rPr>
          <w:b/>
          <w:color w:val="1B365D"/>
          <w:sz w:val="32"/>
        </w:rPr>
        <w:t>9. Staff Security Awareness and Training Program</w:t>
      </w:r>
    </w:p>
    <w:p w14:paraId="42C06727" w14:textId="77777777" w:rsidR="00D014EC" w:rsidRDefault="00000000">
      <w:r>
        <w:t>Because human error represents a significant initial attack vector, SFM will launch a mandatory, role-specific cybersecurity training program.</w:t>
      </w:r>
    </w:p>
    <w:p w14:paraId="6A421A4F" w14:textId="77777777" w:rsidR="00D014EC" w:rsidRDefault="00000000">
      <w:pPr>
        <w:keepNext/>
        <w:spacing w:before="240" w:after="80"/>
      </w:pPr>
      <w:r>
        <w:rPr>
          <w:b/>
          <w:color w:val="4A777A"/>
          <w:sz w:val="26"/>
        </w:rPr>
        <w:lastRenderedPageBreak/>
        <w:t>9.1 Curriculum Design &amp; Target Demographics</w:t>
      </w:r>
    </w:p>
    <w:tbl>
      <w:tblPr>
        <w:tblW w:w="0" w:type="auto"/>
        <w:jc w:val="center"/>
        <w:tblLayout w:type="fixed"/>
        <w:tblLook w:val="04A0" w:firstRow="1" w:lastRow="0" w:firstColumn="1" w:lastColumn="0" w:noHBand="0" w:noVBand="1"/>
      </w:tblPr>
      <w:tblGrid>
        <w:gridCol w:w="3168"/>
        <w:gridCol w:w="6912"/>
      </w:tblGrid>
      <w:tr w:rsidR="00D014EC" w14:paraId="1A0C1558" w14:textId="77777777">
        <w:trPr>
          <w:jc w:val="center"/>
        </w:trPr>
        <w:tc>
          <w:tcPr>
            <w:tcW w:w="3168" w:type="dxa"/>
            <w:shd w:val="clear" w:color="auto" w:fill="4A777A"/>
            <w:tcMar>
              <w:top w:w="100" w:type="dxa"/>
              <w:left w:w="120" w:type="dxa"/>
              <w:bottom w:w="100" w:type="dxa"/>
              <w:right w:w="120" w:type="dxa"/>
            </w:tcMar>
          </w:tcPr>
          <w:p w14:paraId="04F82C0F" w14:textId="77777777" w:rsidR="00D014EC" w:rsidRDefault="00000000">
            <w:r>
              <w:rPr>
                <w:b/>
                <w:color w:val="FFFFFF"/>
                <w:sz w:val="19"/>
              </w:rPr>
              <w:t>Target Audience</w:t>
            </w:r>
          </w:p>
        </w:tc>
        <w:tc>
          <w:tcPr>
            <w:tcW w:w="6912" w:type="dxa"/>
            <w:shd w:val="clear" w:color="auto" w:fill="4A777A"/>
            <w:tcMar>
              <w:top w:w="100" w:type="dxa"/>
              <w:left w:w="120" w:type="dxa"/>
              <w:bottom w:w="100" w:type="dxa"/>
              <w:right w:w="120" w:type="dxa"/>
            </w:tcMar>
          </w:tcPr>
          <w:p w14:paraId="3FBEE961" w14:textId="77777777" w:rsidR="00D014EC" w:rsidRDefault="00000000">
            <w:r>
              <w:rPr>
                <w:b/>
                <w:color w:val="FFFFFF"/>
                <w:sz w:val="19"/>
              </w:rPr>
              <w:t>Key Training Modules &amp; Focus Areas</w:t>
            </w:r>
          </w:p>
        </w:tc>
      </w:tr>
      <w:tr w:rsidR="00D014EC" w14:paraId="1EF877E2" w14:textId="77777777">
        <w:trPr>
          <w:jc w:val="center"/>
        </w:trPr>
        <w:tc>
          <w:tcPr>
            <w:tcW w:w="3168" w:type="dxa"/>
            <w:shd w:val="clear" w:color="auto" w:fill="F4F6F8"/>
            <w:tcMar>
              <w:top w:w="100" w:type="dxa"/>
              <w:left w:w="120" w:type="dxa"/>
              <w:bottom w:w="100" w:type="dxa"/>
              <w:right w:w="120" w:type="dxa"/>
            </w:tcMar>
          </w:tcPr>
          <w:p w14:paraId="5C9B820C" w14:textId="77777777" w:rsidR="00D014EC" w:rsidRDefault="00000000">
            <w:r>
              <w:rPr>
                <w:sz w:val="18"/>
              </w:rPr>
              <w:t>Procurement &amp; Finance</w:t>
            </w:r>
          </w:p>
        </w:tc>
        <w:tc>
          <w:tcPr>
            <w:tcW w:w="6912" w:type="dxa"/>
            <w:shd w:val="clear" w:color="auto" w:fill="F4F6F8"/>
            <w:tcMar>
              <w:top w:w="100" w:type="dxa"/>
              <w:left w:w="120" w:type="dxa"/>
              <w:bottom w:w="100" w:type="dxa"/>
              <w:right w:w="120" w:type="dxa"/>
            </w:tcMar>
          </w:tcPr>
          <w:p w14:paraId="54D8DF39" w14:textId="77777777" w:rsidR="00D014EC" w:rsidRDefault="00000000">
            <w:r>
              <w:rPr>
                <w:sz w:val="18"/>
              </w:rPr>
              <w:t>BEC Prevention, Spear-Phishing Identification, Vendor Identity Verification Protocols</w:t>
            </w:r>
          </w:p>
        </w:tc>
      </w:tr>
      <w:tr w:rsidR="00D014EC" w14:paraId="394CED8A" w14:textId="77777777">
        <w:trPr>
          <w:jc w:val="center"/>
        </w:trPr>
        <w:tc>
          <w:tcPr>
            <w:tcW w:w="3168" w:type="dxa"/>
            <w:tcMar>
              <w:top w:w="100" w:type="dxa"/>
              <w:left w:w="120" w:type="dxa"/>
              <w:bottom w:w="100" w:type="dxa"/>
              <w:right w:w="120" w:type="dxa"/>
            </w:tcMar>
          </w:tcPr>
          <w:p w14:paraId="3D1BDB57" w14:textId="77777777" w:rsidR="00D014EC" w:rsidRDefault="00000000">
            <w:r>
              <w:rPr>
                <w:sz w:val="18"/>
              </w:rPr>
              <w:t>OT Engineers &amp; Plant Floor Operators</w:t>
            </w:r>
          </w:p>
        </w:tc>
        <w:tc>
          <w:tcPr>
            <w:tcW w:w="6912" w:type="dxa"/>
            <w:tcMar>
              <w:top w:w="100" w:type="dxa"/>
              <w:left w:w="120" w:type="dxa"/>
              <w:bottom w:w="100" w:type="dxa"/>
              <w:right w:w="120" w:type="dxa"/>
            </w:tcMar>
          </w:tcPr>
          <w:p w14:paraId="70BA61F5" w14:textId="77777777" w:rsidR="00D014EC" w:rsidRDefault="00000000">
            <w:r>
              <w:rPr>
                <w:sz w:val="18"/>
              </w:rPr>
              <w:t>Industrial Control System Safety, USB Security, Physical Device Security, Incident Escalation</w:t>
            </w:r>
          </w:p>
        </w:tc>
      </w:tr>
      <w:tr w:rsidR="00D014EC" w14:paraId="0E2B5A60" w14:textId="77777777">
        <w:trPr>
          <w:jc w:val="center"/>
        </w:trPr>
        <w:tc>
          <w:tcPr>
            <w:tcW w:w="3168" w:type="dxa"/>
            <w:shd w:val="clear" w:color="auto" w:fill="F4F6F8"/>
            <w:tcMar>
              <w:top w:w="100" w:type="dxa"/>
              <w:left w:w="120" w:type="dxa"/>
              <w:bottom w:w="100" w:type="dxa"/>
              <w:right w:w="120" w:type="dxa"/>
            </w:tcMar>
          </w:tcPr>
          <w:p w14:paraId="57419296" w14:textId="77777777" w:rsidR="00D014EC" w:rsidRDefault="00000000">
            <w:r>
              <w:rPr>
                <w:sz w:val="18"/>
              </w:rPr>
              <w:t>Executive Board &amp; Management</w:t>
            </w:r>
          </w:p>
        </w:tc>
        <w:tc>
          <w:tcPr>
            <w:tcW w:w="6912" w:type="dxa"/>
            <w:shd w:val="clear" w:color="auto" w:fill="F4F6F8"/>
            <w:tcMar>
              <w:top w:w="100" w:type="dxa"/>
              <w:left w:w="120" w:type="dxa"/>
              <w:bottom w:w="100" w:type="dxa"/>
              <w:right w:w="120" w:type="dxa"/>
            </w:tcMar>
          </w:tcPr>
          <w:p w14:paraId="09A15AF7" w14:textId="77777777" w:rsidR="00D014EC" w:rsidRDefault="00000000">
            <w:r>
              <w:rPr>
                <w:sz w:val="18"/>
              </w:rPr>
              <w:t>Crisis Management, Regulatory Compliance (GDPR/NIS2), Cyber Risk Financing &amp; Business Continuity</w:t>
            </w:r>
          </w:p>
        </w:tc>
      </w:tr>
    </w:tbl>
    <w:p w14:paraId="3036C189" w14:textId="77777777" w:rsidR="00D014EC" w:rsidRDefault="00D014EC">
      <w:pPr>
        <w:spacing w:after="160"/>
      </w:pPr>
    </w:p>
    <w:p w14:paraId="3FAB6223" w14:textId="77777777" w:rsidR="00D014EC" w:rsidRDefault="00000000">
      <w:pPr>
        <w:keepNext/>
        <w:spacing w:before="240" w:after="80"/>
      </w:pPr>
      <w:r>
        <w:rPr>
          <w:b/>
          <w:color w:val="4A777A"/>
          <w:sz w:val="26"/>
        </w:rPr>
        <w:t>9.2 Execution Methodology &amp; Metrics</w:t>
      </w:r>
    </w:p>
    <w:p w14:paraId="2CE0A97D" w14:textId="77777777" w:rsidR="00D014EC" w:rsidRDefault="00000000">
      <w:r>
        <w:rPr>
          <w:b/>
        </w:rPr>
        <w:t xml:space="preserve">• Simulated Phishing Campaigns: </w:t>
      </w:r>
      <w:r>
        <w:t>Monthly unannounced phishing tests conducted across departments. Employees who click simulated malicious links are automatically enrolled in targeted micro-learning refresher modules.</w:t>
      </w:r>
    </w:p>
    <w:p w14:paraId="41D2F2E8" w14:textId="77777777" w:rsidR="00D014EC" w:rsidRDefault="00000000">
      <w:r>
        <w:rPr>
          <w:b/>
        </w:rPr>
        <w:t xml:space="preserve">• Onboarding &amp; Recertification: </w:t>
      </w:r>
      <w:r>
        <w:t>Mandatory 2-hour security onboarding for new hires, supplemented by annual policy recertifications.</w:t>
      </w:r>
    </w:p>
    <w:p w14:paraId="54BD8798" w14:textId="77777777" w:rsidR="00D014EC" w:rsidRDefault="00000000">
      <w:r>
        <w:rPr>
          <w:b/>
        </w:rPr>
        <w:t xml:space="preserve">• Success Metrics: </w:t>
      </w:r>
      <w:r>
        <w:t>SFM aims to achieve a phishing click-through rate below 3% and a 100% policy sign-off rate across all staff within six months.</w:t>
      </w:r>
    </w:p>
    <w:p w14:paraId="0607BFD8" w14:textId="77777777" w:rsidR="00D014EC" w:rsidRDefault="00000000">
      <w:pPr>
        <w:keepNext/>
        <w:spacing w:before="320"/>
      </w:pPr>
      <w:r>
        <w:rPr>
          <w:b/>
          <w:color w:val="1B365D"/>
          <w:sz w:val="32"/>
        </w:rPr>
        <w:t>10. Regulatory Compliance &amp; Strategic Justification</w:t>
      </w:r>
    </w:p>
    <w:p w14:paraId="72576AFA" w14:textId="77777777" w:rsidR="00D014EC" w:rsidRDefault="00000000">
      <w:r>
        <w:rPr>
          <w:b/>
        </w:rPr>
        <w:t xml:space="preserve">• GDPR Compliance: </w:t>
      </w:r>
      <w:r>
        <w:t>Technical controls, including CAD encryption and procurement MFA, mitigate risks of personal data breaches, avoiding regulatory fines under Article 83 (up to €20 million or 4% of global turnover).</w:t>
      </w:r>
    </w:p>
    <w:p w14:paraId="1EAFEACA" w14:textId="77777777" w:rsidR="00D014EC" w:rsidRDefault="00000000">
      <w:r>
        <w:rPr>
          <w:b/>
        </w:rPr>
        <w:t xml:space="preserve">• NIS 2 Directive &amp; Supply Chain Assurance: </w:t>
      </w:r>
      <w:r>
        <w:t>Implementing strict access controls and vendor audits aligns SFM with UK/EU NIS 2 requirements, preserving Tier-1 status with automotive and aerospace prime contractors.</w:t>
      </w:r>
    </w:p>
    <w:p w14:paraId="5DCF057F" w14:textId="77777777" w:rsidR="00D014EC" w:rsidRDefault="00000000">
      <w:r>
        <w:rPr>
          <w:b/>
        </w:rPr>
        <w:t xml:space="preserve">• Return on Investment (ROI): </w:t>
      </w:r>
      <w:r>
        <w:t>Mitigating unplanned operational downtime protects SFM's revenue streams, ensuring long-term profitability and customer trust.</w:t>
      </w:r>
    </w:p>
    <w:p w14:paraId="6A12C93A" w14:textId="77777777" w:rsidR="00D014EC" w:rsidRDefault="00000000">
      <w:pPr>
        <w:keepNext/>
        <w:spacing w:before="320"/>
      </w:pPr>
      <w:r>
        <w:rPr>
          <w:b/>
          <w:color w:val="1B365D"/>
          <w:sz w:val="32"/>
        </w:rPr>
        <w:t>11. Conclusion</w:t>
      </w:r>
    </w:p>
    <w:p w14:paraId="6DBEAC14" w14:textId="77777777" w:rsidR="00D014EC" w:rsidRDefault="00000000">
      <w:r>
        <w:t>SFM’s digital transformation into Industry 4.0 delivers operational efficiencies while introducing critical cybersecurity risks across IT and OT environments. By deploying Zero-Trust access controls, deep network segmentation, continuous SIEM monitoring, and role-based staff training, SFM creates a defense-in-depth posture. These initiatives protect proprietary intellectual property, ensure operational continuity, and secure SFM’s standing as a trusted partner in high-tech manufacturing.</w:t>
      </w:r>
    </w:p>
    <w:p w14:paraId="46DC7EB1" w14:textId="77777777" w:rsidR="00D014EC" w:rsidRDefault="00000000">
      <w:pPr>
        <w:keepNext/>
        <w:spacing w:before="320"/>
      </w:pPr>
      <w:r>
        <w:rPr>
          <w:b/>
          <w:color w:val="1B365D"/>
          <w:sz w:val="32"/>
        </w:rPr>
        <w:lastRenderedPageBreak/>
        <w:t>12. References</w:t>
      </w:r>
    </w:p>
    <w:p w14:paraId="13F516DC" w14:textId="77777777" w:rsidR="00D014EC" w:rsidRDefault="00000000">
      <w:pPr>
        <w:spacing w:after="80"/>
      </w:pPr>
      <w:r>
        <w:rPr>
          <w:b/>
        </w:rPr>
        <w:t xml:space="preserve">[1] </w:t>
      </w:r>
      <w:r>
        <w:t>University of Wales Trinity Saint David (UWTSD), ACCA4024 Networks and Cyber Security Essentials: Level 4 Assessment Specification, London Campus, Module Assignment Specification, 2026.</w:t>
      </w:r>
    </w:p>
    <w:p w14:paraId="3C7A9F22" w14:textId="77777777" w:rsidR="00D014EC" w:rsidRDefault="00000000">
      <w:pPr>
        <w:spacing w:after="80"/>
      </w:pPr>
      <w:r>
        <w:rPr>
          <w:b/>
        </w:rPr>
        <w:t xml:space="preserve">[2] </w:t>
      </w:r>
      <w:r>
        <w:t>National Institute of Standards and Technology (NIST), Guide to Industrial Control Systems (ICS) Security, NIST Special Publication 800-82, Rev. 2, U.S. Department of Commerce, 2023.</w:t>
      </w:r>
    </w:p>
    <w:p w14:paraId="4737B172" w14:textId="77777777" w:rsidR="00D014EC" w:rsidRDefault="00000000">
      <w:pPr>
        <w:spacing w:after="80"/>
      </w:pPr>
      <w:r>
        <w:rPr>
          <w:b/>
        </w:rPr>
        <w:t xml:space="preserve">[3] </w:t>
      </w:r>
      <w:r>
        <w:t>International Organization for Standardization, Information security, cybersecurity and privacy protection — Information security management systems — Requirements, ISO/IEC 27001:2022, ISO, Geneva, 2022.</w:t>
      </w:r>
    </w:p>
    <w:p w14:paraId="3E9F30F0" w14:textId="77777777" w:rsidR="00D014EC" w:rsidRDefault="00000000">
      <w:pPr>
        <w:spacing w:after="80"/>
      </w:pPr>
      <w:r>
        <w:rPr>
          <w:b/>
        </w:rPr>
        <w:t xml:space="preserve">[4] </w:t>
      </w:r>
      <w:r>
        <w:t>Cybersecurity and Infrastructure Security Agency (CISA), StopRansomware Guide: Industry 4.0 and Operational Technology Mitigation Strategies, Tech. Rep. CISA-2024-001, 2024.</w:t>
      </w:r>
    </w:p>
    <w:p w14:paraId="7C254ECF" w14:textId="77777777" w:rsidR="00D014EC" w:rsidRDefault="00000000">
      <w:pPr>
        <w:spacing w:after="80"/>
      </w:pPr>
      <w:r>
        <w:rPr>
          <w:b/>
        </w:rPr>
        <w:t xml:space="preserve">[5] </w:t>
      </w:r>
      <w:r>
        <w:t>K. Stouffer, V. Pillitteri, S. Lightman, M. Abrams, and A. Hahn, 'Cybersecurity for Smart Manufacturing and Industrial Internet of Things (IIoT),' IEEE Transactions on Industrial Informatics, vol. 19, no. 4, pp. 3102–3114, Apr. 2023.</w:t>
      </w:r>
    </w:p>
    <w:p w14:paraId="3E4D636B" w14:textId="77777777" w:rsidR="00D014EC" w:rsidRDefault="00000000">
      <w:pPr>
        <w:spacing w:after="80"/>
      </w:pPr>
      <w:r>
        <w:rPr>
          <w:b/>
        </w:rPr>
        <w:t xml:space="preserve">[6] </w:t>
      </w:r>
      <w:r>
        <w:t>S. Senthivel et al., 'Threat Modeling and Attack Surface Reduction in Smart Factories,' Journal of Cybersecurity Engineering, vol. 8, no. 2, pp. 145–162, 2024.</w:t>
      </w:r>
    </w:p>
    <w:p w14:paraId="39EBE267" w14:textId="77777777" w:rsidR="00D014EC" w:rsidRDefault="00000000">
      <w:pPr>
        <w:spacing w:after="80"/>
      </w:pPr>
      <w:r>
        <w:rPr>
          <w:b/>
        </w:rPr>
        <w:t xml:space="preserve">[7] </w:t>
      </w:r>
      <w:r>
        <w:t>UK National Cyber Security Centre (NCSC), Cyber Security Design Principles for Supply Chain and Manufacturing Ecosystems, NCSC Guidance, London, UK, 2023.</w:t>
      </w:r>
    </w:p>
    <w:p w14:paraId="29595DCA" w14:textId="77777777" w:rsidR="00D014EC" w:rsidRDefault="00000000">
      <w:pPr>
        <w:spacing w:after="80"/>
      </w:pPr>
      <w:r>
        <w:rPr>
          <w:b/>
        </w:rPr>
        <w:t xml:space="preserve">[8] </w:t>
      </w:r>
      <w:r>
        <w:t>European Union Agency for Cybersecurity (ENISA), Threat Landscape for Supply Chain Attacks and Smart Manufacturing, ENISA Report, Dec. 2023.</w:t>
      </w:r>
    </w:p>
    <w:p w14:paraId="646FD616" w14:textId="77777777" w:rsidR="00D014EC" w:rsidRDefault="00000000">
      <w:pPr>
        <w:spacing w:after="80"/>
      </w:pPr>
      <w:r>
        <w:rPr>
          <w:b/>
        </w:rPr>
        <w:t xml:space="preserve">[9] </w:t>
      </w:r>
      <w:r>
        <w:t>CERT Coordination Center, Common Sense Guide to Mitigating Insider Threats in Industrial Environments, Carnegie Mellon University Software Engineering Institute, Tech. Rep. CMU/SEI-2023-TR-004, 2023.</w:t>
      </w:r>
    </w:p>
    <w:p w14:paraId="317503AD" w14:textId="77777777" w:rsidR="00D014EC" w:rsidRDefault="00000000">
      <w:pPr>
        <w:spacing w:after="80"/>
      </w:pPr>
      <w:r>
        <w:rPr>
          <w:b/>
        </w:rPr>
        <w:t xml:space="preserve">[10] </w:t>
      </w:r>
      <w:r>
        <w:t>M. Al-Mhiqani et al., 'Human Factors in Cyber Security Attacks for Industry 4.0: A Systematic Review,' IEEE Access, vol. 11, pp. 28410–28425, 2023.</w:t>
      </w:r>
    </w:p>
    <w:p w14:paraId="711ADD16" w14:textId="77777777" w:rsidR="00D014EC" w:rsidRDefault="00000000">
      <w:pPr>
        <w:spacing w:after="80"/>
      </w:pPr>
      <w:r>
        <w:rPr>
          <w:b/>
        </w:rPr>
        <w:t xml:space="preserve">[11] </w:t>
      </w:r>
      <w:r>
        <w:t>European Parliament and Council, Directive (EU) 2022/2555 on measures for a high common level of cybersecurity across the Union (NIS 2 Directive), Official Journal of the European Union, L 333, 2022.</w:t>
      </w:r>
    </w:p>
    <w:p w14:paraId="4401CD16" w14:textId="58EE1C76" w:rsidR="003C2051" w:rsidRDefault="003C2051">
      <w:pPr>
        <w:spacing w:after="80"/>
      </w:pPr>
      <w:r w:rsidRPr="003C2051">
        <w:rPr>
          <w:b/>
          <w:bCs/>
        </w:rPr>
        <w:t>[12]</w:t>
      </w:r>
      <w:r w:rsidRPr="003C2051">
        <w:t> Cybersecurity and Infrastructure Security Agency (CISA), </w:t>
      </w:r>
      <w:r w:rsidRPr="003C2051">
        <w:rPr>
          <w:i/>
          <w:iCs/>
        </w:rPr>
        <w:t>Ransomware Guide: Manufacturing Sector Impact Analysis</w:t>
      </w:r>
      <w:r w:rsidRPr="003C2051">
        <w:t>, CISA Technical Report, Washington D.C., 2024.</w:t>
      </w:r>
    </w:p>
    <w:p w14:paraId="2EA07BA5" w14:textId="77777777" w:rsidR="00D014EC" w:rsidRDefault="00000000">
      <w:pPr>
        <w:keepNext/>
        <w:spacing w:before="320"/>
      </w:pPr>
      <w:r>
        <w:rPr>
          <w:b/>
          <w:color w:val="1B365D"/>
          <w:sz w:val="32"/>
        </w:rPr>
        <w:lastRenderedPageBreak/>
        <w:t>APPENDIX: Board Presentation Deck Structure</w:t>
      </w:r>
    </w:p>
    <w:p w14:paraId="5DB43D16" w14:textId="7253421F" w:rsidR="00D014EC" w:rsidRDefault="00EC517A">
      <w:r>
        <w:rPr>
          <w:noProof/>
        </w:rPr>
        <w:drawing>
          <wp:inline distT="0" distB="0" distL="0" distR="0" wp14:anchorId="7F1C90D9" wp14:editId="421A4B36">
            <wp:extent cx="5943600" cy="3343275"/>
            <wp:effectExtent l="0" t="0" r="0" b="9525"/>
            <wp:docPr id="18660076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0764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51F130C5" w14:textId="44E55A16" w:rsidR="00EC517A" w:rsidRDefault="00EC517A">
      <w:r>
        <w:t>Slide 1.</w:t>
      </w:r>
    </w:p>
    <w:p w14:paraId="7D189B8A" w14:textId="6C7CB2C5" w:rsidR="00EC517A" w:rsidRDefault="00EC517A">
      <w:r>
        <w:rPr>
          <w:noProof/>
        </w:rPr>
        <w:drawing>
          <wp:inline distT="0" distB="0" distL="0" distR="0" wp14:anchorId="06E330AC" wp14:editId="2E33D214">
            <wp:extent cx="5943600" cy="3343275"/>
            <wp:effectExtent l="0" t="0" r="0" b="9525"/>
            <wp:docPr id="20129117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91178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E374DD9" w14:textId="79EBB096" w:rsidR="00EC517A" w:rsidRDefault="00EC517A" w:rsidP="00EC517A">
      <w:r>
        <w:t>Slide 2.</w:t>
      </w:r>
    </w:p>
    <w:p w14:paraId="7BDD63DE" w14:textId="77777777" w:rsidR="00EC517A" w:rsidRDefault="00EC517A"/>
    <w:p w14:paraId="669F6727" w14:textId="20282289" w:rsidR="00EC517A" w:rsidRDefault="00EC517A">
      <w:r>
        <w:rPr>
          <w:noProof/>
        </w:rPr>
        <w:lastRenderedPageBreak/>
        <w:drawing>
          <wp:inline distT="0" distB="0" distL="0" distR="0" wp14:anchorId="3EC1AECC" wp14:editId="0FC4F107">
            <wp:extent cx="5943600" cy="3343275"/>
            <wp:effectExtent l="0" t="0" r="0" b="9525"/>
            <wp:docPr id="18985037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50373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0FDE2D35" w14:textId="3F1A6822" w:rsidR="00EC517A" w:rsidRDefault="00EC517A">
      <w:r w:rsidRPr="00EC517A">
        <w:t>Sl</w:t>
      </w:r>
      <w:r>
        <w:t>ide 3</w:t>
      </w:r>
      <w:r w:rsidRPr="00EC517A">
        <w:t>.</w:t>
      </w:r>
    </w:p>
    <w:p w14:paraId="13121071" w14:textId="6036534D" w:rsidR="00EC517A" w:rsidRDefault="00EC517A">
      <w:r>
        <w:rPr>
          <w:noProof/>
        </w:rPr>
        <w:drawing>
          <wp:inline distT="0" distB="0" distL="0" distR="0" wp14:anchorId="1F26A50A" wp14:editId="0001FBE7">
            <wp:extent cx="5943600" cy="3343275"/>
            <wp:effectExtent l="0" t="0" r="0" b="9525"/>
            <wp:docPr id="16515141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51417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458A5422" w14:textId="58817945" w:rsidR="00EC517A" w:rsidRDefault="00EC517A" w:rsidP="00EC517A">
      <w:r>
        <w:t>Slide 4.</w:t>
      </w:r>
    </w:p>
    <w:p w14:paraId="3E8E5019" w14:textId="77777777" w:rsidR="00EC517A" w:rsidRDefault="00EC517A"/>
    <w:p w14:paraId="4474C457" w14:textId="364CE186" w:rsidR="00EC517A" w:rsidRDefault="00EC517A">
      <w:r>
        <w:rPr>
          <w:noProof/>
        </w:rPr>
        <w:lastRenderedPageBreak/>
        <w:drawing>
          <wp:inline distT="0" distB="0" distL="0" distR="0" wp14:anchorId="3E7496D7" wp14:editId="7E00B5E7">
            <wp:extent cx="5943600" cy="3343275"/>
            <wp:effectExtent l="0" t="0" r="0" b="9525"/>
            <wp:docPr id="15305471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4711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0C5CF5E0" w14:textId="1527FD42" w:rsidR="00EC517A" w:rsidRDefault="00EC517A">
      <w:r w:rsidRPr="00EC517A">
        <w:t>Sl</w:t>
      </w:r>
      <w:r>
        <w:t>ide 5</w:t>
      </w:r>
      <w:r w:rsidRPr="00EC517A">
        <w:t>.</w:t>
      </w:r>
    </w:p>
    <w:p w14:paraId="786A9F74" w14:textId="577F4356" w:rsidR="00EC517A" w:rsidRDefault="00EC517A">
      <w:r>
        <w:rPr>
          <w:noProof/>
        </w:rPr>
        <w:drawing>
          <wp:inline distT="0" distB="0" distL="0" distR="0" wp14:anchorId="48472C82" wp14:editId="68C49712">
            <wp:extent cx="5943600" cy="3343275"/>
            <wp:effectExtent l="0" t="0" r="0" b="9525"/>
            <wp:docPr id="190460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00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07BFF3E" w14:textId="17380946" w:rsidR="00EC517A" w:rsidRDefault="00EC517A" w:rsidP="00EC517A">
      <w:r>
        <w:t>Slide 6.</w:t>
      </w:r>
    </w:p>
    <w:p w14:paraId="53244370" w14:textId="77777777" w:rsidR="00EC517A" w:rsidRDefault="00EC517A"/>
    <w:p w14:paraId="1A37485E" w14:textId="77777777" w:rsidR="00EC517A" w:rsidRDefault="00EC517A"/>
    <w:p w14:paraId="639310B7" w14:textId="258C80D6" w:rsidR="00EC517A" w:rsidRDefault="00EC517A">
      <w:r>
        <w:rPr>
          <w:noProof/>
        </w:rPr>
        <w:lastRenderedPageBreak/>
        <w:drawing>
          <wp:inline distT="0" distB="0" distL="0" distR="0" wp14:anchorId="068AA011" wp14:editId="29784DF5">
            <wp:extent cx="5943600" cy="3343275"/>
            <wp:effectExtent l="0" t="0" r="0" b="9525"/>
            <wp:docPr id="1919726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26185"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47F273B4" w14:textId="07A3B9F2" w:rsidR="00EC517A" w:rsidRDefault="00EC517A" w:rsidP="00EC517A">
      <w:r>
        <w:t>Slide 7.</w:t>
      </w:r>
    </w:p>
    <w:p w14:paraId="5638466C" w14:textId="77777777" w:rsidR="00EC517A" w:rsidRDefault="00EC517A"/>
    <w:sectPr w:rsidR="00EC517A"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48625703">
    <w:abstractNumId w:val="8"/>
  </w:num>
  <w:num w:numId="2" w16cid:durableId="646471528">
    <w:abstractNumId w:val="6"/>
  </w:num>
  <w:num w:numId="3" w16cid:durableId="390689237">
    <w:abstractNumId w:val="5"/>
  </w:num>
  <w:num w:numId="4" w16cid:durableId="7679589">
    <w:abstractNumId w:val="4"/>
  </w:num>
  <w:num w:numId="5" w16cid:durableId="1370455217">
    <w:abstractNumId w:val="7"/>
  </w:num>
  <w:num w:numId="6" w16cid:durableId="1985088427">
    <w:abstractNumId w:val="3"/>
  </w:num>
  <w:num w:numId="7" w16cid:durableId="1141775240">
    <w:abstractNumId w:val="2"/>
  </w:num>
  <w:num w:numId="8" w16cid:durableId="1087269952">
    <w:abstractNumId w:val="1"/>
  </w:num>
  <w:num w:numId="9" w16cid:durableId="751924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4E7C"/>
    <w:rsid w:val="0029639D"/>
    <w:rsid w:val="002F4A4B"/>
    <w:rsid w:val="00326F90"/>
    <w:rsid w:val="003C2051"/>
    <w:rsid w:val="00494F4F"/>
    <w:rsid w:val="00AA1D8D"/>
    <w:rsid w:val="00B47730"/>
    <w:rsid w:val="00CB0664"/>
    <w:rsid w:val="00D014EC"/>
    <w:rsid w:val="00E35314"/>
    <w:rsid w:val="00EC517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9D5BF0"/>
  <w14:defaultImageDpi w14:val="300"/>
  <w15:docId w15:val="{A0FFE101-EBA3-47F7-A611-E44A57EE1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17A"/>
    <w:pPr>
      <w:spacing w:after="120"/>
    </w:pPr>
    <w:rPr>
      <w:rFonts w:ascii="Arial" w:hAnsi="Arial"/>
      <w:color w:val="222222"/>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Ata Polat (2512871)</cp:lastModifiedBy>
  <cp:revision>3</cp:revision>
  <dcterms:created xsi:type="dcterms:W3CDTF">2013-12-23T23:15:00Z</dcterms:created>
  <dcterms:modified xsi:type="dcterms:W3CDTF">2026-08-13T09:33:00Z</dcterms:modified>
  <cp:category/>
</cp:coreProperties>
</file>