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1196D" w14:textId="3635F8B4" w:rsidR="00535C35" w:rsidRPr="00535C35" w:rsidRDefault="00535C35" w:rsidP="00535C35">
      <w:pPr>
        <w:rPr>
          <w:b/>
          <w:bCs/>
        </w:rPr>
      </w:pPr>
      <w:r w:rsidRPr="00535C35">
        <w:rPr>
          <w:b/>
          <w:bCs/>
          <w:i/>
          <w:iCs/>
        </w:rPr>
        <w:t>Play as a Pedagogical Powerhouse: What Wales Can Learn from Finland’s Early Years Approach</w:t>
      </w:r>
    </w:p>
    <w:p w14:paraId="42D94663" w14:textId="22E58E49" w:rsidR="00535C35" w:rsidRPr="00535C35" w:rsidRDefault="00535C35" w:rsidP="00535C35">
      <w:r w:rsidRPr="00535C35">
        <w:t>Across the world, early childhood education is undergoing a quiet revolution. Nations are re</w:t>
      </w:r>
      <w:r w:rsidRPr="00535C35">
        <w:noBreakHyphen/>
        <w:t>examining what young children truly need to thrive—not just academically, but emotionally, socially, and creatively. Wales has already taken bold steps through the Curriculum for Wales</w:t>
      </w:r>
      <w:r>
        <w:t>,</w:t>
      </w:r>
      <w:r w:rsidRPr="00535C35">
        <w:t xml:space="preserve"> and its emphasis on child</w:t>
      </w:r>
      <w:r w:rsidRPr="00535C35">
        <w:noBreakHyphen/>
        <w:t>centred, experiential learning. Yet one country continues to stand out as a global benchmark for play</w:t>
      </w:r>
      <w:r w:rsidRPr="00535C35">
        <w:noBreakHyphen/>
        <w:t>based pedagogy: Finland.</w:t>
      </w:r>
    </w:p>
    <w:p w14:paraId="2CA8B9F8" w14:textId="080E3092" w:rsidR="00535C35" w:rsidRPr="00535C35" w:rsidRDefault="00535C35" w:rsidP="00535C35">
      <w:r w:rsidRPr="00535C35">
        <w:t>While both nations value play, Finland’s approach is woven so deeply into its educational DNA that it shapes everything from teacher training to daily routines. Exploring the similarities and differences reveals powerful insights—and opportunities—for Wales as it continues to refine its early years vision.</w:t>
      </w:r>
    </w:p>
    <w:p w14:paraId="5FF3370F" w14:textId="5370BB6E" w:rsidR="00535C35" w:rsidRPr="00535C35" w:rsidRDefault="00535C35" w:rsidP="00535C35">
      <w:pPr>
        <w:rPr>
          <w:b/>
          <w:bCs/>
        </w:rPr>
      </w:pPr>
      <w:r w:rsidRPr="00535C35">
        <w:rPr>
          <w:b/>
          <w:bCs/>
        </w:rPr>
        <w:t>Play in Wales: A Strong Foundation with Systemic Challenges</w:t>
      </w:r>
    </w:p>
    <w:p w14:paraId="10941DBC" w14:textId="77777777" w:rsidR="00535C35" w:rsidRPr="00535C35" w:rsidRDefault="00535C35" w:rsidP="00535C35">
      <w:r w:rsidRPr="00535C35">
        <w:t xml:space="preserve">Wales has long recognised play as a right and a developmental necessity. The </w:t>
      </w:r>
      <w:r w:rsidRPr="00535C35">
        <w:rPr>
          <w:b/>
          <w:bCs/>
        </w:rPr>
        <w:t>Curriculum for Wales</w:t>
      </w:r>
      <w:r w:rsidRPr="00535C35">
        <w:t xml:space="preserve"> and the </w:t>
      </w:r>
      <w:r w:rsidRPr="00535C35">
        <w:rPr>
          <w:b/>
          <w:bCs/>
        </w:rPr>
        <w:t>Foundation Phase</w:t>
      </w:r>
      <w:r w:rsidRPr="00535C35">
        <w:t xml:space="preserve"> before it both champion active, experiential learning. Outdoor play, child</w:t>
      </w:r>
      <w:r w:rsidRPr="00535C35">
        <w:noBreakHyphen/>
        <w:t>initiated exploration, and holistic development are central pillars.</w:t>
      </w:r>
    </w:p>
    <w:p w14:paraId="1D455C43" w14:textId="77777777" w:rsidR="00535C35" w:rsidRPr="00535C35" w:rsidRDefault="00535C35" w:rsidP="00535C35">
      <w:r w:rsidRPr="00535C35">
        <w:t>However, Welsh practitioners often face:</w:t>
      </w:r>
    </w:p>
    <w:p w14:paraId="08F13B34" w14:textId="77777777" w:rsidR="00535C35" w:rsidRPr="00535C35" w:rsidRDefault="00535C35" w:rsidP="00535C35">
      <w:pPr>
        <w:numPr>
          <w:ilvl w:val="0"/>
          <w:numId w:val="1"/>
        </w:numPr>
      </w:pPr>
      <w:r w:rsidRPr="00535C35">
        <w:rPr>
          <w:b/>
          <w:bCs/>
        </w:rPr>
        <w:t>High accountability pressures</w:t>
      </w:r>
      <w:r w:rsidRPr="00535C35">
        <w:t>, including documentation demands</w:t>
      </w:r>
    </w:p>
    <w:p w14:paraId="2978EA99" w14:textId="77777777" w:rsidR="00535C35" w:rsidRPr="00535C35" w:rsidRDefault="00535C35" w:rsidP="00535C35">
      <w:pPr>
        <w:numPr>
          <w:ilvl w:val="0"/>
          <w:numId w:val="1"/>
        </w:numPr>
      </w:pPr>
      <w:r w:rsidRPr="00535C35">
        <w:rPr>
          <w:b/>
          <w:bCs/>
        </w:rPr>
        <w:t>Large class sizes</w:t>
      </w:r>
      <w:r w:rsidRPr="00535C35">
        <w:t xml:space="preserve"> and limited adult</w:t>
      </w:r>
      <w:r w:rsidRPr="00535C35">
        <w:noBreakHyphen/>
        <w:t>child ratios</w:t>
      </w:r>
    </w:p>
    <w:p w14:paraId="1ECCA59C" w14:textId="77777777" w:rsidR="00535C35" w:rsidRPr="00535C35" w:rsidRDefault="00535C35" w:rsidP="00535C35">
      <w:pPr>
        <w:numPr>
          <w:ilvl w:val="0"/>
          <w:numId w:val="1"/>
        </w:numPr>
      </w:pPr>
      <w:r w:rsidRPr="00535C35">
        <w:rPr>
          <w:b/>
          <w:bCs/>
        </w:rPr>
        <w:t>Variability in training</w:t>
      </w:r>
      <w:r w:rsidRPr="00535C35">
        <w:t>, especially between settings</w:t>
      </w:r>
    </w:p>
    <w:p w14:paraId="2BFA03BA" w14:textId="77777777" w:rsidR="00535C35" w:rsidRPr="00535C35" w:rsidRDefault="00535C35" w:rsidP="00535C35">
      <w:pPr>
        <w:numPr>
          <w:ilvl w:val="0"/>
          <w:numId w:val="1"/>
        </w:numPr>
      </w:pPr>
      <w:r w:rsidRPr="00535C35">
        <w:rPr>
          <w:b/>
          <w:bCs/>
        </w:rPr>
        <w:t>Tension between play</w:t>
      </w:r>
      <w:r w:rsidRPr="00535C35">
        <w:rPr>
          <w:b/>
          <w:bCs/>
        </w:rPr>
        <w:noBreakHyphen/>
        <w:t>based pedagogy and school-readiness expectations</w:t>
      </w:r>
    </w:p>
    <w:p w14:paraId="590FC9C9" w14:textId="5CE5A18A" w:rsidR="00535C35" w:rsidRPr="00535C35" w:rsidRDefault="00535C35" w:rsidP="00535C35">
      <w:r w:rsidRPr="00535C35">
        <w:t>The intention is strong, but the system around practitioners can make it difficult to fully realise a play</w:t>
      </w:r>
      <w:r w:rsidRPr="00535C35">
        <w:noBreakHyphen/>
        <w:t>rich environment.</w:t>
      </w:r>
    </w:p>
    <w:p w14:paraId="4DBD117D" w14:textId="4A5D8907" w:rsidR="00535C35" w:rsidRPr="00535C35" w:rsidRDefault="00535C35" w:rsidP="00535C35">
      <w:pPr>
        <w:rPr>
          <w:b/>
          <w:bCs/>
        </w:rPr>
      </w:pPr>
      <w:r w:rsidRPr="00535C35">
        <w:rPr>
          <w:b/>
          <w:bCs/>
        </w:rPr>
        <w:t>Finland: Where Play Is the Pedagogy, Not an Add</w:t>
      </w:r>
      <w:r w:rsidRPr="00535C35">
        <w:rPr>
          <w:b/>
          <w:bCs/>
        </w:rPr>
        <w:noBreakHyphen/>
        <w:t>On</w:t>
      </w:r>
    </w:p>
    <w:p w14:paraId="6954D0B5" w14:textId="77777777" w:rsidR="00535C35" w:rsidRPr="00535C35" w:rsidRDefault="00535C35" w:rsidP="00535C35">
      <w:r w:rsidRPr="00535C35">
        <w:t xml:space="preserve">Finland’s early </w:t>
      </w:r>
      <w:proofErr w:type="gramStart"/>
      <w:r w:rsidRPr="00535C35">
        <w:t>years</w:t>
      </w:r>
      <w:proofErr w:type="gramEnd"/>
      <w:r w:rsidRPr="00535C35">
        <w:t xml:space="preserve"> philosophy is built on a simple but radical belief:</w:t>
      </w:r>
      <w:r w:rsidRPr="00535C35">
        <w:br/>
      </w:r>
      <w:r w:rsidRPr="00535C35">
        <w:rPr>
          <w:b/>
          <w:bCs/>
        </w:rPr>
        <w:t>Children learn best when they feel safe, happy, and free to explore.</w:t>
      </w:r>
    </w:p>
    <w:p w14:paraId="75D7A9F6" w14:textId="77777777" w:rsidR="00535C35" w:rsidRPr="00535C35" w:rsidRDefault="00535C35" w:rsidP="00535C35">
      <w:r w:rsidRPr="00535C35">
        <w:t>Key features include:</w:t>
      </w:r>
    </w:p>
    <w:p w14:paraId="6DA02605" w14:textId="27E48025" w:rsidR="00535C35" w:rsidRPr="00535C35" w:rsidRDefault="00535C35" w:rsidP="00535C35">
      <w:pPr>
        <w:rPr>
          <w:b/>
          <w:bCs/>
        </w:rPr>
      </w:pPr>
      <w:r w:rsidRPr="00535C35">
        <w:rPr>
          <w:b/>
          <w:bCs/>
        </w:rPr>
        <w:t>Highly trained early years teachers</w:t>
      </w:r>
    </w:p>
    <w:p w14:paraId="33DF7E23" w14:textId="18D48570" w:rsidR="00535C35" w:rsidRPr="00535C35" w:rsidRDefault="00535C35" w:rsidP="00535C35">
      <w:r w:rsidRPr="00535C35">
        <w:t>All early childhood teachers hold degree</w:t>
      </w:r>
      <w:r w:rsidRPr="00535C35">
        <w:noBreakHyphen/>
        <w:t xml:space="preserve">level qualifications with </w:t>
      </w:r>
      <w:r>
        <w:t xml:space="preserve">a </w:t>
      </w:r>
      <w:r w:rsidRPr="00535C35">
        <w:t>deep grounding in child development, play theory, and observation.</w:t>
      </w:r>
    </w:p>
    <w:p w14:paraId="1FF6C2FC" w14:textId="1E0DF74A" w:rsidR="00535C35" w:rsidRPr="00535C35" w:rsidRDefault="00535C35" w:rsidP="00535C35">
      <w:pPr>
        <w:rPr>
          <w:b/>
          <w:bCs/>
        </w:rPr>
      </w:pPr>
      <w:r w:rsidRPr="00535C35">
        <w:rPr>
          <w:b/>
          <w:bCs/>
        </w:rPr>
        <w:t xml:space="preserve">Play </w:t>
      </w:r>
      <w:r>
        <w:rPr>
          <w:b/>
          <w:bCs/>
        </w:rPr>
        <w:t>is</w:t>
      </w:r>
      <w:r w:rsidRPr="00535C35">
        <w:rPr>
          <w:b/>
          <w:bCs/>
        </w:rPr>
        <w:t xml:space="preserve"> the primary mode of learning</w:t>
      </w:r>
      <w:r>
        <w:rPr>
          <w:b/>
          <w:bCs/>
        </w:rPr>
        <w:t>.</w:t>
      </w:r>
    </w:p>
    <w:p w14:paraId="58A2EED9" w14:textId="77777777" w:rsidR="00535C35" w:rsidRPr="00535C35" w:rsidRDefault="00535C35" w:rsidP="00535C35">
      <w:r w:rsidRPr="00535C35">
        <w:t xml:space="preserve">Play isn’t a strategy—it </w:t>
      </w:r>
      <w:r w:rsidRPr="00535C35">
        <w:rPr>
          <w:i/>
          <w:iCs/>
        </w:rPr>
        <w:t>is</w:t>
      </w:r>
      <w:r w:rsidRPr="00535C35">
        <w:t xml:space="preserve"> the curriculum. Structured lessons are rare before age seven.</w:t>
      </w:r>
    </w:p>
    <w:p w14:paraId="7DB1E899" w14:textId="6E1757DA" w:rsidR="00535C35" w:rsidRPr="00535C35" w:rsidRDefault="00535C35" w:rsidP="00535C35">
      <w:pPr>
        <w:rPr>
          <w:b/>
          <w:bCs/>
        </w:rPr>
      </w:pPr>
      <w:r w:rsidRPr="00535C35">
        <w:rPr>
          <w:b/>
          <w:bCs/>
        </w:rPr>
        <w:t>Minimal assessment and documentation</w:t>
      </w:r>
    </w:p>
    <w:p w14:paraId="2D3539C2" w14:textId="77777777" w:rsidR="00535C35" w:rsidRPr="00535C35" w:rsidRDefault="00535C35" w:rsidP="00535C35">
      <w:r w:rsidRPr="00535C35">
        <w:t>Teachers observe children to understand them, not to generate data.</w:t>
      </w:r>
    </w:p>
    <w:p w14:paraId="6DF58AD6" w14:textId="55184A8C" w:rsidR="00535C35" w:rsidRPr="00535C35" w:rsidRDefault="00535C35" w:rsidP="00535C35">
      <w:pPr>
        <w:rPr>
          <w:b/>
          <w:bCs/>
        </w:rPr>
      </w:pPr>
      <w:r w:rsidRPr="00535C35">
        <w:rPr>
          <w:b/>
          <w:bCs/>
        </w:rPr>
        <w:t>Strong emphasis on wellbeing</w:t>
      </w:r>
    </w:p>
    <w:p w14:paraId="7FDC18E4" w14:textId="77777777" w:rsidR="00535C35" w:rsidRPr="00535C35" w:rsidRDefault="00535C35" w:rsidP="00535C35">
      <w:r w:rsidRPr="00535C35">
        <w:t>A calm, unhurried atmosphere is considered essential for learning.</w:t>
      </w:r>
    </w:p>
    <w:p w14:paraId="39B3EB6C" w14:textId="6FC06CA8" w:rsidR="00535C35" w:rsidRPr="00535C35" w:rsidRDefault="00535C35" w:rsidP="00535C35">
      <w:pPr>
        <w:rPr>
          <w:b/>
          <w:bCs/>
        </w:rPr>
      </w:pPr>
      <w:r w:rsidRPr="00535C35">
        <w:rPr>
          <w:b/>
          <w:bCs/>
        </w:rPr>
        <w:t>Outdoor play every day</w:t>
      </w:r>
    </w:p>
    <w:p w14:paraId="3C77E9C8" w14:textId="2C0FCBF7" w:rsidR="00535C35" w:rsidRPr="00535C35" w:rsidRDefault="00535C35" w:rsidP="00535C35">
      <w:r w:rsidRPr="00535C35">
        <w:lastRenderedPageBreak/>
        <w:t xml:space="preserve">Regardless of </w:t>
      </w:r>
      <w:r>
        <w:t xml:space="preserve">the </w:t>
      </w:r>
      <w:r w:rsidRPr="00535C35">
        <w:t>weather, children spend significant time outdoors, building resilience, curiosity, and physical confidence.</w:t>
      </w:r>
    </w:p>
    <w:p w14:paraId="5F506B5B" w14:textId="0031857D" w:rsidR="00535C35" w:rsidRPr="00535C35" w:rsidRDefault="00535C35" w:rsidP="00535C35">
      <w:pPr>
        <w:rPr>
          <w:b/>
          <w:bCs/>
        </w:rPr>
      </w:pPr>
      <w:r w:rsidRPr="00535C35">
        <w:rPr>
          <w:b/>
          <w:bCs/>
        </w:rPr>
        <w:t>Comparing the Two Approaches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7"/>
        <w:gridCol w:w="4022"/>
        <w:gridCol w:w="3277"/>
      </w:tblGrid>
      <w:tr w:rsidR="00535C35" w:rsidRPr="00535C35" w14:paraId="36B1ACC1" w14:textId="77777777">
        <w:trPr>
          <w:tblHeader/>
          <w:tblCellSpacing w:w="15" w:type="dxa"/>
        </w:trPr>
        <w:tc>
          <w:tcPr>
            <w:tcW w:w="0" w:type="auto"/>
            <w:vAlign w:val="center"/>
            <w:hideMark/>
          </w:tcPr>
          <w:p w14:paraId="2B3369C3" w14:textId="77777777" w:rsidR="00535C35" w:rsidRPr="00535C35" w:rsidRDefault="00535C35" w:rsidP="00535C35">
            <w:pPr>
              <w:rPr>
                <w:b/>
                <w:bCs/>
              </w:rPr>
            </w:pPr>
            <w:r w:rsidRPr="00535C35">
              <w:rPr>
                <w:b/>
                <w:bCs/>
              </w:rPr>
              <w:t>Aspect</w:t>
            </w:r>
          </w:p>
        </w:tc>
        <w:tc>
          <w:tcPr>
            <w:tcW w:w="0" w:type="auto"/>
            <w:vAlign w:val="center"/>
            <w:hideMark/>
          </w:tcPr>
          <w:p w14:paraId="6E6D204C" w14:textId="77777777" w:rsidR="00535C35" w:rsidRPr="00535C35" w:rsidRDefault="00535C35" w:rsidP="00535C35">
            <w:pPr>
              <w:rPr>
                <w:b/>
                <w:bCs/>
              </w:rPr>
            </w:pPr>
            <w:r w:rsidRPr="00535C35">
              <w:rPr>
                <w:b/>
                <w:bCs/>
              </w:rPr>
              <w:t>Wales</w:t>
            </w:r>
          </w:p>
        </w:tc>
        <w:tc>
          <w:tcPr>
            <w:tcW w:w="0" w:type="auto"/>
            <w:vAlign w:val="center"/>
            <w:hideMark/>
          </w:tcPr>
          <w:p w14:paraId="6B7D083B" w14:textId="77777777" w:rsidR="00535C35" w:rsidRPr="00535C35" w:rsidRDefault="00535C35" w:rsidP="00535C35">
            <w:pPr>
              <w:rPr>
                <w:b/>
                <w:bCs/>
              </w:rPr>
            </w:pPr>
            <w:r w:rsidRPr="00535C35">
              <w:rPr>
                <w:b/>
                <w:bCs/>
              </w:rPr>
              <w:t>Finland</w:t>
            </w:r>
          </w:p>
        </w:tc>
      </w:tr>
      <w:tr w:rsidR="00535C35" w:rsidRPr="00535C35" w14:paraId="5664A6FD" w14:textId="77777777">
        <w:trPr>
          <w:tblCellSpacing w:w="15" w:type="dxa"/>
        </w:trPr>
        <w:tc>
          <w:tcPr>
            <w:tcW w:w="0" w:type="auto"/>
            <w:vAlign w:val="center"/>
            <w:hideMark/>
          </w:tcPr>
          <w:p w14:paraId="593D428D" w14:textId="77777777" w:rsidR="00535C35" w:rsidRPr="00535C35" w:rsidRDefault="00535C35" w:rsidP="00535C35">
            <w:r w:rsidRPr="00535C35">
              <w:rPr>
                <w:b/>
                <w:bCs/>
              </w:rPr>
              <w:t>Status of play</w:t>
            </w:r>
          </w:p>
        </w:tc>
        <w:tc>
          <w:tcPr>
            <w:tcW w:w="0" w:type="auto"/>
            <w:vAlign w:val="center"/>
            <w:hideMark/>
          </w:tcPr>
          <w:p w14:paraId="1E2EFE48" w14:textId="77777777" w:rsidR="00535C35" w:rsidRPr="00535C35" w:rsidRDefault="00535C35" w:rsidP="00535C35">
            <w:r w:rsidRPr="00535C35">
              <w:t>Valued but often competing with school-readiness pressures</w:t>
            </w:r>
          </w:p>
        </w:tc>
        <w:tc>
          <w:tcPr>
            <w:tcW w:w="0" w:type="auto"/>
            <w:vAlign w:val="center"/>
            <w:hideMark/>
          </w:tcPr>
          <w:p w14:paraId="0BDDC895" w14:textId="77777777" w:rsidR="00535C35" w:rsidRPr="00535C35" w:rsidRDefault="00535C35" w:rsidP="00535C35">
            <w:r w:rsidRPr="00535C35">
              <w:t>Central, unquestioned foundation of learning</w:t>
            </w:r>
          </w:p>
        </w:tc>
      </w:tr>
      <w:tr w:rsidR="00535C35" w:rsidRPr="00535C35" w14:paraId="79D4098C" w14:textId="77777777">
        <w:trPr>
          <w:tblCellSpacing w:w="15" w:type="dxa"/>
        </w:trPr>
        <w:tc>
          <w:tcPr>
            <w:tcW w:w="0" w:type="auto"/>
            <w:vAlign w:val="center"/>
            <w:hideMark/>
          </w:tcPr>
          <w:p w14:paraId="6E670DDA" w14:textId="77777777" w:rsidR="00535C35" w:rsidRPr="00535C35" w:rsidRDefault="00535C35" w:rsidP="00535C35">
            <w:r w:rsidRPr="00535C35">
              <w:rPr>
                <w:b/>
                <w:bCs/>
              </w:rPr>
              <w:t>Teacher training</w:t>
            </w:r>
          </w:p>
        </w:tc>
        <w:tc>
          <w:tcPr>
            <w:tcW w:w="0" w:type="auto"/>
            <w:vAlign w:val="center"/>
            <w:hideMark/>
          </w:tcPr>
          <w:p w14:paraId="028B4B27" w14:textId="77777777" w:rsidR="00535C35" w:rsidRPr="00535C35" w:rsidRDefault="00535C35" w:rsidP="00535C35">
            <w:r w:rsidRPr="00535C35">
              <w:t>Mixed qualifications across settings</w:t>
            </w:r>
          </w:p>
        </w:tc>
        <w:tc>
          <w:tcPr>
            <w:tcW w:w="0" w:type="auto"/>
            <w:vAlign w:val="center"/>
            <w:hideMark/>
          </w:tcPr>
          <w:p w14:paraId="34CEBA76" w14:textId="77777777" w:rsidR="00535C35" w:rsidRPr="00535C35" w:rsidRDefault="00535C35" w:rsidP="00535C35">
            <w:r w:rsidRPr="00535C35">
              <w:t>Degree</w:t>
            </w:r>
            <w:r w:rsidRPr="00535C35">
              <w:noBreakHyphen/>
              <w:t>level, research</w:t>
            </w:r>
            <w:r w:rsidRPr="00535C35">
              <w:noBreakHyphen/>
              <w:t>informed training</w:t>
            </w:r>
          </w:p>
        </w:tc>
      </w:tr>
      <w:tr w:rsidR="00535C35" w:rsidRPr="00535C35" w14:paraId="1D007638" w14:textId="77777777">
        <w:trPr>
          <w:tblCellSpacing w:w="15" w:type="dxa"/>
        </w:trPr>
        <w:tc>
          <w:tcPr>
            <w:tcW w:w="0" w:type="auto"/>
            <w:vAlign w:val="center"/>
            <w:hideMark/>
          </w:tcPr>
          <w:p w14:paraId="567F380B" w14:textId="77777777" w:rsidR="00535C35" w:rsidRPr="00535C35" w:rsidRDefault="00535C35" w:rsidP="00535C35">
            <w:r w:rsidRPr="00535C35">
              <w:rPr>
                <w:b/>
                <w:bCs/>
              </w:rPr>
              <w:t>Assessment</w:t>
            </w:r>
          </w:p>
        </w:tc>
        <w:tc>
          <w:tcPr>
            <w:tcW w:w="0" w:type="auto"/>
            <w:vAlign w:val="center"/>
            <w:hideMark/>
          </w:tcPr>
          <w:p w14:paraId="6995E552" w14:textId="77777777" w:rsidR="00535C35" w:rsidRPr="00535C35" w:rsidRDefault="00535C35" w:rsidP="00535C35">
            <w:r w:rsidRPr="00535C35">
              <w:t>Increasingly formative, but still documentation-heavy</w:t>
            </w:r>
          </w:p>
        </w:tc>
        <w:tc>
          <w:tcPr>
            <w:tcW w:w="0" w:type="auto"/>
            <w:vAlign w:val="center"/>
            <w:hideMark/>
          </w:tcPr>
          <w:p w14:paraId="368B6723" w14:textId="77777777" w:rsidR="00535C35" w:rsidRPr="00535C35" w:rsidRDefault="00535C35" w:rsidP="00535C35">
            <w:r w:rsidRPr="00535C35">
              <w:t>Light-touch, observation-led</w:t>
            </w:r>
          </w:p>
        </w:tc>
      </w:tr>
      <w:tr w:rsidR="00535C35" w:rsidRPr="00535C35" w14:paraId="6F9817F2" w14:textId="77777777">
        <w:trPr>
          <w:tblCellSpacing w:w="15" w:type="dxa"/>
        </w:trPr>
        <w:tc>
          <w:tcPr>
            <w:tcW w:w="0" w:type="auto"/>
            <w:vAlign w:val="center"/>
            <w:hideMark/>
          </w:tcPr>
          <w:p w14:paraId="35C40747" w14:textId="77777777" w:rsidR="00535C35" w:rsidRPr="00535C35" w:rsidRDefault="00535C35" w:rsidP="00535C35">
            <w:r w:rsidRPr="00535C35">
              <w:rPr>
                <w:b/>
                <w:bCs/>
              </w:rPr>
              <w:t>Outdoor play</w:t>
            </w:r>
          </w:p>
        </w:tc>
        <w:tc>
          <w:tcPr>
            <w:tcW w:w="0" w:type="auto"/>
            <w:vAlign w:val="center"/>
            <w:hideMark/>
          </w:tcPr>
          <w:p w14:paraId="3C580CD4" w14:textId="77777777" w:rsidR="00535C35" w:rsidRPr="00535C35" w:rsidRDefault="00535C35" w:rsidP="00535C35">
            <w:r w:rsidRPr="00535C35">
              <w:t>Encouraged but inconsistent</w:t>
            </w:r>
          </w:p>
        </w:tc>
        <w:tc>
          <w:tcPr>
            <w:tcW w:w="0" w:type="auto"/>
            <w:vAlign w:val="center"/>
            <w:hideMark/>
          </w:tcPr>
          <w:p w14:paraId="18F0F949" w14:textId="77777777" w:rsidR="00535C35" w:rsidRPr="00535C35" w:rsidRDefault="00535C35" w:rsidP="00535C35">
            <w:r w:rsidRPr="00535C35">
              <w:t>Daily, embedded, weather</w:t>
            </w:r>
            <w:r w:rsidRPr="00535C35">
              <w:noBreakHyphen/>
              <w:t>proof</w:t>
            </w:r>
          </w:p>
        </w:tc>
      </w:tr>
      <w:tr w:rsidR="00535C35" w:rsidRPr="00535C35" w14:paraId="182388B8" w14:textId="77777777">
        <w:trPr>
          <w:tblCellSpacing w:w="15" w:type="dxa"/>
        </w:trPr>
        <w:tc>
          <w:tcPr>
            <w:tcW w:w="0" w:type="auto"/>
            <w:vAlign w:val="center"/>
            <w:hideMark/>
          </w:tcPr>
          <w:p w14:paraId="38DB821F" w14:textId="77777777" w:rsidR="00535C35" w:rsidRPr="00535C35" w:rsidRDefault="00535C35" w:rsidP="00535C35">
            <w:r w:rsidRPr="00535C35">
              <w:rPr>
                <w:b/>
                <w:bCs/>
              </w:rPr>
              <w:t>Systemic pressures</w:t>
            </w:r>
          </w:p>
        </w:tc>
        <w:tc>
          <w:tcPr>
            <w:tcW w:w="0" w:type="auto"/>
            <w:vAlign w:val="center"/>
            <w:hideMark/>
          </w:tcPr>
          <w:p w14:paraId="581BA59E" w14:textId="77777777" w:rsidR="00535C35" w:rsidRPr="00535C35" w:rsidRDefault="00535C35" w:rsidP="00535C35">
            <w:r w:rsidRPr="00535C35">
              <w:t>Accountability, inspections, data</w:t>
            </w:r>
          </w:p>
        </w:tc>
        <w:tc>
          <w:tcPr>
            <w:tcW w:w="0" w:type="auto"/>
            <w:vAlign w:val="center"/>
            <w:hideMark/>
          </w:tcPr>
          <w:p w14:paraId="37AD8DBE" w14:textId="77777777" w:rsidR="00535C35" w:rsidRPr="00535C35" w:rsidRDefault="00535C35" w:rsidP="00535C35">
            <w:r w:rsidRPr="00535C35">
              <w:t>High trust, low stakes</w:t>
            </w:r>
          </w:p>
        </w:tc>
      </w:tr>
    </w:tbl>
    <w:p w14:paraId="2640B464" w14:textId="77777777" w:rsidR="00535C35" w:rsidRPr="00535C35" w:rsidRDefault="00535C35" w:rsidP="00535C35">
      <w:r w:rsidRPr="00535C35">
        <w:t>Both nations share a commitment to children’s rights and holistic development. The difference lies in how deeply the system supports practitioners to enact those values.</w:t>
      </w:r>
    </w:p>
    <w:p w14:paraId="1B5526FD" w14:textId="04FF5C50" w:rsidR="00535C35" w:rsidRPr="00535C35" w:rsidRDefault="00535C35" w:rsidP="00535C35"/>
    <w:p w14:paraId="2CC57667" w14:textId="0F486CEE" w:rsidR="00535C35" w:rsidRPr="00535C35" w:rsidRDefault="00535C35" w:rsidP="00535C35">
      <w:pPr>
        <w:rPr>
          <w:b/>
          <w:bCs/>
        </w:rPr>
      </w:pPr>
      <w:r w:rsidRPr="00535C35">
        <w:rPr>
          <w:b/>
          <w:bCs/>
        </w:rPr>
        <w:t>What Wales Can Learn from Finland</w:t>
      </w:r>
    </w:p>
    <w:p w14:paraId="2E5C13A1" w14:textId="77777777" w:rsidR="00535C35" w:rsidRPr="00535C35" w:rsidRDefault="00535C35" w:rsidP="00535C35">
      <w:pPr>
        <w:rPr>
          <w:b/>
          <w:bCs/>
        </w:rPr>
      </w:pPr>
      <w:r w:rsidRPr="00535C35">
        <w:rPr>
          <w:b/>
          <w:bCs/>
        </w:rPr>
        <w:t>1. Trust practitioners as professionals</w:t>
      </w:r>
    </w:p>
    <w:p w14:paraId="1D69C289" w14:textId="77777777" w:rsidR="00535C35" w:rsidRPr="00535C35" w:rsidRDefault="00535C35" w:rsidP="00535C35">
      <w:r w:rsidRPr="00535C35">
        <w:t>Finland’s system is built on trust, not surveillance. Reducing unnecessary paperwork would free Welsh practitioners to focus on relationships and play.</w:t>
      </w:r>
    </w:p>
    <w:p w14:paraId="7D58BA56" w14:textId="77777777" w:rsidR="00535C35" w:rsidRPr="00535C35" w:rsidRDefault="00535C35" w:rsidP="00535C35">
      <w:pPr>
        <w:rPr>
          <w:b/>
          <w:bCs/>
        </w:rPr>
      </w:pPr>
      <w:r w:rsidRPr="00535C35">
        <w:rPr>
          <w:b/>
          <w:bCs/>
        </w:rPr>
        <w:t>2. Invest in high-quality early years training</w:t>
      </w:r>
    </w:p>
    <w:p w14:paraId="4FF17AC4" w14:textId="77777777" w:rsidR="00535C35" w:rsidRPr="00535C35" w:rsidRDefault="00535C35" w:rsidP="00535C35">
      <w:r w:rsidRPr="00535C35">
        <w:t>Finland’s degree</w:t>
      </w:r>
      <w:r w:rsidRPr="00535C35">
        <w:noBreakHyphen/>
        <w:t>level training ensures a shared professional language and deep pedagogical confidence. Wales could strengthen consistency by expanding access to advanced early years qualifications.</w:t>
      </w:r>
    </w:p>
    <w:p w14:paraId="7DFF7F0D" w14:textId="77777777" w:rsidR="00535C35" w:rsidRPr="00535C35" w:rsidRDefault="00535C35" w:rsidP="00535C35">
      <w:pPr>
        <w:rPr>
          <w:b/>
          <w:bCs/>
        </w:rPr>
      </w:pPr>
      <w:r w:rsidRPr="00535C35">
        <w:rPr>
          <w:b/>
          <w:bCs/>
        </w:rPr>
        <w:t xml:space="preserve">3. Protect play from </w:t>
      </w:r>
      <w:proofErr w:type="spellStart"/>
      <w:r w:rsidRPr="00535C35">
        <w:rPr>
          <w:b/>
          <w:bCs/>
        </w:rPr>
        <w:t>schoolification</w:t>
      </w:r>
      <w:proofErr w:type="spellEnd"/>
    </w:p>
    <w:p w14:paraId="4DBA0B5C" w14:textId="77777777" w:rsidR="00535C35" w:rsidRPr="00535C35" w:rsidRDefault="00535C35" w:rsidP="00535C35">
      <w:r w:rsidRPr="00535C35">
        <w:t>Finland delays formal instruction until age seven without compromising long</w:t>
      </w:r>
      <w:r w:rsidRPr="00535C35">
        <w:noBreakHyphen/>
        <w:t>term outcomes. Wales could continue resisting pressures to push literacy and numeracy too early.</w:t>
      </w:r>
    </w:p>
    <w:p w14:paraId="7552A927" w14:textId="77777777" w:rsidR="00535C35" w:rsidRPr="00535C35" w:rsidRDefault="00535C35" w:rsidP="00535C35">
      <w:pPr>
        <w:rPr>
          <w:b/>
          <w:bCs/>
        </w:rPr>
      </w:pPr>
      <w:r w:rsidRPr="00535C35">
        <w:rPr>
          <w:b/>
          <w:bCs/>
        </w:rPr>
        <w:t>4. Embed outdoor play as a non</w:t>
      </w:r>
      <w:r w:rsidRPr="00535C35">
        <w:rPr>
          <w:b/>
          <w:bCs/>
        </w:rPr>
        <w:noBreakHyphen/>
        <w:t>negotiable</w:t>
      </w:r>
    </w:p>
    <w:p w14:paraId="7F302A1C" w14:textId="77777777" w:rsidR="00535C35" w:rsidRPr="00535C35" w:rsidRDefault="00535C35" w:rsidP="00535C35">
      <w:r w:rsidRPr="00535C35">
        <w:t>Finland’s “no bad weather” philosophy cultivates resilience and joy. Wales—blessed with wild landscapes—could adopt a similar cultural norm.</w:t>
      </w:r>
    </w:p>
    <w:p w14:paraId="75CC7891" w14:textId="77777777" w:rsidR="00535C35" w:rsidRPr="00535C35" w:rsidRDefault="00535C35" w:rsidP="00535C35">
      <w:pPr>
        <w:rPr>
          <w:b/>
          <w:bCs/>
        </w:rPr>
      </w:pPr>
      <w:r w:rsidRPr="00535C35">
        <w:rPr>
          <w:b/>
          <w:bCs/>
        </w:rPr>
        <w:t>5. Prioritise wellbeing as the foundation of learning</w:t>
      </w:r>
    </w:p>
    <w:p w14:paraId="1850D613" w14:textId="301DDEF6" w:rsidR="00535C35" w:rsidRPr="00535C35" w:rsidRDefault="00535C35" w:rsidP="00535C35">
      <w:r w:rsidRPr="00535C35">
        <w:t>Finland’s calm, unhurried ethos supports emotional security. Wales is moving in this direction, but systemic pressures can undermine it.</w:t>
      </w:r>
    </w:p>
    <w:p w14:paraId="70315697" w14:textId="3400EF35" w:rsidR="00535C35" w:rsidRPr="00535C35" w:rsidRDefault="00535C35" w:rsidP="00535C35">
      <w:pPr>
        <w:rPr>
          <w:b/>
          <w:bCs/>
        </w:rPr>
      </w:pPr>
      <w:r w:rsidRPr="00535C35">
        <w:rPr>
          <w:b/>
          <w:bCs/>
        </w:rPr>
        <w:t>A Shared Vision for the Future</w:t>
      </w:r>
    </w:p>
    <w:p w14:paraId="2FD3C7D5" w14:textId="77777777" w:rsidR="00535C35" w:rsidRPr="00535C35" w:rsidRDefault="00535C35" w:rsidP="00535C35">
      <w:r w:rsidRPr="00535C35">
        <w:lastRenderedPageBreak/>
        <w:t>Wales is already on a promising path. Its curriculum is progressive, child</w:t>
      </w:r>
      <w:r w:rsidRPr="00535C35">
        <w:noBreakHyphen/>
        <w:t>centred, and grounded in wellbeing. But Finland shows what becomes possible when a nation fully commits to play—not just in policy documents, but in training, culture, and daily practice.</w:t>
      </w:r>
    </w:p>
    <w:p w14:paraId="6AA5FC49" w14:textId="77777777" w:rsidR="00535C35" w:rsidRPr="00535C35" w:rsidRDefault="00535C35" w:rsidP="00535C35">
      <w:r w:rsidRPr="00535C35">
        <w:t>If Wales continues to invest in practitioner expertise, reduce unnecessary pressures, and protect the integrity of play, it has the potential to become a world leader in early childhood education.</w:t>
      </w:r>
    </w:p>
    <w:p w14:paraId="7CCC686A" w14:textId="77777777" w:rsidR="00535C35" w:rsidRPr="00535C35" w:rsidRDefault="00535C35" w:rsidP="00535C35">
      <w:r w:rsidRPr="00535C35">
        <w:t>And perhaps the most powerful lesson from Finland is this:</w:t>
      </w:r>
      <w:r w:rsidRPr="00535C35">
        <w:br/>
      </w:r>
      <w:r w:rsidRPr="00535C35">
        <w:rPr>
          <w:b/>
          <w:bCs/>
        </w:rPr>
        <w:t xml:space="preserve">Play is not preparation for learning. Play </w:t>
      </w:r>
      <w:r w:rsidRPr="00535C35">
        <w:rPr>
          <w:b/>
          <w:bCs/>
          <w:i/>
          <w:iCs/>
        </w:rPr>
        <w:t>is</w:t>
      </w:r>
      <w:r w:rsidRPr="00535C35">
        <w:rPr>
          <w:b/>
          <w:bCs/>
        </w:rPr>
        <w:t xml:space="preserve"> learning.</w:t>
      </w:r>
    </w:p>
    <w:p w14:paraId="1CDCF538" w14:textId="77777777" w:rsidR="00D21BC4" w:rsidRDefault="00D21BC4"/>
    <w:sectPr w:rsidR="00D21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82725"/>
    <w:multiLevelType w:val="multilevel"/>
    <w:tmpl w:val="F554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162F5"/>
    <w:multiLevelType w:val="multilevel"/>
    <w:tmpl w:val="1552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017239">
    <w:abstractNumId w:val="0"/>
  </w:num>
  <w:num w:numId="2" w16cid:durableId="1699047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C35"/>
    <w:rsid w:val="00535C35"/>
    <w:rsid w:val="005C3712"/>
    <w:rsid w:val="00D21BC4"/>
    <w:rsid w:val="00FA4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236B0"/>
  <w15:chartTrackingRefBased/>
  <w15:docId w15:val="{2A4B504E-7375-49D3-960F-1838F0F8D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5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C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C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C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C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C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C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C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C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5C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C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C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C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C35"/>
    <w:rPr>
      <w:rFonts w:eastAsiaTheme="majorEastAsia" w:cstheme="majorBidi"/>
      <w:color w:val="272727" w:themeColor="text1" w:themeTint="D8"/>
    </w:rPr>
  </w:style>
  <w:style w:type="paragraph" w:styleId="Title">
    <w:name w:val="Title"/>
    <w:basedOn w:val="Normal"/>
    <w:next w:val="Normal"/>
    <w:link w:val="TitleChar"/>
    <w:uiPriority w:val="10"/>
    <w:qFormat/>
    <w:rsid w:val="00535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C35"/>
    <w:pPr>
      <w:spacing w:before="160"/>
      <w:jc w:val="center"/>
    </w:pPr>
    <w:rPr>
      <w:i/>
      <w:iCs/>
      <w:color w:val="404040" w:themeColor="text1" w:themeTint="BF"/>
    </w:rPr>
  </w:style>
  <w:style w:type="character" w:customStyle="1" w:styleId="QuoteChar">
    <w:name w:val="Quote Char"/>
    <w:basedOn w:val="DefaultParagraphFont"/>
    <w:link w:val="Quote"/>
    <w:uiPriority w:val="29"/>
    <w:rsid w:val="00535C35"/>
    <w:rPr>
      <w:i/>
      <w:iCs/>
      <w:color w:val="404040" w:themeColor="text1" w:themeTint="BF"/>
    </w:rPr>
  </w:style>
  <w:style w:type="paragraph" w:styleId="ListParagraph">
    <w:name w:val="List Paragraph"/>
    <w:basedOn w:val="Normal"/>
    <w:uiPriority w:val="34"/>
    <w:qFormat/>
    <w:rsid w:val="00535C35"/>
    <w:pPr>
      <w:ind w:left="720"/>
      <w:contextualSpacing/>
    </w:pPr>
  </w:style>
  <w:style w:type="character" w:styleId="IntenseEmphasis">
    <w:name w:val="Intense Emphasis"/>
    <w:basedOn w:val="DefaultParagraphFont"/>
    <w:uiPriority w:val="21"/>
    <w:qFormat/>
    <w:rsid w:val="00535C35"/>
    <w:rPr>
      <w:i/>
      <w:iCs/>
      <w:color w:val="0F4761" w:themeColor="accent1" w:themeShade="BF"/>
    </w:rPr>
  </w:style>
  <w:style w:type="paragraph" w:styleId="IntenseQuote">
    <w:name w:val="Intense Quote"/>
    <w:basedOn w:val="Normal"/>
    <w:next w:val="Normal"/>
    <w:link w:val="IntenseQuoteChar"/>
    <w:uiPriority w:val="30"/>
    <w:qFormat/>
    <w:rsid w:val="00535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C35"/>
    <w:rPr>
      <w:i/>
      <w:iCs/>
      <w:color w:val="0F4761" w:themeColor="accent1" w:themeShade="BF"/>
    </w:rPr>
  </w:style>
  <w:style w:type="character" w:styleId="IntenseReference">
    <w:name w:val="Intense Reference"/>
    <w:basedOn w:val="DefaultParagraphFont"/>
    <w:uiPriority w:val="32"/>
    <w:qFormat/>
    <w:rsid w:val="00535C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712</Words>
  <Characters>4059</Characters>
  <Application>Microsoft Office Word</Application>
  <DocSecurity>0</DocSecurity>
  <Lines>33</Lines>
  <Paragraphs>9</Paragraphs>
  <ScaleCrop>false</ScaleCrop>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1</cp:revision>
  <dcterms:created xsi:type="dcterms:W3CDTF">2026-03-14T13:52:00Z</dcterms:created>
  <dcterms:modified xsi:type="dcterms:W3CDTF">2026-03-14T13:54:00Z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2a2ef5f2-3384-43ef-883b-23d1f87c63d6</vt:lpwstr>
  </property>
</Properties>
</file>