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50770" w14:textId="77777777" w:rsidR="000A3F91" w:rsidRDefault="000A3F91">
      <w:pPr>
        <w:jc w:val="center"/>
        <w:rPr>
          <w:rFonts w:ascii="Arial" w:hAnsi="Arial" w:cs="Arial"/>
          <w:b/>
          <w:bCs/>
          <w:sz w:val="28"/>
          <w:szCs w:val="28"/>
        </w:rPr>
      </w:pPr>
    </w:p>
    <w:p w14:paraId="6ACB17DF" w14:textId="77777777" w:rsidR="000A3F91" w:rsidRDefault="000A3F91">
      <w:pPr>
        <w:jc w:val="center"/>
        <w:rPr>
          <w:rFonts w:ascii="Arial" w:hAnsi="Arial" w:cs="Arial"/>
          <w:b/>
          <w:bCs/>
          <w:sz w:val="28"/>
          <w:szCs w:val="28"/>
        </w:rPr>
      </w:pPr>
    </w:p>
    <w:p w14:paraId="0C5FAB18" w14:textId="77777777" w:rsidR="000A3F91" w:rsidRDefault="000A3F91">
      <w:pPr>
        <w:jc w:val="center"/>
        <w:rPr>
          <w:rFonts w:ascii="Arial" w:hAnsi="Arial" w:cs="Arial"/>
          <w:b/>
          <w:bCs/>
          <w:sz w:val="28"/>
          <w:szCs w:val="28"/>
        </w:rPr>
      </w:pPr>
    </w:p>
    <w:p w14:paraId="4D336C8B" w14:textId="77777777" w:rsidR="000A3F91" w:rsidRDefault="000A3F91">
      <w:pPr>
        <w:jc w:val="center"/>
        <w:rPr>
          <w:rFonts w:ascii="Arial" w:hAnsi="Arial" w:cs="Arial"/>
          <w:b/>
          <w:bCs/>
          <w:sz w:val="28"/>
          <w:szCs w:val="28"/>
        </w:rPr>
      </w:pPr>
    </w:p>
    <w:p w14:paraId="48D7EC82" w14:textId="77777777" w:rsidR="000A3F91" w:rsidRDefault="000A3F91">
      <w:pPr>
        <w:jc w:val="center"/>
        <w:rPr>
          <w:rFonts w:ascii="Arial" w:hAnsi="Arial" w:cs="Arial"/>
          <w:b/>
          <w:bCs/>
          <w:sz w:val="28"/>
          <w:szCs w:val="28"/>
        </w:rPr>
      </w:pPr>
    </w:p>
    <w:p w14:paraId="1E99132A" w14:textId="77777777" w:rsidR="000A3F91" w:rsidRDefault="000A3F91">
      <w:pPr>
        <w:jc w:val="center"/>
        <w:rPr>
          <w:rFonts w:ascii="Arial" w:hAnsi="Arial" w:cs="Arial"/>
          <w:b/>
          <w:bCs/>
          <w:sz w:val="28"/>
          <w:szCs w:val="28"/>
        </w:rPr>
      </w:pPr>
    </w:p>
    <w:p w14:paraId="71810739" w14:textId="77777777" w:rsidR="000A3F91" w:rsidRDefault="000A3F91">
      <w:pPr>
        <w:jc w:val="center"/>
        <w:rPr>
          <w:rFonts w:ascii="Arial" w:hAnsi="Arial" w:cs="Arial"/>
          <w:b/>
          <w:bCs/>
          <w:sz w:val="28"/>
          <w:szCs w:val="28"/>
        </w:rPr>
      </w:pPr>
    </w:p>
    <w:p w14:paraId="7DFF1528" w14:textId="77777777" w:rsidR="000A3F91" w:rsidRDefault="000A3F91">
      <w:pPr>
        <w:jc w:val="center"/>
        <w:rPr>
          <w:rFonts w:ascii="Arial" w:hAnsi="Arial" w:cs="Arial"/>
          <w:b/>
          <w:bCs/>
          <w:sz w:val="28"/>
          <w:szCs w:val="28"/>
        </w:rPr>
      </w:pPr>
    </w:p>
    <w:p w14:paraId="3DDB9EAF" w14:textId="77777777" w:rsidR="000A3F91" w:rsidRDefault="000A3F91">
      <w:pPr>
        <w:jc w:val="center"/>
        <w:rPr>
          <w:rFonts w:ascii="Arial" w:hAnsi="Arial" w:cs="Arial"/>
          <w:b/>
          <w:bCs/>
          <w:sz w:val="28"/>
          <w:szCs w:val="28"/>
        </w:rPr>
      </w:pPr>
    </w:p>
    <w:p w14:paraId="2D6382DB" w14:textId="77777777" w:rsidR="000A3F91" w:rsidRDefault="00000000">
      <w:pPr>
        <w:jc w:val="center"/>
        <w:rPr>
          <w:rFonts w:ascii="Arial" w:hAnsi="Arial" w:cs="Arial"/>
          <w:b/>
          <w:bCs/>
          <w:sz w:val="28"/>
          <w:szCs w:val="28"/>
        </w:rPr>
      </w:pPr>
      <w:r>
        <w:rPr>
          <w:rFonts w:ascii="Arial" w:hAnsi="Arial" w:cs="Arial"/>
          <w:b/>
          <w:bCs/>
          <w:sz w:val="28"/>
          <w:szCs w:val="28"/>
        </w:rPr>
        <w:t>Individual Report: Strategic Management - Organisational Expansion Plan for Unilever’s Entry into Mexico</w:t>
      </w:r>
    </w:p>
    <w:p w14:paraId="5D9FD8E2" w14:textId="77777777" w:rsidR="000A3F91" w:rsidRDefault="00000000">
      <w:pPr>
        <w:jc w:val="center"/>
        <w:rPr>
          <w:rFonts w:ascii="Arial" w:hAnsi="Arial" w:cs="Arial"/>
          <w:b/>
          <w:bCs/>
        </w:rPr>
      </w:pPr>
      <w:r>
        <w:rPr>
          <w:rFonts w:ascii="Arial" w:hAnsi="Arial" w:cs="Arial"/>
          <w:b/>
          <w:bCs/>
        </w:rPr>
        <w:t>Student Name:</w:t>
      </w:r>
      <w:r>
        <w:rPr>
          <w:rFonts w:ascii="Arial" w:hAnsi="Arial" w:cs="Arial"/>
          <w:b/>
          <w:bCs/>
          <w:lang w:val="en-US"/>
        </w:rPr>
        <w:t>Muhammad Hamza</w:t>
      </w:r>
    </w:p>
    <w:p w14:paraId="58504153" w14:textId="70D096E0" w:rsidR="000A3F91" w:rsidRDefault="00000000">
      <w:pPr>
        <w:jc w:val="center"/>
        <w:rPr>
          <w:rFonts w:ascii="Arial" w:hAnsi="Arial" w:cs="Arial"/>
        </w:rPr>
      </w:pPr>
      <w:r>
        <w:rPr>
          <w:rFonts w:ascii="Arial" w:hAnsi="Arial" w:cs="Arial"/>
          <w:b/>
          <w:bCs/>
        </w:rPr>
        <w:t>Student ID:</w:t>
      </w:r>
      <w:r>
        <w:rPr>
          <w:rFonts w:ascii="Arial" w:hAnsi="Arial" w:cs="Arial"/>
          <w:b/>
          <w:bCs/>
          <w:lang w:val="en-US"/>
        </w:rPr>
        <w:t>2433004</w:t>
      </w:r>
      <w:r>
        <w:rPr>
          <w:rFonts w:ascii="Arial" w:hAnsi="Arial" w:cs="Arial"/>
          <w:b/>
          <w:bCs/>
        </w:rPr>
        <w:t xml:space="preserve"> </w:t>
      </w:r>
      <w:r w:rsidR="00AC62EB">
        <w:rPr>
          <w:rFonts w:ascii="Arial" w:hAnsi="Arial" w:cs="Arial"/>
          <w:b/>
          <w:bCs/>
        </w:rPr>
        <w:br/>
        <w:t>Submission Date:15/12/2025</w:t>
      </w:r>
      <w:r>
        <w:rPr>
          <w:rFonts w:ascii="Arial" w:hAnsi="Arial" w:cs="Arial"/>
        </w:rPr>
        <w:br w:type="page"/>
      </w:r>
    </w:p>
    <w:p w14:paraId="19E6E439" w14:textId="77777777" w:rsidR="000A3F91" w:rsidRDefault="00000000">
      <w:pPr>
        <w:pStyle w:val="TOCHeading"/>
        <w:jc w:val="center"/>
        <w:rPr>
          <w:rFonts w:ascii="Arial" w:hAnsi="Arial" w:cs="Arial"/>
          <w:b/>
          <w:bCs/>
          <w:sz w:val="28"/>
          <w:szCs w:val="28"/>
        </w:rPr>
      </w:pPr>
      <w:bookmarkStart w:id="0" w:name="_4nr40mtaq31q" w:colFirst="0" w:colLast="0"/>
      <w:bookmarkEnd w:id="0"/>
      <w:r>
        <w:rPr>
          <w:rFonts w:ascii="Arial" w:hAnsi="Arial" w:cs="Arial"/>
          <w:b/>
          <w:bCs/>
          <w:sz w:val="28"/>
          <w:szCs w:val="28"/>
        </w:rPr>
        <w:lastRenderedPageBreak/>
        <w:t>TABLE OF CONTENTS</w:t>
      </w:r>
    </w:p>
    <w:p w14:paraId="49CE14BB" w14:textId="77777777" w:rsidR="000A3F91" w:rsidRDefault="00000000">
      <w:pPr>
        <w:pStyle w:val="TOC1"/>
        <w:tabs>
          <w:tab w:val="right" w:leader="dot" w:pos="9019"/>
        </w:tabs>
        <w:rPr>
          <w:rFonts w:ascii="Cambria" w:eastAsia="SimSun" w:hAnsi="Cambria" w:cs="SimSun"/>
          <w:noProof/>
          <w:kern w:val="2"/>
          <w:sz w:val="22"/>
          <w:szCs w:val="22"/>
          <w:lang w:val="en-IN"/>
          <w14:ligatures w14:val="standardContextual"/>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215485274" w:history="1">
        <w:r>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_Toc215485274 \h </w:instrText>
        </w:r>
        <w:r>
          <w:rPr>
            <w:noProof/>
            <w:webHidden/>
          </w:rPr>
        </w:r>
        <w:r>
          <w:rPr>
            <w:noProof/>
            <w:webHidden/>
          </w:rPr>
          <w:fldChar w:fldCharType="separate"/>
        </w:r>
        <w:r>
          <w:rPr>
            <w:noProof/>
            <w:webHidden/>
          </w:rPr>
          <w:t>4</w:t>
        </w:r>
        <w:r>
          <w:rPr>
            <w:noProof/>
            <w:webHidden/>
          </w:rPr>
          <w:fldChar w:fldCharType="end"/>
        </w:r>
      </w:hyperlink>
    </w:p>
    <w:p w14:paraId="01FE225A" w14:textId="77777777" w:rsidR="000A3F91" w:rsidRDefault="00000000">
      <w:pPr>
        <w:pStyle w:val="TOC1"/>
        <w:tabs>
          <w:tab w:val="right" w:leader="dot" w:pos="9019"/>
        </w:tabs>
        <w:rPr>
          <w:rFonts w:ascii="Cambria" w:eastAsia="SimSun" w:hAnsi="Cambria" w:cs="SimSun"/>
          <w:noProof/>
          <w:kern w:val="2"/>
          <w:sz w:val="22"/>
          <w:szCs w:val="22"/>
          <w:lang w:val="en-IN"/>
          <w14:ligatures w14:val="standardContextual"/>
        </w:rPr>
      </w:pPr>
      <w:hyperlink w:anchor="_Toc215485275" w:history="1">
        <w:r>
          <w:rPr>
            <w:rStyle w:val="Hyperlink"/>
            <w:rFonts w:ascii="Arial" w:hAnsi="Arial" w:cs="Arial"/>
            <w:noProof/>
          </w:rPr>
          <w:t>2. Selection of Organisation &amp; Target Market</w:t>
        </w:r>
        <w:r>
          <w:rPr>
            <w:noProof/>
            <w:webHidden/>
          </w:rPr>
          <w:tab/>
        </w:r>
        <w:r>
          <w:rPr>
            <w:noProof/>
            <w:webHidden/>
          </w:rPr>
          <w:fldChar w:fldCharType="begin"/>
        </w:r>
        <w:r>
          <w:rPr>
            <w:noProof/>
            <w:webHidden/>
          </w:rPr>
          <w:instrText xml:space="preserve"> PAGEREF _Toc215485275 \h </w:instrText>
        </w:r>
        <w:r>
          <w:rPr>
            <w:noProof/>
            <w:webHidden/>
          </w:rPr>
        </w:r>
        <w:r>
          <w:rPr>
            <w:noProof/>
            <w:webHidden/>
          </w:rPr>
          <w:fldChar w:fldCharType="separate"/>
        </w:r>
        <w:r>
          <w:rPr>
            <w:noProof/>
            <w:webHidden/>
          </w:rPr>
          <w:t>4</w:t>
        </w:r>
        <w:r>
          <w:rPr>
            <w:noProof/>
            <w:webHidden/>
          </w:rPr>
          <w:fldChar w:fldCharType="end"/>
        </w:r>
      </w:hyperlink>
    </w:p>
    <w:p w14:paraId="0D789710" w14:textId="77777777" w:rsidR="000A3F91" w:rsidRDefault="00000000">
      <w:pPr>
        <w:pStyle w:val="TOC2"/>
        <w:tabs>
          <w:tab w:val="right" w:leader="dot" w:pos="9019"/>
        </w:tabs>
        <w:rPr>
          <w:rFonts w:ascii="Cambria" w:eastAsia="SimSun" w:hAnsi="Cambria" w:cs="SimSun"/>
          <w:noProof/>
          <w:kern w:val="2"/>
          <w:sz w:val="22"/>
          <w:szCs w:val="22"/>
          <w:lang w:val="en-IN"/>
          <w14:ligatures w14:val="standardContextual"/>
        </w:rPr>
      </w:pPr>
      <w:hyperlink w:anchor="_Toc215485276" w:history="1">
        <w:r>
          <w:rPr>
            <w:rStyle w:val="Hyperlink"/>
            <w:rFonts w:ascii="Arial" w:hAnsi="Arial" w:cs="Arial"/>
            <w:noProof/>
          </w:rPr>
          <w:t>2.1 Overview of Unilever</w:t>
        </w:r>
        <w:r>
          <w:rPr>
            <w:noProof/>
            <w:webHidden/>
          </w:rPr>
          <w:tab/>
        </w:r>
        <w:r>
          <w:rPr>
            <w:noProof/>
            <w:webHidden/>
          </w:rPr>
          <w:fldChar w:fldCharType="begin"/>
        </w:r>
        <w:r>
          <w:rPr>
            <w:noProof/>
            <w:webHidden/>
          </w:rPr>
          <w:instrText xml:space="preserve"> PAGEREF _Toc215485276 \h </w:instrText>
        </w:r>
        <w:r>
          <w:rPr>
            <w:noProof/>
            <w:webHidden/>
          </w:rPr>
        </w:r>
        <w:r>
          <w:rPr>
            <w:noProof/>
            <w:webHidden/>
          </w:rPr>
          <w:fldChar w:fldCharType="separate"/>
        </w:r>
        <w:r>
          <w:rPr>
            <w:noProof/>
            <w:webHidden/>
          </w:rPr>
          <w:t>5</w:t>
        </w:r>
        <w:r>
          <w:rPr>
            <w:noProof/>
            <w:webHidden/>
          </w:rPr>
          <w:fldChar w:fldCharType="end"/>
        </w:r>
      </w:hyperlink>
    </w:p>
    <w:p w14:paraId="6647F56A" w14:textId="77777777" w:rsidR="000A3F91" w:rsidRDefault="00000000">
      <w:pPr>
        <w:pStyle w:val="TOC2"/>
        <w:tabs>
          <w:tab w:val="right" w:leader="dot" w:pos="9019"/>
        </w:tabs>
        <w:rPr>
          <w:rFonts w:ascii="Cambria" w:eastAsia="SimSun" w:hAnsi="Cambria" w:cs="SimSun"/>
          <w:noProof/>
          <w:kern w:val="2"/>
          <w:sz w:val="22"/>
          <w:szCs w:val="22"/>
          <w:lang w:val="en-IN"/>
          <w14:ligatures w14:val="standardContextual"/>
        </w:rPr>
      </w:pPr>
      <w:hyperlink w:anchor="_Toc215485277" w:history="1">
        <w:r>
          <w:rPr>
            <w:rStyle w:val="Hyperlink"/>
            <w:rFonts w:ascii="Arial" w:hAnsi="Arial" w:cs="Arial"/>
            <w:noProof/>
          </w:rPr>
          <w:t>2.2 Justification for Choosing Mexico</w:t>
        </w:r>
        <w:r>
          <w:rPr>
            <w:noProof/>
            <w:webHidden/>
          </w:rPr>
          <w:tab/>
        </w:r>
        <w:r>
          <w:rPr>
            <w:noProof/>
            <w:webHidden/>
          </w:rPr>
          <w:fldChar w:fldCharType="begin"/>
        </w:r>
        <w:r>
          <w:rPr>
            <w:noProof/>
            <w:webHidden/>
          </w:rPr>
          <w:instrText xml:space="preserve"> PAGEREF _Toc215485277 \h </w:instrText>
        </w:r>
        <w:r>
          <w:rPr>
            <w:noProof/>
            <w:webHidden/>
          </w:rPr>
        </w:r>
        <w:r>
          <w:rPr>
            <w:noProof/>
            <w:webHidden/>
          </w:rPr>
          <w:fldChar w:fldCharType="separate"/>
        </w:r>
        <w:r>
          <w:rPr>
            <w:noProof/>
            <w:webHidden/>
          </w:rPr>
          <w:t>5</w:t>
        </w:r>
        <w:r>
          <w:rPr>
            <w:noProof/>
            <w:webHidden/>
          </w:rPr>
          <w:fldChar w:fldCharType="end"/>
        </w:r>
      </w:hyperlink>
    </w:p>
    <w:p w14:paraId="719EC19D" w14:textId="77777777" w:rsidR="000A3F91" w:rsidRDefault="00000000">
      <w:pPr>
        <w:pStyle w:val="TOC2"/>
        <w:tabs>
          <w:tab w:val="right" w:leader="dot" w:pos="9019"/>
        </w:tabs>
        <w:rPr>
          <w:rFonts w:ascii="Cambria" w:eastAsia="SimSun" w:hAnsi="Cambria" w:cs="SimSun"/>
          <w:noProof/>
          <w:kern w:val="2"/>
          <w:sz w:val="22"/>
          <w:szCs w:val="22"/>
          <w:lang w:val="en-IN"/>
          <w14:ligatures w14:val="standardContextual"/>
        </w:rPr>
      </w:pPr>
      <w:hyperlink w:anchor="_Toc215485278" w:history="1">
        <w:r>
          <w:rPr>
            <w:rStyle w:val="Hyperlink"/>
            <w:rFonts w:ascii="Arial" w:hAnsi="Arial" w:cs="Arial"/>
            <w:noProof/>
          </w:rPr>
          <w:t>2.3 Strategic Rationale for Expansion</w:t>
        </w:r>
        <w:r>
          <w:rPr>
            <w:noProof/>
            <w:webHidden/>
          </w:rPr>
          <w:tab/>
        </w:r>
        <w:r>
          <w:rPr>
            <w:noProof/>
            <w:webHidden/>
          </w:rPr>
          <w:fldChar w:fldCharType="begin"/>
        </w:r>
        <w:r>
          <w:rPr>
            <w:noProof/>
            <w:webHidden/>
          </w:rPr>
          <w:instrText xml:space="preserve"> PAGEREF _Toc215485278 \h </w:instrText>
        </w:r>
        <w:r>
          <w:rPr>
            <w:noProof/>
            <w:webHidden/>
          </w:rPr>
        </w:r>
        <w:r>
          <w:rPr>
            <w:noProof/>
            <w:webHidden/>
          </w:rPr>
          <w:fldChar w:fldCharType="separate"/>
        </w:r>
        <w:r>
          <w:rPr>
            <w:noProof/>
            <w:webHidden/>
          </w:rPr>
          <w:t>7</w:t>
        </w:r>
        <w:r>
          <w:rPr>
            <w:noProof/>
            <w:webHidden/>
          </w:rPr>
          <w:fldChar w:fldCharType="end"/>
        </w:r>
      </w:hyperlink>
    </w:p>
    <w:p w14:paraId="7276A9A1" w14:textId="77777777" w:rsidR="000A3F91" w:rsidRDefault="00000000">
      <w:pPr>
        <w:pStyle w:val="TOC1"/>
        <w:tabs>
          <w:tab w:val="right" w:leader="dot" w:pos="9019"/>
        </w:tabs>
        <w:rPr>
          <w:rFonts w:ascii="Cambria" w:eastAsia="SimSun" w:hAnsi="Cambria" w:cs="SimSun"/>
          <w:noProof/>
          <w:kern w:val="2"/>
          <w:sz w:val="22"/>
          <w:szCs w:val="22"/>
          <w:lang w:val="en-IN"/>
          <w14:ligatures w14:val="standardContextual"/>
        </w:rPr>
      </w:pPr>
      <w:hyperlink w:anchor="_Toc215485279" w:history="1">
        <w:r>
          <w:rPr>
            <w:rStyle w:val="Hyperlink"/>
            <w:rFonts w:ascii="Arial" w:hAnsi="Arial" w:cs="Arial"/>
            <w:noProof/>
          </w:rPr>
          <w:t>3. Comprehensive Strategic Analysis</w:t>
        </w:r>
        <w:r>
          <w:rPr>
            <w:noProof/>
            <w:webHidden/>
          </w:rPr>
          <w:tab/>
        </w:r>
        <w:r>
          <w:rPr>
            <w:noProof/>
            <w:webHidden/>
          </w:rPr>
          <w:fldChar w:fldCharType="begin"/>
        </w:r>
        <w:r>
          <w:rPr>
            <w:noProof/>
            <w:webHidden/>
          </w:rPr>
          <w:instrText xml:space="preserve"> PAGEREF _Toc215485279 \h </w:instrText>
        </w:r>
        <w:r>
          <w:rPr>
            <w:noProof/>
            <w:webHidden/>
          </w:rPr>
        </w:r>
        <w:r>
          <w:rPr>
            <w:noProof/>
            <w:webHidden/>
          </w:rPr>
          <w:fldChar w:fldCharType="separate"/>
        </w:r>
        <w:r>
          <w:rPr>
            <w:noProof/>
            <w:webHidden/>
          </w:rPr>
          <w:t>7</w:t>
        </w:r>
        <w:r>
          <w:rPr>
            <w:noProof/>
            <w:webHidden/>
          </w:rPr>
          <w:fldChar w:fldCharType="end"/>
        </w:r>
      </w:hyperlink>
    </w:p>
    <w:p w14:paraId="4D568098" w14:textId="77777777" w:rsidR="000A3F91" w:rsidRDefault="00000000">
      <w:pPr>
        <w:pStyle w:val="TOC2"/>
        <w:tabs>
          <w:tab w:val="right" w:leader="dot" w:pos="9019"/>
        </w:tabs>
        <w:rPr>
          <w:rFonts w:ascii="Cambria" w:eastAsia="SimSun" w:hAnsi="Cambria" w:cs="SimSun"/>
          <w:noProof/>
          <w:kern w:val="2"/>
          <w:sz w:val="22"/>
          <w:szCs w:val="22"/>
          <w:lang w:val="en-IN"/>
          <w14:ligatures w14:val="standardContextual"/>
        </w:rPr>
      </w:pPr>
      <w:hyperlink w:anchor="_Toc215485280" w:history="1">
        <w:r>
          <w:rPr>
            <w:rStyle w:val="Hyperlink"/>
            <w:rFonts w:ascii="Arial" w:hAnsi="Arial" w:cs="Arial"/>
            <w:noProof/>
          </w:rPr>
          <w:t>3.1 PESTLE Analysis of Mexico</w:t>
        </w:r>
        <w:r>
          <w:rPr>
            <w:noProof/>
            <w:webHidden/>
          </w:rPr>
          <w:tab/>
        </w:r>
        <w:r>
          <w:rPr>
            <w:noProof/>
            <w:webHidden/>
          </w:rPr>
          <w:fldChar w:fldCharType="begin"/>
        </w:r>
        <w:r>
          <w:rPr>
            <w:noProof/>
            <w:webHidden/>
          </w:rPr>
          <w:instrText xml:space="preserve"> PAGEREF _Toc215485280 \h </w:instrText>
        </w:r>
        <w:r>
          <w:rPr>
            <w:noProof/>
            <w:webHidden/>
          </w:rPr>
        </w:r>
        <w:r>
          <w:rPr>
            <w:noProof/>
            <w:webHidden/>
          </w:rPr>
          <w:fldChar w:fldCharType="separate"/>
        </w:r>
        <w:r>
          <w:rPr>
            <w:noProof/>
            <w:webHidden/>
          </w:rPr>
          <w:t>7</w:t>
        </w:r>
        <w:r>
          <w:rPr>
            <w:noProof/>
            <w:webHidden/>
          </w:rPr>
          <w:fldChar w:fldCharType="end"/>
        </w:r>
      </w:hyperlink>
    </w:p>
    <w:p w14:paraId="0A9031D8" w14:textId="77777777" w:rsidR="000A3F91" w:rsidRDefault="00000000">
      <w:pPr>
        <w:pStyle w:val="TOC1"/>
        <w:tabs>
          <w:tab w:val="right" w:leader="dot" w:pos="9019"/>
        </w:tabs>
        <w:rPr>
          <w:rFonts w:ascii="Cambria" w:eastAsia="SimSun" w:hAnsi="Cambria" w:cs="SimSun"/>
          <w:noProof/>
          <w:kern w:val="2"/>
          <w:sz w:val="22"/>
          <w:szCs w:val="22"/>
          <w:lang w:val="en-IN"/>
          <w14:ligatures w14:val="standardContextual"/>
        </w:rPr>
      </w:pPr>
      <w:hyperlink w:anchor="_Toc215485281" w:history="1">
        <w:r>
          <w:rPr>
            <w:rStyle w:val="Hyperlink"/>
            <w:rFonts w:ascii="Arial" w:hAnsi="Arial" w:cs="Arial"/>
            <w:noProof/>
          </w:rPr>
          <w:t>3.2 Porter’s Five Forces - Mexico FMCG Sector</w:t>
        </w:r>
        <w:r>
          <w:rPr>
            <w:noProof/>
            <w:webHidden/>
          </w:rPr>
          <w:tab/>
        </w:r>
        <w:r>
          <w:rPr>
            <w:noProof/>
            <w:webHidden/>
          </w:rPr>
          <w:fldChar w:fldCharType="begin"/>
        </w:r>
        <w:r>
          <w:rPr>
            <w:noProof/>
            <w:webHidden/>
          </w:rPr>
          <w:instrText xml:space="preserve"> PAGEREF _Toc215485281 \h </w:instrText>
        </w:r>
        <w:r>
          <w:rPr>
            <w:noProof/>
            <w:webHidden/>
          </w:rPr>
        </w:r>
        <w:r>
          <w:rPr>
            <w:noProof/>
            <w:webHidden/>
          </w:rPr>
          <w:fldChar w:fldCharType="separate"/>
        </w:r>
        <w:r>
          <w:rPr>
            <w:noProof/>
            <w:webHidden/>
          </w:rPr>
          <w:t>10</w:t>
        </w:r>
        <w:r>
          <w:rPr>
            <w:noProof/>
            <w:webHidden/>
          </w:rPr>
          <w:fldChar w:fldCharType="end"/>
        </w:r>
      </w:hyperlink>
    </w:p>
    <w:p w14:paraId="58D4F127" w14:textId="77777777" w:rsidR="000A3F91" w:rsidRDefault="00000000">
      <w:pPr>
        <w:pStyle w:val="TOC2"/>
        <w:tabs>
          <w:tab w:val="right" w:leader="dot" w:pos="9019"/>
        </w:tabs>
        <w:rPr>
          <w:rFonts w:ascii="Cambria" w:eastAsia="SimSun" w:hAnsi="Cambria" w:cs="SimSun"/>
          <w:noProof/>
          <w:kern w:val="2"/>
          <w:sz w:val="22"/>
          <w:szCs w:val="22"/>
          <w:lang w:val="en-IN"/>
          <w14:ligatures w14:val="standardContextual"/>
        </w:rPr>
      </w:pPr>
      <w:hyperlink w:anchor="_Toc215485282" w:history="1">
        <w:r>
          <w:rPr>
            <w:rStyle w:val="Hyperlink"/>
            <w:rFonts w:ascii="Arial" w:hAnsi="Arial" w:cs="Arial"/>
            <w:noProof/>
          </w:rPr>
          <w:t>3.3 VRIO Analysis of Unilever</w:t>
        </w:r>
        <w:r>
          <w:rPr>
            <w:noProof/>
            <w:webHidden/>
          </w:rPr>
          <w:tab/>
        </w:r>
        <w:r>
          <w:rPr>
            <w:noProof/>
            <w:webHidden/>
          </w:rPr>
          <w:fldChar w:fldCharType="begin"/>
        </w:r>
        <w:r>
          <w:rPr>
            <w:noProof/>
            <w:webHidden/>
          </w:rPr>
          <w:instrText xml:space="preserve"> PAGEREF _Toc215485282 \h </w:instrText>
        </w:r>
        <w:r>
          <w:rPr>
            <w:noProof/>
            <w:webHidden/>
          </w:rPr>
        </w:r>
        <w:r>
          <w:rPr>
            <w:noProof/>
            <w:webHidden/>
          </w:rPr>
          <w:fldChar w:fldCharType="separate"/>
        </w:r>
        <w:r>
          <w:rPr>
            <w:noProof/>
            <w:webHidden/>
          </w:rPr>
          <w:t>13</w:t>
        </w:r>
        <w:r>
          <w:rPr>
            <w:noProof/>
            <w:webHidden/>
          </w:rPr>
          <w:fldChar w:fldCharType="end"/>
        </w:r>
      </w:hyperlink>
    </w:p>
    <w:p w14:paraId="7C343C28" w14:textId="77777777" w:rsidR="000A3F91" w:rsidRDefault="00000000">
      <w:pPr>
        <w:pStyle w:val="TOC2"/>
        <w:tabs>
          <w:tab w:val="right" w:leader="dot" w:pos="9019"/>
        </w:tabs>
        <w:rPr>
          <w:rFonts w:ascii="Cambria" w:eastAsia="SimSun" w:hAnsi="Cambria" w:cs="SimSun"/>
          <w:noProof/>
          <w:kern w:val="2"/>
          <w:sz w:val="22"/>
          <w:szCs w:val="22"/>
          <w:lang w:val="en-IN"/>
          <w14:ligatures w14:val="standardContextual"/>
        </w:rPr>
      </w:pPr>
      <w:hyperlink w:anchor="_Toc215485283" w:history="1">
        <w:r>
          <w:rPr>
            <w:rStyle w:val="Hyperlink"/>
            <w:rFonts w:ascii="Arial" w:hAnsi="Arial" w:cs="Arial"/>
            <w:noProof/>
          </w:rPr>
          <w:t>3.4 Porter’s Diamond Model - Mexico’s National Competitiveness</w:t>
        </w:r>
        <w:r>
          <w:rPr>
            <w:noProof/>
            <w:webHidden/>
          </w:rPr>
          <w:tab/>
        </w:r>
        <w:r>
          <w:rPr>
            <w:noProof/>
            <w:webHidden/>
          </w:rPr>
          <w:fldChar w:fldCharType="begin"/>
        </w:r>
        <w:r>
          <w:rPr>
            <w:noProof/>
            <w:webHidden/>
          </w:rPr>
          <w:instrText xml:space="preserve"> PAGEREF _Toc215485283 \h </w:instrText>
        </w:r>
        <w:r>
          <w:rPr>
            <w:noProof/>
            <w:webHidden/>
          </w:rPr>
        </w:r>
        <w:r>
          <w:rPr>
            <w:noProof/>
            <w:webHidden/>
          </w:rPr>
          <w:fldChar w:fldCharType="separate"/>
        </w:r>
        <w:r>
          <w:rPr>
            <w:noProof/>
            <w:webHidden/>
          </w:rPr>
          <w:t>14</w:t>
        </w:r>
        <w:r>
          <w:rPr>
            <w:noProof/>
            <w:webHidden/>
          </w:rPr>
          <w:fldChar w:fldCharType="end"/>
        </w:r>
      </w:hyperlink>
    </w:p>
    <w:p w14:paraId="7AF4C64F" w14:textId="77777777" w:rsidR="000A3F91" w:rsidRDefault="00000000">
      <w:pPr>
        <w:pStyle w:val="TOC2"/>
        <w:tabs>
          <w:tab w:val="right" w:leader="dot" w:pos="9019"/>
        </w:tabs>
        <w:rPr>
          <w:rFonts w:ascii="Cambria" w:eastAsia="SimSun" w:hAnsi="Cambria" w:cs="SimSun"/>
          <w:noProof/>
          <w:kern w:val="2"/>
          <w:sz w:val="22"/>
          <w:szCs w:val="22"/>
          <w:lang w:val="en-IN"/>
          <w14:ligatures w14:val="standardContextual"/>
        </w:rPr>
      </w:pPr>
      <w:hyperlink w:anchor="_Toc215485284" w:history="1">
        <w:r>
          <w:rPr>
            <w:rStyle w:val="Hyperlink"/>
            <w:rFonts w:ascii="Arial" w:hAnsi="Arial" w:cs="Arial"/>
            <w:noProof/>
          </w:rPr>
          <w:t>3.5 Strategic Issues, Challenges &amp; Opportunities</w:t>
        </w:r>
        <w:r>
          <w:rPr>
            <w:noProof/>
            <w:webHidden/>
          </w:rPr>
          <w:tab/>
        </w:r>
        <w:r>
          <w:rPr>
            <w:noProof/>
            <w:webHidden/>
          </w:rPr>
          <w:fldChar w:fldCharType="begin"/>
        </w:r>
        <w:r>
          <w:rPr>
            <w:noProof/>
            <w:webHidden/>
          </w:rPr>
          <w:instrText xml:space="preserve"> PAGEREF _Toc215485284 \h </w:instrText>
        </w:r>
        <w:r>
          <w:rPr>
            <w:noProof/>
            <w:webHidden/>
          </w:rPr>
        </w:r>
        <w:r>
          <w:rPr>
            <w:noProof/>
            <w:webHidden/>
          </w:rPr>
          <w:fldChar w:fldCharType="separate"/>
        </w:r>
        <w:r>
          <w:rPr>
            <w:noProof/>
            <w:webHidden/>
          </w:rPr>
          <w:t>16</w:t>
        </w:r>
        <w:r>
          <w:rPr>
            <w:noProof/>
            <w:webHidden/>
          </w:rPr>
          <w:fldChar w:fldCharType="end"/>
        </w:r>
      </w:hyperlink>
    </w:p>
    <w:p w14:paraId="1B68C79A" w14:textId="77777777" w:rsidR="000A3F91" w:rsidRDefault="00000000">
      <w:pPr>
        <w:pStyle w:val="TOC2"/>
        <w:tabs>
          <w:tab w:val="right" w:leader="dot" w:pos="9019"/>
        </w:tabs>
        <w:rPr>
          <w:rFonts w:ascii="Cambria" w:eastAsia="SimSun" w:hAnsi="Cambria" w:cs="SimSun"/>
          <w:noProof/>
          <w:kern w:val="2"/>
          <w:sz w:val="22"/>
          <w:szCs w:val="22"/>
          <w:lang w:val="en-IN"/>
          <w14:ligatures w14:val="standardContextual"/>
        </w:rPr>
      </w:pPr>
      <w:hyperlink w:anchor="_Toc215485285" w:history="1">
        <w:r>
          <w:rPr>
            <w:rStyle w:val="Hyperlink"/>
            <w:rFonts w:ascii="Arial" w:hAnsi="Arial" w:cs="Arial"/>
            <w:noProof/>
          </w:rPr>
          <w:t>3.6 Limitations of Applied Analytical Tools</w:t>
        </w:r>
        <w:r>
          <w:rPr>
            <w:noProof/>
            <w:webHidden/>
          </w:rPr>
          <w:tab/>
        </w:r>
        <w:r>
          <w:rPr>
            <w:noProof/>
            <w:webHidden/>
          </w:rPr>
          <w:fldChar w:fldCharType="begin"/>
        </w:r>
        <w:r>
          <w:rPr>
            <w:noProof/>
            <w:webHidden/>
          </w:rPr>
          <w:instrText xml:space="preserve"> PAGEREF _Toc215485285 \h </w:instrText>
        </w:r>
        <w:r>
          <w:rPr>
            <w:noProof/>
            <w:webHidden/>
          </w:rPr>
        </w:r>
        <w:r>
          <w:rPr>
            <w:noProof/>
            <w:webHidden/>
          </w:rPr>
          <w:fldChar w:fldCharType="separate"/>
        </w:r>
        <w:r>
          <w:rPr>
            <w:noProof/>
            <w:webHidden/>
          </w:rPr>
          <w:t>16</w:t>
        </w:r>
        <w:r>
          <w:rPr>
            <w:noProof/>
            <w:webHidden/>
          </w:rPr>
          <w:fldChar w:fldCharType="end"/>
        </w:r>
      </w:hyperlink>
    </w:p>
    <w:p w14:paraId="1DBE1F03" w14:textId="77777777" w:rsidR="000A3F91" w:rsidRDefault="00000000">
      <w:pPr>
        <w:pStyle w:val="TOC1"/>
        <w:tabs>
          <w:tab w:val="right" w:leader="dot" w:pos="9019"/>
        </w:tabs>
        <w:rPr>
          <w:rFonts w:ascii="Cambria" w:eastAsia="SimSun" w:hAnsi="Cambria" w:cs="SimSun"/>
          <w:noProof/>
          <w:kern w:val="2"/>
          <w:sz w:val="22"/>
          <w:szCs w:val="22"/>
          <w:lang w:val="en-IN"/>
          <w14:ligatures w14:val="standardContextual"/>
        </w:rPr>
      </w:pPr>
      <w:hyperlink w:anchor="_Toc215485286" w:history="1">
        <w:r>
          <w:rPr>
            <w:rStyle w:val="Hyperlink"/>
            <w:rFonts w:ascii="Arial" w:hAnsi="Arial" w:cs="Arial"/>
            <w:noProof/>
          </w:rPr>
          <w:t>4. Strategy Development &amp; Formulation</w:t>
        </w:r>
        <w:r>
          <w:rPr>
            <w:noProof/>
            <w:webHidden/>
          </w:rPr>
          <w:tab/>
        </w:r>
        <w:r>
          <w:rPr>
            <w:noProof/>
            <w:webHidden/>
          </w:rPr>
          <w:fldChar w:fldCharType="begin"/>
        </w:r>
        <w:r>
          <w:rPr>
            <w:noProof/>
            <w:webHidden/>
          </w:rPr>
          <w:instrText xml:space="preserve"> PAGEREF _Toc215485286 \h </w:instrText>
        </w:r>
        <w:r>
          <w:rPr>
            <w:noProof/>
            <w:webHidden/>
          </w:rPr>
        </w:r>
        <w:r>
          <w:rPr>
            <w:noProof/>
            <w:webHidden/>
          </w:rPr>
          <w:fldChar w:fldCharType="separate"/>
        </w:r>
        <w:r>
          <w:rPr>
            <w:noProof/>
            <w:webHidden/>
          </w:rPr>
          <w:t>16</w:t>
        </w:r>
        <w:r>
          <w:rPr>
            <w:noProof/>
            <w:webHidden/>
          </w:rPr>
          <w:fldChar w:fldCharType="end"/>
        </w:r>
      </w:hyperlink>
    </w:p>
    <w:p w14:paraId="21B8752F" w14:textId="77777777" w:rsidR="000A3F91" w:rsidRDefault="00000000">
      <w:pPr>
        <w:pStyle w:val="TOC2"/>
        <w:tabs>
          <w:tab w:val="right" w:leader="dot" w:pos="9019"/>
        </w:tabs>
        <w:rPr>
          <w:rFonts w:ascii="Cambria" w:eastAsia="SimSun" w:hAnsi="Cambria" w:cs="SimSun"/>
          <w:noProof/>
          <w:kern w:val="2"/>
          <w:sz w:val="22"/>
          <w:szCs w:val="22"/>
          <w:lang w:val="en-IN"/>
          <w14:ligatures w14:val="standardContextual"/>
        </w:rPr>
      </w:pPr>
      <w:hyperlink w:anchor="_Toc215485287" w:history="1">
        <w:r>
          <w:rPr>
            <w:rStyle w:val="Hyperlink"/>
            <w:rFonts w:ascii="Arial" w:hAnsi="Arial" w:cs="Arial"/>
            <w:noProof/>
          </w:rPr>
          <w:t>4.1 Entry Mode Strategy for Mexico</w:t>
        </w:r>
        <w:r>
          <w:rPr>
            <w:noProof/>
            <w:webHidden/>
          </w:rPr>
          <w:tab/>
        </w:r>
        <w:r>
          <w:rPr>
            <w:noProof/>
            <w:webHidden/>
          </w:rPr>
          <w:fldChar w:fldCharType="begin"/>
        </w:r>
        <w:r>
          <w:rPr>
            <w:noProof/>
            <w:webHidden/>
          </w:rPr>
          <w:instrText xml:space="preserve"> PAGEREF _Toc215485287 \h </w:instrText>
        </w:r>
        <w:r>
          <w:rPr>
            <w:noProof/>
            <w:webHidden/>
          </w:rPr>
        </w:r>
        <w:r>
          <w:rPr>
            <w:noProof/>
            <w:webHidden/>
          </w:rPr>
          <w:fldChar w:fldCharType="separate"/>
        </w:r>
        <w:r>
          <w:rPr>
            <w:noProof/>
            <w:webHidden/>
          </w:rPr>
          <w:t>16</w:t>
        </w:r>
        <w:r>
          <w:rPr>
            <w:noProof/>
            <w:webHidden/>
          </w:rPr>
          <w:fldChar w:fldCharType="end"/>
        </w:r>
      </w:hyperlink>
    </w:p>
    <w:p w14:paraId="3C743D4D" w14:textId="77777777" w:rsidR="000A3F91" w:rsidRDefault="00000000">
      <w:pPr>
        <w:pStyle w:val="TOC2"/>
        <w:tabs>
          <w:tab w:val="right" w:leader="dot" w:pos="9019"/>
        </w:tabs>
        <w:rPr>
          <w:rFonts w:ascii="Cambria" w:eastAsia="SimSun" w:hAnsi="Cambria" w:cs="SimSun"/>
          <w:noProof/>
          <w:kern w:val="2"/>
          <w:sz w:val="22"/>
          <w:szCs w:val="22"/>
          <w:lang w:val="en-IN"/>
          <w14:ligatures w14:val="standardContextual"/>
        </w:rPr>
      </w:pPr>
      <w:hyperlink w:anchor="_Toc215485288" w:history="1">
        <w:r>
          <w:rPr>
            <w:rStyle w:val="Hyperlink"/>
            <w:rFonts w:ascii="Arial" w:hAnsi="Arial" w:cs="Arial"/>
            <w:noProof/>
          </w:rPr>
          <w:t>4.2 Generic Strategy for Competitive Advantage</w:t>
        </w:r>
        <w:r>
          <w:rPr>
            <w:noProof/>
            <w:webHidden/>
          </w:rPr>
          <w:tab/>
        </w:r>
        <w:r>
          <w:rPr>
            <w:noProof/>
            <w:webHidden/>
          </w:rPr>
          <w:fldChar w:fldCharType="begin"/>
        </w:r>
        <w:r>
          <w:rPr>
            <w:noProof/>
            <w:webHidden/>
          </w:rPr>
          <w:instrText xml:space="preserve"> PAGEREF _Toc215485288 \h </w:instrText>
        </w:r>
        <w:r>
          <w:rPr>
            <w:noProof/>
            <w:webHidden/>
          </w:rPr>
        </w:r>
        <w:r>
          <w:rPr>
            <w:noProof/>
            <w:webHidden/>
          </w:rPr>
          <w:fldChar w:fldCharType="separate"/>
        </w:r>
        <w:r>
          <w:rPr>
            <w:noProof/>
            <w:webHidden/>
          </w:rPr>
          <w:t>17</w:t>
        </w:r>
        <w:r>
          <w:rPr>
            <w:noProof/>
            <w:webHidden/>
          </w:rPr>
          <w:fldChar w:fldCharType="end"/>
        </w:r>
      </w:hyperlink>
    </w:p>
    <w:p w14:paraId="526099C6" w14:textId="77777777" w:rsidR="000A3F91" w:rsidRDefault="00000000">
      <w:pPr>
        <w:pStyle w:val="TOC2"/>
        <w:tabs>
          <w:tab w:val="right" w:leader="dot" w:pos="9019"/>
        </w:tabs>
        <w:rPr>
          <w:rFonts w:ascii="Cambria" w:eastAsia="SimSun" w:hAnsi="Cambria" w:cs="SimSun"/>
          <w:noProof/>
          <w:kern w:val="2"/>
          <w:sz w:val="22"/>
          <w:szCs w:val="22"/>
          <w:lang w:val="en-IN"/>
          <w14:ligatures w14:val="standardContextual"/>
        </w:rPr>
      </w:pPr>
      <w:hyperlink w:anchor="_Toc215485289" w:history="1">
        <w:r>
          <w:rPr>
            <w:rStyle w:val="Hyperlink"/>
            <w:rFonts w:ascii="Arial" w:hAnsi="Arial" w:cs="Arial"/>
            <w:noProof/>
          </w:rPr>
          <w:t>4.3 Ansoff Matrix Application</w:t>
        </w:r>
        <w:r>
          <w:rPr>
            <w:noProof/>
            <w:webHidden/>
          </w:rPr>
          <w:tab/>
        </w:r>
        <w:r>
          <w:rPr>
            <w:noProof/>
            <w:webHidden/>
          </w:rPr>
          <w:fldChar w:fldCharType="begin"/>
        </w:r>
        <w:r>
          <w:rPr>
            <w:noProof/>
            <w:webHidden/>
          </w:rPr>
          <w:instrText xml:space="preserve"> PAGEREF _Toc215485289 \h </w:instrText>
        </w:r>
        <w:r>
          <w:rPr>
            <w:noProof/>
            <w:webHidden/>
          </w:rPr>
        </w:r>
        <w:r>
          <w:rPr>
            <w:noProof/>
            <w:webHidden/>
          </w:rPr>
          <w:fldChar w:fldCharType="separate"/>
        </w:r>
        <w:r>
          <w:rPr>
            <w:noProof/>
            <w:webHidden/>
          </w:rPr>
          <w:t>18</w:t>
        </w:r>
        <w:r>
          <w:rPr>
            <w:noProof/>
            <w:webHidden/>
          </w:rPr>
          <w:fldChar w:fldCharType="end"/>
        </w:r>
      </w:hyperlink>
    </w:p>
    <w:p w14:paraId="5EF822DC" w14:textId="77777777" w:rsidR="000A3F91" w:rsidRDefault="00000000">
      <w:pPr>
        <w:pStyle w:val="TOC2"/>
        <w:tabs>
          <w:tab w:val="right" w:leader="dot" w:pos="9019"/>
        </w:tabs>
        <w:rPr>
          <w:rFonts w:ascii="Cambria" w:eastAsia="SimSun" w:hAnsi="Cambria" w:cs="SimSun"/>
          <w:noProof/>
          <w:kern w:val="2"/>
          <w:sz w:val="22"/>
          <w:szCs w:val="22"/>
          <w:lang w:val="en-IN"/>
          <w14:ligatures w14:val="standardContextual"/>
        </w:rPr>
      </w:pPr>
      <w:hyperlink w:anchor="_Toc215485290" w:history="1">
        <w:r>
          <w:rPr>
            <w:rStyle w:val="Hyperlink"/>
            <w:rFonts w:ascii="Arial" w:hAnsi="Arial" w:cs="Arial"/>
            <w:noProof/>
          </w:rPr>
          <w:t>4.4 CSR &amp; Sustainability Strategy for the Mexican Market</w:t>
        </w:r>
        <w:r>
          <w:rPr>
            <w:noProof/>
            <w:webHidden/>
          </w:rPr>
          <w:tab/>
        </w:r>
        <w:r>
          <w:rPr>
            <w:noProof/>
            <w:webHidden/>
          </w:rPr>
          <w:fldChar w:fldCharType="begin"/>
        </w:r>
        <w:r>
          <w:rPr>
            <w:noProof/>
            <w:webHidden/>
          </w:rPr>
          <w:instrText xml:space="preserve"> PAGEREF _Toc215485290 \h </w:instrText>
        </w:r>
        <w:r>
          <w:rPr>
            <w:noProof/>
            <w:webHidden/>
          </w:rPr>
        </w:r>
        <w:r>
          <w:rPr>
            <w:noProof/>
            <w:webHidden/>
          </w:rPr>
          <w:fldChar w:fldCharType="separate"/>
        </w:r>
        <w:r>
          <w:rPr>
            <w:noProof/>
            <w:webHidden/>
          </w:rPr>
          <w:t>19</w:t>
        </w:r>
        <w:r>
          <w:rPr>
            <w:noProof/>
            <w:webHidden/>
          </w:rPr>
          <w:fldChar w:fldCharType="end"/>
        </w:r>
      </w:hyperlink>
    </w:p>
    <w:p w14:paraId="705E3B45" w14:textId="77777777" w:rsidR="000A3F91" w:rsidRDefault="00000000">
      <w:pPr>
        <w:pStyle w:val="TOC2"/>
        <w:tabs>
          <w:tab w:val="right" w:leader="dot" w:pos="9019"/>
        </w:tabs>
        <w:rPr>
          <w:rFonts w:ascii="Cambria" w:eastAsia="SimSun" w:hAnsi="Cambria" w:cs="SimSun"/>
          <w:noProof/>
          <w:kern w:val="2"/>
          <w:sz w:val="22"/>
          <w:szCs w:val="22"/>
          <w:lang w:val="en-IN"/>
          <w14:ligatures w14:val="standardContextual"/>
        </w:rPr>
      </w:pPr>
      <w:hyperlink w:anchor="_Toc215485291" w:history="1">
        <w:r>
          <w:rPr>
            <w:rStyle w:val="Hyperlink"/>
            <w:rFonts w:ascii="Arial" w:hAnsi="Arial" w:cs="Arial"/>
            <w:noProof/>
          </w:rPr>
          <w:t>4.5 Risk Assessment &amp; Mitigation</w:t>
        </w:r>
        <w:r>
          <w:rPr>
            <w:noProof/>
            <w:webHidden/>
          </w:rPr>
          <w:tab/>
        </w:r>
        <w:r>
          <w:rPr>
            <w:noProof/>
            <w:webHidden/>
          </w:rPr>
          <w:fldChar w:fldCharType="begin"/>
        </w:r>
        <w:r>
          <w:rPr>
            <w:noProof/>
            <w:webHidden/>
          </w:rPr>
          <w:instrText xml:space="preserve"> PAGEREF _Toc215485291 \h </w:instrText>
        </w:r>
        <w:r>
          <w:rPr>
            <w:noProof/>
            <w:webHidden/>
          </w:rPr>
        </w:r>
        <w:r>
          <w:rPr>
            <w:noProof/>
            <w:webHidden/>
          </w:rPr>
          <w:fldChar w:fldCharType="separate"/>
        </w:r>
        <w:r>
          <w:rPr>
            <w:noProof/>
            <w:webHidden/>
          </w:rPr>
          <w:t>20</w:t>
        </w:r>
        <w:r>
          <w:rPr>
            <w:noProof/>
            <w:webHidden/>
          </w:rPr>
          <w:fldChar w:fldCharType="end"/>
        </w:r>
      </w:hyperlink>
    </w:p>
    <w:p w14:paraId="6A14AEBD" w14:textId="77777777" w:rsidR="000A3F91" w:rsidRDefault="00000000">
      <w:pPr>
        <w:pStyle w:val="TOC2"/>
        <w:tabs>
          <w:tab w:val="right" w:leader="dot" w:pos="9019"/>
        </w:tabs>
        <w:rPr>
          <w:rFonts w:ascii="Cambria" w:eastAsia="SimSun" w:hAnsi="Cambria" w:cs="SimSun"/>
          <w:noProof/>
          <w:kern w:val="2"/>
          <w:sz w:val="22"/>
          <w:szCs w:val="22"/>
          <w:lang w:val="en-IN"/>
          <w14:ligatures w14:val="standardContextual"/>
        </w:rPr>
      </w:pPr>
      <w:hyperlink w:anchor="_Toc215485292" w:history="1">
        <w:r>
          <w:rPr>
            <w:rStyle w:val="Hyperlink"/>
            <w:rFonts w:ascii="Arial" w:hAnsi="Arial" w:cs="Arial"/>
            <w:noProof/>
          </w:rPr>
          <w:t>4.6 Strategic Recommendations</w:t>
        </w:r>
        <w:r>
          <w:rPr>
            <w:noProof/>
            <w:webHidden/>
          </w:rPr>
          <w:tab/>
        </w:r>
        <w:r>
          <w:rPr>
            <w:noProof/>
            <w:webHidden/>
          </w:rPr>
          <w:fldChar w:fldCharType="begin"/>
        </w:r>
        <w:r>
          <w:rPr>
            <w:noProof/>
            <w:webHidden/>
          </w:rPr>
          <w:instrText xml:space="preserve"> PAGEREF _Toc215485292 \h </w:instrText>
        </w:r>
        <w:r>
          <w:rPr>
            <w:noProof/>
            <w:webHidden/>
          </w:rPr>
        </w:r>
        <w:r>
          <w:rPr>
            <w:noProof/>
            <w:webHidden/>
          </w:rPr>
          <w:fldChar w:fldCharType="separate"/>
        </w:r>
        <w:r>
          <w:rPr>
            <w:noProof/>
            <w:webHidden/>
          </w:rPr>
          <w:t>20</w:t>
        </w:r>
        <w:r>
          <w:rPr>
            <w:noProof/>
            <w:webHidden/>
          </w:rPr>
          <w:fldChar w:fldCharType="end"/>
        </w:r>
      </w:hyperlink>
    </w:p>
    <w:p w14:paraId="36807F6C" w14:textId="77777777" w:rsidR="000A3F91" w:rsidRDefault="00000000">
      <w:pPr>
        <w:pStyle w:val="TOC1"/>
        <w:tabs>
          <w:tab w:val="right" w:leader="dot" w:pos="9019"/>
        </w:tabs>
        <w:rPr>
          <w:rFonts w:ascii="Cambria" w:eastAsia="SimSun" w:hAnsi="Cambria" w:cs="SimSun"/>
          <w:noProof/>
          <w:kern w:val="2"/>
          <w:sz w:val="22"/>
          <w:szCs w:val="22"/>
          <w:lang w:val="en-IN"/>
          <w14:ligatures w14:val="standardContextual"/>
        </w:rPr>
      </w:pPr>
      <w:hyperlink w:anchor="_Toc215485293" w:history="1">
        <w:r>
          <w:rPr>
            <w:rStyle w:val="Hyperlink"/>
            <w:rFonts w:ascii="Arial" w:hAnsi="Arial" w:cs="Arial"/>
            <w:noProof/>
          </w:rPr>
          <w:t>5. Performance Evaluation Framework</w:t>
        </w:r>
        <w:r>
          <w:rPr>
            <w:noProof/>
            <w:webHidden/>
          </w:rPr>
          <w:tab/>
        </w:r>
        <w:r>
          <w:rPr>
            <w:noProof/>
            <w:webHidden/>
          </w:rPr>
          <w:fldChar w:fldCharType="begin"/>
        </w:r>
        <w:r>
          <w:rPr>
            <w:noProof/>
            <w:webHidden/>
          </w:rPr>
          <w:instrText xml:space="preserve"> PAGEREF _Toc215485293 \h </w:instrText>
        </w:r>
        <w:r>
          <w:rPr>
            <w:noProof/>
            <w:webHidden/>
          </w:rPr>
        </w:r>
        <w:r>
          <w:rPr>
            <w:noProof/>
            <w:webHidden/>
          </w:rPr>
          <w:fldChar w:fldCharType="separate"/>
        </w:r>
        <w:r>
          <w:rPr>
            <w:noProof/>
            <w:webHidden/>
          </w:rPr>
          <w:t>21</w:t>
        </w:r>
        <w:r>
          <w:rPr>
            <w:noProof/>
            <w:webHidden/>
          </w:rPr>
          <w:fldChar w:fldCharType="end"/>
        </w:r>
      </w:hyperlink>
    </w:p>
    <w:p w14:paraId="7AA52840" w14:textId="77777777" w:rsidR="000A3F91" w:rsidRDefault="00000000">
      <w:pPr>
        <w:pStyle w:val="TOC2"/>
        <w:tabs>
          <w:tab w:val="right" w:leader="dot" w:pos="9019"/>
        </w:tabs>
        <w:rPr>
          <w:rFonts w:ascii="Cambria" w:eastAsia="SimSun" w:hAnsi="Cambria" w:cs="SimSun"/>
          <w:noProof/>
          <w:kern w:val="2"/>
          <w:sz w:val="22"/>
          <w:szCs w:val="22"/>
          <w:lang w:val="en-IN"/>
          <w14:ligatures w14:val="standardContextual"/>
        </w:rPr>
      </w:pPr>
      <w:hyperlink w:anchor="_Toc215485294" w:history="1">
        <w:r>
          <w:rPr>
            <w:rStyle w:val="Hyperlink"/>
            <w:rFonts w:ascii="Arial" w:hAnsi="Arial" w:cs="Arial"/>
            <w:noProof/>
          </w:rPr>
          <w:t>5.1 Triple Bottom Line (TBL) Justification</w:t>
        </w:r>
        <w:r>
          <w:rPr>
            <w:noProof/>
            <w:webHidden/>
          </w:rPr>
          <w:tab/>
        </w:r>
        <w:r>
          <w:rPr>
            <w:noProof/>
            <w:webHidden/>
          </w:rPr>
          <w:fldChar w:fldCharType="begin"/>
        </w:r>
        <w:r>
          <w:rPr>
            <w:noProof/>
            <w:webHidden/>
          </w:rPr>
          <w:instrText xml:space="preserve"> PAGEREF _Toc215485294 \h </w:instrText>
        </w:r>
        <w:r>
          <w:rPr>
            <w:noProof/>
            <w:webHidden/>
          </w:rPr>
        </w:r>
        <w:r>
          <w:rPr>
            <w:noProof/>
            <w:webHidden/>
          </w:rPr>
          <w:fldChar w:fldCharType="separate"/>
        </w:r>
        <w:r>
          <w:rPr>
            <w:noProof/>
            <w:webHidden/>
          </w:rPr>
          <w:t>21</w:t>
        </w:r>
        <w:r>
          <w:rPr>
            <w:noProof/>
            <w:webHidden/>
          </w:rPr>
          <w:fldChar w:fldCharType="end"/>
        </w:r>
      </w:hyperlink>
    </w:p>
    <w:p w14:paraId="2D060D2C" w14:textId="77777777" w:rsidR="000A3F91" w:rsidRDefault="00000000">
      <w:pPr>
        <w:pStyle w:val="TOC2"/>
        <w:tabs>
          <w:tab w:val="right" w:leader="dot" w:pos="9019"/>
        </w:tabs>
        <w:rPr>
          <w:rFonts w:ascii="Cambria" w:eastAsia="SimSun" w:hAnsi="Cambria" w:cs="SimSun"/>
          <w:noProof/>
          <w:kern w:val="2"/>
          <w:sz w:val="22"/>
          <w:szCs w:val="22"/>
          <w:lang w:val="en-IN"/>
          <w14:ligatures w14:val="standardContextual"/>
        </w:rPr>
      </w:pPr>
      <w:hyperlink w:anchor="_Toc215485295" w:history="1">
        <w:r>
          <w:rPr>
            <w:rStyle w:val="Hyperlink"/>
            <w:rFonts w:ascii="Arial" w:hAnsi="Arial" w:cs="Arial"/>
            <w:noProof/>
          </w:rPr>
          <w:t>5.2 KPIs &amp; Targets Across TBL Dimensions</w:t>
        </w:r>
        <w:r>
          <w:rPr>
            <w:noProof/>
            <w:webHidden/>
          </w:rPr>
          <w:tab/>
        </w:r>
        <w:r>
          <w:rPr>
            <w:noProof/>
            <w:webHidden/>
          </w:rPr>
          <w:fldChar w:fldCharType="begin"/>
        </w:r>
        <w:r>
          <w:rPr>
            <w:noProof/>
            <w:webHidden/>
          </w:rPr>
          <w:instrText xml:space="preserve"> PAGEREF _Toc215485295 \h </w:instrText>
        </w:r>
        <w:r>
          <w:rPr>
            <w:noProof/>
            <w:webHidden/>
          </w:rPr>
        </w:r>
        <w:r>
          <w:rPr>
            <w:noProof/>
            <w:webHidden/>
          </w:rPr>
          <w:fldChar w:fldCharType="separate"/>
        </w:r>
        <w:r>
          <w:rPr>
            <w:noProof/>
            <w:webHidden/>
          </w:rPr>
          <w:t>21</w:t>
        </w:r>
        <w:r>
          <w:rPr>
            <w:noProof/>
            <w:webHidden/>
          </w:rPr>
          <w:fldChar w:fldCharType="end"/>
        </w:r>
      </w:hyperlink>
    </w:p>
    <w:p w14:paraId="5C341671" w14:textId="77777777" w:rsidR="000A3F91" w:rsidRDefault="00000000">
      <w:pPr>
        <w:pStyle w:val="TOC2"/>
        <w:tabs>
          <w:tab w:val="right" w:leader="dot" w:pos="9019"/>
        </w:tabs>
        <w:rPr>
          <w:rFonts w:ascii="Cambria" w:eastAsia="SimSun" w:hAnsi="Cambria" w:cs="SimSun"/>
          <w:noProof/>
          <w:kern w:val="2"/>
          <w:sz w:val="22"/>
          <w:szCs w:val="22"/>
          <w:lang w:val="en-IN"/>
          <w14:ligatures w14:val="standardContextual"/>
        </w:rPr>
      </w:pPr>
      <w:hyperlink w:anchor="_Toc215485296" w:history="1">
        <w:r>
          <w:rPr>
            <w:rStyle w:val="Hyperlink"/>
            <w:rFonts w:ascii="Arial" w:hAnsi="Arial" w:cs="Arial"/>
            <w:noProof/>
          </w:rPr>
          <w:t>5.3 Measurement &amp; Monitoring Plan</w:t>
        </w:r>
        <w:r>
          <w:rPr>
            <w:noProof/>
            <w:webHidden/>
          </w:rPr>
          <w:tab/>
        </w:r>
        <w:r>
          <w:rPr>
            <w:noProof/>
            <w:webHidden/>
          </w:rPr>
          <w:fldChar w:fldCharType="begin"/>
        </w:r>
        <w:r>
          <w:rPr>
            <w:noProof/>
            <w:webHidden/>
          </w:rPr>
          <w:instrText xml:space="preserve"> PAGEREF _Toc215485296 \h </w:instrText>
        </w:r>
        <w:r>
          <w:rPr>
            <w:noProof/>
            <w:webHidden/>
          </w:rPr>
        </w:r>
        <w:r>
          <w:rPr>
            <w:noProof/>
            <w:webHidden/>
          </w:rPr>
          <w:fldChar w:fldCharType="separate"/>
        </w:r>
        <w:r>
          <w:rPr>
            <w:noProof/>
            <w:webHidden/>
          </w:rPr>
          <w:t>23</w:t>
        </w:r>
        <w:r>
          <w:rPr>
            <w:noProof/>
            <w:webHidden/>
          </w:rPr>
          <w:fldChar w:fldCharType="end"/>
        </w:r>
      </w:hyperlink>
    </w:p>
    <w:p w14:paraId="554DD580" w14:textId="77777777" w:rsidR="000A3F91" w:rsidRDefault="00000000">
      <w:pPr>
        <w:pStyle w:val="TOC1"/>
        <w:tabs>
          <w:tab w:val="right" w:leader="dot" w:pos="9019"/>
        </w:tabs>
        <w:rPr>
          <w:rFonts w:ascii="Cambria" w:eastAsia="SimSun" w:hAnsi="Cambria" w:cs="SimSun"/>
          <w:noProof/>
          <w:kern w:val="2"/>
          <w:sz w:val="22"/>
          <w:szCs w:val="22"/>
          <w:lang w:val="en-IN"/>
          <w14:ligatures w14:val="standardContextual"/>
        </w:rPr>
      </w:pPr>
      <w:hyperlink w:anchor="_Toc215485297" w:history="1">
        <w:r>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_Toc215485297 \h </w:instrText>
        </w:r>
        <w:r>
          <w:rPr>
            <w:noProof/>
            <w:webHidden/>
          </w:rPr>
        </w:r>
        <w:r>
          <w:rPr>
            <w:noProof/>
            <w:webHidden/>
          </w:rPr>
          <w:fldChar w:fldCharType="separate"/>
        </w:r>
        <w:r>
          <w:rPr>
            <w:noProof/>
            <w:webHidden/>
          </w:rPr>
          <w:t>24</w:t>
        </w:r>
        <w:r>
          <w:rPr>
            <w:noProof/>
            <w:webHidden/>
          </w:rPr>
          <w:fldChar w:fldCharType="end"/>
        </w:r>
      </w:hyperlink>
    </w:p>
    <w:p w14:paraId="26047149" w14:textId="77777777" w:rsidR="000A3F91" w:rsidRDefault="00000000">
      <w:pPr>
        <w:pStyle w:val="TOC1"/>
        <w:tabs>
          <w:tab w:val="right" w:leader="dot" w:pos="9019"/>
        </w:tabs>
        <w:rPr>
          <w:rFonts w:ascii="Cambria" w:eastAsia="SimSun" w:hAnsi="Cambria" w:cs="SimSun"/>
          <w:noProof/>
          <w:kern w:val="2"/>
          <w:sz w:val="22"/>
          <w:szCs w:val="22"/>
          <w:lang w:val="en-IN"/>
          <w14:ligatures w14:val="standardContextual"/>
        </w:rPr>
      </w:pPr>
      <w:hyperlink w:anchor="_Toc215485298" w:history="1">
        <w:r>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_Toc215485298 \h </w:instrText>
        </w:r>
        <w:r>
          <w:rPr>
            <w:noProof/>
            <w:webHidden/>
          </w:rPr>
        </w:r>
        <w:r>
          <w:rPr>
            <w:noProof/>
            <w:webHidden/>
          </w:rPr>
          <w:fldChar w:fldCharType="separate"/>
        </w:r>
        <w:r>
          <w:rPr>
            <w:noProof/>
            <w:webHidden/>
          </w:rPr>
          <w:t>25</w:t>
        </w:r>
        <w:r>
          <w:rPr>
            <w:noProof/>
            <w:webHidden/>
          </w:rPr>
          <w:fldChar w:fldCharType="end"/>
        </w:r>
      </w:hyperlink>
    </w:p>
    <w:p w14:paraId="137AB292" w14:textId="77777777" w:rsidR="000A3F91" w:rsidRDefault="00000000">
      <w:pPr>
        <w:pStyle w:val="TOC1"/>
        <w:tabs>
          <w:tab w:val="right" w:leader="dot" w:pos="9019"/>
        </w:tabs>
        <w:rPr>
          <w:rFonts w:ascii="Cambria" w:eastAsia="SimSun" w:hAnsi="Cambria" w:cs="SimSun"/>
          <w:noProof/>
          <w:kern w:val="2"/>
          <w:sz w:val="22"/>
          <w:szCs w:val="22"/>
          <w:lang w:val="en-IN"/>
          <w14:ligatures w14:val="standardContextual"/>
        </w:rPr>
      </w:pPr>
      <w:hyperlink w:anchor="_Toc215485299" w:history="1">
        <w:r>
          <w:rPr>
            <w:rStyle w:val="Hyperlink"/>
            <w:rFonts w:ascii="Arial" w:hAnsi="Arial" w:cs="Arial"/>
            <w:noProof/>
          </w:rPr>
          <w:t>Appendices</w:t>
        </w:r>
        <w:r>
          <w:rPr>
            <w:noProof/>
            <w:webHidden/>
          </w:rPr>
          <w:tab/>
        </w:r>
        <w:r>
          <w:rPr>
            <w:noProof/>
            <w:webHidden/>
          </w:rPr>
          <w:fldChar w:fldCharType="begin"/>
        </w:r>
        <w:r>
          <w:rPr>
            <w:noProof/>
            <w:webHidden/>
          </w:rPr>
          <w:instrText xml:space="preserve"> PAGEREF _Toc215485299 \h </w:instrText>
        </w:r>
        <w:r>
          <w:rPr>
            <w:noProof/>
            <w:webHidden/>
          </w:rPr>
        </w:r>
        <w:r>
          <w:rPr>
            <w:noProof/>
            <w:webHidden/>
          </w:rPr>
          <w:fldChar w:fldCharType="separate"/>
        </w:r>
        <w:r>
          <w:rPr>
            <w:noProof/>
            <w:webHidden/>
          </w:rPr>
          <w:t>29</w:t>
        </w:r>
        <w:r>
          <w:rPr>
            <w:noProof/>
            <w:webHidden/>
          </w:rPr>
          <w:fldChar w:fldCharType="end"/>
        </w:r>
      </w:hyperlink>
    </w:p>
    <w:p w14:paraId="65215597" w14:textId="77777777" w:rsidR="000A3F91" w:rsidRDefault="00000000">
      <w:pPr>
        <w:pStyle w:val="TOC2"/>
        <w:tabs>
          <w:tab w:val="right" w:leader="dot" w:pos="9019"/>
        </w:tabs>
        <w:rPr>
          <w:rFonts w:ascii="Cambria" w:eastAsia="SimSun" w:hAnsi="Cambria" w:cs="SimSun"/>
          <w:noProof/>
          <w:kern w:val="2"/>
          <w:sz w:val="22"/>
          <w:szCs w:val="22"/>
          <w:lang w:val="en-IN"/>
          <w14:ligatures w14:val="standardContextual"/>
        </w:rPr>
      </w:pPr>
      <w:hyperlink w:anchor="_Toc215485300" w:history="1">
        <w:r>
          <w:rPr>
            <w:rStyle w:val="Hyperlink"/>
            <w:rFonts w:ascii="Arial" w:hAnsi="Arial" w:cs="Arial"/>
            <w:noProof/>
          </w:rPr>
          <w:t>Appendix A: BCG Matrix for Unilever’s Global Portfolio</w:t>
        </w:r>
        <w:r>
          <w:rPr>
            <w:noProof/>
            <w:webHidden/>
          </w:rPr>
          <w:tab/>
        </w:r>
        <w:r>
          <w:rPr>
            <w:noProof/>
            <w:webHidden/>
          </w:rPr>
          <w:fldChar w:fldCharType="begin"/>
        </w:r>
        <w:r>
          <w:rPr>
            <w:noProof/>
            <w:webHidden/>
          </w:rPr>
          <w:instrText xml:space="preserve"> PAGEREF _Toc215485300 \h </w:instrText>
        </w:r>
        <w:r>
          <w:rPr>
            <w:noProof/>
            <w:webHidden/>
          </w:rPr>
        </w:r>
        <w:r>
          <w:rPr>
            <w:noProof/>
            <w:webHidden/>
          </w:rPr>
          <w:fldChar w:fldCharType="separate"/>
        </w:r>
        <w:r>
          <w:rPr>
            <w:noProof/>
            <w:webHidden/>
          </w:rPr>
          <w:t>29</w:t>
        </w:r>
        <w:r>
          <w:rPr>
            <w:noProof/>
            <w:webHidden/>
          </w:rPr>
          <w:fldChar w:fldCharType="end"/>
        </w:r>
      </w:hyperlink>
    </w:p>
    <w:p w14:paraId="4ADD77CB" w14:textId="77777777" w:rsidR="000A3F91" w:rsidRDefault="00000000">
      <w:pPr>
        <w:rPr>
          <w:rFonts w:ascii="Arial" w:hAnsi="Arial" w:cs="Arial"/>
        </w:rPr>
      </w:pPr>
      <w:r>
        <w:rPr>
          <w:rFonts w:ascii="Arial" w:hAnsi="Arial" w:cs="Arial"/>
          <w:b/>
          <w:bCs/>
          <w:noProof/>
        </w:rPr>
        <w:fldChar w:fldCharType="end"/>
      </w:r>
    </w:p>
    <w:p w14:paraId="2D497CD7" w14:textId="77777777" w:rsidR="000A3F91" w:rsidRDefault="00000000">
      <w:pPr>
        <w:rPr>
          <w:rFonts w:ascii="Arial" w:hAnsi="Arial" w:cs="Arial"/>
          <w:b/>
          <w:bCs/>
          <w:sz w:val="28"/>
          <w:szCs w:val="28"/>
        </w:rPr>
      </w:pPr>
      <w:r>
        <w:rPr>
          <w:rFonts w:ascii="Arial" w:hAnsi="Arial" w:cs="Arial"/>
        </w:rPr>
        <w:br w:type="page"/>
      </w:r>
    </w:p>
    <w:p w14:paraId="774712A1" w14:textId="77777777" w:rsidR="000A3F91" w:rsidRDefault="00000000">
      <w:pPr>
        <w:pStyle w:val="Heading1"/>
        <w:rPr>
          <w:rFonts w:ascii="Arial" w:hAnsi="Arial" w:cs="Arial"/>
        </w:rPr>
      </w:pPr>
      <w:bookmarkStart w:id="1" w:name="_Toc215485274"/>
      <w:r>
        <w:rPr>
          <w:rFonts w:ascii="Arial" w:hAnsi="Arial" w:cs="Arial"/>
        </w:rPr>
        <w:lastRenderedPageBreak/>
        <w:t>1. Introduction</w:t>
      </w:r>
      <w:bookmarkEnd w:id="1"/>
      <w:r>
        <w:rPr>
          <w:rFonts w:ascii="Arial" w:hAnsi="Arial" w:cs="Arial"/>
        </w:rPr>
        <w:t xml:space="preserve">  </w:t>
      </w:r>
    </w:p>
    <w:p w14:paraId="7CA2921C" w14:textId="77777777" w:rsidR="000A3F91" w:rsidRDefault="00000000">
      <w:pPr>
        <w:rPr>
          <w:rFonts w:ascii="Arial" w:hAnsi="Arial" w:cs="Arial"/>
        </w:rPr>
      </w:pPr>
      <w:r>
        <w:rPr>
          <w:rFonts w:ascii="Arial" w:hAnsi="Arial" w:cs="Arial"/>
        </w:rPr>
        <w:t>The purpose of this report is to formulate a strategic expansion strategy of Unilever, an international fast-moving consumer goods (FMCG) firm dealing in the beauty, personal care, home care, and nutrition sectors. The report will critically assess the external and internal strategic pressure that is influencing the international growth opportunities in Unilever and suggest an evidence-based market entry strategy in a new geographical area. Based on the complex systems of strategic management, the report incorporates modern scholarly contributions and recent information in the industry to examine opportunities, risks and competitive forces in international expansion. Unilever is selected because of its high worldwide presence, sustainable environment spirit, and potential to exploit scale, brand loyalty and creativity in new markets (Unilever, 2025). The target expansion market is Mexico, which is one of the largest and fastest-growing FMCG markets in Latin America, with the help of positive demographic indicators, growing middle-class consumption and the growing demand towards sustainable and affordable consumer goods. Moreover, as per Alves et al. (2022), the Mexican trade openness, the network with the North American supply chains and the fast-changing retail environment present desirable prospects to the multinational companies aiming the long long-term growth. This report develops an in-depth analysis of the strategic environment of Mexico, devises a competitive entry strategy of Unilever, and also development of performance indicators to track the success of the expansion program.</w:t>
      </w:r>
    </w:p>
    <w:p w14:paraId="03CC4478" w14:textId="77777777" w:rsidR="000A3F91" w:rsidRDefault="00000000">
      <w:pPr>
        <w:pStyle w:val="Heading1"/>
        <w:rPr>
          <w:rFonts w:ascii="Arial" w:hAnsi="Arial" w:cs="Arial"/>
        </w:rPr>
      </w:pPr>
      <w:bookmarkStart w:id="2" w:name="_zf9qzxfjd0rz" w:colFirst="0" w:colLast="0"/>
      <w:bookmarkStart w:id="3" w:name="_Toc215485275"/>
      <w:bookmarkEnd w:id="2"/>
      <w:r>
        <w:rPr>
          <w:rFonts w:ascii="Arial" w:hAnsi="Arial" w:cs="Arial"/>
        </w:rPr>
        <w:t>2. Selection of Organisation &amp; Target Market</w:t>
      </w:r>
      <w:bookmarkEnd w:id="3"/>
      <w:r>
        <w:rPr>
          <w:rFonts w:ascii="Arial" w:hAnsi="Arial" w:cs="Arial"/>
        </w:rPr>
        <w:t xml:space="preserve">  </w:t>
      </w:r>
    </w:p>
    <w:p w14:paraId="4E6B72A7" w14:textId="77777777" w:rsidR="000A3F91" w:rsidRDefault="00000000">
      <w:pPr>
        <w:rPr>
          <w:rFonts w:ascii="Arial" w:hAnsi="Arial" w:cs="Arial"/>
        </w:rPr>
      </w:pPr>
      <w:r>
        <w:rPr>
          <w:rFonts w:ascii="Arial" w:hAnsi="Arial" w:cs="Arial"/>
        </w:rPr>
        <w:t>In this segment, Unilever will be presented as the centric organisation, and the reasons why Mexico is chosen as the target foreign market expansion destination will be explained. It initially provides the scope of business, globalisation and strategic direction of Unilever towards sustainable and inclusive development. It subsequently uses the attractiveness of Mexico to fast-moving consumer goods based on the market size, macroeconomic stability, political environment and demographic forces (Unilever, 2024). Lastly, it relates these contextual understandings to Unilever's long-term strategic priorities, as well as the family strategic fit of the capabilities that the firm has with its opportunities in Mexico. This gives a clear basis on which the further strategic analysis and strategy formulation processes will take place in the rest of this report section.</w:t>
      </w:r>
    </w:p>
    <w:p w14:paraId="0B1A6051" w14:textId="77777777" w:rsidR="000A3F91" w:rsidRDefault="00000000">
      <w:pPr>
        <w:pStyle w:val="Heading2"/>
        <w:rPr>
          <w:rFonts w:ascii="Arial" w:hAnsi="Arial" w:cs="Arial"/>
        </w:rPr>
      </w:pPr>
      <w:bookmarkStart w:id="4" w:name="_l59v4zudizsa" w:colFirst="0" w:colLast="0"/>
      <w:bookmarkStart w:id="5" w:name="_Toc215485276"/>
      <w:bookmarkEnd w:id="4"/>
      <w:r>
        <w:rPr>
          <w:rFonts w:ascii="Arial" w:hAnsi="Arial" w:cs="Arial"/>
        </w:rPr>
        <w:lastRenderedPageBreak/>
        <w:t>2.1 Overview of Unilever</w:t>
      </w:r>
      <w:bookmarkEnd w:id="5"/>
      <w:r>
        <w:rPr>
          <w:rFonts w:ascii="Arial" w:hAnsi="Arial" w:cs="Arial"/>
        </w:rPr>
        <w:t xml:space="preserve"> </w:t>
      </w:r>
    </w:p>
    <w:p w14:paraId="0DEDA945" w14:textId="77777777" w:rsidR="000A3F91" w:rsidRDefault="00000000">
      <w:pPr>
        <w:rPr>
          <w:rFonts w:ascii="Arial" w:hAnsi="Arial" w:cs="Arial"/>
        </w:rPr>
      </w:pPr>
      <w:r>
        <w:rPr>
          <w:rFonts w:ascii="Arial" w:hAnsi="Arial" w:cs="Arial"/>
        </w:rPr>
        <w:t>Unilever is a home care and nutrition multinational company which mainly deals with beauty and personal products, home care, and food, with headquarters based in London and Rotterdam. It operates on a diversified portfolio of global and local brands, comprising Dove, Lifebuoy, Lux, Surf and Knorr, sold in more than one hundred and ninety countries. According to Unilever (2025a) reports, Unilever has been strategically positioned towards sustainable living, the creation of digital capability and portfolio optimisation in the quest to spearhead resilient growth within volatile markets. The size of the group, its marketing skills, and innovation capacity place the group in a good position to exploit the new market demand of cheap, high-quality quality and environmentally friendly products in major parts of the world.</w:t>
      </w:r>
    </w:p>
    <w:p w14:paraId="71836520" w14:textId="77777777" w:rsidR="000A3F91" w:rsidRDefault="00000000">
      <w:pPr>
        <w:pStyle w:val="Heading2"/>
        <w:rPr>
          <w:rFonts w:ascii="Arial" w:hAnsi="Arial" w:cs="Arial"/>
        </w:rPr>
      </w:pPr>
      <w:bookmarkStart w:id="6" w:name="_e7b8ltx9zfzs" w:colFirst="0" w:colLast="0"/>
      <w:bookmarkStart w:id="7" w:name="_Toc215485277"/>
      <w:bookmarkEnd w:id="6"/>
      <w:r>
        <w:rPr>
          <w:rFonts w:ascii="Arial" w:hAnsi="Arial" w:cs="Arial"/>
        </w:rPr>
        <w:t>2.2 Justification for Choosing Mexico</w:t>
      </w:r>
      <w:bookmarkEnd w:id="7"/>
      <w:r>
        <w:rPr>
          <w:rFonts w:ascii="Arial" w:hAnsi="Arial" w:cs="Arial"/>
        </w:rPr>
        <w:t xml:space="preserve">  </w:t>
      </w:r>
    </w:p>
    <w:p w14:paraId="58CB6B25" w14:textId="77777777" w:rsidR="000A3F91" w:rsidRDefault="00000000">
      <w:pPr>
        <w:rPr>
          <w:rFonts w:ascii="Arial" w:hAnsi="Arial" w:cs="Arial"/>
        </w:rPr>
      </w:pPr>
      <w:r>
        <w:rPr>
          <w:rFonts w:ascii="Arial" w:hAnsi="Arial" w:cs="Arial"/>
        </w:rPr>
        <w:t>The scale and dynamism of the Mexican fast-moving consumer goods market are also great growth platforms for Unilever. With a population of over 126 million and a relatively young demographic trend, population growth is underpinned by increasing urbanisation and growing demand from middle-income population segments for packaged food, home care, and personal care products (Population-pyramid, 2025). Increase in real wages has been quite low, but steady remittance inflows and social transfer programmes have supported household consumption. The integration of trade by Mexico into the United States-Mexico-Canada Agreement has made it easier to penetrate the North American market and establish cross-border supply chains easily, as well as get access to regional retail outlets.</w:t>
      </w:r>
    </w:p>
    <w:p w14:paraId="0EDA4149" w14:textId="77777777" w:rsidR="000A3F91" w:rsidRDefault="00000000">
      <w:pPr>
        <w:jc w:val="center"/>
        <w:rPr>
          <w:rFonts w:ascii="Arial" w:hAnsi="Arial" w:cs="Arial"/>
        </w:rPr>
      </w:pPr>
      <w:r>
        <w:rPr>
          <w:rFonts w:ascii="Arial" w:hAnsi="Arial" w:cs="Arial"/>
          <w:noProof/>
        </w:rPr>
        <w:lastRenderedPageBreak/>
        <w:drawing>
          <wp:inline distT="0" distB="0" distL="0" distR="0" wp14:anchorId="66083B9B" wp14:editId="64E39A4C">
            <wp:extent cx="3896974" cy="3771024"/>
            <wp:effectExtent l="19050" t="19050" r="27940" b="20320"/>
            <wp:docPr id="1026"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ic:nvPicPr>
                  <pic:blipFill>
                    <a:blip r:embed="rId7" cstate="print"/>
                    <a:srcRect/>
                    <a:stretch/>
                  </pic:blipFill>
                  <pic:spPr>
                    <a:xfrm>
                      <a:off x="0" y="0"/>
                      <a:ext cx="3896974" cy="3771024"/>
                    </a:xfrm>
                    <a:prstGeom prst="rect">
                      <a:avLst/>
                    </a:prstGeom>
                    <a:ln w="12700" cap="flat" cmpd="sng">
                      <a:solidFill>
                        <a:srgbClr val="000000"/>
                      </a:solidFill>
                      <a:prstDash val="solid"/>
                      <a:round/>
                      <a:headEnd/>
                      <a:tailEnd/>
                    </a:ln>
                  </pic:spPr>
                </pic:pic>
              </a:graphicData>
            </a:graphic>
          </wp:inline>
        </w:drawing>
      </w:r>
    </w:p>
    <w:p w14:paraId="66075500" w14:textId="77777777" w:rsidR="000A3F91" w:rsidRDefault="00000000">
      <w:pPr>
        <w:jc w:val="center"/>
        <w:rPr>
          <w:rFonts w:ascii="Arial" w:hAnsi="Arial" w:cs="Arial"/>
          <w:b/>
          <w:bCs/>
        </w:rPr>
      </w:pPr>
      <w:r>
        <w:rPr>
          <w:rFonts w:ascii="Arial" w:hAnsi="Arial" w:cs="Arial"/>
          <w:b/>
          <w:bCs/>
        </w:rPr>
        <w:t>Figure 1: Population Pyramid of Mexico</w:t>
      </w:r>
    </w:p>
    <w:p w14:paraId="4254C5C7" w14:textId="77777777" w:rsidR="000A3F91" w:rsidRDefault="00000000">
      <w:pPr>
        <w:jc w:val="center"/>
        <w:rPr>
          <w:rFonts w:ascii="Arial" w:hAnsi="Arial" w:cs="Arial"/>
        </w:rPr>
      </w:pPr>
      <w:r>
        <w:rPr>
          <w:rFonts w:ascii="Arial" w:hAnsi="Arial" w:cs="Arial"/>
        </w:rPr>
        <w:t>(Source: Population-pyramid, 2025)</w:t>
      </w:r>
    </w:p>
    <w:p w14:paraId="493448E5" w14:textId="77777777" w:rsidR="000A3F91" w:rsidRDefault="00000000">
      <w:pPr>
        <w:rPr>
          <w:rFonts w:ascii="Arial" w:hAnsi="Arial" w:cs="Arial"/>
        </w:rPr>
      </w:pPr>
      <w:r>
        <w:rPr>
          <w:rFonts w:ascii="Arial" w:hAnsi="Arial" w:cs="Arial"/>
        </w:rPr>
        <w:t>Mexico is a federal democratic country of reasonably stable institutions at the policy level; still, issues tied to corruption, security and enforcement of regulations persist. As per Hong (2025), recurring policy efforts on enhancing social inclusion, health, as well as environmental control are boosting a higher demand for responsible and affordable brands, which resonates well with the sustainability positioning of Unilever. According to Reardon et al. (2021), the fast nature of the contemporary retail model, including e-commerce sites and powerful discount stores, is transforming route to market models and offering international brand owners fresh channels of distribution. Combined together, these economic, political and demographical factors make a strong case of having Unilever to invest in Mexico further as part of its strategic approach.</w:t>
      </w:r>
    </w:p>
    <w:p w14:paraId="75DD5EB7" w14:textId="77777777" w:rsidR="000A3F91" w:rsidRDefault="00000000">
      <w:pPr>
        <w:jc w:val="center"/>
        <w:rPr>
          <w:rFonts w:ascii="Arial" w:hAnsi="Arial" w:cs="Arial"/>
        </w:rPr>
      </w:pPr>
      <w:r>
        <w:rPr>
          <w:rFonts w:ascii="Arial" w:hAnsi="Arial" w:cs="Arial"/>
          <w:noProof/>
        </w:rPr>
        <w:lastRenderedPageBreak/>
        <w:drawing>
          <wp:inline distT="0" distB="0" distL="0" distR="0" wp14:anchorId="0AA35285" wp14:editId="36A163ED">
            <wp:extent cx="4327688" cy="2635793"/>
            <wp:effectExtent l="12700" t="12700" r="12700" b="12700"/>
            <wp:docPr id="1027"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srcRect/>
                    <a:stretch/>
                  </pic:blipFill>
                  <pic:spPr>
                    <a:xfrm>
                      <a:off x="0" y="0"/>
                      <a:ext cx="4327688" cy="2635793"/>
                    </a:xfrm>
                    <a:prstGeom prst="rect">
                      <a:avLst/>
                    </a:prstGeom>
                    <a:ln w="12700" cap="flat" cmpd="sng">
                      <a:solidFill>
                        <a:srgbClr val="000000"/>
                      </a:solidFill>
                      <a:prstDash val="solid"/>
                      <a:round/>
                      <a:headEnd/>
                      <a:tailEnd/>
                    </a:ln>
                  </pic:spPr>
                </pic:pic>
              </a:graphicData>
            </a:graphic>
          </wp:inline>
        </w:drawing>
      </w:r>
    </w:p>
    <w:p w14:paraId="48879767" w14:textId="77777777" w:rsidR="000A3F91" w:rsidRDefault="00000000">
      <w:pPr>
        <w:jc w:val="center"/>
        <w:rPr>
          <w:rFonts w:ascii="Arial" w:hAnsi="Arial" w:cs="Arial"/>
          <w:b/>
          <w:bCs/>
        </w:rPr>
      </w:pPr>
      <w:r>
        <w:rPr>
          <w:rFonts w:ascii="Arial" w:hAnsi="Arial" w:cs="Arial"/>
          <w:b/>
          <w:bCs/>
        </w:rPr>
        <w:t>Figure 2: FMCG Market Growth in Mexico</w:t>
      </w:r>
    </w:p>
    <w:p w14:paraId="14C82D40" w14:textId="77777777" w:rsidR="000A3F91" w:rsidRDefault="00000000">
      <w:pPr>
        <w:jc w:val="center"/>
        <w:rPr>
          <w:rFonts w:ascii="Arial" w:hAnsi="Arial" w:cs="Arial"/>
        </w:rPr>
      </w:pPr>
      <w:r>
        <w:rPr>
          <w:rFonts w:ascii="Arial" w:hAnsi="Arial" w:cs="Arial"/>
        </w:rPr>
        <w:t>(Source: Statista, 2025)</w:t>
      </w:r>
    </w:p>
    <w:p w14:paraId="5E7CBA21" w14:textId="77777777" w:rsidR="000A3F91" w:rsidRDefault="00000000">
      <w:pPr>
        <w:pStyle w:val="Heading2"/>
        <w:rPr>
          <w:rFonts w:ascii="Arial" w:hAnsi="Arial" w:cs="Arial"/>
        </w:rPr>
      </w:pPr>
      <w:bookmarkStart w:id="8" w:name="_wbkhp8bucl7r" w:colFirst="0" w:colLast="0"/>
      <w:bookmarkStart w:id="9" w:name="_Toc215485278"/>
      <w:bookmarkEnd w:id="8"/>
      <w:r>
        <w:rPr>
          <w:rFonts w:ascii="Arial" w:hAnsi="Arial" w:cs="Arial"/>
        </w:rPr>
        <w:t>2.3 Strategic Rationale for Expansion</w:t>
      </w:r>
      <w:bookmarkEnd w:id="9"/>
    </w:p>
    <w:p w14:paraId="71FD6192" w14:textId="77777777" w:rsidR="000A3F91" w:rsidRDefault="00000000">
      <w:pPr>
        <w:rPr>
          <w:rFonts w:ascii="Arial" w:hAnsi="Arial" w:cs="Arial"/>
        </w:rPr>
      </w:pPr>
      <w:r>
        <w:rPr>
          <w:rFonts w:ascii="Arial" w:hAnsi="Arial" w:cs="Arial"/>
        </w:rPr>
        <w:t>Unilever has a corporate strategy that is grounded on sustainable growth, focus on portfolio and digital transition with its Compass strategy framework and climate transition commitments (Unilever, 2025b). The growth in Mexico will directly serve the purposes of these priorities in pursuit of increased exposure to resilient emerging markets, where a growing population of incomes and urban lifestyles are creating territories of long-term demand for branded consumer products. The market has the prospects of expanding the Unilever sustainable living brands and health and hygiene propositions that will strengthen the environmental and social impact objectives. Annually, the hub of production and innovation in Mexico has been used to increase the supply chain resiliency and competitiveness in Latin America and North America for Unilever.</w:t>
      </w:r>
    </w:p>
    <w:p w14:paraId="20951939" w14:textId="77777777" w:rsidR="000A3F91" w:rsidRDefault="00000000">
      <w:pPr>
        <w:pStyle w:val="Heading1"/>
        <w:rPr>
          <w:rFonts w:ascii="Arial" w:hAnsi="Arial" w:cs="Arial"/>
        </w:rPr>
      </w:pPr>
      <w:bookmarkStart w:id="10" w:name="_uaabd35mfi9w" w:colFirst="0" w:colLast="0"/>
      <w:bookmarkStart w:id="11" w:name="_Toc215485279"/>
      <w:bookmarkEnd w:id="10"/>
      <w:r>
        <w:rPr>
          <w:rFonts w:ascii="Arial" w:hAnsi="Arial" w:cs="Arial"/>
        </w:rPr>
        <w:t>3. Comprehensive Strategic Analysis</w:t>
      </w:r>
      <w:bookmarkEnd w:id="11"/>
      <w:r>
        <w:rPr>
          <w:rFonts w:ascii="Arial" w:hAnsi="Arial" w:cs="Arial"/>
        </w:rPr>
        <w:t xml:space="preserve"> </w:t>
      </w:r>
    </w:p>
    <w:p w14:paraId="12F56ADD" w14:textId="77777777" w:rsidR="000A3F91" w:rsidRDefault="00000000">
      <w:pPr>
        <w:pStyle w:val="Heading2"/>
        <w:rPr>
          <w:rFonts w:ascii="Arial" w:hAnsi="Arial" w:cs="Arial"/>
        </w:rPr>
      </w:pPr>
      <w:bookmarkStart w:id="12" w:name="_wmu3n8sa9u96" w:colFirst="0" w:colLast="0"/>
      <w:bookmarkStart w:id="13" w:name="_Toc215485280"/>
      <w:bookmarkEnd w:id="12"/>
      <w:r>
        <w:rPr>
          <w:rFonts w:ascii="Arial" w:hAnsi="Arial" w:cs="Arial"/>
        </w:rPr>
        <w:t>3.1 PESTLE Analysis of Mexico</w:t>
      </w:r>
      <w:bookmarkEnd w:id="13"/>
      <w:r>
        <w:rPr>
          <w:rFonts w:ascii="Arial" w:hAnsi="Arial" w:cs="Arial"/>
        </w:rPr>
        <w:t xml:space="preserve"> </w:t>
      </w:r>
    </w:p>
    <w:tbl>
      <w:tblPr>
        <w:tblStyle w:val="a"/>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30"/>
        <w:gridCol w:w="1860"/>
        <w:gridCol w:w="2715"/>
        <w:gridCol w:w="2610"/>
      </w:tblGrid>
      <w:tr w:rsidR="000A3F91" w14:paraId="59065BB6" w14:textId="77777777">
        <w:trPr>
          <w:trHeight w:val="515"/>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115AE0" w14:textId="77777777" w:rsidR="000A3F91" w:rsidRDefault="00000000">
            <w:pPr>
              <w:jc w:val="center"/>
              <w:rPr>
                <w:rFonts w:ascii="Arial" w:hAnsi="Arial" w:cs="Arial"/>
              </w:rPr>
            </w:pPr>
            <w:r>
              <w:rPr>
                <w:rFonts w:ascii="Arial" w:hAnsi="Arial" w:cs="Arial"/>
                <w:b/>
                <w:bCs/>
              </w:rPr>
              <w:t>Factor</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D84539" w14:textId="77777777" w:rsidR="000A3F91" w:rsidRDefault="00000000">
            <w:pPr>
              <w:jc w:val="center"/>
              <w:rPr>
                <w:rFonts w:ascii="Arial" w:hAnsi="Arial" w:cs="Arial"/>
              </w:rPr>
            </w:pPr>
            <w:r>
              <w:rPr>
                <w:rFonts w:ascii="Arial" w:hAnsi="Arial" w:cs="Arial"/>
                <w:b/>
                <w:bCs/>
              </w:rPr>
              <w:t>Global Level</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E493AB" w14:textId="77777777" w:rsidR="000A3F91" w:rsidRDefault="00000000">
            <w:pPr>
              <w:jc w:val="center"/>
              <w:rPr>
                <w:rFonts w:ascii="Arial" w:hAnsi="Arial" w:cs="Arial"/>
              </w:rPr>
            </w:pPr>
            <w:r>
              <w:rPr>
                <w:rFonts w:ascii="Arial" w:hAnsi="Arial" w:cs="Arial"/>
                <w:b/>
                <w:bCs/>
              </w:rPr>
              <w:t>National Level (Mexico)</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01D99E" w14:textId="77777777" w:rsidR="000A3F91" w:rsidRDefault="00000000">
            <w:pPr>
              <w:jc w:val="center"/>
              <w:rPr>
                <w:rFonts w:ascii="Arial" w:hAnsi="Arial" w:cs="Arial"/>
              </w:rPr>
            </w:pPr>
            <w:r>
              <w:rPr>
                <w:rFonts w:ascii="Arial" w:hAnsi="Arial" w:cs="Arial"/>
                <w:b/>
                <w:bCs/>
              </w:rPr>
              <w:t>Local/Consumer Level</w:t>
            </w:r>
          </w:p>
        </w:tc>
      </w:tr>
      <w:tr w:rsidR="000A3F91" w14:paraId="27A93101" w14:textId="77777777">
        <w:trPr>
          <w:trHeight w:val="3635"/>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F942BC" w14:textId="77777777" w:rsidR="000A3F91" w:rsidRDefault="00000000">
            <w:pPr>
              <w:rPr>
                <w:rFonts w:ascii="Arial" w:hAnsi="Arial" w:cs="Arial"/>
              </w:rPr>
            </w:pPr>
            <w:r>
              <w:rPr>
                <w:rFonts w:ascii="Arial" w:hAnsi="Arial" w:cs="Arial"/>
                <w:b/>
                <w:bCs/>
              </w:rPr>
              <w:lastRenderedPageBreak/>
              <w:t>Political</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821C88" w14:textId="77777777" w:rsidR="000A3F91" w:rsidRDefault="00000000">
            <w:pPr>
              <w:rPr>
                <w:rFonts w:ascii="Arial" w:hAnsi="Arial" w:cs="Arial"/>
              </w:rPr>
            </w:pPr>
            <w:r>
              <w:rPr>
                <w:rFonts w:ascii="Arial" w:hAnsi="Arial" w:cs="Arial"/>
              </w:rPr>
              <w:t>Global supply chains face rising geopolitical uncertainty, trade realignment and regionalisation trends (Ali et al., 2025).</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8D7F5F" w14:textId="77777777" w:rsidR="000A3F91" w:rsidRDefault="00000000">
            <w:pPr>
              <w:rPr>
                <w:rFonts w:ascii="Arial" w:hAnsi="Arial" w:cs="Arial"/>
              </w:rPr>
            </w:pPr>
            <w:r>
              <w:rPr>
                <w:rFonts w:ascii="Arial" w:hAnsi="Arial" w:cs="Arial"/>
              </w:rPr>
              <w:t>Mexico maintains relative political stability as a federal democracy, though governance challenges include corruption, regulatory inconsistency and security risks (Heinrich, 2025). USMCA strengthens cross-border policy alignment and reduces trade barriers (OUSTR, 2025).</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5C43FE" w14:textId="77777777" w:rsidR="000A3F91" w:rsidRDefault="00000000">
            <w:pPr>
              <w:rPr>
                <w:rFonts w:ascii="Arial" w:hAnsi="Arial" w:cs="Arial"/>
              </w:rPr>
            </w:pPr>
            <w:r>
              <w:rPr>
                <w:rFonts w:ascii="Arial" w:hAnsi="Arial" w:cs="Arial"/>
              </w:rPr>
              <w:t>Local consumers experience policy impacts through pricing controls, subsidies and public health regulations, affecting product formulation and availability in FMCG categories.</w:t>
            </w:r>
          </w:p>
        </w:tc>
      </w:tr>
      <w:tr w:rsidR="000A3F91" w14:paraId="31B537D7" w14:textId="77777777">
        <w:trPr>
          <w:trHeight w:val="3635"/>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C9C304" w14:textId="77777777" w:rsidR="000A3F91" w:rsidRDefault="00000000">
            <w:pPr>
              <w:rPr>
                <w:rFonts w:ascii="Arial" w:hAnsi="Arial" w:cs="Arial"/>
              </w:rPr>
            </w:pPr>
            <w:r>
              <w:rPr>
                <w:rFonts w:ascii="Arial" w:hAnsi="Arial" w:cs="Arial"/>
                <w:b/>
                <w:bCs/>
              </w:rPr>
              <w:t>Economic</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4B2726" w14:textId="77777777" w:rsidR="000A3F91" w:rsidRDefault="00000000">
            <w:pPr>
              <w:rPr>
                <w:rFonts w:ascii="Arial" w:hAnsi="Arial" w:cs="Arial"/>
              </w:rPr>
            </w:pPr>
            <w:r>
              <w:rPr>
                <w:rFonts w:ascii="Arial" w:hAnsi="Arial" w:cs="Arial"/>
              </w:rPr>
              <w:t>Inflationary pressures, currency volatility and global commodity price fluctuations affect FMCG margins.</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29CD93" w14:textId="77777777" w:rsidR="000A3F91" w:rsidRDefault="00000000">
            <w:pPr>
              <w:rPr>
                <w:rFonts w:ascii="Arial" w:hAnsi="Arial" w:cs="Arial"/>
              </w:rPr>
            </w:pPr>
            <w:r>
              <w:rPr>
                <w:rFonts w:ascii="Arial" w:hAnsi="Arial" w:cs="Arial"/>
              </w:rPr>
              <w:t>Mexico’s GDP growth is moderate, supported by strong remittances and nearshoring investment flows (Statista, 2025). Rising employment, expanding retail infrastructure and an increasing middle class support consumer spending. However, inequality remains high.</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C0421D" w14:textId="77777777" w:rsidR="000A3F91" w:rsidRDefault="00000000">
            <w:pPr>
              <w:rPr>
                <w:rFonts w:ascii="Arial" w:hAnsi="Arial" w:cs="Arial"/>
              </w:rPr>
            </w:pPr>
            <w:r>
              <w:rPr>
                <w:rFonts w:ascii="Arial" w:hAnsi="Arial" w:cs="Arial"/>
              </w:rPr>
              <w:t>Price sensitivity drives preference for value brands, refill packs and multi-size formats. Local purchasing power shapes demand for affordable hygiene, food and home-care products.</w:t>
            </w:r>
          </w:p>
        </w:tc>
      </w:tr>
      <w:tr w:rsidR="000A3F91" w14:paraId="3D0A9D92" w14:textId="77777777">
        <w:trPr>
          <w:trHeight w:val="3065"/>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2BFCC3" w14:textId="77777777" w:rsidR="000A3F91" w:rsidRDefault="00000000">
            <w:pPr>
              <w:rPr>
                <w:rFonts w:ascii="Arial" w:hAnsi="Arial" w:cs="Arial"/>
              </w:rPr>
            </w:pPr>
            <w:r>
              <w:rPr>
                <w:rFonts w:ascii="Arial" w:hAnsi="Arial" w:cs="Arial"/>
                <w:b/>
                <w:bCs/>
              </w:rPr>
              <w:lastRenderedPageBreak/>
              <w:t>Social</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8C8D86" w14:textId="77777777" w:rsidR="000A3F91" w:rsidRDefault="00000000">
            <w:pPr>
              <w:rPr>
                <w:rFonts w:ascii="Arial" w:hAnsi="Arial" w:cs="Arial"/>
              </w:rPr>
            </w:pPr>
            <w:r>
              <w:rPr>
                <w:rFonts w:ascii="Arial" w:hAnsi="Arial" w:cs="Arial"/>
              </w:rPr>
              <w:t>Global consumer trends emphasise sustainability, hygiene, health consciousness and inclusive pricing (Callaghan et al., 2024).</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1E087F" w14:textId="77777777" w:rsidR="000A3F91" w:rsidRDefault="00000000">
            <w:pPr>
              <w:rPr>
                <w:rFonts w:ascii="Arial" w:hAnsi="Arial" w:cs="Arial"/>
              </w:rPr>
            </w:pPr>
            <w:r>
              <w:rPr>
                <w:rFonts w:ascii="Arial" w:hAnsi="Arial" w:cs="Arial"/>
              </w:rPr>
              <w:t>Mexico’s young demographic profile, urbanisation and cultural preference for branded FMCG products create strong category growth potential. Health concerns influence demand for fortified foods and personal care (Statista, 2025).</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38E088" w14:textId="77777777" w:rsidR="000A3F91" w:rsidRDefault="00000000">
            <w:pPr>
              <w:rPr>
                <w:rFonts w:ascii="Arial" w:hAnsi="Arial" w:cs="Arial"/>
              </w:rPr>
            </w:pPr>
            <w:r>
              <w:rPr>
                <w:rFonts w:ascii="Arial" w:hAnsi="Arial" w:cs="Arial"/>
              </w:rPr>
              <w:t>Consumers value trusted brands, convenience formats and culturally aligned marketing. Social inequities shape differing consumption patterns between urban and rural markets.</w:t>
            </w:r>
          </w:p>
        </w:tc>
      </w:tr>
      <w:tr w:rsidR="000A3F91" w14:paraId="726417ED" w14:textId="77777777">
        <w:trPr>
          <w:trHeight w:val="2495"/>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4BAD8C" w14:textId="77777777" w:rsidR="000A3F91" w:rsidRDefault="00000000">
            <w:pPr>
              <w:rPr>
                <w:rFonts w:ascii="Arial" w:hAnsi="Arial" w:cs="Arial"/>
              </w:rPr>
            </w:pPr>
            <w:r>
              <w:rPr>
                <w:rFonts w:ascii="Arial" w:hAnsi="Arial" w:cs="Arial"/>
                <w:b/>
                <w:bCs/>
              </w:rPr>
              <w:t>Technological</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4DC6F4" w14:textId="77777777" w:rsidR="000A3F91" w:rsidRDefault="00000000">
            <w:pPr>
              <w:rPr>
                <w:rFonts w:ascii="Arial" w:hAnsi="Arial" w:cs="Arial"/>
              </w:rPr>
            </w:pPr>
            <w:r>
              <w:rPr>
                <w:rFonts w:ascii="Arial" w:hAnsi="Arial" w:cs="Arial"/>
              </w:rPr>
              <w:t>Digital transformation accelerates across FMCG through automation, AI-driven insights and ecommerce expansion.</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D6321E" w14:textId="77777777" w:rsidR="000A3F91" w:rsidRDefault="00000000">
            <w:pPr>
              <w:rPr>
                <w:rFonts w:ascii="Arial" w:hAnsi="Arial" w:cs="Arial"/>
              </w:rPr>
            </w:pPr>
            <w:r>
              <w:rPr>
                <w:rFonts w:ascii="Arial" w:hAnsi="Arial" w:cs="Arial"/>
              </w:rPr>
              <w:t>Mexico’s digital economy is growing, supported by rising smartphone penetration and fintech adoption. Logistics technologies and omnichannel retail are expanding (Mexico Business News, 2025).</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4D7A92" w14:textId="77777777" w:rsidR="000A3F91" w:rsidRDefault="00000000">
            <w:pPr>
              <w:rPr>
                <w:rFonts w:ascii="Arial" w:hAnsi="Arial" w:cs="Arial"/>
              </w:rPr>
            </w:pPr>
            <w:r>
              <w:rPr>
                <w:rFonts w:ascii="Arial" w:hAnsi="Arial" w:cs="Arial"/>
              </w:rPr>
              <w:t>Consumers increasingly purchase FMCG through marketplaces such as Mercado Libre, driving demand for reliable fulfilment and digital promotions.</w:t>
            </w:r>
          </w:p>
        </w:tc>
      </w:tr>
      <w:tr w:rsidR="000A3F91" w14:paraId="63883D43" w14:textId="77777777">
        <w:trPr>
          <w:trHeight w:val="2495"/>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F6E273" w14:textId="77777777" w:rsidR="000A3F91" w:rsidRDefault="00000000">
            <w:pPr>
              <w:rPr>
                <w:rFonts w:ascii="Arial" w:hAnsi="Arial" w:cs="Arial"/>
              </w:rPr>
            </w:pPr>
            <w:r>
              <w:rPr>
                <w:rFonts w:ascii="Arial" w:hAnsi="Arial" w:cs="Arial"/>
                <w:b/>
                <w:bCs/>
              </w:rPr>
              <w:t>Legal</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5A194B" w14:textId="77777777" w:rsidR="000A3F91" w:rsidRDefault="00000000">
            <w:pPr>
              <w:rPr>
                <w:rFonts w:ascii="Arial" w:hAnsi="Arial" w:cs="Arial"/>
              </w:rPr>
            </w:pPr>
            <w:r>
              <w:rPr>
                <w:rFonts w:ascii="Arial" w:hAnsi="Arial" w:cs="Arial"/>
              </w:rPr>
              <w:t>International FMCG firms face stricter compliance with data security, trade, and environmental standards.</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88F89C" w14:textId="77777777" w:rsidR="000A3F91" w:rsidRDefault="00000000">
            <w:pPr>
              <w:rPr>
                <w:rFonts w:ascii="Arial" w:hAnsi="Arial" w:cs="Arial"/>
              </w:rPr>
            </w:pPr>
            <w:r>
              <w:rPr>
                <w:rFonts w:ascii="Arial" w:hAnsi="Arial" w:cs="Arial"/>
              </w:rPr>
              <w:t>Regulatory frameworks cover labour laws, labelling standards, pricing transparency, and health-related restrictions (such as sugar warnings). Compliance complexity persists across states.</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B65282" w14:textId="77777777" w:rsidR="000A3F91" w:rsidRDefault="00000000">
            <w:pPr>
              <w:rPr>
                <w:rFonts w:ascii="Arial" w:hAnsi="Arial" w:cs="Arial"/>
              </w:rPr>
            </w:pPr>
            <w:r>
              <w:rPr>
                <w:rFonts w:ascii="Arial" w:hAnsi="Arial" w:cs="Arial"/>
              </w:rPr>
              <w:t>Local enforcement of labelling, recycling norms and product safety influences brand trust and operational requirements.</w:t>
            </w:r>
          </w:p>
        </w:tc>
      </w:tr>
      <w:tr w:rsidR="000A3F91" w14:paraId="4A89098F" w14:textId="77777777">
        <w:trPr>
          <w:trHeight w:val="2210"/>
        </w:trPr>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A30CE0" w14:textId="77777777" w:rsidR="000A3F91" w:rsidRDefault="00000000">
            <w:pPr>
              <w:rPr>
                <w:rFonts w:ascii="Arial" w:hAnsi="Arial" w:cs="Arial"/>
              </w:rPr>
            </w:pPr>
            <w:r>
              <w:rPr>
                <w:rFonts w:ascii="Arial" w:hAnsi="Arial" w:cs="Arial"/>
                <w:b/>
                <w:bCs/>
              </w:rPr>
              <w:lastRenderedPageBreak/>
              <w:t>Environmental</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31EFE7" w14:textId="77777777" w:rsidR="000A3F91" w:rsidRDefault="00000000">
            <w:pPr>
              <w:rPr>
                <w:rFonts w:ascii="Arial" w:hAnsi="Arial" w:cs="Arial"/>
              </w:rPr>
            </w:pPr>
            <w:r>
              <w:rPr>
                <w:rFonts w:ascii="Arial" w:hAnsi="Arial" w:cs="Arial"/>
              </w:rPr>
              <w:t>Global sustainability transitions reshape sourcing, energy use and packaging innovations.</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CD3495" w14:textId="77777777" w:rsidR="000A3F91" w:rsidRDefault="00000000">
            <w:pPr>
              <w:rPr>
                <w:rFonts w:ascii="Arial" w:hAnsi="Arial" w:cs="Arial"/>
              </w:rPr>
            </w:pPr>
            <w:r>
              <w:rPr>
                <w:rFonts w:ascii="Arial" w:hAnsi="Arial" w:cs="Arial"/>
              </w:rPr>
              <w:t>Mexico faces water scarcity, pollution risks and waste management challenges. Environmental reforms promote circular economy practices (Sustainable  Business, 2025).</w:t>
            </w:r>
          </w:p>
        </w:tc>
        <w:tc>
          <w:tcPr>
            <w:tcW w:w="2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6EC6E" w14:textId="77777777" w:rsidR="000A3F91" w:rsidRDefault="00000000">
            <w:pPr>
              <w:rPr>
                <w:rFonts w:ascii="Arial" w:hAnsi="Arial" w:cs="Arial"/>
              </w:rPr>
            </w:pPr>
            <w:r>
              <w:rPr>
                <w:rFonts w:ascii="Arial" w:hAnsi="Arial" w:cs="Arial"/>
              </w:rPr>
              <w:t>Consumers increasingly prefer eco-friendly packaging and socially responsible brands, especially in urban centres.</w:t>
            </w:r>
          </w:p>
        </w:tc>
      </w:tr>
    </w:tbl>
    <w:p w14:paraId="06408560" w14:textId="77777777" w:rsidR="000A3F91" w:rsidRDefault="00000000">
      <w:pPr>
        <w:jc w:val="center"/>
        <w:rPr>
          <w:rFonts w:ascii="Arial" w:hAnsi="Arial" w:cs="Arial"/>
          <w:b/>
          <w:bCs/>
        </w:rPr>
      </w:pPr>
      <w:r>
        <w:rPr>
          <w:rFonts w:ascii="Arial" w:hAnsi="Arial" w:cs="Arial"/>
          <w:b/>
          <w:bCs/>
        </w:rPr>
        <w:t>Table 1: PESTLE Analysis of Mexico</w:t>
      </w:r>
    </w:p>
    <w:p w14:paraId="74495FDB" w14:textId="77777777" w:rsidR="000A3F91" w:rsidRDefault="00000000">
      <w:pPr>
        <w:jc w:val="center"/>
        <w:rPr>
          <w:rFonts w:ascii="Arial" w:hAnsi="Arial" w:cs="Arial"/>
        </w:rPr>
      </w:pPr>
      <w:r>
        <w:rPr>
          <w:rFonts w:ascii="Arial" w:hAnsi="Arial" w:cs="Arial"/>
        </w:rPr>
        <w:t>(Source: Self-Developed)</w:t>
      </w:r>
    </w:p>
    <w:p w14:paraId="3DEF464D" w14:textId="77777777" w:rsidR="000A3F91" w:rsidRDefault="00000000">
      <w:pPr>
        <w:rPr>
          <w:rFonts w:ascii="Arial" w:hAnsi="Arial" w:cs="Arial"/>
          <w:b/>
          <w:bCs/>
          <w:i/>
          <w:iCs/>
        </w:rPr>
      </w:pPr>
      <w:r>
        <w:rPr>
          <w:rFonts w:ascii="Arial" w:hAnsi="Arial" w:cs="Arial"/>
          <w:b/>
          <w:bCs/>
          <w:i/>
          <w:iCs/>
        </w:rPr>
        <w:t>Analysis</w:t>
      </w:r>
    </w:p>
    <w:p w14:paraId="1F68C7A0" w14:textId="77777777" w:rsidR="000A3F91" w:rsidRDefault="00000000">
      <w:pPr>
        <w:rPr>
          <w:rFonts w:ascii="Arial" w:hAnsi="Arial" w:cs="Arial"/>
        </w:rPr>
      </w:pPr>
      <w:r>
        <w:rPr>
          <w:rFonts w:ascii="Arial" w:hAnsi="Arial" w:cs="Arial"/>
        </w:rPr>
        <w:t>Mexico is a secure, appealing, but operationally challenging country for Unilever. The rise in the number of consumers and digital retailing, paired with the favourable trade agreements, will provide favourable conditions for growth. Political inconsistency, regulatory fragmentation and environmental weaknesses are, however, increasing the risk of operations. The price sensitivity is high, and, along with the need for socioeconomic thought, the flexibilities of affordability policies are necessary, and the shifting health and sustainability demands resonate well with the purpose-led brand positioning policy of Unilever. The PESTLE analysis reveals that affordable, sustainable Mexico should be found in a balance between the affordability and sustainability of success, investments in resilient supply chains and taking a regionally oriented innovation. Such an environment is favourable to multinational companies that can use scale, localisation and good compliance ability.</w:t>
      </w:r>
    </w:p>
    <w:p w14:paraId="11BEFBD3" w14:textId="77777777" w:rsidR="000A3F91" w:rsidRDefault="00000000">
      <w:pPr>
        <w:pStyle w:val="Heading1"/>
        <w:rPr>
          <w:rFonts w:ascii="Arial" w:hAnsi="Arial" w:cs="Arial"/>
        </w:rPr>
      </w:pPr>
      <w:bookmarkStart w:id="14" w:name="_rx165tqe29wg" w:colFirst="0" w:colLast="0"/>
      <w:bookmarkStart w:id="15" w:name="_Toc215485281"/>
      <w:bookmarkEnd w:id="14"/>
      <w:r>
        <w:rPr>
          <w:rFonts w:ascii="Arial" w:hAnsi="Arial" w:cs="Arial"/>
        </w:rPr>
        <w:t>3.2 Porter’s Five Forces - Mexico FMCG Sector</w:t>
      </w:r>
      <w:bookmarkEnd w:id="15"/>
      <w:r>
        <w:rPr>
          <w:rFonts w:ascii="Arial" w:hAnsi="Arial" w:cs="Arial"/>
        </w:rPr>
        <w:t xml:space="preserve"> </w:t>
      </w:r>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70"/>
        <w:gridCol w:w="7555"/>
      </w:tblGrid>
      <w:tr w:rsidR="000A3F91" w14:paraId="0DDFDF55" w14:textId="77777777">
        <w:trPr>
          <w:trHeight w:val="515"/>
        </w:trPr>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CF980E" w14:textId="77777777" w:rsidR="000A3F91" w:rsidRDefault="00000000">
            <w:pPr>
              <w:jc w:val="center"/>
              <w:rPr>
                <w:rFonts w:ascii="Arial" w:hAnsi="Arial" w:cs="Arial"/>
              </w:rPr>
            </w:pPr>
            <w:r>
              <w:rPr>
                <w:rFonts w:ascii="Arial" w:hAnsi="Arial" w:cs="Arial"/>
                <w:b/>
                <w:bCs/>
              </w:rPr>
              <w:t>Force</w:t>
            </w:r>
          </w:p>
        </w:tc>
        <w:tc>
          <w:tcPr>
            <w:tcW w:w="7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093916" w14:textId="77777777" w:rsidR="000A3F91" w:rsidRDefault="00000000">
            <w:pPr>
              <w:jc w:val="center"/>
              <w:rPr>
                <w:rFonts w:ascii="Arial" w:hAnsi="Arial" w:cs="Arial"/>
              </w:rPr>
            </w:pPr>
            <w:r>
              <w:rPr>
                <w:rFonts w:ascii="Arial" w:hAnsi="Arial" w:cs="Arial"/>
                <w:b/>
                <w:bCs/>
              </w:rPr>
              <w:t>Assessment in the Mexican FMCG Sector</w:t>
            </w:r>
          </w:p>
        </w:tc>
      </w:tr>
      <w:tr w:rsidR="000A3F91" w14:paraId="1DF4B5EE" w14:textId="77777777">
        <w:trPr>
          <w:trHeight w:val="2495"/>
        </w:trPr>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87674A" w14:textId="77777777" w:rsidR="000A3F91" w:rsidRDefault="00000000">
            <w:pPr>
              <w:rPr>
                <w:rFonts w:ascii="Arial" w:hAnsi="Arial" w:cs="Arial"/>
              </w:rPr>
            </w:pPr>
            <w:r>
              <w:rPr>
                <w:rFonts w:ascii="Arial" w:hAnsi="Arial" w:cs="Arial"/>
                <w:b/>
                <w:bCs/>
              </w:rPr>
              <w:lastRenderedPageBreak/>
              <w:t>Supplier Power</w:t>
            </w:r>
          </w:p>
        </w:tc>
        <w:tc>
          <w:tcPr>
            <w:tcW w:w="7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92708D" w14:textId="77777777" w:rsidR="000A3F91" w:rsidRDefault="00000000">
            <w:pPr>
              <w:rPr>
                <w:rFonts w:ascii="Arial" w:hAnsi="Arial" w:cs="Arial"/>
              </w:rPr>
            </w:pPr>
            <w:r>
              <w:rPr>
                <w:rFonts w:ascii="Arial" w:hAnsi="Arial" w:cs="Arial"/>
              </w:rPr>
              <w:t>Supplier power in Mexico’s FMCG sector is moderate. While Mexico benefits from a large network of raw material suppliers, manufacturers still depend on imported ingredients, chemicals and packaging materials exposed to global price fluctuations (Statista, 2025). Local agricultural suppliers have limited bargaining strength due to fragmentation, yet specialised ingredient suppliers retain higher leverage in categories such as beauty and nutrition. Increasing emphasis on sustainable sourcing also constrains alternatives, marginally strengthening supplier influence.</w:t>
            </w:r>
          </w:p>
        </w:tc>
      </w:tr>
      <w:tr w:rsidR="000A3F91" w14:paraId="2E028051" w14:textId="77777777">
        <w:trPr>
          <w:trHeight w:val="2495"/>
        </w:trPr>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F423BB" w14:textId="77777777" w:rsidR="000A3F91" w:rsidRDefault="00000000">
            <w:pPr>
              <w:rPr>
                <w:rFonts w:ascii="Arial" w:hAnsi="Arial" w:cs="Arial"/>
              </w:rPr>
            </w:pPr>
            <w:r>
              <w:rPr>
                <w:rFonts w:ascii="Arial" w:hAnsi="Arial" w:cs="Arial"/>
                <w:b/>
                <w:bCs/>
              </w:rPr>
              <w:t>Buyer Power</w:t>
            </w:r>
          </w:p>
        </w:tc>
        <w:tc>
          <w:tcPr>
            <w:tcW w:w="7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0BA695" w14:textId="77777777" w:rsidR="000A3F91" w:rsidRDefault="00000000">
            <w:pPr>
              <w:rPr>
                <w:rFonts w:ascii="Arial" w:hAnsi="Arial" w:cs="Arial"/>
              </w:rPr>
            </w:pPr>
            <w:r>
              <w:rPr>
                <w:rFonts w:ascii="Arial" w:hAnsi="Arial" w:cs="Arial"/>
              </w:rPr>
              <w:t>Buyer power is high due to price-sensitive consumers and strong modern retailers such as Walmart de México, Oxxo and Soriana, which demand competitive pricing and favourable terms. Online marketplaces like Mercado Libre intensify promotional pressure. Consumers frequently switch between brands based on price, promotions and pack formats, increasing their bargaining strength. Urban segments prefer branded goods, but affordability remains a decisive purchase factor across income groups.</w:t>
            </w:r>
          </w:p>
        </w:tc>
      </w:tr>
      <w:tr w:rsidR="000A3F91" w14:paraId="39C59334" w14:textId="77777777">
        <w:trPr>
          <w:trHeight w:val="1925"/>
        </w:trPr>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016344" w14:textId="77777777" w:rsidR="000A3F91" w:rsidRDefault="00000000">
            <w:pPr>
              <w:rPr>
                <w:rFonts w:ascii="Arial" w:hAnsi="Arial" w:cs="Arial"/>
              </w:rPr>
            </w:pPr>
            <w:r>
              <w:rPr>
                <w:rFonts w:ascii="Arial" w:hAnsi="Arial" w:cs="Arial"/>
                <w:b/>
                <w:bCs/>
              </w:rPr>
              <w:t>Threat of Substitutes</w:t>
            </w:r>
          </w:p>
        </w:tc>
        <w:tc>
          <w:tcPr>
            <w:tcW w:w="7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49F841" w14:textId="77777777" w:rsidR="000A3F91" w:rsidRDefault="00000000">
            <w:pPr>
              <w:rPr>
                <w:rFonts w:ascii="Arial" w:hAnsi="Arial" w:cs="Arial"/>
              </w:rPr>
            </w:pPr>
            <w:r>
              <w:rPr>
                <w:rFonts w:ascii="Arial" w:hAnsi="Arial" w:cs="Arial"/>
              </w:rPr>
              <w:t>The threat of substitutes is moderate to high, driven by expanding private labels, artisanal alternatives and local brands offering low-cost options (Sustainable  Business, 2025). In home and personal care, refill packs and bulk formats substitute premium offerings. In food categories, informal and traditional products remain strong. Health-conscious consumers also shift toward organic or minimally processed alternatives, reinforcing substitution risks.</w:t>
            </w:r>
          </w:p>
        </w:tc>
      </w:tr>
      <w:tr w:rsidR="000A3F91" w14:paraId="19562C6D" w14:textId="77777777">
        <w:trPr>
          <w:trHeight w:val="1640"/>
        </w:trPr>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AD1791" w14:textId="77777777" w:rsidR="000A3F91" w:rsidRDefault="00000000">
            <w:pPr>
              <w:rPr>
                <w:rFonts w:ascii="Arial" w:hAnsi="Arial" w:cs="Arial"/>
              </w:rPr>
            </w:pPr>
            <w:r>
              <w:rPr>
                <w:rFonts w:ascii="Arial" w:hAnsi="Arial" w:cs="Arial"/>
                <w:b/>
                <w:bCs/>
              </w:rPr>
              <w:t>Threat of New Entrants</w:t>
            </w:r>
          </w:p>
        </w:tc>
        <w:tc>
          <w:tcPr>
            <w:tcW w:w="7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6E022B" w14:textId="77777777" w:rsidR="000A3F91" w:rsidRDefault="00000000">
            <w:pPr>
              <w:rPr>
                <w:rFonts w:ascii="Arial" w:hAnsi="Arial" w:cs="Arial"/>
              </w:rPr>
            </w:pPr>
            <w:r>
              <w:rPr>
                <w:rFonts w:ascii="Arial" w:hAnsi="Arial" w:cs="Arial"/>
              </w:rPr>
              <w:t>Entry barriers are moderate. Although regulatory requirements, distribution complexity and marketing costs deter new players, the growing e-commerce ecosystem allows smaller brands to enter more easily. Local SMEs and regional brands increasingly leverage social commerce and lower overhead models, raising competitive pressure.</w:t>
            </w:r>
          </w:p>
        </w:tc>
      </w:tr>
      <w:tr w:rsidR="000A3F91" w14:paraId="44647058" w14:textId="77777777">
        <w:trPr>
          <w:trHeight w:val="1370"/>
        </w:trPr>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F30E4B" w14:textId="77777777" w:rsidR="000A3F91" w:rsidRDefault="00000000">
            <w:pPr>
              <w:rPr>
                <w:rFonts w:ascii="Arial" w:hAnsi="Arial" w:cs="Arial"/>
              </w:rPr>
            </w:pPr>
            <w:r>
              <w:rPr>
                <w:rFonts w:ascii="Arial" w:hAnsi="Arial" w:cs="Arial"/>
                <w:b/>
                <w:bCs/>
              </w:rPr>
              <w:lastRenderedPageBreak/>
              <w:t>Industry Rivalry</w:t>
            </w:r>
          </w:p>
        </w:tc>
        <w:tc>
          <w:tcPr>
            <w:tcW w:w="75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780BAB" w14:textId="77777777" w:rsidR="000A3F91" w:rsidRDefault="00000000">
            <w:pPr>
              <w:rPr>
                <w:rFonts w:ascii="Arial" w:hAnsi="Arial" w:cs="Arial"/>
              </w:rPr>
            </w:pPr>
            <w:r>
              <w:rPr>
                <w:rFonts w:ascii="Arial" w:hAnsi="Arial" w:cs="Arial"/>
              </w:rPr>
              <w:t>Rivalry is very high. Global firms like P&amp;G, Colgate-Palmolive, Nestlé and Kimberly-Clark compete aggressively with domestic players on price, innovation and retail visibility. Heavy promotional activity, frequent new product launches and strong channel competition intensify market rivalry.</w:t>
            </w:r>
          </w:p>
        </w:tc>
      </w:tr>
    </w:tbl>
    <w:p w14:paraId="5C36B5E9" w14:textId="77777777" w:rsidR="000A3F91" w:rsidRDefault="00000000">
      <w:pPr>
        <w:jc w:val="center"/>
        <w:rPr>
          <w:rFonts w:ascii="Arial" w:hAnsi="Arial" w:cs="Arial"/>
          <w:b/>
          <w:bCs/>
        </w:rPr>
      </w:pPr>
      <w:r>
        <w:rPr>
          <w:rFonts w:ascii="Arial" w:hAnsi="Arial" w:cs="Arial"/>
          <w:b/>
          <w:bCs/>
        </w:rPr>
        <w:t>Table 2: Porter’s Five Forces - Mexico FMCG Sector</w:t>
      </w:r>
    </w:p>
    <w:p w14:paraId="39ED9299" w14:textId="77777777" w:rsidR="000A3F91" w:rsidRDefault="00000000">
      <w:pPr>
        <w:jc w:val="center"/>
        <w:rPr>
          <w:rFonts w:ascii="Arial" w:hAnsi="Arial" w:cs="Arial"/>
        </w:rPr>
      </w:pPr>
      <w:r>
        <w:rPr>
          <w:rFonts w:ascii="Arial" w:hAnsi="Arial" w:cs="Arial"/>
        </w:rPr>
        <w:t>(Source: Self-Developed)</w:t>
      </w:r>
    </w:p>
    <w:p w14:paraId="6A1DC116" w14:textId="77777777" w:rsidR="000A3F91" w:rsidRDefault="00000000">
      <w:pPr>
        <w:rPr>
          <w:rFonts w:ascii="Arial" w:hAnsi="Arial" w:cs="Arial"/>
          <w:b/>
          <w:bCs/>
          <w:i/>
          <w:iCs/>
        </w:rPr>
      </w:pPr>
      <w:r>
        <w:rPr>
          <w:rFonts w:ascii="Arial" w:hAnsi="Arial" w:cs="Arial"/>
          <w:b/>
          <w:bCs/>
          <w:i/>
          <w:iCs/>
        </w:rPr>
        <w:t>Analysis</w:t>
      </w:r>
    </w:p>
    <w:p w14:paraId="12854A1A" w14:textId="77777777" w:rsidR="000A3F91" w:rsidRDefault="00000000">
      <w:pPr>
        <w:jc w:val="center"/>
        <w:rPr>
          <w:rFonts w:ascii="Arial" w:hAnsi="Arial" w:cs="Arial"/>
          <w:b/>
          <w:bCs/>
          <w:i/>
          <w:iCs/>
        </w:rPr>
      </w:pPr>
      <w:r>
        <w:rPr>
          <w:rFonts w:ascii="Arial" w:hAnsi="Arial" w:cs="Arial"/>
          <w:b/>
          <w:bCs/>
          <w:i/>
          <w:iCs/>
          <w:noProof/>
        </w:rPr>
        <w:drawing>
          <wp:inline distT="0" distB="0" distL="0" distR="0" wp14:anchorId="688349FF" wp14:editId="0FBA9FBF">
            <wp:extent cx="5287476" cy="2773152"/>
            <wp:effectExtent l="12700" t="12700" r="12700" b="12700"/>
            <wp:docPr id="1028"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9" cstate="print"/>
                    <a:srcRect/>
                    <a:stretch/>
                  </pic:blipFill>
                  <pic:spPr>
                    <a:xfrm>
                      <a:off x="0" y="0"/>
                      <a:ext cx="5287476" cy="2773152"/>
                    </a:xfrm>
                    <a:prstGeom prst="rect">
                      <a:avLst/>
                    </a:prstGeom>
                    <a:ln w="12700" cap="flat" cmpd="sng">
                      <a:solidFill>
                        <a:srgbClr val="000000"/>
                      </a:solidFill>
                      <a:prstDash val="solid"/>
                      <a:round/>
                      <a:headEnd/>
                      <a:tailEnd/>
                    </a:ln>
                  </pic:spPr>
                </pic:pic>
              </a:graphicData>
            </a:graphic>
          </wp:inline>
        </w:drawing>
      </w:r>
    </w:p>
    <w:p w14:paraId="1E788A82" w14:textId="77777777" w:rsidR="000A3F91" w:rsidRDefault="00000000">
      <w:pPr>
        <w:jc w:val="center"/>
        <w:rPr>
          <w:rFonts w:ascii="Arial" w:hAnsi="Arial" w:cs="Arial"/>
          <w:b/>
          <w:bCs/>
        </w:rPr>
      </w:pPr>
      <w:r>
        <w:rPr>
          <w:rFonts w:ascii="Arial" w:hAnsi="Arial" w:cs="Arial"/>
          <w:b/>
          <w:bCs/>
        </w:rPr>
        <w:t>Figure 3: Retail Channel Market in Mexico</w:t>
      </w:r>
    </w:p>
    <w:p w14:paraId="11666682" w14:textId="77777777" w:rsidR="000A3F91" w:rsidRDefault="00000000">
      <w:pPr>
        <w:jc w:val="center"/>
        <w:rPr>
          <w:rFonts w:ascii="Arial" w:hAnsi="Arial" w:cs="Arial"/>
        </w:rPr>
      </w:pPr>
      <w:r>
        <w:rPr>
          <w:rFonts w:ascii="Arial" w:hAnsi="Arial" w:cs="Arial"/>
        </w:rPr>
        <w:t>(Source: Mordor Intelligence, 2025)</w:t>
      </w:r>
    </w:p>
    <w:p w14:paraId="2077556E" w14:textId="77777777" w:rsidR="000A3F91" w:rsidRDefault="00000000">
      <w:pPr>
        <w:rPr>
          <w:rFonts w:ascii="Arial" w:hAnsi="Arial" w:cs="Arial"/>
        </w:rPr>
      </w:pPr>
      <w:r>
        <w:rPr>
          <w:rFonts w:ascii="Arial" w:hAnsi="Arial" w:cs="Arial"/>
        </w:rPr>
        <w:t>The analysis demonstrates that the FMCG environment in Mexico is quite competitive, with high buyer power and aggressive competition that puts the most pressure on multinationals. Large availability of substitutes and growing niche competitors also put further pressure on pricing and differentiation. Nonetheless, the global magnitude and strength of the br, along with the supply-chain competencies of Unilever, could counter numerous structural drawbacks. The success will rely on making the propositions value-based, deepening the relationship with the major retailers, and investing in category-based innovations. The competitive force is biased towards companies that can strike a balance between affordability and premiumisation and adjust quickly to the changing Mexican customer tastes and preferences.</w:t>
      </w:r>
    </w:p>
    <w:p w14:paraId="1D152C63" w14:textId="77777777" w:rsidR="000A3F91" w:rsidRDefault="00000000">
      <w:pPr>
        <w:pStyle w:val="Heading2"/>
        <w:rPr>
          <w:rFonts w:ascii="Arial" w:hAnsi="Arial" w:cs="Arial"/>
        </w:rPr>
      </w:pPr>
      <w:bookmarkStart w:id="16" w:name="_hp7is8n9ir48" w:colFirst="0" w:colLast="0"/>
      <w:bookmarkStart w:id="17" w:name="_Toc215485282"/>
      <w:bookmarkEnd w:id="16"/>
      <w:r>
        <w:rPr>
          <w:rFonts w:ascii="Arial" w:hAnsi="Arial" w:cs="Arial"/>
        </w:rPr>
        <w:lastRenderedPageBreak/>
        <w:t>3.3 VRIO Analysis of Unilever</w:t>
      </w:r>
      <w:bookmarkEnd w:id="17"/>
      <w:r>
        <w:rPr>
          <w:rFonts w:ascii="Arial" w:hAnsi="Arial" w:cs="Arial"/>
        </w:rPr>
        <w:t xml:space="preserve"> </w:t>
      </w:r>
    </w:p>
    <w:tbl>
      <w:tblPr>
        <w:tblStyle w:val="a1"/>
        <w:tblW w:w="90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25"/>
        <w:gridCol w:w="1125"/>
        <w:gridCol w:w="765"/>
        <w:gridCol w:w="1485"/>
        <w:gridCol w:w="1335"/>
        <w:gridCol w:w="1965"/>
      </w:tblGrid>
      <w:tr w:rsidR="000A3F91" w14:paraId="42940AE9" w14:textId="77777777">
        <w:trPr>
          <w:trHeight w:val="1085"/>
        </w:trPr>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549A1F" w14:textId="77777777" w:rsidR="000A3F91" w:rsidRDefault="00000000">
            <w:pPr>
              <w:jc w:val="center"/>
              <w:rPr>
                <w:rFonts w:ascii="Arial" w:hAnsi="Arial" w:cs="Arial"/>
                <w:b/>
                <w:bCs/>
              </w:rPr>
            </w:pPr>
            <w:r>
              <w:rPr>
                <w:rFonts w:ascii="Arial" w:hAnsi="Arial" w:cs="Arial"/>
                <w:b/>
                <w:bCs/>
              </w:rPr>
              <w:t>Resource / Capability</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A96E07" w14:textId="77777777" w:rsidR="000A3F91" w:rsidRDefault="00000000">
            <w:pPr>
              <w:jc w:val="center"/>
              <w:rPr>
                <w:rFonts w:ascii="Arial" w:hAnsi="Arial" w:cs="Arial"/>
                <w:b/>
                <w:bCs/>
              </w:rPr>
            </w:pPr>
            <w:r>
              <w:rPr>
                <w:rFonts w:ascii="Arial" w:hAnsi="Arial" w:cs="Arial"/>
                <w:b/>
                <w:bCs/>
              </w:rPr>
              <w:t>Valuable</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EEE96B" w14:textId="77777777" w:rsidR="000A3F91" w:rsidRDefault="00000000">
            <w:pPr>
              <w:jc w:val="center"/>
              <w:rPr>
                <w:rFonts w:ascii="Arial" w:hAnsi="Arial" w:cs="Arial"/>
                <w:b/>
                <w:bCs/>
              </w:rPr>
            </w:pPr>
            <w:r>
              <w:rPr>
                <w:rFonts w:ascii="Arial" w:hAnsi="Arial" w:cs="Arial"/>
                <w:b/>
                <w:bCs/>
              </w:rPr>
              <w:t>Rare</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7D96C5" w14:textId="77777777" w:rsidR="000A3F91" w:rsidRDefault="00000000">
            <w:pPr>
              <w:jc w:val="center"/>
              <w:rPr>
                <w:rFonts w:ascii="Arial" w:hAnsi="Arial" w:cs="Arial"/>
                <w:b/>
                <w:bCs/>
              </w:rPr>
            </w:pPr>
            <w:r>
              <w:rPr>
                <w:rFonts w:ascii="Arial" w:hAnsi="Arial" w:cs="Arial"/>
                <w:b/>
                <w:bCs/>
              </w:rPr>
              <w:t>Inimitable</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0DE8CB" w14:textId="77777777" w:rsidR="000A3F91" w:rsidRDefault="00000000">
            <w:pPr>
              <w:jc w:val="center"/>
              <w:rPr>
                <w:rFonts w:ascii="Arial" w:hAnsi="Arial" w:cs="Arial"/>
                <w:b/>
                <w:bCs/>
              </w:rPr>
            </w:pPr>
            <w:r>
              <w:rPr>
                <w:rFonts w:ascii="Arial" w:hAnsi="Arial" w:cs="Arial"/>
                <w:b/>
                <w:bCs/>
              </w:rPr>
              <w:t>Organised</w:t>
            </w:r>
          </w:p>
        </w:tc>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A89CCC" w14:textId="77777777" w:rsidR="000A3F91" w:rsidRDefault="00000000">
            <w:pPr>
              <w:jc w:val="center"/>
              <w:rPr>
                <w:rFonts w:ascii="Arial" w:hAnsi="Arial" w:cs="Arial"/>
                <w:b/>
                <w:bCs/>
              </w:rPr>
            </w:pPr>
            <w:r>
              <w:rPr>
                <w:rFonts w:ascii="Arial" w:hAnsi="Arial" w:cs="Arial"/>
                <w:b/>
                <w:bCs/>
              </w:rPr>
              <w:t>Competitive Implication</w:t>
            </w:r>
          </w:p>
        </w:tc>
      </w:tr>
      <w:tr w:rsidR="000A3F91" w14:paraId="635298B8" w14:textId="77777777">
        <w:trPr>
          <w:trHeight w:val="1085"/>
        </w:trPr>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736D74" w14:textId="77777777" w:rsidR="000A3F91" w:rsidRDefault="00000000">
            <w:pPr>
              <w:jc w:val="center"/>
              <w:rPr>
                <w:rFonts w:ascii="Arial" w:hAnsi="Arial" w:cs="Arial"/>
                <w:b/>
                <w:bCs/>
              </w:rPr>
            </w:pPr>
            <w:r>
              <w:rPr>
                <w:rFonts w:ascii="Arial" w:hAnsi="Arial" w:cs="Arial"/>
                <w:b/>
                <w:bCs/>
              </w:rPr>
              <w:t>Global Brand Portfolio (Dove, Lifebuoy, Knorr, Surf)</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3AC8B2" w14:textId="77777777" w:rsidR="000A3F91" w:rsidRDefault="00000000">
            <w:pPr>
              <w:jc w:val="center"/>
              <w:rPr>
                <w:rFonts w:ascii="Arial" w:hAnsi="Arial" w:cs="Arial"/>
                <w:b/>
                <w:bCs/>
              </w:rPr>
            </w:pPr>
            <w:r>
              <w:rPr>
                <w:rFonts w:ascii="Arial" w:hAnsi="Arial" w:cs="Arial"/>
              </w:rPr>
              <w:t>Yes</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20811" w14:textId="77777777" w:rsidR="000A3F91" w:rsidRDefault="00000000">
            <w:pPr>
              <w:jc w:val="center"/>
              <w:rPr>
                <w:rFonts w:ascii="Arial" w:hAnsi="Arial" w:cs="Arial"/>
                <w:b/>
                <w:bCs/>
              </w:rPr>
            </w:pPr>
            <w:r>
              <w:rPr>
                <w:rFonts w:ascii="Arial" w:hAnsi="Arial" w:cs="Arial"/>
              </w:rPr>
              <w:t>Yes</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6C3EE1" w14:textId="77777777" w:rsidR="000A3F91" w:rsidRDefault="00000000">
            <w:pPr>
              <w:jc w:val="center"/>
              <w:rPr>
                <w:rFonts w:ascii="Arial" w:hAnsi="Arial" w:cs="Arial"/>
                <w:b/>
                <w:bCs/>
              </w:rPr>
            </w:pPr>
            <w:r>
              <w:rPr>
                <w:rFonts w:ascii="Arial" w:hAnsi="Arial" w:cs="Arial"/>
              </w:rPr>
              <w:t>Yes</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B51B41" w14:textId="77777777" w:rsidR="000A3F91" w:rsidRDefault="00000000">
            <w:pPr>
              <w:jc w:val="center"/>
              <w:rPr>
                <w:rFonts w:ascii="Arial" w:hAnsi="Arial" w:cs="Arial"/>
                <w:b/>
                <w:bCs/>
              </w:rPr>
            </w:pPr>
            <w:r>
              <w:rPr>
                <w:rFonts w:ascii="Arial" w:hAnsi="Arial" w:cs="Arial"/>
              </w:rPr>
              <w:t>Yes</w:t>
            </w:r>
          </w:p>
        </w:tc>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E33419" w14:textId="77777777" w:rsidR="000A3F91" w:rsidRDefault="00000000">
            <w:pPr>
              <w:jc w:val="center"/>
              <w:rPr>
                <w:rFonts w:ascii="Arial" w:hAnsi="Arial" w:cs="Arial"/>
              </w:rPr>
            </w:pPr>
            <w:r>
              <w:rPr>
                <w:rFonts w:ascii="Arial" w:hAnsi="Arial" w:cs="Arial"/>
              </w:rPr>
              <w:t>Sustained Competitive Advantage</w:t>
            </w:r>
          </w:p>
        </w:tc>
      </w:tr>
      <w:tr w:rsidR="000A3F91" w14:paraId="01640A4A" w14:textId="77777777">
        <w:trPr>
          <w:trHeight w:val="1085"/>
        </w:trPr>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B9AB93" w14:textId="77777777" w:rsidR="000A3F91" w:rsidRDefault="00000000">
            <w:pPr>
              <w:jc w:val="center"/>
              <w:rPr>
                <w:rFonts w:ascii="Arial" w:hAnsi="Arial" w:cs="Arial"/>
                <w:b/>
                <w:bCs/>
              </w:rPr>
            </w:pPr>
            <w:r>
              <w:rPr>
                <w:rFonts w:ascii="Arial" w:hAnsi="Arial" w:cs="Arial"/>
                <w:b/>
                <w:bCs/>
              </w:rPr>
              <w:t>Scale &amp; Global Supply Chain Network</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F81359" w14:textId="77777777" w:rsidR="000A3F91" w:rsidRDefault="00000000">
            <w:pPr>
              <w:jc w:val="center"/>
              <w:rPr>
                <w:rFonts w:ascii="Arial" w:hAnsi="Arial" w:cs="Arial"/>
                <w:b/>
                <w:bCs/>
              </w:rPr>
            </w:pPr>
            <w:r>
              <w:rPr>
                <w:rFonts w:ascii="Arial" w:hAnsi="Arial" w:cs="Arial"/>
              </w:rPr>
              <w:t>Yes</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0B1B5D" w14:textId="77777777" w:rsidR="000A3F91" w:rsidRDefault="00000000">
            <w:pPr>
              <w:jc w:val="center"/>
              <w:rPr>
                <w:rFonts w:ascii="Arial" w:hAnsi="Arial" w:cs="Arial"/>
                <w:b/>
                <w:bCs/>
              </w:rPr>
            </w:pPr>
            <w:r>
              <w:rPr>
                <w:rFonts w:ascii="Arial" w:hAnsi="Arial" w:cs="Arial"/>
              </w:rPr>
              <w:t>Yes</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25BD6A" w14:textId="77777777" w:rsidR="000A3F91" w:rsidRDefault="00000000">
            <w:pPr>
              <w:jc w:val="center"/>
              <w:rPr>
                <w:rFonts w:ascii="Arial" w:hAnsi="Arial" w:cs="Arial"/>
                <w:b/>
                <w:bCs/>
              </w:rPr>
            </w:pPr>
            <w:r>
              <w:rPr>
                <w:rFonts w:ascii="Arial" w:hAnsi="Arial" w:cs="Arial"/>
              </w:rPr>
              <w:t>No</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E0644D" w14:textId="77777777" w:rsidR="000A3F91" w:rsidRDefault="00000000">
            <w:pPr>
              <w:jc w:val="center"/>
              <w:rPr>
                <w:rFonts w:ascii="Arial" w:hAnsi="Arial" w:cs="Arial"/>
                <w:b/>
                <w:bCs/>
              </w:rPr>
            </w:pPr>
            <w:r>
              <w:rPr>
                <w:rFonts w:ascii="Arial" w:hAnsi="Arial" w:cs="Arial"/>
              </w:rPr>
              <w:t>Yes</w:t>
            </w:r>
          </w:p>
        </w:tc>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749AD0" w14:textId="77777777" w:rsidR="000A3F91" w:rsidRDefault="00000000">
            <w:pPr>
              <w:jc w:val="center"/>
              <w:rPr>
                <w:rFonts w:ascii="Arial" w:hAnsi="Arial" w:cs="Arial"/>
              </w:rPr>
            </w:pPr>
            <w:r>
              <w:rPr>
                <w:rFonts w:ascii="Arial" w:hAnsi="Arial" w:cs="Arial"/>
              </w:rPr>
              <w:t>Temporary Competitive Advantage</w:t>
            </w:r>
          </w:p>
        </w:tc>
      </w:tr>
      <w:tr w:rsidR="000A3F91" w14:paraId="4659B474" w14:textId="77777777">
        <w:trPr>
          <w:trHeight w:val="1085"/>
        </w:trPr>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EB5B7F" w14:textId="77777777" w:rsidR="000A3F91" w:rsidRDefault="00000000">
            <w:pPr>
              <w:jc w:val="center"/>
              <w:rPr>
                <w:rFonts w:ascii="Arial" w:hAnsi="Arial" w:cs="Arial"/>
                <w:b/>
                <w:bCs/>
              </w:rPr>
            </w:pPr>
            <w:r>
              <w:rPr>
                <w:rFonts w:ascii="Arial" w:hAnsi="Arial" w:cs="Arial"/>
                <w:b/>
                <w:bCs/>
              </w:rPr>
              <w:t>R&amp;D Capability &amp; Innovation Centres</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221431" w14:textId="77777777" w:rsidR="000A3F91" w:rsidRDefault="00000000">
            <w:pPr>
              <w:jc w:val="center"/>
              <w:rPr>
                <w:rFonts w:ascii="Arial" w:hAnsi="Arial" w:cs="Arial"/>
                <w:b/>
                <w:bCs/>
              </w:rPr>
            </w:pPr>
            <w:r>
              <w:rPr>
                <w:rFonts w:ascii="Arial" w:hAnsi="Arial" w:cs="Arial"/>
              </w:rPr>
              <w:t>Yes</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6D8752" w14:textId="77777777" w:rsidR="000A3F91" w:rsidRDefault="00000000">
            <w:pPr>
              <w:jc w:val="center"/>
              <w:rPr>
                <w:rFonts w:ascii="Arial" w:hAnsi="Arial" w:cs="Arial"/>
                <w:b/>
                <w:bCs/>
              </w:rPr>
            </w:pPr>
            <w:r>
              <w:rPr>
                <w:rFonts w:ascii="Arial" w:hAnsi="Arial" w:cs="Arial"/>
              </w:rPr>
              <w:t>Yes</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ED47BB" w14:textId="77777777" w:rsidR="000A3F91" w:rsidRDefault="00000000">
            <w:pPr>
              <w:jc w:val="center"/>
              <w:rPr>
                <w:rFonts w:ascii="Arial" w:hAnsi="Arial" w:cs="Arial"/>
                <w:b/>
                <w:bCs/>
              </w:rPr>
            </w:pPr>
            <w:r>
              <w:rPr>
                <w:rFonts w:ascii="Arial" w:hAnsi="Arial" w:cs="Arial"/>
              </w:rPr>
              <w:t>Yes</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E59CFC" w14:textId="77777777" w:rsidR="000A3F91" w:rsidRDefault="00000000">
            <w:pPr>
              <w:jc w:val="center"/>
              <w:rPr>
                <w:rFonts w:ascii="Arial" w:hAnsi="Arial" w:cs="Arial"/>
                <w:b/>
                <w:bCs/>
              </w:rPr>
            </w:pPr>
            <w:r>
              <w:rPr>
                <w:rFonts w:ascii="Arial" w:hAnsi="Arial" w:cs="Arial"/>
              </w:rPr>
              <w:t>Yes</w:t>
            </w:r>
          </w:p>
        </w:tc>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C45766" w14:textId="77777777" w:rsidR="000A3F91" w:rsidRDefault="00000000">
            <w:pPr>
              <w:jc w:val="center"/>
              <w:rPr>
                <w:rFonts w:ascii="Arial" w:hAnsi="Arial" w:cs="Arial"/>
              </w:rPr>
            </w:pPr>
            <w:r>
              <w:rPr>
                <w:rFonts w:ascii="Arial" w:hAnsi="Arial" w:cs="Arial"/>
              </w:rPr>
              <w:t>Sustained Competitive Advantage</w:t>
            </w:r>
          </w:p>
        </w:tc>
      </w:tr>
      <w:tr w:rsidR="000A3F91" w14:paraId="61DCFB07" w14:textId="77777777">
        <w:trPr>
          <w:trHeight w:val="1370"/>
        </w:trPr>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6C9C28" w14:textId="77777777" w:rsidR="000A3F91" w:rsidRDefault="00000000">
            <w:pPr>
              <w:jc w:val="center"/>
              <w:rPr>
                <w:rFonts w:ascii="Arial" w:hAnsi="Arial" w:cs="Arial"/>
                <w:b/>
                <w:bCs/>
              </w:rPr>
            </w:pPr>
            <w:r>
              <w:rPr>
                <w:rFonts w:ascii="Arial" w:hAnsi="Arial" w:cs="Arial"/>
                <w:b/>
                <w:bCs/>
              </w:rPr>
              <w:t>Sustainability Leadership &amp; Unilever Compass Strategy</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AF9874" w14:textId="77777777" w:rsidR="000A3F91" w:rsidRDefault="00000000">
            <w:pPr>
              <w:jc w:val="center"/>
              <w:rPr>
                <w:rFonts w:ascii="Arial" w:hAnsi="Arial" w:cs="Arial"/>
                <w:b/>
                <w:bCs/>
              </w:rPr>
            </w:pPr>
            <w:r>
              <w:rPr>
                <w:rFonts w:ascii="Arial" w:hAnsi="Arial" w:cs="Arial"/>
              </w:rPr>
              <w:t>Yes</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785F99" w14:textId="77777777" w:rsidR="000A3F91" w:rsidRDefault="00000000">
            <w:pPr>
              <w:jc w:val="center"/>
              <w:rPr>
                <w:rFonts w:ascii="Arial" w:hAnsi="Arial" w:cs="Arial"/>
                <w:b/>
                <w:bCs/>
              </w:rPr>
            </w:pPr>
            <w:r>
              <w:rPr>
                <w:rFonts w:ascii="Arial" w:hAnsi="Arial" w:cs="Arial"/>
              </w:rPr>
              <w:t>Yes</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F85909" w14:textId="77777777" w:rsidR="000A3F91" w:rsidRDefault="00000000">
            <w:pPr>
              <w:jc w:val="center"/>
              <w:rPr>
                <w:rFonts w:ascii="Arial" w:hAnsi="Arial" w:cs="Arial"/>
                <w:b/>
                <w:bCs/>
              </w:rPr>
            </w:pPr>
            <w:r>
              <w:rPr>
                <w:rFonts w:ascii="Arial" w:hAnsi="Arial" w:cs="Arial"/>
              </w:rPr>
              <w:t>Yes</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7C69D6" w14:textId="77777777" w:rsidR="000A3F91" w:rsidRDefault="00000000">
            <w:pPr>
              <w:jc w:val="center"/>
              <w:rPr>
                <w:rFonts w:ascii="Arial" w:hAnsi="Arial" w:cs="Arial"/>
                <w:b/>
                <w:bCs/>
              </w:rPr>
            </w:pPr>
            <w:r>
              <w:rPr>
                <w:rFonts w:ascii="Arial" w:hAnsi="Arial" w:cs="Arial"/>
              </w:rPr>
              <w:t>Yes</w:t>
            </w:r>
          </w:p>
        </w:tc>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F52018" w14:textId="77777777" w:rsidR="000A3F91" w:rsidRDefault="00000000">
            <w:pPr>
              <w:jc w:val="center"/>
              <w:rPr>
                <w:rFonts w:ascii="Arial" w:hAnsi="Arial" w:cs="Arial"/>
              </w:rPr>
            </w:pPr>
            <w:r>
              <w:rPr>
                <w:rFonts w:ascii="Arial" w:hAnsi="Arial" w:cs="Arial"/>
              </w:rPr>
              <w:t>Sustained Competitive Advantage</w:t>
            </w:r>
          </w:p>
        </w:tc>
      </w:tr>
      <w:tr w:rsidR="000A3F91" w14:paraId="3DB391A7" w14:textId="77777777">
        <w:trPr>
          <w:trHeight w:val="1085"/>
        </w:trPr>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97323A" w14:textId="77777777" w:rsidR="000A3F91" w:rsidRDefault="00000000">
            <w:pPr>
              <w:jc w:val="center"/>
              <w:rPr>
                <w:rFonts w:ascii="Arial" w:hAnsi="Arial" w:cs="Arial"/>
                <w:b/>
                <w:bCs/>
              </w:rPr>
            </w:pPr>
            <w:r>
              <w:rPr>
                <w:rFonts w:ascii="Arial" w:hAnsi="Arial" w:cs="Arial"/>
                <w:b/>
                <w:bCs/>
              </w:rPr>
              <w:t>Marketing Expertise &amp; Consumer Insight Systems</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6ED07C" w14:textId="77777777" w:rsidR="000A3F91" w:rsidRDefault="00000000">
            <w:pPr>
              <w:jc w:val="center"/>
              <w:rPr>
                <w:rFonts w:ascii="Arial" w:hAnsi="Arial" w:cs="Arial"/>
                <w:b/>
                <w:bCs/>
              </w:rPr>
            </w:pPr>
            <w:r>
              <w:rPr>
                <w:rFonts w:ascii="Arial" w:hAnsi="Arial" w:cs="Arial"/>
              </w:rPr>
              <w:t>Yes</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40F0CC" w14:textId="77777777" w:rsidR="000A3F91" w:rsidRDefault="00000000">
            <w:pPr>
              <w:jc w:val="center"/>
              <w:rPr>
                <w:rFonts w:ascii="Arial" w:hAnsi="Arial" w:cs="Arial"/>
                <w:b/>
                <w:bCs/>
              </w:rPr>
            </w:pPr>
            <w:r>
              <w:rPr>
                <w:rFonts w:ascii="Arial" w:hAnsi="Arial" w:cs="Arial"/>
              </w:rPr>
              <w:t>Yes</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62B473" w14:textId="77777777" w:rsidR="000A3F91" w:rsidRDefault="00000000">
            <w:pPr>
              <w:jc w:val="center"/>
              <w:rPr>
                <w:rFonts w:ascii="Arial" w:hAnsi="Arial" w:cs="Arial"/>
                <w:b/>
                <w:bCs/>
              </w:rPr>
            </w:pPr>
            <w:r>
              <w:rPr>
                <w:rFonts w:ascii="Arial" w:hAnsi="Arial" w:cs="Arial"/>
              </w:rPr>
              <w:t>No</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B180A8" w14:textId="77777777" w:rsidR="000A3F91" w:rsidRDefault="00000000">
            <w:pPr>
              <w:jc w:val="center"/>
              <w:rPr>
                <w:rFonts w:ascii="Arial" w:hAnsi="Arial" w:cs="Arial"/>
                <w:b/>
                <w:bCs/>
              </w:rPr>
            </w:pPr>
            <w:r>
              <w:rPr>
                <w:rFonts w:ascii="Arial" w:hAnsi="Arial" w:cs="Arial"/>
              </w:rPr>
              <w:t>Yes</w:t>
            </w:r>
          </w:p>
        </w:tc>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A1A7E9" w14:textId="77777777" w:rsidR="000A3F91" w:rsidRDefault="00000000">
            <w:pPr>
              <w:jc w:val="center"/>
              <w:rPr>
                <w:rFonts w:ascii="Arial" w:hAnsi="Arial" w:cs="Arial"/>
              </w:rPr>
            </w:pPr>
            <w:r>
              <w:rPr>
                <w:rFonts w:ascii="Arial" w:hAnsi="Arial" w:cs="Arial"/>
              </w:rPr>
              <w:t>Temporary Competitive Advantage</w:t>
            </w:r>
          </w:p>
        </w:tc>
      </w:tr>
      <w:tr w:rsidR="000A3F91" w14:paraId="12105BAC" w14:textId="77777777">
        <w:trPr>
          <w:trHeight w:val="1085"/>
        </w:trPr>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E77ED3" w14:textId="77777777" w:rsidR="000A3F91" w:rsidRDefault="00000000">
            <w:pPr>
              <w:jc w:val="center"/>
              <w:rPr>
                <w:rFonts w:ascii="Arial" w:hAnsi="Arial" w:cs="Arial"/>
                <w:b/>
                <w:bCs/>
              </w:rPr>
            </w:pPr>
            <w:r>
              <w:rPr>
                <w:rFonts w:ascii="Arial" w:hAnsi="Arial" w:cs="Arial"/>
                <w:b/>
                <w:bCs/>
              </w:rPr>
              <w:t>Digital &amp; Data Analytics Capability</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F91F3F" w14:textId="77777777" w:rsidR="000A3F91" w:rsidRDefault="00000000">
            <w:pPr>
              <w:jc w:val="center"/>
              <w:rPr>
                <w:rFonts w:ascii="Arial" w:hAnsi="Arial" w:cs="Arial"/>
                <w:b/>
                <w:bCs/>
              </w:rPr>
            </w:pPr>
            <w:r>
              <w:rPr>
                <w:rFonts w:ascii="Arial" w:hAnsi="Arial" w:cs="Arial"/>
              </w:rPr>
              <w:t>Yes</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308F60" w14:textId="77777777" w:rsidR="000A3F91" w:rsidRDefault="00000000">
            <w:pPr>
              <w:jc w:val="center"/>
              <w:rPr>
                <w:rFonts w:ascii="Arial" w:hAnsi="Arial" w:cs="Arial"/>
                <w:b/>
                <w:bCs/>
              </w:rPr>
            </w:pPr>
            <w:r>
              <w:rPr>
                <w:rFonts w:ascii="Arial" w:hAnsi="Arial" w:cs="Arial"/>
              </w:rPr>
              <w:t>No</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F92765" w14:textId="77777777" w:rsidR="000A3F91" w:rsidRDefault="00000000">
            <w:pPr>
              <w:jc w:val="center"/>
              <w:rPr>
                <w:rFonts w:ascii="Arial" w:hAnsi="Arial" w:cs="Arial"/>
                <w:b/>
                <w:bCs/>
              </w:rPr>
            </w:pPr>
            <w:r>
              <w:rPr>
                <w:rFonts w:ascii="Arial" w:hAnsi="Arial" w:cs="Arial"/>
              </w:rPr>
              <w:t>No</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693F83" w14:textId="77777777" w:rsidR="000A3F91" w:rsidRDefault="00000000">
            <w:pPr>
              <w:jc w:val="center"/>
              <w:rPr>
                <w:rFonts w:ascii="Arial" w:hAnsi="Arial" w:cs="Arial"/>
                <w:b/>
                <w:bCs/>
              </w:rPr>
            </w:pPr>
            <w:r>
              <w:rPr>
                <w:rFonts w:ascii="Arial" w:hAnsi="Arial" w:cs="Arial"/>
              </w:rPr>
              <w:t>Yes</w:t>
            </w:r>
          </w:p>
        </w:tc>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B634B2" w14:textId="77777777" w:rsidR="000A3F91" w:rsidRDefault="00000000">
            <w:pPr>
              <w:jc w:val="center"/>
              <w:rPr>
                <w:rFonts w:ascii="Arial" w:hAnsi="Arial" w:cs="Arial"/>
              </w:rPr>
            </w:pPr>
            <w:r>
              <w:rPr>
                <w:rFonts w:ascii="Arial" w:hAnsi="Arial" w:cs="Arial"/>
              </w:rPr>
              <w:t>Competitive Parity / Short-Term Advantage</w:t>
            </w:r>
          </w:p>
        </w:tc>
      </w:tr>
      <w:tr w:rsidR="000A3F91" w14:paraId="50F0B1B7" w14:textId="77777777">
        <w:trPr>
          <w:trHeight w:val="800"/>
        </w:trPr>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998D9C" w14:textId="77777777" w:rsidR="000A3F91" w:rsidRDefault="00000000">
            <w:pPr>
              <w:jc w:val="center"/>
              <w:rPr>
                <w:rFonts w:ascii="Arial" w:hAnsi="Arial" w:cs="Arial"/>
                <w:b/>
                <w:bCs/>
              </w:rPr>
            </w:pPr>
            <w:r>
              <w:rPr>
                <w:rFonts w:ascii="Arial" w:hAnsi="Arial" w:cs="Arial"/>
                <w:b/>
                <w:bCs/>
              </w:rPr>
              <w:t xml:space="preserve">Financial Resources &amp; </w:t>
            </w:r>
            <w:r>
              <w:rPr>
                <w:rFonts w:ascii="Arial" w:hAnsi="Arial" w:cs="Arial"/>
                <w:b/>
                <w:bCs/>
              </w:rPr>
              <w:lastRenderedPageBreak/>
              <w:t>Investment Capacity</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DA4F05" w14:textId="77777777" w:rsidR="000A3F91" w:rsidRDefault="00000000">
            <w:pPr>
              <w:jc w:val="center"/>
              <w:rPr>
                <w:rFonts w:ascii="Arial" w:hAnsi="Arial" w:cs="Arial"/>
                <w:b/>
                <w:bCs/>
              </w:rPr>
            </w:pPr>
            <w:r>
              <w:rPr>
                <w:rFonts w:ascii="Arial" w:hAnsi="Arial" w:cs="Arial"/>
              </w:rPr>
              <w:lastRenderedPageBreak/>
              <w:t>Yes</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16593F" w14:textId="77777777" w:rsidR="000A3F91" w:rsidRDefault="00000000">
            <w:pPr>
              <w:jc w:val="center"/>
              <w:rPr>
                <w:rFonts w:ascii="Arial" w:hAnsi="Arial" w:cs="Arial"/>
                <w:b/>
                <w:bCs/>
              </w:rPr>
            </w:pPr>
            <w:r>
              <w:rPr>
                <w:rFonts w:ascii="Arial" w:hAnsi="Arial" w:cs="Arial"/>
              </w:rPr>
              <w:t>No</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6A84F9" w14:textId="77777777" w:rsidR="000A3F91" w:rsidRDefault="00000000">
            <w:pPr>
              <w:jc w:val="center"/>
              <w:rPr>
                <w:rFonts w:ascii="Arial" w:hAnsi="Arial" w:cs="Arial"/>
                <w:b/>
                <w:bCs/>
              </w:rPr>
            </w:pPr>
            <w:r>
              <w:rPr>
                <w:rFonts w:ascii="Arial" w:hAnsi="Arial" w:cs="Arial"/>
              </w:rPr>
              <w:t>No</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7C4269" w14:textId="77777777" w:rsidR="000A3F91" w:rsidRDefault="00000000">
            <w:pPr>
              <w:jc w:val="center"/>
              <w:rPr>
                <w:rFonts w:ascii="Arial" w:hAnsi="Arial" w:cs="Arial"/>
                <w:b/>
                <w:bCs/>
              </w:rPr>
            </w:pPr>
            <w:r>
              <w:rPr>
                <w:rFonts w:ascii="Arial" w:hAnsi="Arial" w:cs="Arial"/>
              </w:rPr>
              <w:t>Yes</w:t>
            </w:r>
          </w:p>
        </w:tc>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0C9D05" w14:textId="77777777" w:rsidR="000A3F91" w:rsidRDefault="00000000">
            <w:pPr>
              <w:jc w:val="center"/>
              <w:rPr>
                <w:rFonts w:ascii="Arial" w:hAnsi="Arial" w:cs="Arial"/>
              </w:rPr>
            </w:pPr>
            <w:r>
              <w:rPr>
                <w:rFonts w:ascii="Arial" w:hAnsi="Arial" w:cs="Arial"/>
              </w:rPr>
              <w:t>Competitive Parity</w:t>
            </w:r>
          </w:p>
        </w:tc>
      </w:tr>
      <w:tr w:rsidR="000A3F91" w14:paraId="6B2E22BB" w14:textId="77777777">
        <w:trPr>
          <w:trHeight w:val="1085"/>
        </w:trPr>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DE9EB6" w14:textId="77777777" w:rsidR="000A3F91" w:rsidRDefault="00000000">
            <w:pPr>
              <w:jc w:val="center"/>
              <w:rPr>
                <w:rFonts w:ascii="Arial" w:hAnsi="Arial" w:cs="Arial"/>
                <w:b/>
                <w:bCs/>
              </w:rPr>
            </w:pPr>
            <w:r>
              <w:rPr>
                <w:rFonts w:ascii="Arial" w:hAnsi="Arial" w:cs="Arial"/>
                <w:b/>
                <w:bCs/>
              </w:rPr>
              <w:t>Local Partnerships &amp; Distributor Relationships</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7B6ECE" w14:textId="77777777" w:rsidR="000A3F91" w:rsidRDefault="00000000">
            <w:pPr>
              <w:jc w:val="center"/>
              <w:rPr>
                <w:rFonts w:ascii="Arial" w:hAnsi="Arial" w:cs="Arial"/>
                <w:b/>
                <w:bCs/>
              </w:rPr>
            </w:pPr>
            <w:r>
              <w:rPr>
                <w:rFonts w:ascii="Arial" w:hAnsi="Arial" w:cs="Arial"/>
              </w:rPr>
              <w:t>Yes</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56A1A2" w14:textId="77777777" w:rsidR="000A3F91" w:rsidRDefault="00000000">
            <w:pPr>
              <w:jc w:val="center"/>
              <w:rPr>
                <w:rFonts w:ascii="Arial" w:hAnsi="Arial" w:cs="Arial"/>
                <w:b/>
                <w:bCs/>
              </w:rPr>
            </w:pPr>
            <w:r>
              <w:rPr>
                <w:rFonts w:ascii="Arial" w:hAnsi="Arial" w:cs="Arial"/>
              </w:rPr>
              <w:t>No</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83CB06" w14:textId="77777777" w:rsidR="000A3F91" w:rsidRDefault="00000000">
            <w:pPr>
              <w:jc w:val="center"/>
              <w:rPr>
                <w:rFonts w:ascii="Arial" w:hAnsi="Arial" w:cs="Arial"/>
                <w:b/>
                <w:bCs/>
              </w:rPr>
            </w:pPr>
            <w:r>
              <w:rPr>
                <w:rFonts w:ascii="Arial" w:hAnsi="Arial" w:cs="Arial"/>
              </w:rPr>
              <w:t>No</w:t>
            </w:r>
          </w:p>
        </w:tc>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1072BC" w14:textId="77777777" w:rsidR="000A3F91" w:rsidRDefault="00000000">
            <w:pPr>
              <w:jc w:val="center"/>
              <w:rPr>
                <w:rFonts w:ascii="Arial" w:hAnsi="Arial" w:cs="Arial"/>
                <w:b/>
                <w:bCs/>
              </w:rPr>
            </w:pPr>
            <w:bookmarkStart w:id="18" w:name="_28xngnt179nf" w:colFirst="0" w:colLast="0"/>
            <w:bookmarkEnd w:id="18"/>
            <w:r>
              <w:rPr>
                <w:rFonts w:ascii="Arial" w:hAnsi="Arial" w:cs="Arial"/>
              </w:rPr>
              <w:t>Yes</w:t>
            </w:r>
          </w:p>
        </w:tc>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0E49B3" w14:textId="77777777" w:rsidR="000A3F91" w:rsidRDefault="00000000">
            <w:pPr>
              <w:jc w:val="center"/>
              <w:rPr>
                <w:rFonts w:ascii="Arial" w:hAnsi="Arial" w:cs="Arial"/>
              </w:rPr>
            </w:pPr>
            <w:bookmarkStart w:id="19" w:name="_x6hnwr1aq5l" w:colFirst="0" w:colLast="0"/>
            <w:bookmarkEnd w:id="19"/>
            <w:r>
              <w:rPr>
                <w:rFonts w:ascii="Arial" w:hAnsi="Arial" w:cs="Arial"/>
              </w:rPr>
              <w:t>Competitive Parity</w:t>
            </w:r>
          </w:p>
        </w:tc>
      </w:tr>
    </w:tbl>
    <w:p w14:paraId="63F73D71" w14:textId="77777777" w:rsidR="000A3F91" w:rsidRDefault="00000000">
      <w:pPr>
        <w:jc w:val="center"/>
        <w:rPr>
          <w:rFonts w:ascii="Arial" w:hAnsi="Arial" w:cs="Arial"/>
          <w:b/>
          <w:bCs/>
        </w:rPr>
      </w:pPr>
      <w:bookmarkStart w:id="20" w:name="_47mk7nx3m1i0" w:colFirst="0" w:colLast="0"/>
      <w:bookmarkEnd w:id="20"/>
      <w:r>
        <w:rPr>
          <w:rFonts w:ascii="Arial" w:hAnsi="Arial" w:cs="Arial"/>
          <w:b/>
          <w:bCs/>
        </w:rPr>
        <w:t>Table 3: VRIO Analysis of Unilever</w:t>
      </w:r>
    </w:p>
    <w:p w14:paraId="1EFD0C44" w14:textId="77777777" w:rsidR="000A3F91" w:rsidRDefault="00000000">
      <w:pPr>
        <w:jc w:val="center"/>
        <w:rPr>
          <w:rFonts w:ascii="Arial" w:hAnsi="Arial" w:cs="Arial"/>
        </w:rPr>
      </w:pPr>
      <w:r>
        <w:rPr>
          <w:rFonts w:ascii="Arial" w:hAnsi="Arial" w:cs="Arial"/>
        </w:rPr>
        <w:t>(Source: Self-Developed)</w:t>
      </w:r>
    </w:p>
    <w:p w14:paraId="6CCC5BFA" w14:textId="77777777" w:rsidR="000A3F91" w:rsidRDefault="00000000">
      <w:pPr>
        <w:rPr>
          <w:rFonts w:ascii="Arial" w:hAnsi="Arial" w:cs="Arial"/>
          <w:b/>
          <w:bCs/>
          <w:i/>
          <w:iCs/>
        </w:rPr>
      </w:pPr>
      <w:bookmarkStart w:id="21" w:name="_y33rtwo09vxk" w:colFirst="0" w:colLast="0"/>
      <w:bookmarkEnd w:id="21"/>
      <w:r>
        <w:rPr>
          <w:rFonts w:ascii="Arial" w:hAnsi="Arial" w:cs="Arial"/>
          <w:b/>
          <w:bCs/>
          <w:i/>
          <w:iCs/>
        </w:rPr>
        <w:t>Analysis</w:t>
      </w:r>
    </w:p>
    <w:p w14:paraId="76F16666" w14:textId="77777777" w:rsidR="000A3F91" w:rsidRDefault="00000000">
      <w:pPr>
        <w:rPr>
          <w:rFonts w:ascii="Arial" w:hAnsi="Arial" w:cs="Arial"/>
        </w:rPr>
      </w:pPr>
      <w:r>
        <w:rPr>
          <w:rFonts w:ascii="Arial" w:hAnsi="Arial" w:cs="Arial"/>
        </w:rPr>
        <w:t xml:space="preserve">The VRIO analysis shows that Unilever has some strategically relevant resources that can create long-term competitive advantage in the Mexican FMCG market. Its international brand portfolio, which has earned decades of trust, investment in marketing and cultural sensitivity, is valuable and scarce. The brands do not easily get an imitator since they have embedded equity, emotional positioning and long-term category leadership, thus Unilever is in a position to dictate high differentiation. </w:t>
      </w:r>
    </w:p>
    <w:p w14:paraId="25F25C81" w14:textId="77777777" w:rsidR="000A3F91" w:rsidRDefault="00000000">
      <w:pPr>
        <w:pStyle w:val="Heading2"/>
        <w:rPr>
          <w:rFonts w:ascii="Arial" w:hAnsi="Arial" w:cs="Arial"/>
        </w:rPr>
      </w:pPr>
      <w:bookmarkStart w:id="22" w:name="_comuahm9egut" w:colFirst="0" w:colLast="0"/>
      <w:bookmarkStart w:id="23" w:name="_Toc215485283"/>
      <w:bookmarkEnd w:id="22"/>
      <w:r>
        <w:rPr>
          <w:rFonts w:ascii="Arial" w:hAnsi="Arial" w:cs="Arial"/>
        </w:rPr>
        <w:t>3.4 Porter’s Diamond Model - Mexico’s National Competitiveness</w:t>
      </w:r>
      <w:bookmarkEnd w:id="23"/>
    </w:p>
    <w:tbl>
      <w:tblPr>
        <w:tblStyle w:val="a2"/>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63"/>
        <w:gridCol w:w="7162"/>
      </w:tblGrid>
      <w:tr w:rsidR="000A3F91" w14:paraId="409ED7F9" w14:textId="77777777">
        <w:trPr>
          <w:trHeight w:val="515"/>
        </w:trPr>
        <w:tc>
          <w:tcPr>
            <w:tcW w:w="18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D387AB" w14:textId="77777777" w:rsidR="000A3F91" w:rsidRDefault="00000000">
            <w:pPr>
              <w:jc w:val="center"/>
              <w:rPr>
                <w:rFonts w:ascii="Arial" w:hAnsi="Arial" w:cs="Arial"/>
              </w:rPr>
            </w:pPr>
            <w:r>
              <w:rPr>
                <w:rFonts w:ascii="Arial" w:hAnsi="Arial" w:cs="Arial"/>
                <w:b/>
                <w:bCs/>
              </w:rPr>
              <w:t>Element</w:t>
            </w:r>
          </w:p>
        </w:tc>
        <w:tc>
          <w:tcPr>
            <w:tcW w:w="71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089DEA" w14:textId="77777777" w:rsidR="000A3F91" w:rsidRDefault="00000000">
            <w:pPr>
              <w:jc w:val="center"/>
              <w:rPr>
                <w:rFonts w:ascii="Arial" w:hAnsi="Arial" w:cs="Arial"/>
              </w:rPr>
            </w:pPr>
            <w:r>
              <w:rPr>
                <w:rFonts w:ascii="Arial" w:hAnsi="Arial" w:cs="Arial"/>
                <w:b/>
                <w:bCs/>
              </w:rPr>
              <w:t>Assessment of Mexico’s Competitiveness</w:t>
            </w:r>
          </w:p>
        </w:tc>
      </w:tr>
      <w:tr w:rsidR="000A3F91" w14:paraId="24BFFB69" w14:textId="77777777">
        <w:trPr>
          <w:trHeight w:val="1640"/>
        </w:trPr>
        <w:tc>
          <w:tcPr>
            <w:tcW w:w="18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D04D9D" w14:textId="77777777" w:rsidR="000A3F91" w:rsidRDefault="00000000">
            <w:pPr>
              <w:rPr>
                <w:rFonts w:ascii="Arial" w:hAnsi="Arial" w:cs="Arial"/>
              </w:rPr>
            </w:pPr>
            <w:r>
              <w:rPr>
                <w:rFonts w:ascii="Arial" w:hAnsi="Arial" w:cs="Arial"/>
                <w:b/>
                <w:bCs/>
              </w:rPr>
              <w:t>Chance</w:t>
            </w:r>
          </w:p>
        </w:tc>
        <w:tc>
          <w:tcPr>
            <w:tcW w:w="71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3E57ED" w14:textId="77777777" w:rsidR="000A3F91" w:rsidRDefault="00000000">
            <w:pPr>
              <w:rPr>
                <w:rFonts w:ascii="Arial" w:hAnsi="Arial" w:cs="Arial"/>
              </w:rPr>
            </w:pPr>
            <w:r>
              <w:rPr>
                <w:rFonts w:ascii="Arial" w:hAnsi="Arial" w:cs="Arial"/>
              </w:rPr>
              <w:t>External shocks such as global commodity volatility, currency fluctuations and shifts in US trade policies influence Mexico’s FMCG conditions. Nearshoring trends and post-pandemic health priorities create unexpected opportunities for expanding hygiene, nutrition and sustainable consumer categories.</w:t>
            </w:r>
          </w:p>
        </w:tc>
      </w:tr>
      <w:tr w:rsidR="000A3F91" w14:paraId="630EEF21" w14:textId="77777777">
        <w:trPr>
          <w:trHeight w:val="1925"/>
        </w:trPr>
        <w:tc>
          <w:tcPr>
            <w:tcW w:w="18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1CBC97" w14:textId="77777777" w:rsidR="000A3F91" w:rsidRDefault="00000000">
            <w:pPr>
              <w:rPr>
                <w:rFonts w:ascii="Arial" w:hAnsi="Arial" w:cs="Arial"/>
              </w:rPr>
            </w:pPr>
            <w:r>
              <w:rPr>
                <w:rFonts w:ascii="Arial" w:hAnsi="Arial" w:cs="Arial"/>
                <w:b/>
                <w:bCs/>
              </w:rPr>
              <w:t>Firm Strategy, Structure and Rivalry</w:t>
            </w:r>
          </w:p>
        </w:tc>
        <w:tc>
          <w:tcPr>
            <w:tcW w:w="71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7BD7B5" w14:textId="77777777" w:rsidR="000A3F91" w:rsidRDefault="00000000">
            <w:pPr>
              <w:rPr>
                <w:rFonts w:ascii="Arial" w:hAnsi="Arial" w:cs="Arial"/>
              </w:rPr>
            </w:pPr>
            <w:r>
              <w:rPr>
                <w:rFonts w:ascii="Arial" w:hAnsi="Arial" w:cs="Arial"/>
              </w:rPr>
              <w:t>Mexico’s FMCG landscape is highly competitive, dominated by global leaders like P&amp;G, Nestlé and Colgate-Palmolive, alongside strong regional players. Competitive intensity drives pricing discipline, rapid innovation cycles and increasing sustainability commitments, pushing firms to differentiate through product reformulation, marketing and omnichannel execution.</w:t>
            </w:r>
          </w:p>
        </w:tc>
      </w:tr>
      <w:tr w:rsidR="000A3F91" w14:paraId="35CABD30" w14:textId="77777777">
        <w:trPr>
          <w:trHeight w:val="1925"/>
        </w:trPr>
        <w:tc>
          <w:tcPr>
            <w:tcW w:w="18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F89D8E" w14:textId="77777777" w:rsidR="000A3F91" w:rsidRDefault="00000000">
            <w:pPr>
              <w:rPr>
                <w:rFonts w:ascii="Arial" w:hAnsi="Arial" w:cs="Arial"/>
              </w:rPr>
            </w:pPr>
            <w:r>
              <w:rPr>
                <w:rFonts w:ascii="Arial" w:hAnsi="Arial" w:cs="Arial"/>
                <w:b/>
                <w:bCs/>
              </w:rPr>
              <w:lastRenderedPageBreak/>
              <w:t>Factor Conditions</w:t>
            </w:r>
          </w:p>
        </w:tc>
        <w:tc>
          <w:tcPr>
            <w:tcW w:w="71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C11EE3" w14:textId="77777777" w:rsidR="000A3F91" w:rsidRDefault="00000000">
            <w:pPr>
              <w:rPr>
                <w:rFonts w:ascii="Arial" w:hAnsi="Arial" w:cs="Arial"/>
              </w:rPr>
            </w:pPr>
            <w:r>
              <w:rPr>
                <w:rFonts w:ascii="Arial" w:hAnsi="Arial" w:cs="Arial"/>
              </w:rPr>
              <w:t>Mexico offers abundant labour, cost-competitive manufacturing, improving logistics capabilities and growing digital infrastructure. However, productivity gaps, regional development disparities and water scarcity present operational challenges. Availability of agricultural inputs supports FMCG categories, though environmental stresses require responsible sourcing and resource management.</w:t>
            </w:r>
          </w:p>
        </w:tc>
      </w:tr>
      <w:tr w:rsidR="000A3F91" w14:paraId="07783DDD" w14:textId="77777777">
        <w:trPr>
          <w:trHeight w:val="1640"/>
        </w:trPr>
        <w:tc>
          <w:tcPr>
            <w:tcW w:w="18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C8A24B" w14:textId="77777777" w:rsidR="000A3F91" w:rsidRDefault="00000000">
            <w:pPr>
              <w:rPr>
                <w:rFonts w:ascii="Arial" w:hAnsi="Arial" w:cs="Arial"/>
              </w:rPr>
            </w:pPr>
            <w:r>
              <w:rPr>
                <w:rFonts w:ascii="Arial" w:hAnsi="Arial" w:cs="Arial"/>
                <w:b/>
                <w:bCs/>
              </w:rPr>
              <w:t>Demand Conditions</w:t>
            </w:r>
          </w:p>
        </w:tc>
        <w:tc>
          <w:tcPr>
            <w:tcW w:w="71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06F881" w14:textId="77777777" w:rsidR="000A3F91" w:rsidRDefault="00000000">
            <w:pPr>
              <w:rPr>
                <w:rFonts w:ascii="Arial" w:hAnsi="Arial" w:cs="Arial"/>
              </w:rPr>
            </w:pPr>
            <w:r>
              <w:rPr>
                <w:rFonts w:ascii="Arial" w:hAnsi="Arial" w:cs="Arial"/>
              </w:rPr>
              <w:t>A large population, a rising middle class, and a strong preference for branded products create favourable demand. Consumers increasingly value health, convenience and sustainability. Urbanisation and digital adoption expand demand for modern retail formats, boosting opportunities for hygiene, home care and affordable nutrition solutions.</w:t>
            </w:r>
          </w:p>
        </w:tc>
      </w:tr>
      <w:tr w:rsidR="000A3F91" w14:paraId="23F24531" w14:textId="77777777">
        <w:trPr>
          <w:trHeight w:val="1640"/>
        </w:trPr>
        <w:tc>
          <w:tcPr>
            <w:tcW w:w="18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EA0853" w14:textId="77777777" w:rsidR="000A3F91" w:rsidRDefault="00000000">
            <w:pPr>
              <w:rPr>
                <w:rFonts w:ascii="Arial" w:hAnsi="Arial" w:cs="Arial"/>
              </w:rPr>
            </w:pPr>
            <w:r>
              <w:rPr>
                <w:rFonts w:ascii="Arial" w:hAnsi="Arial" w:cs="Arial"/>
                <w:b/>
                <w:bCs/>
              </w:rPr>
              <w:t>Related and Supporting Industries</w:t>
            </w:r>
          </w:p>
        </w:tc>
        <w:tc>
          <w:tcPr>
            <w:tcW w:w="71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4E251A" w14:textId="77777777" w:rsidR="000A3F91" w:rsidRDefault="00000000">
            <w:pPr>
              <w:rPr>
                <w:rFonts w:ascii="Arial" w:hAnsi="Arial" w:cs="Arial"/>
              </w:rPr>
            </w:pPr>
            <w:r>
              <w:rPr>
                <w:rFonts w:ascii="Arial" w:hAnsi="Arial" w:cs="Arial"/>
              </w:rPr>
              <w:t>Mexico’s advanced retail networks, expanding ecommerce platforms, strong packaging suppliers and established logistics infrastructure support FMCG competitiveness. However, the informal sector and fragmented traditional trade limit efficiency in rural regions, requiring tailored distribution and pricing strategies.</w:t>
            </w:r>
          </w:p>
        </w:tc>
      </w:tr>
      <w:tr w:rsidR="000A3F91" w14:paraId="6C847160" w14:textId="77777777">
        <w:trPr>
          <w:trHeight w:val="1640"/>
        </w:trPr>
        <w:tc>
          <w:tcPr>
            <w:tcW w:w="18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552E43" w14:textId="77777777" w:rsidR="000A3F91" w:rsidRDefault="00000000">
            <w:pPr>
              <w:rPr>
                <w:rFonts w:ascii="Arial" w:hAnsi="Arial" w:cs="Arial"/>
              </w:rPr>
            </w:pPr>
            <w:r>
              <w:rPr>
                <w:rFonts w:ascii="Arial" w:hAnsi="Arial" w:cs="Arial"/>
                <w:b/>
                <w:bCs/>
              </w:rPr>
              <w:t>Government</w:t>
            </w:r>
          </w:p>
        </w:tc>
        <w:tc>
          <w:tcPr>
            <w:tcW w:w="71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DC826C" w14:textId="77777777" w:rsidR="000A3F91" w:rsidRDefault="00000000">
            <w:pPr>
              <w:rPr>
                <w:rFonts w:ascii="Arial" w:hAnsi="Arial" w:cs="Arial"/>
              </w:rPr>
            </w:pPr>
            <w:r>
              <w:rPr>
                <w:rFonts w:ascii="Arial" w:hAnsi="Arial" w:cs="Arial"/>
              </w:rPr>
              <w:t>Regulatory frameworks on labelling, sugar warnings, environmental standards and labour compliance shape FMCG operations. Trade agreements, fiscal incentives and infrastructure initiatives support investment, though enforcement inconsistencies and bureaucratic delays create operational uncertainty.</w:t>
            </w:r>
          </w:p>
        </w:tc>
      </w:tr>
    </w:tbl>
    <w:p w14:paraId="2FFE71BA" w14:textId="77777777" w:rsidR="000A3F91" w:rsidRDefault="00000000">
      <w:pPr>
        <w:jc w:val="center"/>
        <w:rPr>
          <w:rFonts w:ascii="Arial" w:hAnsi="Arial" w:cs="Arial"/>
          <w:b/>
          <w:bCs/>
        </w:rPr>
      </w:pPr>
      <w:r>
        <w:rPr>
          <w:rFonts w:ascii="Arial" w:hAnsi="Arial" w:cs="Arial"/>
          <w:b/>
          <w:bCs/>
        </w:rPr>
        <w:t>Table 4: Porter’s Diamond Model</w:t>
      </w:r>
    </w:p>
    <w:p w14:paraId="4F5DBE2B" w14:textId="77777777" w:rsidR="000A3F91" w:rsidRDefault="00000000">
      <w:pPr>
        <w:jc w:val="center"/>
        <w:rPr>
          <w:rFonts w:ascii="Arial" w:hAnsi="Arial" w:cs="Arial"/>
        </w:rPr>
      </w:pPr>
      <w:r>
        <w:rPr>
          <w:rFonts w:ascii="Arial" w:hAnsi="Arial" w:cs="Arial"/>
        </w:rPr>
        <w:t>(Source: Self-Developed)</w:t>
      </w:r>
    </w:p>
    <w:p w14:paraId="5A554A0A" w14:textId="77777777" w:rsidR="000A3F91" w:rsidRDefault="00000000">
      <w:pPr>
        <w:rPr>
          <w:rFonts w:ascii="Arial" w:hAnsi="Arial" w:cs="Arial"/>
        </w:rPr>
      </w:pPr>
      <w:r>
        <w:rPr>
          <w:rFonts w:ascii="Arial" w:hAnsi="Arial" w:cs="Arial"/>
        </w:rPr>
        <w:t xml:space="preserve">The firm demand, coupled with the strong supporting industries, coupled with intense competition that has promoted constant innovation, makes Mexico competent. Positive working conditions and growing digital and retail systems make attractiveness even more significant. Nonetheless, there are risks associated with the environment, impartiality between regulations and heterogeneity in regions, which pose risks to operations. There is a viable opportunity in chance factors, in particular, nearshoring </w:t>
      </w:r>
      <w:r>
        <w:rPr>
          <w:rFonts w:ascii="Arial" w:hAnsi="Arial" w:cs="Arial"/>
        </w:rPr>
        <w:lastRenderedPageBreak/>
        <w:t>and the changing health priorities of consumers. In the context of Unilever, the structure of Mexico allows it to play to its advantage with the help of sustainability leadership, brand strength and localised innovation. Generally, the Diamond implies a friendly and complicated environment that necessitates adaptive strategies and the capacity to overcome the challenges in the supply chain.</w:t>
      </w:r>
    </w:p>
    <w:p w14:paraId="15065A58" w14:textId="77777777" w:rsidR="000A3F91" w:rsidRDefault="00000000">
      <w:pPr>
        <w:pStyle w:val="Heading2"/>
        <w:rPr>
          <w:rFonts w:ascii="Arial" w:hAnsi="Arial" w:cs="Arial"/>
        </w:rPr>
      </w:pPr>
      <w:bookmarkStart w:id="24" w:name="_gb21pwsq2g2" w:colFirst="0" w:colLast="0"/>
      <w:bookmarkStart w:id="25" w:name="_Toc215485284"/>
      <w:bookmarkEnd w:id="24"/>
      <w:r>
        <w:rPr>
          <w:rFonts w:ascii="Arial" w:hAnsi="Arial" w:cs="Arial"/>
        </w:rPr>
        <w:t>3.5 Strategic Issues, Challenges &amp; Opportunities</w:t>
      </w:r>
      <w:bookmarkEnd w:id="25"/>
      <w:r>
        <w:rPr>
          <w:rFonts w:ascii="Arial" w:hAnsi="Arial" w:cs="Arial"/>
        </w:rPr>
        <w:t xml:space="preserve"> </w:t>
      </w:r>
    </w:p>
    <w:p w14:paraId="2FC4AD59" w14:textId="77777777" w:rsidR="000A3F91" w:rsidRDefault="00000000">
      <w:pPr>
        <w:rPr>
          <w:rFonts w:ascii="Arial" w:hAnsi="Arial" w:cs="Arial"/>
        </w:rPr>
      </w:pPr>
      <w:r>
        <w:rPr>
          <w:rFonts w:ascii="Arial" w:hAnsi="Arial" w:cs="Arial"/>
        </w:rPr>
        <w:t>The FMCG environment in Mexico raises strategic concerns that centre on stiff competition, a complex regulatory environment, as well as big regional differences, which influence distribution levels and pricing approaches. The main problems are the sensitivity of consumer prices, environmental-related factors like water shortages, and the lack of merger between traditional retail and distribution channels. Nevertheless, as per Roszko-Wójtowicz et al. (2024), there are major opportunities available through increasing urbanisation, widening the ecommerce embrace, and increased demand for sustainable and health-conscious products. And the trends of nearshoring are empowering the need for supply chains. In the case of Unilever, the keys to success lie in localisation, affordability, innovation and resilient and sustainability-oriented operations.</w:t>
      </w:r>
    </w:p>
    <w:p w14:paraId="273AFED5" w14:textId="77777777" w:rsidR="000A3F91" w:rsidRDefault="00000000">
      <w:pPr>
        <w:pStyle w:val="Heading2"/>
        <w:rPr>
          <w:rFonts w:ascii="Arial" w:hAnsi="Arial" w:cs="Arial"/>
        </w:rPr>
      </w:pPr>
      <w:bookmarkStart w:id="26" w:name="_s8tz45t0oowu" w:colFirst="0" w:colLast="0"/>
      <w:bookmarkStart w:id="27" w:name="_Toc215485285"/>
      <w:bookmarkEnd w:id="26"/>
      <w:r>
        <w:rPr>
          <w:rFonts w:ascii="Arial" w:hAnsi="Arial" w:cs="Arial"/>
        </w:rPr>
        <w:t>3.6 Limitations of Applied Analytical Tools</w:t>
      </w:r>
      <w:bookmarkEnd w:id="27"/>
    </w:p>
    <w:p w14:paraId="1D4F0081" w14:textId="77777777" w:rsidR="000A3F91" w:rsidRDefault="00000000">
      <w:pPr>
        <w:rPr>
          <w:rFonts w:ascii="Arial" w:hAnsi="Arial" w:cs="Arial"/>
        </w:rPr>
      </w:pPr>
      <w:r>
        <w:rPr>
          <w:rFonts w:ascii="Arial" w:hAnsi="Arial" w:cs="Arial"/>
        </w:rPr>
        <w:t>The analytical frameworks used in this report offer systematic knowledge about the strategic environment of Mexico, but have their own limitations. PESTLE and the Diamond Model simplify dynamic macroeconomic and institutional variables and do not represent regional differences and policy shifts. According to Rajagopal (2022), five Forces presupposes a stable industry boundary, which is not the case in the changing multichannel market of the FMCG in Mexico. The VRIO can provide useful internal analysis, but can fail to realise organisational politics and capability drain. All of these instruments are significantly dependent on interpreting analysts and fixed assumptions that may need to be revised, and not to mention, they are complemented by qualitative judgment.</w:t>
      </w:r>
    </w:p>
    <w:p w14:paraId="7AD32782" w14:textId="77777777" w:rsidR="000A3F91" w:rsidRDefault="00000000">
      <w:pPr>
        <w:pStyle w:val="Heading1"/>
        <w:rPr>
          <w:rFonts w:ascii="Arial" w:hAnsi="Arial" w:cs="Arial"/>
        </w:rPr>
      </w:pPr>
      <w:bookmarkStart w:id="28" w:name="_16f6gi8hrl2w" w:colFirst="0" w:colLast="0"/>
      <w:bookmarkStart w:id="29" w:name="_Toc215485286"/>
      <w:bookmarkEnd w:id="28"/>
      <w:r>
        <w:rPr>
          <w:rFonts w:ascii="Arial" w:hAnsi="Arial" w:cs="Arial"/>
        </w:rPr>
        <w:t>4. Strategy Development &amp; Formulation</w:t>
      </w:r>
      <w:bookmarkEnd w:id="29"/>
      <w:r>
        <w:rPr>
          <w:rFonts w:ascii="Arial" w:hAnsi="Arial" w:cs="Arial"/>
        </w:rPr>
        <w:t xml:space="preserve"> </w:t>
      </w:r>
    </w:p>
    <w:p w14:paraId="119F8D7B" w14:textId="77777777" w:rsidR="000A3F91" w:rsidRDefault="00000000">
      <w:pPr>
        <w:pStyle w:val="Heading2"/>
        <w:rPr>
          <w:rFonts w:ascii="Arial" w:hAnsi="Arial" w:cs="Arial"/>
        </w:rPr>
      </w:pPr>
      <w:bookmarkStart w:id="30" w:name="_73m1xsr0ay8" w:colFirst="0" w:colLast="0"/>
      <w:bookmarkStart w:id="31" w:name="_Toc215485287"/>
      <w:bookmarkEnd w:id="30"/>
      <w:r>
        <w:rPr>
          <w:rFonts w:ascii="Arial" w:hAnsi="Arial" w:cs="Arial"/>
        </w:rPr>
        <w:t>4.1 Entry Mode Strategy for Mexico</w:t>
      </w:r>
      <w:bookmarkEnd w:id="31"/>
      <w:r>
        <w:rPr>
          <w:rFonts w:ascii="Arial" w:hAnsi="Arial" w:cs="Arial"/>
        </w:rPr>
        <w:t xml:space="preserve"> </w:t>
      </w:r>
    </w:p>
    <w:p w14:paraId="310366D9" w14:textId="77777777" w:rsidR="000A3F91" w:rsidRDefault="00000000">
      <w:pPr>
        <w:rPr>
          <w:rFonts w:ascii="Arial" w:hAnsi="Arial" w:cs="Arial"/>
        </w:rPr>
      </w:pPr>
      <w:r>
        <w:rPr>
          <w:rFonts w:ascii="Arial" w:hAnsi="Arial" w:cs="Arial"/>
        </w:rPr>
        <w:t xml:space="preserve">In the case of market expansion of Unilever into Mexico, the most strategically appropriate entrant strategy is a combination of an acquisition approach with a focus on greenfield investment. As per Robles and Wiese (2023), the FMCG business </w:t>
      </w:r>
      <w:r>
        <w:rPr>
          <w:rFonts w:ascii="Arial" w:hAnsi="Arial" w:cs="Arial"/>
        </w:rPr>
        <w:lastRenderedPageBreak/>
        <w:t>situation in Mexico is marked with high competition, a substantial informal retailing structure, robust local brands, and a massive scale is required. Acquisition of a mid-sized Mexican FMCG manufacturer or distributor, especially one with established regional and access to the conventional business contacts, would allow Unilever to gain instant distribution penetration, local market experience and accelerated penetration of the category (Unilever, 2024). It has been shown that the acquisition entry mode is also effective in the emerging market where the priority is in speed, legitimacy and the local fit.</w:t>
      </w:r>
    </w:p>
    <w:p w14:paraId="6A8D7164" w14:textId="77777777" w:rsidR="000A3F91" w:rsidRDefault="00000000">
      <w:pPr>
        <w:rPr>
          <w:rFonts w:ascii="Arial" w:hAnsi="Arial" w:cs="Arial"/>
        </w:rPr>
      </w:pPr>
      <w:r>
        <w:rPr>
          <w:rFonts w:ascii="Arial" w:hAnsi="Arial" w:cs="Arial"/>
        </w:rPr>
        <w:t>Nevertheless, takeovers cannot offer the sustainable business operations control that Unilever needs to meet its sustainability and innovation goals. Adding the acquisition with selective greenfield investment, especially modernising manufacturing, and environmentally friendly packaging facilities would help Unilever to align production to its global environmental principles (Unilever PLC, 2024). Facilities in Greenfield's capability in concentrates like the concentrated formula, refill pack, as well as low water products, stand in support of the Unilever global Compass Strategy and help to strengthen cost effectiveness in the price-sensitive market.</w:t>
      </w:r>
    </w:p>
    <w:p w14:paraId="4F43EC02" w14:textId="77777777" w:rsidR="000A3F91" w:rsidRDefault="00000000">
      <w:pPr>
        <w:rPr>
          <w:rFonts w:ascii="Arial" w:hAnsi="Arial" w:cs="Arial"/>
        </w:rPr>
      </w:pPr>
      <w:r>
        <w:rPr>
          <w:rFonts w:ascii="Arial" w:hAnsi="Arial" w:cs="Arial"/>
        </w:rPr>
        <w:t>Such a combined strategy, where one buys to gain entry into the market and then develops to be competitive in the long run, would tackle the regulatory challenges, regional imbalance, as well as infrastructural limits that Mexico has. It gives Unilever control, scalability and resilience coupled with speedy integration in local retail ecosystems. All in all, acquisition with a combination of green field investment presents the best mix of speed, strategic control, alignment, and mitigation of risks in Unilever's diversified portfolio in Mexico.</w:t>
      </w:r>
    </w:p>
    <w:p w14:paraId="7BC1EB07" w14:textId="77777777" w:rsidR="000A3F91" w:rsidRDefault="00000000">
      <w:pPr>
        <w:pStyle w:val="Heading2"/>
        <w:rPr>
          <w:rFonts w:ascii="Arial" w:hAnsi="Arial" w:cs="Arial"/>
        </w:rPr>
      </w:pPr>
      <w:bookmarkStart w:id="32" w:name="_oajqr22y4xiv" w:colFirst="0" w:colLast="0"/>
      <w:bookmarkStart w:id="33" w:name="_Toc215485288"/>
      <w:bookmarkEnd w:id="32"/>
      <w:r>
        <w:rPr>
          <w:rFonts w:ascii="Arial" w:hAnsi="Arial" w:cs="Arial"/>
        </w:rPr>
        <w:t>4.2 Generic Strategy for Competitive Advantage</w:t>
      </w:r>
      <w:bookmarkEnd w:id="33"/>
      <w:r>
        <w:rPr>
          <w:rFonts w:ascii="Arial" w:hAnsi="Arial" w:cs="Arial"/>
        </w:rPr>
        <w:t xml:space="preserve"> </w:t>
      </w:r>
    </w:p>
    <w:p w14:paraId="596277BC" w14:textId="77777777" w:rsidR="000A3F91" w:rsidRDefault="00000000">
      <w:pPr>
        <w:rPr>
          <w:rFonts w:ascii="Arial" w:hAnsi="Arial" w:cs="Arial"/>
        </w:rPr>
      </w:pPr>
      <w:r>
        <w:rPr>
          <w:rFonts w:ascii="Arial" w:hAnsi="Arial" w:cs="Arial"/>
        </w:rPr>
        <w:t>In the case of Unilever and the diversification it carries out in Mexico, a dual-tier differentiation strategy aided by selective cost efficiencies is the best alternative. Extreme cost leadership is a challenge in the case of intense price wars with local brands and home-label products, and premium-only differentiation cannot be pursued in a market where prices matter. Hence, Unilever must incorporate value-based differentiation, focusing on excellent product performance, sustainability and health benefits and brand loyalty and affordability associated with competent sourcing efficiency, localised formulae and optimal pack size.</w:t>
      </w:r>
    </w:p>
    <w:p w14:paraId="31983B71" w14:textId="77777777" w:rsidR="000A3F91" w:rsidRDefault="00000000">
      <w:pPr>
        <w:rPr>
          <w:rFonts w:ascii="Arial" w:hAnsi="Arial" w:cs="Arial"/>
        </w:rPr>
      </w:pPr>
      <w:r>
        <w:rPr>
          <w:rFonts w:ascii="Arial" w:hAnsi="Arial" w:cs="Arial"/>
        </w:rPr>
        <w:t xml:space="preserve">As noted by Peinado-Vara (2022), Latin American consumers are becoming more conscious of health, hygiene and environmental friendliness, and are ready to pay a </w:t>
      </w:r>
      <w:r>
        <w:rPr>
          <w:rFonts w:ascii="Arial" w:hAnsi="Arial" w:cs="Arial"/>
        </w:rPr>
        <w:lastRenderedPageBreak/>
        <w:t>little more for those brands that they trust and brands that contribute to the social good. This places Unilever with its key brands Dove, Lifebuoy, Knorr, and Surf in a favourable position. The product innovation to differentiate will include water-saving detergents, fortified foods, culturally based marketing and online impressions using e-commerce and social media.</w:t>
      </w:r>
    </w:p>
    <w:p w14:paraId="382D3737" w14:textId="77777777" w:rsidR="000A3F91" w:rsidRDefault="00000000">
      <w:pPr>
        <w:rPr>
          <w:rFonts w:ascii="Arial" w:hAnsi="Arial" w:cs="Arial"/>
        </w:rPr>
      </w:pPr>
      <w:r>
        <w:rPr>
          <w:rFonts w:ascii="Arial" w:hAnsi="Arial" w:cs="Arial"/>
        </w:rPr>
        <w:t>At the same time, the cost competitiveness will be strengthened by supply chain localisation, strategic procurement automation, as well as manufacturing automation, which are crucial, considering the high price sensitivity of Mexican consumers, as well as changes in disposable income. This is a dual strategy and gives Unilever protection against margins, the ability to compete in the various segments and hold a well-established brand-related competitive edge in the dynamic Mexican FMCG environment.</w:t>
      </w:r>
    </w:p>
    <w:p w14:paraId="39AC18AA" w14:textId="77777777" w:rsidR="000A3F91" w:rsidRDefault="00000000">
      <w:pPr>
        <w:pStyle w:val="Heading2"/>
        <w:rPr>
          <w:rFonts w:ascii="Arial" w:hAnsi="Arial" w:cs="Arial"/>
        </w:rPr>
      </w:pPr>
      <w:bookmarkStart w:id="34" w:name="_l6t0c9686oj5" w:colFirst="0" w:colLast="0"/>
      <w:bookmarkStart w:id="35" w:name="_Toc215485289"/>
      <w:bookmarkEnd w:id="34"/>
      <w:r>
        <w:rPr>
          <w:rFonts w:ascii="Arial" w:hAnsi="Arial" w:cs="Arial"/>
        </w:rPr>
        <w:t>4.3 Ansoff Matrix Application</w:t>
      </w:r>
      <w:bookmarkEnd w:id="35"/>
      <w:r>
        <w:rPr>
          <w:rFonts w:ascii="Arial" w:hAnsi="Arial" w:cs="Arial"/>
        </w:rPr>
        <w:t xml:space="preserve"> </w:t>
      </w:r>
    </w:p>
    <w:p w14:paraId="1A3B09E0" w14:textId="77777777" w:rsidR="000A3F91" w:rsidRDefault="00000000">
      <w:pPr>
        <w:jc w:val="center"/>
        <w:rPr>
          <w:rFonts w:ascii="Arial" w:hAnsi="Arial" w:cs="Arial"/>
        </w:rPr>
      </w:pPr>
      <w:r>
        <w:rPr>
          <w:rFonts w:ascii="Arial" w:hAnsi="Arial" w:cs="Arial"/>
          <w:noProof/>
        </w:rPr>
        <w:drawing>
          <wp:inline distT="0" distB="0" distL="0" distR="0" wp14:anchorId="058F0947" wp14:editId="5B63A6AF">
            <wp:extent cx="4057650" cy="2584996"/>
            <wp:effectExtent l="12700" t="12700" r="12700" b="12700"/>
            <wp:docPr id="1029"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10" cstate="print"/>
                    <a:srcRect l="16112" t="7834" r="13122" b="15167"/>
                    <a:stretch/>
                  </pic:blipFill>
                  <pic:spPr>
                    <a:xfrm>
                      <a:off x="0" y="0"/>
                      <a:ext cx="4057650" cy="2584996"/>
                    </a:xfrm>
                    <a:prstGeom prst="rect">
                      <a:avLst/>
                    </a:prstGeom>
                    <a:ln w="12700" cap="flat" cmpd="sng">
                      <a:solidFill>
                        <a:srgbClr val="000000"/>
                      </a:solidFill>
                      <a:prstDash val="solid"/>
                      <a:round/>
                      <a:headEnd/>
                      <a:tailEnd/>
                    </a:ln>
                  </pic:spPr>
                </pic:pic>
              </a:graphicData>
            </a:graphic>
          </wp:inline>
        </w:drawing>
      </w:r>
    </w:p>
    <w:p w14:paraId="65F6A13A" w14:textId="77777777" w:rsidR="000A3F91" w:rsidRDefault="00000000">
      <w:pPr>
        <w:jc w:val="center"/>
        <w:rPr>
          <w:rFonts w:ascii="Arial" w:hAnsi="Arial" w:cs="Arial"/>
          <w:b/>
          <w:bCs/>
        </w:rPr>
      </w:pPr>
      <w:r>
        <w:rPr>
          <w:rFonts w:ascii="Arial" w:hAnsi="Arial" w:cs="Arial"/>
          <w:b/>
          <w:bCs/>
        </w:rPr>
        <w:t>Figure 4: The Ansoff Matrix</w:t>
      </w:r>
    </w:p>
    <w:p w14:paraId="41941985" w14:textId="77777777" w:rsidR="000A3F91" w:rsidRDefault="00000000">
      <w:pPr>
        <w:jc w:val="center"/>
        <w:rPr>
          <w:rFonts w:ascii="Arial" w:hAnsi="Arial" w:cs="Arial"/>
        </w:rPr>
      </w:pPr>
      <w:r>
        <w:rPr>
          <w:rFonts w:ascii="Arial" w:hAnsi="Arial" w:cs="Arial"/>
        </w:rPr>
        <w:t>(Source: Quantive, 2024)</w:t>
      </w:r>
    </w:p>
    <w:p w14:paraId="69A3C8EC" w14:textId="77777777" w:rsidR="000A3F91" w:rsidRDefault="00000000">
      <w:pPr>
        <w:rPr>
          <w:rFonts w:ascii="Arial" w:hAnsi="Arial" w:cs="Arial"/>
        </w:rPr>
      </w:pPr>
      <w:r>
        <w:rPr>
          <w:rFonts w:ascii="Arial" w:hAnsi="Arial" w:cs="Arial"/>
        </w:rPr>
        <w:t>The Market Development approach that is central to the Ansoff Matrix is the main alignment of Unilever in its venture into Mexico, as the firm introduces proven global brands in a new geographical market. The right market development is justified by the growth of the urban population in Mexico, rising hygiene consciousness and growing tendency to use branded products in all segments of the FMCG. Using established brands allows Unilever to reduce the risk of product development, yet benefit itself by leveraging good global equity and promising formulations.</w:t>
      </w:r>
    </w:p>
    <w:p w14:paraId="4B5FFC1F" w14:textId="77777777" w:rsidR="000A3F91" w:rsidRDefault="00000000">
      <w:pPr>
        <w:rPr>
          <w:rFonts w:ascii="Arial" w:hAnsi="Arial" w:cs="Arial"/>
        </w:rPr>
      </w:pPr>
      <w:r>
        <w:rPr>
          <w:rFonts w:ascii="Arial" w:hAnsi="Arial" w:cs="Arial"/>
        </w:rPr>
        <w:lastRenderedPageBreak/>
        <w:t>Selective Product Adaptation will, however, be demanded as well; this indicates the Product Development dimension of the matrix. Regionalised forms- climate-appropriate skin care products or localised flavours in Knorr or lower cost detergent formulations make cultural fit and competitiveness. There are also prospects of Diversification by adopting innovations to combat water shortage, plastic, and an inclusive packaging culture, which is in line with the new consumer and regulatory demands. The combination of these strategies will make sure that Unilever balances both global and local responsiveness in terms of the strength of the brands.</w:t>
      </w:r>
    </w:p>
    <w:p w14:paraId="3C580ACD" w14:textId="77777777" w:rsidR="000A3F91" w:rsidRDefault="00000000">
      <w:pPr>
        <w:pStyle w:val="Heading2"/>
        <w:rPr>
          <w:rFonts w:ascii="Arial" w:hAnsi="Arial" w:cs="Arial"/>
        </w:rPr>
      </w:pPr>
      <w:bookmarkStart w:id="36" w:name="_2nkmlasfbcj2" w:colFirst="0" w:colLast="0"/>
      <w:bookmarkStart w:id="37" w:name="_Toc215485290"/>
      <w:bookmarkEnd w:id="36"/>
      <w:r>
        <w:rPr>
          <w:rFonts w:ascii="Arial" w:hAnsi="Arial" w:cs="Arial"/>
        </w:rPr>
        <w:t>4.4 CSR &amp; Sustainability Strategy for the Mexican Market</w:t>
      </w:r>
      <w:bookmarkEnd w:id="37"/>
    </w:p>
    <w:p w14:paraId="18A336A3" w14:textId="77777777" w:rsidR="000A3F91" w:rsidRDefault="00000000">
      <w:pPr>
        <w:rPr>
          <w:rFonts w:ascii="Arial" w:hAnsi="Arial" w:cs="Arial"/>
        </w:rPr>
      </w:pPr>
      <w:r>
        <w:rPr>
          <w:rFonts w:ascii="Arial" w:hAnsi="Arial" w:cs="Arial"/>
        </w:rPr>
        <w:t>The CSR and sustainability strategy of Unilever in Mexico should include water stewardship, plastic minimisation, health and hygiene improvement, and inclusive sourcing, the global Sustainable Living Plan and Compass Strategy. It is appropriate for Unilever to focus on low water formulations, concentrated detergents and investment in water-saving manufacturing technologies, considering the acute lack of water in Mexico, and the increasing environmental strains. Recyclable packaging, refill stations, and collaboration with local waste cooperatives as a method of addressing plastic waste are beneficial to national sustainability goals.</w:t>
      </w:r>
    </w:p>
    <w:p w14:paraId="4873CEBA" w14:textId="77777777" w:rsidR="000A3F91" w:rsidRDefault="00000000">
      <w:pPr>
        <w:rPr>
          <w:rFonts w:ascii="Arial" w:hAnsi="Arial" w:cs="Arial"/>
        </w:rPr>
      </w:pPr>
      <w:r>
        <w:rPr>
          <w:rFonts w:ascii="Arial" w:hAnsi="Arial" w:cs="Arial"/>
        </w:rPr>
        <w:t>There can also be the promotion of better health and hygiene with the help of the campaigns of Lifebuoy, Dove and Knorr on the topic of nutrition education, handwashing behaviour. And body positivity, in accordance with the evidence that Mexican customers place more importance on purpose-driven brands (Espinoza-Ortega et al., 2021). Smallholder sourcing: sourcing products of small peasant farmers, especially in the production of herbs, oils and farming food, would empower rural economic inclusion as well as empower ties to local communities. In general, the concept of combining environmental stewardship and social effects with brand equity helps Unilever compete in an active market and appears resilient over time.</w:t>
      </w:r>
    </w:p>
    <w:p w14:paraId="1DCE824D" w14:textId="77777777" w:rsidR="000A3F91" w:rsidRDefault="00000000">
      <w:pPr>
        <w:rPr>
          <w:rFonts w:ascii="Arial" w:hAnsi="Arial" w:cs="Arial"/>
        </w:rPr>
      </w:pPr>
      <w:r>
        <w:rPr>
          <w:rFonts w:ascii="Arial" w:hAnsi="Arial" w:cs="Arial"/>
          <w:noProof/>
        </w:rPr>
        <w:drawing>
          <wp:inline distT="0" distB="0" distL="0" distR="0" wp14:anchorId="18FE62C4" wp14:editId="721FAED9">
            <wp:extent cx="5731200" cy="1651000"/>
            <wp:effectExtent l="12700" t="12700" r="12700" b="12700"/>
            <wp:docPr id="1030"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rcRect/>
                    <a:stretch/>
                  </pic:blipFill>
                  <pic:spPr>
                    <a:xfrm>
                      <a:off x="0" y="0"/>
                      <a:ext cx="5731200" cy="1651000"/>
                    </a:xfrm>
                    <a:prstGeom prst="rect">
                      <a:avLst/>
                    </a:prstGeom>
                    <a:ln w="12700" cap="flat" cmpd="sng">
                      <a:solidFill>
                        <a:srgbClr val="000000"/>
                      </a:solidFill>
                      <a:prstDash val="solid"/>
                      <a:round/>
                      <a:headEnd/>
                      <a:tailEnd/>
                    </a:ln>
                  </pic:spPr>
                </pic:pic>
              </a:graphicData>
            </a:graphic>
          </wp:inline>
        </w:drawing>
      </w:r>
    </w:p>
    <w:p w14:paraId="16697774" w14:textId="77777777" w:rsidR="000A3F91" w:rsidRDefault="00000000">
      <w:pPr>
        <w:jc w:val="center"/>
        <w:rPr>
          <w:rFonts w:ascii="Arial" w:hAnsi="Arial" w:cs="Arial"/>
          <w:b/>
          <w:bCs/>
        </w:rPr>
      </w:pPr>
      <w:r>
        <w:rPr>
          <w:rFonts w:ascii="Arial" w:hAnsi="Arial" w:cs="Arial"/>
          <w:b/>
          <w:bCs/>
        </w:rPr>
        <w:t>Figure 5: Water Scarcity Levels Across Mexico</w:t>
      </w:r>
    </w:p>
    <w:p w14:paraId="67184872" w14:textId="77777777" w:rsidR="000A3F91" w:rsidRDefault="00000000">
      <w:pPr>
        <w:jc w:val="center"/>
        <w:rPr>
          <w:rFonts w:ascii="Arial" w:hAnsi="Arial" w:cs="Arial"/>
        </w:rPr>
      </w:pPr>
      <w:r>
        <w:rPr>
          <w:rFonts w:ascii="Arial" w:hAnsi="Arial" w:cs="Arial"/>
        </w:rPr>
        <w:lastRenderedPageBreak/>
        <w:t>(Source: UNCCD, 2025)</w:t>
      </w:r>
    </w:p>
    <w:p w14:paraId="29A03D2B" w14:textId="77777777" w:rsidR="000A3F91" w:rsidRDefault="00000000">
      <w:pPr>
        <w:pStyle w:val="Heading2"/>
        <w:rPr>
          <w:rFonts w:ascii="Arial" w:hAnsi="Arial" w:cs="Arial"/>
        </w:rPr>
      </w:pPr>
      <w:bookmarkStart w:id="38" w:name="_fkh0qlncxj81" w:colFirst="0" w:colLast="0"/>
      <w:bookmarkStart w:id="39" w:name="_Toc215485291"/>
      <w:bookmarkEnd w:id="38"/>
      <w:r>
        <w:rPr>
          <w:rFonts w:ascii="Arial" w:hAnsi="Arial" w:cs="Arial"/>
        </w:rPr>
        <w:t>4.5 Risk Assessment &amp; Mitigation</w:t>
      </w:r>
      <w:bookmarkEnd w:id="39"/>
      <w:r>
        <w:rPr>
          <w:rFonts w:ascii="Arial" w:hAnsi="Arial" w:cs="Arial"/>
        </w:rPr>
        <w:t xml:space="preserve"> </w:t>
      </w:r>
    </w:p>
    <w:p w14:paraId="035768DA" w14:textId="77777777" w:rsidR="000A3F91" w:rsidRDefault="00000000">
      <w:pPr>
        <w:rPr>
          <w:rFonts w:ascii="Arial" w:hAnsi="Arial" w:cs="Arial"/>
        </w:rPr>
      </w:pPr>
      <w:r>
        <w:rPr>
          <w:rFonts w:ascii="Arial" w:hAnsi="Arial" w:cs="Arial"/>
        </w:rPr>
        <w:t>Unilever is exposed to a number of threats in Mexico, such as political and regulatory instability, currency fluctuations, supply chain derailment and limited consumer buying power. The political risk is based on diverse regulations of the states and the alteration of product labelling and environmental rules. As per Ohakwe and Wu (2025), currency and changes against the US dollar make imports more costly, and poor logistics come about due to infrastructure differences and security concerns within a region. Price sensitivity is increased by economic inequality, which poses a threat to premium brand adoption. Localised sourcing, hedging strategies, and diversified distribution networks, regulatory monitoring and responsive pricing through multi-size boards would be suitable in mitigation. Improved resilience of the supply chain by nearshoring and placing a digital trace also reduces the risk of disruption.</w:t>
      </w:r>
    </w:p>
    <w:p w14:paraId="4B5E1896" w14:textId="77777777" w:rsidR="000A3F91" w:rsidRDefault="00000000">
      <w:pPr>
        <w:rPr>
          <w:rFonts w:ascii="Arial" w:hAnsi="Arial" w:cs="Arial"/>
        </w:rPr>
      </w:pPr>
      <w:r>
        <w:rPr>
          <w:rFonts w:ascii="Arial" w:hAnsi="Arial" w:cs="Arial"/>
          <w:noProof/>
        </w:rPr>
        <w:drawing>
          <wp:inline distT="0" distB="0" distL="0" distR="0" wp14:anchorId="4483BD22" wp14:editId="0CFB9666">
            <wp:extent cx="5731200" cy="3543300"/>
            <wp:effectExtent l="12700" t="12700" r="12700" b="12700"/>
            <wp:docPr id="1031"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2" cstate="print"/>
                    <a:srcRect/>
                    <a:stretch/>
                  </pic:blipFill>
                  <pic:spPr>
                    <a:xfrm>
                      <a:off x="0" y="0"/>
                      <a:ext cx="5731200" cy="3543300"/>
                    </a:xfrm>
                    <a:prstGeom prst="rect">
                      <a:avLst/>
                    </a:prstGeom>
                    <a:ln w="12700" cap="flat" cmpd="sng">
                      <a:solidFill>
                        <a:srgbClr val="000000"/>
                      </a:solidFill>
                      <a:prstDash val="solid"/>
                      <a:round/>
                      <a:headEnd/>
                      <a:tailEnd/>
                    </a:ln>
                  </pic:spPr>
                </pic:pic>
              </a:graphicData>
            </a:graphic>
          </wp:inline>
        </w:drawing>
      </w:r>
    </w:p>
    <w:p w14:paraId="73E1FE77" w14:textId="77777777" w:rsidR="000A3F91" w:rsidRDefault="00000000">
      <w:pPr>
        <w:jc w:val="center"/>
        <w:rPr>
          <w:rFonts w:ascii="Arial" w:hAnsi="Arial" w:cs="Arial"/>
          <w:b/>
          <w:bCs/>
        </w:rPr>
      </w:pPr>
      <w:r>
        <w:rPr>
          <w:rFonts w:ascii="Arial" w:hAnsi="Arial" w:cs="Arial"/>
          <w:b/>
          <w:bCs/>
        </w:rPr>
        <w:t xml:space="preserve">Figure 6: Inflation and MXN/USD Volatility Trends </w:t>
      </w:r>
    </w:p>
    <w:p w14:paraId="3FEC227A" w14:textId="77777777" w:rsidR="000A3F91" w:rsidRDefault="00000000">
      <w:pPr>
        <w:jc w:val="center"/>
        <w:rPr>
          <w:rFonts w:ascii="Arial" w:hAnsi="Arial" w:cs="Arial"/>
        </w:rPr>
      </w:pPr>
      <w:r>
        <w:rPr>
          <w:rFonts w:ascii="Arial" w:hAnsi="Arial" w:cs="Arial"/>
        </w:rPr>
        <w:t>(Source: Statista, 2025a)</w:t>
      </w:r>
    </w:p>
    <w:p w14:paraId="60F376EA" w14:textId="77777777" w:rsidR="000A3F91" w:rsidRDefault="00000000">
      <w:pPr>
        <w:pStyle w:val="Heading2"/>
        <w:rPr>
          <w:rFonts w:ascii="Arial" w:hAnsi="Arial" w:cs="Arial"/>
        </w:rPr>
      </w:pPr>
      <w:bookmarkStart w:id="40" w:name="_cl5jz4yaty7" w:colFirst="0" w:colLast="0"/>
      <w:bookmarkStart w:id="41" w:name="_Toc215485292"/>
      <w:bookmarkEnd w:id="40"/>
      <w:r>
        <w:rPr>
          <w:rFonts w:ascii="Arial" w:hAnsi="Arial" w:cs="Arial"/>
        </w:rPr>
        <w:t>4.6 Strategic Recommendations</w:t>
      </w:r>
      <w:bookmarkEnd w:id="41"/>
      <w:r>
        <w:rPr>
          <w:rFonts w:ascii="Arial" w:hAnsi="Arial" w:cs="Arial"/>
        </w:rPr>
        <w:t xml:space="preserve"> </w:t>
      </w:r>
    </w:p>
    <w:p w14:paraId="7725CB9E" w14:textId="77777777" w:rsidR="000A3F91" w:rsidRDefault="00000000">
      <w:pPr>
        <w:rPr>
          <w:rFonts w:ascii="Arial" w:hAnsi="Arial" w:cs="Arial"/>
        </w:rPr>
      </w:pPr>
      <w:r>
        <w:rPr>
          <w:rFonts w:ascii="Arial" w:hAnsi="Arial" w:cs="Arial"/>
        </w:rPr>
        <w:t xml:space="preserve">Unilever ought to embrace a hybrid acquisition-green field entry, which allows it a quickly scale and long period of operation. The area of investment should focus on investment in sustainable manufacturing, the use of low-water production and refill packaging. A value-based differentiation that is backed by cost savings is something </w:t>
      </w:r>
      <w:r>
        <w:rPr>
          <w:rFonts w:ascii="Arial" w:hAnsi="Arial" w:cs="Arial"/>
        </w:rPr>
        <w:lastRenderedPageBreak/>
        <w:t>that the company should seek to achieve to guarantee high brand relevance and low cost. According to Cervantes et al. (2021), Mexican cultural and environmental circumstances should be incorporated in the localised innovation, namely in hygiene, home care, and nutrition. The expansion of relations with modern retail, e-commerce distributors and traditional trade distributors will be maximised. Lastly, Unilever must incorporate CSR engagements throughout its activities, especially the focus on water management and stewardship, circular packaging and responsible sourcing as key measures to increase trust and competitive edge.</w:t>
      </w:r>
    </w:p>
    <w:p w14:paraId="000159B9" w14:textId="77777777" w:rsidR="000A3F91" w:rsidRDefault="00000000">
      <w:pPr>
        <w:pStyle w:val="Heading1"/>
        <w:rPr>
          <w:rFonts w:ascii="Arial" w:hAnsi="Arial" w:cs="Arial"/>
        </w:rPr>
      </w:pPr>
      <w:bookmarkStart w:id="42" w:name="_hgz149njemqb" w:colFirst="0" w:colLast="0"/>
      <w:bookmarkStart w:id="43" w:name="_Toc215485293"/>
      <w:bookmarkEnd w:id="42"/>
      <w:r>
        <w:rPr>
          <w:rFonts w:ascii="Arial" w:hAnsi="Arial" w:cs="Arial"/>
        </w:rPr>
        <w:t>5. Performance Evaluation Framework</w:t>
      </w:r>
      <w:bookmarkEnd w:id="43"/>
    </w:p>
    <w:p w14:paraId="4EDBC248" w14:textId="77777777" w:rsidR="000A3F91" w:rsidRDefault="00000000">
      <w:pPr>
        <w:pStyle w:val="Heading2"/>
        <w:rPr>
          <w:rFonts w:ascii="Arial" w:hAnsi="Arial" w:cs="Arial"/>
        </w:rPr>
      </w:pPr>
      <w:bookmarkStart w:id="44" w:name="_xyv7thpjonku" w:colFirst="0" w:colLast="0"/>
      <w:bookmarkStart w:id="45" w:name="_Toc215485294"/>
      <w:bookmarkEnd w:id="44"/>
      <w:r>
        <w:rPr>
          <w:rFonts w:ascii="Arial" w:hAnsi="Arial" w:cs="Arial"/>
        </w:rPr>
        <w:t>5.1 Triple Bottom Line (TBL) Justification</w:t>
      </w:r>
      <w:bookmarkEnd w:id="45"/>
      <w:r>
        <w:rPr>
          <w:rFonts w:ascii="Arial" w:hAnsi="Arial" w:cs="Arial"/>
        </w:rPr>
        <w:t xml:space="preserve"> </w:t>
      </w:r>
    </w:p>
    <w:p w14:paraId="5FB92736" w14:textId="77777777" w:rsidR="000A3F91" w:rsidRDefault="00000000">
      <w:pPr>
        <w:rPr>
          <w:rFonts w:ascii="Arial" w:hAnsi="Arial" w:cs="Arial"/>
        </w:rPr>
      </w:pPr>
      <w:r>
        <w:rPr>
          <w:rFonts w:ascii="Arial" w:hAnsi="Arial" w:cs="Arial"/>
        </w:rPr>
        <w:t>The Triple Bottom Line (TBL) is a suitable model for assessing the expansion of Unilever to Mexico since it combines the economic performance with the social and environmental consequences of the global Compass Strategy of the firm. TBL fits in multinational FMCG companies venturing into emerging markets where comparative permanence in the market is increasingly becoming more and more centred on organisational capability to maintain the balance in profitability and sustainability, as well as the creation of societal values. Mexican consumer behaviour is becoming more affinity, nutrition, hygiene and environmentally-responsible, and TBL comprises a strategically hand-in-hand approach to evaluate market achievement (Innova Market Insights, 2025). Moreover, the environmental issues in Mexico, such as the lack of water and plastic pollution, require an environmentally friendly business model, which is consistent with the changes in regulations and the changing expectations of stakeholders. TBL enables Unilever to use a holistic assessment prism with financial growth, social contribution in the communities and employees, environmental responsibility in supply chains and manufacturing processes. This brings about strategic consistency between the corporate purpose, the local market demand and performance in the operations.</w:t>
      </w:r>
    </w:p>
    <w:p w14:paraId="5D222F43" w14:textId="77777777" w:rsidR="000A3F91" w:rsidRDefault="00000000">
      <w:pPr>
        <w:pStyle w:val="Heading2"/>
        <w:rPr>
          <w:rFonts w:ascii="Arial" w:hAnsi="Arial" w:cs="Arial"/>
        </w:rPr>
      </w:pPr>
      <w:bookmarkStart w:id="46" w:name="_r5nsvdhcj7k2" w:colFirst="0" w:colLast="0"/>
      <w:bookmarkStart w:id="47" w:name="_Toc215485295"/>
      <w:bookmarkEnd w:id="46"/>
      <w:r>
        <w:rPr>
          <w:rFonts w:ascii="Arial" w:hAnsi="Arial" w:cs="Arial"/>
        </w:rPr>
        <w:t>5.2 KPIs &amp; Targets Across TBL Dimensions</w:t>
      </w:r>
      <w:bookmarkEnd w:id="47"/>
      <w:r>
        <w:rPr>
          <w:rFonts w:ascii="Arial" w:hAnsi="Arial" w:cs="Arial"/>
        </w:rPr>
        <w:t xml:space="preserve"> </w:t>
      </w:r>
    </w:p>
    <w:tbl>
      <w:tblPr>
        <w:tblStyle w:val="a3"/>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36"/>
        <w:gridCol w:w="3148"/>
        <w:gridCol w:w="3941"/>
      </w:tblGrid>
      <w:tr w:rsidR="000A3F91" w14:paraId="2373C6D6" w14:textId="77777777">
        <w:trPr>
          <w:trHeight w:val="500"/>
        </w:trPr>
        <w:tc>
          <w:tcPr>
            <w:tcW w:w="1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7C05B8" w14:textId="77777777" w:rsidR="000A3F91" w:rsidRDefault="00000000">
            <w:pPr>
              <w:jc w:val="center"/>
              <w:rPr>
                <w:rFonts w:ascii="Arial" w:hAnsi="Arial" w:cs="Arial"/>
              </w:rPr>
            </w:pPr>
            <w:r>
              <w:rPr>
                <w:rFonts w:ascii="Arial" w:hAnsi="Arial" w:cs="Arial"/>
                <w:b/>
                <w:bCs/>
              </w:rPr>
              <w:t>TBL Dimension</w:t>
            </w:r>
          </w:p>
        </w:tc>
        <w:tc>
          <w:tcPr>
            <w:tcW w:w="3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F4184B" w14:textId="77777777" w:rsidR="000A3F91" w:rsidRDefault="00000000">
            <w:pPr>
              <w:jc w:val="center"/>
              <w:rPr>
                <w:rFonts w:ascii="Arial" w:hAnsi="Arial" w:cs="Arial"/>
              </w:rPr>
            </w:pPr>
            <w:r>
              <w:rPr>
                <w:rFonts w:ascii="Arial" w:hAnsi="Arial" w:cs="Arial"/>
                <w:b/>
                <w:bCs/>
              </w:rPr>
              <w:t>KPIs</w:t>
            </w:r>
          </w:p>
        </w:tc>
        <w:tc>
          <w:tcPr>
            <w:tcW w:w="3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54D4C7" w14:textId="77777777" w:rsidR="000A3F91" w:rsidRDefault="00000000">
            <w:pPr>
              <w:jc w:val="center"/>
              <w:rPr>
                <w:rFonts w:ascii="Arial" w:hAnsi="Arial" w:cs="Arial"/>
              </w:rPr>
            </w:pPr>
            <w:r>
              <w:rPr>
                <w:rFonts w:ascii="Arial" w:hAnsi="Arial" w:cs="Arial"/>
                <w:b/>
                <w:bCs/>
              </w:rPr>
              <w:t>Targets</w:t>
            </w:r>
          </w:p>
        </w:tc>
      </w:tr>
      <w:tr w:rsidR="000A3F91" w14:paraId="41DC51AB" w14:textId="77777777">
        <w:trPr>
          <w:trHeight w:val="2054"/>
        </w:trPr>
        <w:tc>
          <w:tcPr>
            <w:tcW w:w="1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9FD2FD" w14:textId="77777777" w:rsidR="000A3F91" w:rsidRDefault="00000000">
            <w:pPr>
              <w:rPr>
                <w:rFonts w:ascii="Arial" w:hAnsi="Arial" w:cs="Arial"/>
              </w:rPr>
            </w:pPr>
            <w:r>
              <w:rPr>
                <w:rFonts w:ascii="Arial" w:hAnsi="Arial" w:cs="Arial"/>
                <w:b/>
                <w:bCs/>
              </w:rPr>
              <w:lastRenderedPageBreak/>
              <w:t>Profit (Economic)</w:t>
            </w:r>
          </w:p>
        </w:tc>
        <w:tc>
          <w:tcPr>
            <w:tcW w:w="3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6E062F" w14:textId="77777777" w:rsidR="000A3F91" w:rsidRDefault="00000000">
            <w:pPr>
              <w:rPr>
                <w:rFonts w:ascii="Arial" w:hAnsi="Arial" w:cs="Arial"/>
              </w:rPr>
            </w:pPr>
            <w:r>
              <w:rPr>
                <w:rFonts w:ascii="Arial" w:hAnsi="Arial" w:cs="Arial"/>
              </w:rPr>
              <w:t>Revenue growth from Mexico; Market share in key categories; Gross margin improvement; Local sourcing ratio</w:t>
            </w:r>
          </w:p>
        </w:tc>
        <w:tc>
          <w:tcPr>
            <w:tcW w:w="3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EFFD7B" w14:textId="77777777" w:rsidR="000A3F91" w:rsidRDefault="00000000">
            <w:pPr>
              <w:rPr>
                <w:rFonts w:ascii="Arial" w:hAnsi="Arial" w:cs="Arial"/>
              </w:rPr>
            </w:pPr>
            <w:r>
              <w:rPr>
                <w:rFonts w:ascii="Arial" w:hAnsi="Arial" w:cs="Arial"/>
              </w:rPr>
              <w:t>10-12% annual revenue growth; 5% market share increase by Year 3; 2-3% margin uplift by Year 4; 40% local sourcing by Year 5</w:t>
            </w:r>
          </w:p>
        </w:tc>
      </w:tr>
      <w:tr w:rsidR="000A3F91" w14:paraId="1C4E9079" w14:textId="77777777">
        <w:trPr>
          <w:trHeight w:val="2633"/>
        </w:trPr>
        <w:tc>
          <w:tcPr>
            <w:tcW w:w="1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35DBDF" w14:textId="77777777" w:rsidR="000A3F91" w:rsidRDefault="00000000">
            <w:pPr>
              <w:rPr>
                <w:rFonts w:ascii="Arial" w:hAnsi="Arial" w:cs="Arial"/>
              </w:rPr>
            </w:pPr>
            <w:r>
              <w:rPr>
                <w:rFonts w:ascii="Arial" w:hAnsi="Arial" w:cs="Arial"/>
                <w:b/>
                <w:bCs/>
              </w:rPr>
              <w:t>People (Social)</w:t>
            </w:r>
          </w:p>
        </w:tc>
        <w:tc>
          <w:tcPr>
            <w:tcW w:w="3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40D02D" w14:textId="77777777" w:rsidR="000A3F91" w:rsidRDefault="00000000">
            <w:pPr>
              <w:rPr>
                <w:rFonts w:ascii="Arial" w:hAnsi="Arial" w:cs="Arial"/>
              </w:rPr>
            </w:pPr>
            <w:r>
              <w:rPr>
                <w:rFonts w:ascii="Arial" w:hAnsi="Arial" w:cs="Arial"/>
              </w:rPr>
              <w:t>Consumer health &amp; hygiene programme reach; Employee training hours; Traditional trade penetration; Community inclusion initiatives</w:t>
            </w:r>
          </w:p>
        </w:tc>
        <w:tc>
          <w:tcPr>
            <w:tcW w:w="3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7F4A34" w14:textId="77777777" w:rsidR="000A3F91" w:rsidRDefault="00000000">
            <w:pPr>
              <w:rPr>
                <w:rFonts w:ascii="Arial" w:hAnsi="Arial" w:cs="Arial"/>
              </w:rPr>
            </w:pPr>
            <w:r>
              <w:rPr>
                <w:rFonts w:ascii="Arial" w:hAnsi="Arial" w:cs="Arial"/>
              </w:rPr>
              <w:t>5 million consumers reached through hygiene/nutrition campaigns; 20 training hours per employee annually; 30% increase in traditional trade coverage; 10,000 beneficiaries through community partnerships</w:t>
            </w:r>
          </w:p>
        </w:tc>
      </w:tr>
      <w:tr w:rsidR="000A3F91" w14:paraId="6F32E855" w14:textId="77777777">
        <w:trPr>
          <w:trHeight w:val="1580"/>
        </w:trPr>
        <w:tc>
          <w:tcPr>
            <w:tcW w:w="19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0934CC" w14:textId="77777777" w:rsidR="000A3F91" w:rsidRDefault="00000000">
            <w:pPr>
              <w:rPr>
                <w:rFonts w:ascii="Arial" w:hAnsi="Arial" w:cs="Arial"/>
              </w:rPr>
            </w:pPr>
            <w:r>
              <w:rPr>
                <w:rFonts w:ascii="Arial" w:hAnsi="Arial" w:cs="Arial"/>
                <w:b/>
                <w:bCs/>
              </w:rPr>
              <w:t>Planet (Environmental)</w:t>
            </w:r>
          </w:p>
        </w:tc>
        <w:tc>
          <w:tcPr>
            <w:tcW w:w="31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3B2A7C" w14:textId="77777777" w:rsidR="000A3F91" w:rsidRDefault="00000000">
            <w:pPr>
              <w:rPr>
                <w:rFonts w:ascii="Arial" w:hAnsi="Arial" w:cs="Arial"/>
              </w:rPr>
            </w:pPr>
            <w:r>
              <w:rPr>
                <w:rFonts w:ascii="Arial" w:hAnsi="Arial" w:cs="Arial"/>
              </w:rPr>
              <w:t>Water reduction per unit; Recycled/plastic-free packaging; Manufacturing emissions; Waste-to-recycling conversion</w:t>
            </w:r>
          </w:p>
        </w:tc>
        <w:tc>
          <w:tcPr>
            <w:tcW w:w="3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D9AF9D" w14:textId="77777777" w:rsidR="000A3F91" w:rsidRDefault="00000000">
            <w:pPr>
              <w:rPr>
                <w:rFonts w:ascii="Arial" w:hAnsi="Arial" w:cs="Arial"/>
              </w:rPr>
            </w:pPr>
            <w:r>
              <w:rPr>
                <w:rFonts w:ascii="Arial" w:hAnsi="Arial" w:cs="Arial"/>
              </w:rPr>
              <w:t>20% water savings in production; 50% recyclable or refillable packaging by Year 5; 25% reduction in emissions by Year 4; 90% waste recycling rate across facilities</w:t>
            </w:r>
          </w:p>
        </w:tc>
      </w:tr>
    </w:tbl>
    <w:p w14:paraId="0F07FDF7" w14:textId="77777777" w:rsidR="000A3F91" w:rsidRDefault="00000000">
      <w:pPr>
        <w:jc w:val="center"/>
        <w:rPr>
          <w:rFonts w:ascii="Arial" w:hAnsi="Arial" w:cs="Arial"/>
          <w:b/>
          <w:bCs/>
        </w:rPr>
      </w:pPr>
      <w:r>
        <w:rPr>
          <w:rFonts w:ascii="Arial" w:hAnsi="Arial" w:cs="Arial"/>
          <w:b/>
          <w:bCs/>
        </w:rPr>
        <w:t>Table 5: TBL KPI Framework for Unilever Mexico Expansion</w:t>
      </w:r>
    </w:p>
    <w:p w14:paraId="40A6B496" w14:textId="77777777" w:rsidR="000A3F91" w:rsidRDefault="00000000">
      <w:pPr>
        <w:jc w:val="center"/>
        <w:rPr>
          <w:rFonts w:ascii="Arial" w:hAnsi="Arial" w:cs="Arial"/>
        </w:rPr>
      </w:pPr>
      <w:r>
        <w:rPr>
          <w:rFonts w:ascii="Arial" w:hAnsi="Arial" w:cs="Arial"/>
        </w:rPr>
        <w:t>(Source: Self-Developed)</w:t>
      </w:r>
    </w:p>
    <w:p w14:paraId="566ABFC0" w14:textId="77777777" w:rsidR="000A3F91" w:rsidRDefault="00000000">
      <w:pPr>
        <w:rPr>
          <w:rFonts w:ascii="Arial" w:hAnsi="Arial" w:cs="Arial"/>
          <w:b/>
          <w:bCs/>
          <w:i/>
          <w:iCs/>
        </w:rPr>
      </w:pPr>
      <w:r>
        <w:rPr>
          <w:rFonts w:ascii="Arial" w:hAnsi="Arial" w:cs="Arial"/>
          <w:b/>
          <w:bCs/>
          <w:i/>
          <w:iCs/>
        </w:rPr>
        <w:t>Explanation of KPIs</w:t>
      </w:r>
    </w:p>
    <w:p w14:paraId="584AF9BF" w14:textId="77777777" w:rsidR="000A3F91" w:rsidRDefault="00000000">
      <w:pPr>
        <w:rPr>
          <w:rFonts w:ascii="Arial" w:hAnsi="Arial" w:cs="Arial"/>
          <w:b/>
          <w:bCs/>
          <w:i/>
          <w:iCs/>
        </w:rPr>
      </w:pPr>
      <w:r>
        <w:rPr>
          <w:rFonts w:ascii="Arial" w:hAnsi="Arial" w:cs="Arial"/>
          <w:b/>
          <w:bCs/>
          <w:i/>
          <w:iCs/>
        </w:rPr>
        <w:t>Profit (Economic Dimension)</w:t>
      </w:r>
    </w:p>
    <w:p w14:paraId="4F5BFBCA" w14:textId="77777777" w:rsidR="000A3F91" w:rsidRDefault="00000000">
      <w:pPr>
        <w:rPr>
          <w:rFonts w:ascii="Arial" w:hAnsi="Arial" w:cs="Arial"/>
        </w:rPr>
      </w:pPr>
      <w:r>
        <w:rPr>
          <w:rFonts w:ascii="Arial" w:hAnsi="Arial" w:cs="Arial"/>
        </w:rPr>
        <w:t>Unilever has economic KPIs that focus on revenue, efficiency and competitiveness, indicating that the company is determined to have responsible growth. It is possible to reach a 10-12% yearly growth in revenues as Mexico has growing FMCG categories and is becoming more urbanised. Increasing market share by 5 per cent in three years can be in accordance with the acquisition-plus-green field entry strategies that can formalise the distribution expenses (Stripe, 2025). A 2-3% margin improvement up to Year 4 will indicate efficiencies related to localisation, lean manufacturing and low-water formulations. The 40 per cent local sourcing will provide better resilience in the supply chain, minimise currency risks and contribute to inclusive economic growth.</w:t>
      </w:r>
    </w:p>
    <w:p w14:paraId="16D74156" w14:textId="77777777" w:rsidR="000A3F91" w:rsidRDefault="00000000">
      <w:pPr>
        <w:rPr>
          <w:rFonts w:ascii="Arial" w:hAnsi="Arial" w:cs="Arial"/>
          <w:b/>
          <w:bCs/>
          <w:i/>
          <w:iCs/>
        </w:rPr>
      </w:pPr>
      <w:r>
        <w:rPr>
          <w:rFonts w:ascii="Arial" w:hAnsi="Arial" w:cs="Arial"/>
          <w:b/>
          <w:bCs/>
          <w:i/>
          <w:iCs/>
        </w:rPr>
        <w:t>People (Social Dimension)</w:t>
      </w:r>
    </w:p>
    <w:p w14:paraId="5AF2489F" w14:textId="77777777" w:rsidR="000A3F91" w:rsidRDefault="00000000">
      <w:pPr>
        <w:rPr>
          <w:rFonts w:ascii="Arial" w:hAnsi="Arial" w:cs="Arial"/>
        </w:rPr>
      </w:pPr>
      <w:r>
        <w:rPr>
          <w:rFonts w:ascii="Arial" w:hAnsi="Arial" w:cs="Arial"/>
        </w:rPr>
        <w:lastRenderedPageBreak/>
        <w:t>Social KPIs emphasise employee growth, consumergoodsd and community. The line of nutrition and hygiene programmes targeting 5 million consumers appeals to the Unilever strength(s) brand, including Lifebuoy and Kno, to serve the unmet needs of the masses on health issues. The training and development of employees, such as 20 training hours per year, enhancing digital and operational, and sustainability competencies that are vital in executing the market-penetrating traditional trade by 30% will facilitate Unilever to reach out to the low-income population and consolidate buying efforts in disaggregated sales outlets (IIFC, 2025). The community inclusion programs aim to support 10,000 beneficiaries and integrate them into a socio-economic program, as well as the social licence to operate, which Unilever enjoys.</w:t>
      </w:r>
    </w:p>
    <w:p w14:paraId="1BD8E770" w14:textId="77777777" w:rsidR="000A3F91" w:rsidRDefault="00000000">
      <w:pPr>
        <w:rPr>
          <w:rFonts w:ascii="Arial" w:hAnsi="Arial" w:cs="Arial"/>
          <w:b/>
          <w:bCs/>
          <w:i/>
          <w:iCs/>
        </w:rPr>
      </w:pPr>
      <w:r>
        <w:rPr>
          <w:rFonts w:ascii="Arial" w:hAnsi="Arial" w:cs="Arial"/>
          <w:b/>
          <w:bCs/>
          <w:i/>
          <w:iCs/>
        </w:rPr>
        <w:t>Planet (Environmental Dimension)</w:t>
      </w:r>
    </w:p>
    <w:p w14:paraId="6B3367D6" w14:textId="77777777" w:rsidR="000A3F91" w:rsidRDefault="00000000">
      <w:pPr>
        <w:rPr>
          <w:rFonts w:ascii="Arial" w:hAnsi="Arial" w:cs="Arial"/>
        </w:rPr>
      </w:pPr>
      <w:r>
        <w:rPr>
          <w:rFonts w:ascii="Arial" w:hAnsi="Arial" w:cs="Arial"/>
        </w:rPr>
        <w:t>Environmental KPIs are in reaction to water scarcity in Mexico, pollution problems and growing regulatory pressures. A  20 per cent reduction in water use implies the necessity of concentrated detergents and manufacturing efficiency. Reformatting 50% of the packaging to be recyclable or refillable by Year 5 is in line with the new standards of the circular economy. The decrease of emissions by 25 per cent helps in the national environmental engagements and world decarbonisation pathways (IEA, 2025). Recycling 90 per cent in operation would enhance the effectiveness of resources, enhance environmentalprotectiong and the cost performance.</w:t>
      </w:r>
    </w:p>
    <w:p w14:paraId="2E2366C4" w14:textId="77777777" w:rsidR="000A3F91" w:rsidRDefault="00000000">
      <w:pPr>
        <w:pStyle w:val="Heading2"/>
        <w:rPr>
          <w:rFonts w:ascii="Arial" w:hAnsi="Arial" w:cs="Arial"/>
        </w:rPr>
      </w:pPr>
      <w:bookmarkStart w:id="48" w:name="_ed9gxiehmkmr" w:colFirst="0" w:colLast="0"/>
      <w:bookmarkStart w:id="49" w:name="_Toc215485296"/>
      <w:bookmarkEnd w:id="48"/>
      <w:r>
        <w:rPr>
          <w:rFonts w:ascii="Arial" w:hAnsi="Arial" w:cs="Arial"/>
        </w:rPr>
        <w:t>5.3 Measurement &amp; Monitoring Plan</w:t>
      </w:r>
      <w:bookmarkEnd w:id="49"/>
    </w:p>
    <w:p w14:paraId="1F2A47F2" w14:textId="77777777" w:rsidR="000A3F91" w:rsidRDefault="00000000">
      <w:pPr>
        <w:rPr>
          <w:rFonts w:ascii="Arial" w:hAnsi="Arial" w:cs="Arial"/>
        </w:rPr>
      </w:pPr>
      <w:r>
        <w:rPr>
          <w:rFonts w:ascii="Arial" w:hAnsi="Arial" w:cs="Arial"/>
        </w:rPr>
        <w:t>Monitoring of progress will be done under the defined performance management system, including reviewing of KPIs quarterly, biannual sustainability reviews and annual strategic reviews. As per Ravi et al. (2024), the financial metrics will also be tracked with the help of SAP-based dashboards and integrated financial reports. The indicators of social impact will be tracked through the data on programme participation, training employees and retail coverage audits. KPIs on the environment will be quantified by monitoring resources on a facility level, lifecycle inspection and recycling audit of waste. According to Pazhayattil and Sharma (2025), deviations will be measured by cross-functional performance review committees that will shoot down remedial measures. Performance will be measured against international Unilever parameters to be in an even keel with corporate strategies and long-term responsible growth programs.</w:t>
      </w:r>
    </w:p>
    <w:p w14:paraId="3416C11E" w14:textId="77777777" w:rsidR="000A3F91" w:rsidRDefault="00000000">
      <w:pPr>
        <w:pStyle w:val="Heading1"/>
        <w:rPr>
          <w:rFonts w:ascii="Arial" w:hAnsi="Arial" w:cs="Arial"/>
        </w:rPr>
      </w:pPr>
      <w:bookmarkStart w:id="50" w:name="_vyrv9l7v8p4j" w:colFirst="0" w:colLast="0"/>
      <w:bookmarkStart w:id="51" w:name="_Toc215485297"/>
      <w:bookmarkEnd w:id="50"/>
      <w:r>
        <w:rPr>
          <w:rFonts w:ascii="Arial" w:hAnsi="Arial" w:cs="Arial"/>
        </w:rPr>
        <w:lastRenderedPageBreak/>
        <w:t>6. Conclusion</w:t>
      </w:r>
      <w:bookmarkEnd w:id="51"/>
      <w:r>
        <w:rPr>
          <w:rFonts w:ascii="Arial" w:hAnsi="Arial" w:cs="Arial"/>
        </w:rPr>
        <w:t xml:space="preserve"> </w:t>
      </w:r>
    </w:p>
    <w:p w14:paraId="67FB6A32" w14:textId="77777777" w:rsidR="000A3F91" w:rsidRDefault="00000000">
      <w:pPr>
        <w:rPr>
          <w:rFonts w:ascii="Arial" w:hAnsi="Arial" w:cs="Arial"/>
        </w:rPr>
      </w:pPr>
      <w:r>
        <w:rPr>
          <w:rFonts w:ascii="Arial" w:hAnsi="Arial" w:cs="Arial"/>
        </w:rPr>
        <w:t>In this report, the Evidence-based expansion strategy into the Mexican FMCG market by Unilever has been critically developed, taking into consideration the sophisticated strategic management framework, to evaluate the prospects, threats and competition aspects. The analysis displays that Mexico has great potential in the long term by virtue of its huge population, the growing middle income, good retail infrastructure and the growing demand for branded, sustainable and affordable consumer products. Nevertheless, inconsistencies in regulations, environmental limitations, regional inequality and high competition are operational issues and difficulties that must be met with dynamic and resistant strategic responses. The ideal hybrid entry mode, which is acquisition backed with greenfield investment, offers Unilever the short-term access and long-term control of the operations, allowing the localisation, sustainable production and competitive differentiation. This will rely on value-based differentiation, localisation of supply chain, culturally relevant innovation and deep-rooted joint undertaking into the contemporary and traditional trade channels to realise strategic success. The TBL performance model connects the growth of the business with social and environmental responsibilities, and the expansion strengthens the Unilever global Compass Strategy.</w:t>
      </w:r>
    </w:p>
    <w:p w14:paraId="3325F940" w14:textId="77777777" w:rsidR="000A3F91" w:rsidRDefault="00000000">
      <w:pPr>
        <w:pStyle w:val="Heading1"/>
        <w:rPr>
          <w:rFonts w:ascii="Arial" w:hAnsi="Arial" w:cs="Arial"/>
        </w:rPr>
      </w:pPr>
      <w:bookmarkStart w:id="52" w:name="_90t7euylg7xi" w:colFirst="0" w:colLast="0"/>
      <w:bookmarkEnd w:id="52"/>
      <w:r>
        <w:rPr>
          <w:rFonts w:ascii="Arial" w:hAnsi="Arial" w:cs="Arial"/>
        </w:rPr>
        <w:br w:type="page"/>
      </w:r>
    </w:p>
    <w:p w14:paraId="52D7D41B" w14:textId="77777777" w:rsidR="000A3F91" w:rsidRDefault="00000000">
      <w:pPr>
        <w:pStyle w:val="Heading1"/>
        <w:rPr>
          <w:rFonts w:ascii="Arial" w:hAnsi="Arial" w:cs="Arial"/>
        </w:rPr>
      </w:pPr>
      <w:bookmarkStart w:id="53" w:name="_s8fofr96x629" w:colFirst="0" w:colLast="0"/>
      <w:bookmarkStart w:id="54" w:name="_Toc215485298"/>
      <w:bookmarkEnd w:id="53"/>
      <w:r>
        <w:rPr>
          <w:rFonts w:ascii="Arial" w:hAnsi="Arial" w:cs="Arial"/>
        </w:rPr>
        <w:lastRenderedPageBreak/>
        <w:t>References</w:t>
      </w:r>
      <w:bookmarkEnd w:id="54"/>
    </w:p>
    <w:p w14:paraId="3CF0F111" w14:textId="77777777" w:rsidR="000A3F91" w:rsidRDefault="00000000">
      <w:pPr>
        <w:rPr>
          <w:rFonts w:ascii="Arial" w:hAnsi="Arial" w:cs="Arial"/>
        </w:rPr>
      </w:pPr>
      <w:r>
        <w:rPr>
          <w:rFonts w:ascii="Arial" w:hAnsi="Arial" w:cs="Arial"/>
        </w:rPr>
        <w:t xml:space="preserve">Ali, I. </w:t>
      </w:r>
      <w:r>
        <w:rPr>
          <w:rFonts w:ascii="Arial" w:hAnsi="Arial" w:cs="Arial"/>
          <w:i/>
          <w:iCs/>
        </w:rPr>
        <w:t>et al.</w:t>
      </w:r>
      <w:r>
        <w:rPr>
          <w:rFonts w:ascii="Arial" w:hAnsi="Arial" w:cs="Arial"/>
        </w:rPr>
        <w:t xml:space="preserve"> (2025) ‘Introduction to Global Value Chains and Geopolitical Turmoil’, </w:t>
      </w:r>
      <w:r>
        <w:rPr>
          <w:rFonts w:ascii="Arial" w:hAnsi="Arial" w:cs="Arial"/>
          <w:i/>
          <w:iCs/>
        </w:rPr>
        <w:t>Global Value Chains and Geopolitical Uncertainty</w:t>
      </w:r>
      <w:r>
        <w:rPr>
          <w:rFonts w:ascii="Arial" w:hAnsi="Arial" w:cs="Arial"/>
        </w:rPr>
        <w:t xml:space="preserve">, pp. 1–16. Available at: </w:t>
      </w:r>
      <w:hyperlink r:id="rId13" w:history="1">
        <w:r>
          <w:rPr>
            <w:rFonts w:ascii="Arial" w:hAnsi="Arial" w:cs="Arial"/>
            <w:color w:val="1155CC"/>
            <w:u w:val="single"/>
          </w:rPr>
          <w:t>https://doi.org/10.4324/9781003468899-1</w:t>
        </w:r>
      </w:hyperlink>
      <w:r>
        <w:rPr>
          <w:rFonts w:ascii="Arial" w:hAnsi="Arial" w:cs="Arial"/>
        </w:rPr>
        <w:t xml:space="preserve">. </w:t>
      </w:r>
    </w:p>
    <w:p w14:paraId="025CEA2D" w14:textId="77777777" w:rsidR="000A3F91" w:rsidRDefault="00000000">
      <w:pPr>
        <w:spacing w:after="240"/>
        <w:rPr>
          <w:rFonts w:ascii="Arial" w:hAnsi="Arial" w:cs="Arial"/>
        </w:rPr>
      </w:pPr>
      <w:r>
        <w:rPr>
          <w:rFonts w:ascii="Arial" w:hAnsi="Arial" w:cs="Arial"/>
        </w:rPr>
        <w:t xml:space="preserve">Alves, L.G.A. </w:t>
      </w:r>
      <w:r>
        <w:rPr>
          <w:rFonts w:ascii="Arial" w:hAnsi="Arial" w:cs="Arial"/>
          <w:i/>
          <w:iCs/>
        </w:rPr>
        <w:t>et al.</w:t>
      </w:r>
      <w:r>
        <w:rPr>
          <w:rFonts w:ascii="Arial" w:hAnsi="Arial" w:cs="Arial"/>
        </w:rPr>
        <w:t xml:space="preserve"> (2022) ‘The rise and fall of countries in the global value chains’, </w:t>
      </w:r>
      <w:r>
        <w:rPr>
          <w:rFonts w:ascii="Arial" w:hAnsi="Arial" w:cs="Arial"/>
          <w:i/>
          <w:iCs/>
        </w:rPr>
        <w:t>Scientific Reports</w:t>
      </w:r>
      <w:r>
        <w:rPr>
          <w:rFonts w:ascii="Arial" w:hAnsi="Arial" w:cs="Arial"/>
        </w:rPr>
        <w:t xml:space="preserve">, 12(1). Available at: </w:t>
      </w:r>
      <w:hyperlink r:id="rId14" w:history="1">
        <w:r>
          <w:rPr>
            <w:rFonts w:ascii="Arial" w:hAnsi="Arial" w:cs="Arial"/>
            <w:color w:val="1155CC"/>
            <w:u w:val="single"/>
          </w:rPr>
          <w:t>https://doi.org/10.1038/s41598-022-12067-x</w:t>
        </w:r>
      </w:hyperlink>
      <w:r>
        <w:rPr>
          <w:rFonts w:ascii="Arial" w:hAnsi="Arial" w:cs="Arial"/>
        </w:rPr>
        <w:t xml:space="preserve">. </w:t>
      </w:r>
    </w:p>
    <w:p w14:paraId="41908163" w14:textId="77777777" w:rsidR="000A3F91" w:rsidRDefault="00000000">
      <w:pPr>
        <w:spacing w:after="240"/>
        <w:rPr>
          <w:rFonts w:ascii="Arial" w:hAnsi="Arial" w:cs="Arial"/>
        </w:rPr>
      </w:pPr>
      <w:r>
        <w:rPr>
          <w:rFonts w:ascii="Arial" w:hAnsi="Arial" w:cs="Arial"/>
        </w:rPr>
        <w:t xml:space="preserve">Callaghan, S. </w:t>
      </w:r>
      <w:r>
        <w:rPr>
          <w:rFonts w:ascii="Arial" w:hAnsi="Arial" w:cs="Arial"/>
          <w:i/>
          <w:iCs/>
        </w:rPr>
        <w:t>et al.</w:t>
      </w:r>
      <w:r>
        <w:rPr>
          <w:rFonts w:ascii="Arial" w:hAnsi="Arial" w:cs="Arial"/>
        </w:rPr>
        <w:t xml:space="preserve"> (2024) </w:t>
      </w:r>
      <w:r>
        <w:rPr>
          <w:rFonts w:ascii="Arial" w:hAnsi="Arial" w:cs="Arial"/>
          <w:i/>
          <w:iCs/>
        </w:rPr>
        <w:t>The trends defining the $1.8 trillion global wellness market in 2024</w:t>
      </w:r>
      <w:r>
        <w:rPr>
          <w:rFonts w:ascii="Arial" w:hAnsi="Arial" w:cs="Arial"/>
        </w:rPr>
        <w:t xml:space="preserve">, </w:t>
      </w:r>
      <w:r>
        <w:rPr>
          <w:rFonts w:ascii="Arial" w:hAnsi="Arial" w:cs="Arial"/>
          <w:i/>
          <w:iCs/>
        </w:rPr>
        <w:t>McKinsey &amp; Company</w:t>
      </w:r>
      <w:r>
        <w:rPr>
          <w:rFonts w:ascii="Arial" w:hAnsi="Arial" w:cs="Arial"/>
        </w:rPr>
        <w:t xml:space="preserve">. Available at: </w:t>
      </w:r>
      <w:hyperlink r:id="rId15" w:history="1">
        <w:r>
          <w:rPr>
            <w:rFonts w:ascii="Arial" w:hAnsi="Arial" w:cs="Arial"/>
            <w:color w:val="1155CC"/>
            <w:u w:val="single"/>
          </w:rPr>
          <w:t>https://www.mckinsey.com/industries/consumer-packaged-goods/our-insights/the-trends-defining-the-1-point-8-trillion-dollar-global-wellness-market-in-2024</w:t>
        </w:r>
      </w:hyperlink>
      <w:r>
        <w:rPr>
          <w:rFonts w:ascii="Arial" w:hAnsi="Arial" w:cs="Arial"/>
        </w:rPr>
        <w:t xml:space="preserve">  (Accessed: 1 December 2025).</w:t>
      </w:r>
    </w:p>
    <w:p w14:paraId="5FC07FEB" w14:textId="77777777" w:rsidR="000A3F91" w:rsidRDefault="00000000">
      <w:pPr>
        <w:spacing w:after="240"/>
        <w:rPr>
          <w:rFonts w:ascii="Arial" w:hAnsi="Arial" w:cs="Arial"/>
        </w:rPr>
      </w:pPr>
      <w:r>
        <w:rPr>
          <w:rFonts w:ascii="Arial" w:hAnsi="Arial" w:cs="Arial"/>
        </w:rPr>
        <w:t xml:space="preserve">Cervantes, G. </w:t>
      </w:r>
      <w:r>
        <w:rPr>
          <w:rFonts w:ascii="Arial" w:hAnsi="Arial" w:cs="Arial"/>
          <w:i/>
          <w:iCs/>
        </w:rPr>
        <w:t>et al.</w:t>
      </w:r>
      <w:r>
        <w:rPr>
          <w:rFonts w:ascii="Arial" w:hAnsi="Arial" w:cs="Arial"/>
        </w:rPr>
        <w:t xml:space="preserve"> (2021) ‘What Opportunities Exist for Making the Food Supply Nutrition Friendly? A Policy Space Analysis in Mexico’, </w:t>
      </w:r>
      <w:r>
        <w:rPr>
          <w:rFonts w:ascii="Arial" w:hAnsi="Arial" w:cs="Arial"/>
          <w:i/>
          <w:iCs/>
        </w:rPr>
        <w:t>International Journal of Health Policy and Management</w:t>
      </w:r>
      <w:r>
        <w:rPr>
          <w:rFonts w:ascii="Arial" w:hAnsi="Arial" w:cs="Arial"/>
        </w:rPr>
        <w:t xml:space="preserve"> [Preprint]. Available at: </w:t>
      </w:r>
      <w:hyperlink r:id="rId16" w:history="1">
        <w:r>
          <w:rPr>
            <w:rFonts w:ascii="Arial" w:hAnsi="Arial" w:cs="Arial"/>
            <w:color w:val="1155CC"/>
            <w:u w:val="single"/>
          </w:rPr>
          <w:t>https://doi.org/10.34172/ijhpm.2021.164</w:t>
        </w:r>
      </w:hyperlink>
      <w:r>
        <w:rPr>
          <w:rFonts w:ascii="Arial" w:hAnsi="Arial" w:cs="Arial"/>
        </w:rPr>
        <w:t xml:space="preserve">. </w:t>
      </w:r>
    </w:p>
    <w:p w14:paraId="76F839C0" w14:textId="77777777" w:rsidR="000A3F91" w:rsidRDefault="00000000">
      <w:pPr>
        <w:spacing w:after="240"/>
        <w:rPr>
          <w:rFonts w:ascii="Arial" w:hAnsi="Arial" w:cs="Arial"/>
        </w:rPr>
      </w:pPr>
      <w:r>
        <w:rPr>
          <w:rFonts w:ascii="Arial" w:hAnsi="Arial" w:cs="Arial"/>
        </w:rPr>
        <w:t xml:space="preserve">Espinoza-Ortega, A. </w:t>
      </w:r>
      <w:r>
        <w:rPr>
          <w:rFonts w:ascii="Arial" w:hAnsi="Arial" w:cs="Arial"/>
          <w:i/>
          <w:iCs/>
        </w:rPr>
        <w:t>et al.</w:t>
      </w:r>
      <w:r>
        <w:rPr>
          <w:rFonts w:ascii="Arial" w:hAnsi="Arial" w:cs="Arial"/>
        </w:rPr>
        <w:t xml:space="preserve"> (2021) ‘Consumer and food changes in Mexican households during maximal contingency in the COVID-19 pandemic’, </w:t>
      </w:r>
      <w:r>
        <w:rPr>
          <w:rFonts w:ascii="Arial" w:hAnsi="Arial" w:cs="Arial"/>
          <w:i/>
          <w:iCs/>
        </w:rPr>
        <w:t>International Journal of Gastronomy and Food Science</w:t>
      </w:r>
      <w:r>
        <w:rPr>
          <w:rFonts w:ascii="Arial" w:hAnsi="Arial" w:cs="Arial"/>
        </w:rPr>
        <w:t xml:space="preserve">, 24, p. 100357. Available at: </w:t>
      </w:r>
      <w:hyperlink r:id="rId17" w:history="1">
        <w:r>
          <w:rPr>
            <w:rFonts w:ascii="Arial" w:hAnsi="Arial" w:cs="Arial"/>
            <w:color w:val="1155CC"/>
            <w:u w:val="single"/>
          </w:rPr>
          <w:t>https://doi.org/10.1016/j.ijgfs.2021.100357</w:t>
        </w:r>
      </w:hyperlink>
      <w:r>
        <w:rPr>
          <w:rFonts w:ascii="Arial" w:hAnsi="Arial" w:cs="Arial"/>
        </w:rPr>
        <w:t xml:space="preserve">. </w:t>
      </w:r>
    </w:p>
    <w:p w14:paraId="2BCC83B8" w14:textId="77777777" w:rsidR="000A3F91" w:rsidRDefault="00000000">
      <w:pPr>
        <w:spacing w:after="240"/>
        <w:rPr>
          <w:rFonts w:ascii="Arial" w:hAnsi="Arial" w:cs="Arial"/>
        </w:rPr>
      </w:pPr>
      <w:r>
        <w:rPr>
          <w:rFonts w:ascii="Arial" w:hAnsi="Arial" w:cs="Arial"/>
        </w:rPr>
        <w:t xml:space="preserve">Heinrich, M. (2025) </w:t>
      </w:r>
      <w:r>
        <w:rPr>
          <w:rFonts w:ascii="Arial" w:hAnsi="Arial" w:cs="Arial"/>
          <w:i/>
          <w:iCs/>
        </w:rPr>
        <w:t>Mexico’s Challenges Beyond Trump: The Unfinished Democratic Transition - The Globalist</w:t>
      </w:r>
      <w:r>
        <w:rPr>
          <w:rFonts w:ascii="Arial" w:hAnsi="Arial" w:cs="Arial"/>
        </w:rPr>
        <w:t xml:space="preserve">, </w:t>
      </w:r>
      <w:r>
        <w:rPr>
          <w:rFonts w:ascii="Arial" w:hAnsi="Arial" w:cs="Arial"/>
          <w:i/>
          <w:iCs/>
        </w:rPr>
        <w:t>The Globalist</w:t>
      </w:r>
      <w:r>
        <w:rPr>
          <w:rFonts w:ascii="Arial" w:hAnsi="Arial" w:cs="Arial"/>
        </w:rPr>
        <w:t xml:space="preserve">. Available at: </w:t>
      </w:r>
      <w:hyperlink r:id="rId18" w:history="1">
        <w:r>
          <w:rPr>
            <w:rFonts w:ascii="Arial" w:hAnsi="Arial" w:cs="Arial"/>
            <w:color w:val="1155CC"/>
            <w:u w:val="single"/>
          </w:rPr>
          <w:t>https://www.theglobalist.com/mexico-democracy-corruption-governance-security/</w:t>
        </w:r>
      </w:hyperlink>
      <w:r>
        <w:rPr>
          <w:rFonts w:ascii="Arial" w:hAnsi="Arial" w:cs="Arial"/>
        </w:rPr>
        <w:t xml:space="preserve">  (Accessed: 1 December 2025).</w:t>
      </w:r>
    </w:p>
    <w:p w14:paraId="5FE6052E" w14:textId="77777777" w:rsidR="000A3F91" w:rsidRDefault="00000000">
      <w:pPr>
        <w:spacing w:after="240"/>
        <w:rPr>
          <w:rFonts w:ascii="Arial" w:hAnsi="Arial" w:cs="Arial"/>
        </w:rPr>
      </w:pPr>
      <w:r>
        <w:rPr>
          <w:rFonts w:ascii="Arial" w:hAnsi="Arial" w:cs="Arial"/>
        </w:rPr>
        <w:t xml:space="preserve">Hong, T.K. (2025) ‘Integrating Sustainability into the Corporate Strategy: A Critical Analysis of Unilever’s Sustainable...’, </w:t>
      </w:r>
      <w:r>
        <w:rPr>
          <w:rFonts w:ascii="Arial" w:hAnsi="Arial" w:cs="Arial"/>
          <w:i/>
          <w:iCs/>
        </w:rPr>
        <w:t>ResearchGate</w:t>
      </w:r>
      <w:r>
        <w:rPr>
          <w:rFonts w:ascii="Arial" w:hAnsi="Arial" w:cs="Arial"/>
        </w:rPr>
        <w:t xml:space="preserve"> [Preprint]. Available at: </w:t>
      </w:r>
      <w:hyperlink r:id="rId19" w:history="1">
        <w:r>
          <w:rPr>
            <w:rFonts w:ascii="Arial" w:hAnsi="Arial" w:cs="Arial"/>
            <w:color w:val="1155CC"/>
            <w:u w:val="single"/>
          </w:rPr>
          <w:t>https://doi.org/10.13140/RG.2.2.20946.47040</w:t>
        </w:r>
      </w:hyperlink>
      <w:r>
        <w:rPr>
          <w:rFonts w:ascii="Arial" w:hAnsi="Arial" w:cs="Arial"/>
        </w:rPr>
        <w:t xml:space="preserve">. </w:t>
      </w:r>
    </w:p>
    <w:p w14:paraId="16619FAA" w14:textId="77777777" w:rsidR="000A3F91" w:rsidRDefault="00000000">
      <w:pPr>
        <w:spacing w:after="240"/>
        <w:rPr>
          <w:rFonts w:ascii="Arial" w:hAnsi="Arial" w:cs="Arial"/>
        </w:rPr>
      </w:pPr>
      <w:r>
        <w:rPr>
          <w:rFonts w:ascii="Arial" w:hAnsi="Arial" w:cs="Arial"/>
        </w:rPr>
        <w:t xml:space="preserve">IEA (2025) </w:t>
      </w:r>
      <w:r>
        <w:rPr>
          <w:rFonts w:ascii="Arial" w:hAnsi="Arial" w:cs="Arial"/>
          <w:i/>
          <w:iCs/>
        </w:rPr>
        <w:t>Executive summary – Net Zero Roadmap: A Global Pathway to Keep the 1.5 °C Goal in Reach – Analysis - IEA</w:t>
      </w:r>
      <w:r>
        <w:rPr>
          <w:rFonts w:ascii="Arial" w:hAnsi="Arial" w:cs="Arial"/>
        </w:rPr>
        <w:t xml:space="preserve">, </w:t>
      </w:r>
      <w:r>
        <w:rPr>
          <w:rFonts w:ascii="Arial" w:hAnsi="Arial" w:cs="Arial"/>
          <w:i/>
          <w:iCs/>
        </w:rPr>
        <w:t>IEA</w:t>
      </w:r>
      <w:r>
        <w:rPr>
          <w:rFonts w:ascii="Arial" w:hAnsi="Arial" w:cs="Arial"/>
        </w:rPr>
        <w:t xml:space="preserve">. Available at: </w:t>
      </w:r>
      <w:hyperlink r:id="rId20" w:history="1">
        <w:r>
          <w:rPr>
            <w:rFonts w:ascii="Arial" w:hAnsi="Arial" w:cs="Arial"/>
            <w:color w:val="1155CC"/>
            <w:u w:val="single"/>
          </w:rPr>
          <w:t>https://www.iea.org/reports/net-zero-roadmap-a-global-pathway-to-keep-the-15-c-goal-in-reach/executive-summary</w:t>
        </w:r>
      </w:hyperlink>
      <w:r>
        <w:rPr>
          <w:rFonts w:ascii="Arial" w:hAnsi="Arial" w:cs="Arial"/>
        </w:rPr>
        <w:t xml:space="preserve">  (Accessed: 1 December 2025).</w:t>
      </w:r>
    </w:p>
    <w:p w14:paraId="3A36EA17" w14:textId="77777777" w:rsidR="000A3F91" w:rsidRDefault="00000000">
      <w:pPr>
        <w:spacing w:after="240"/>
        <w:rPr>
          <w:rFonts w:ascii="Arial" w:hAnsi="Arial" w:cs="Arial"/>
        </w:rPr>
      </w:pPr>
      <w:r>
        <w:rPr>
          <w:rFonts w:ascii="Arial" w:hAnsi="Arial" w:cs="Arial"/>
        </w:rPr>
        <w:lastRenderedPageBreak/>
        <w:t xml:space="preserve">IIFC (2025) </w:t>
      </w:r>
      <w:r>
        <w:rPr>
          <w:rFonts w:ascii="Arial" w:hAnsi="Arial" w:cs="Arial"/>
          <w:i/>
          <w:iCs/>
        </w:rPr>
        <w:t>INCLUSIVE DISTRIBUTION ADVANCING GENDER EQUALITY IN THE FAST-MOVING CONSUMER GOODS SECTOR IN PARTNERSHIP WITH</w:t>
      </w:r>
      <w:r>
        <w:rPr>
          <w:rFonts w:ascii="Arial" w:hAnsi="Arial" w:cs="Arial"/>
        </w:rPr>
        <w:t xml:space="preserve">. Available at: </w:t>
      </w:r>
      <w:hyperlink r:id="rId21" w:history="1">
        <w:r>
          <w:rPr>
            <w:rFonts w:ascii="Arial" w:hAnsi="Arial" w:cs="Arial"/>
            <w:color w:val="1155CC"/>
            <w:u w:val="single"/>
          </w:rPr>
          <w:t>https://www.ifc.org/content/dam/ifc/doc/mgrt/advancing-gender-equality-in-the-fast-moving-consumer-goods-sector.pdf</w:t>
        </w:r>
      </w:hyperlink>
      <w:r>
        <w:rPr>
          <w:rFonts w:ascii="Arial" w:hAnsi="Arial" w:cs="Arial"/>
        </w:rPr>
        <w:t xml:space="preserve">  (Accessed: 1 December 2025).</w:t>
      </w:r>
    </w:p>
    <w:p w14:paraId="67BF4A12" w14:textId="77777777" w:rsidR="000A3F91" w:rsidRDefault="00000000">
      <w:pPr>
        <w:spacing w:after="240"/>
        <w:rPr>
          <w:rFonts w:ascii="Arial" w:hAnsi="Arial" w:cs="Arial"/>
        </w:rPr>
      </w:pPr>
      <w:r>
        <w:rPr>
          <w:rFonts w:ascii="Arial" w:hAnsi="Arial" w:cs="Arial"/>
        </w:rPr>
        <w:t xml:space="preserve">Innova Market Insights (2025) </w:t>
      </w:r>
      <w:r>
        <w:rPr>
          <w:rFonts w:ascii="Arial" w:hAnsi="Arial" w:cs="Arial"/>
          <w:i/>
          <w:iCs/>
        </w:rPr>
        <w:t>Consumer spending trends in Mexico. Health and wellbeing are the</w:t>
      </w:r>
      <w:r>
        <w:rPr>
          <w:rFonts w:ascii="Arial" w:hAnsi="Arial" w:cs="Arial"/>
        </w:rPr>
        <w:t xml:space="preserve">, </w:t>
      </w:r>
      <w:r>
        <w:rPr>
          <w:rFonts w:ascii="Arial" w:hAnsi="Arial" w:cs="Arial"/>
          <w:i/>
          <w:iCs/>
        </w:rPr>
        <w:t>Innovamarketinsights.com</w:t>
      </w:r>
      <w:r>
        <w:rPr>
          <w:rFonts w:ascii="Arial" w:hAnsi="Arial" w:cs="Arial"/>
        </w:rPr>
        <w:t xml:space="preserve">. Available at: </w:t>
      </w:r>
      <w:hyperlink r:id="rId22" w:history="1">
        <w:r>
          <w:rPr>
            <w:rFonts w:ascii="Arial" w:hAnsi="Arial" w:cs="Arial"/>
            <w:color w:val="1155CC"/>
            <w:u w:val="single"/>
          </w:rPr>
          <w:t>https://www.innovamarketinsights.com/trends/consumer-spending-trends-in-mexico/</w:t>
        </w:r>
      </w:hyperlink>
      <w:r>
        <w:rPr>
          <w:rFonts w:ascii="Arial" w:hAnsi="Arial" w:cs="Arial"/>
        </w:rPr>
        <w:t xml:space="preserve">  (Accessed: 1 December 2025).</w:t>
      </w:r>
    </w:p>
    <w:p w14:paraId="30898CF3" w14:textId="77777777" w:rsidR="000A3F91" w:rsidRDefault="00000000">
      <w:pPr>
        <w:spacing w:after="240"/>
        <w:rPr>
          <w:rFonts w:ascii="Arial" w:hAnsi="Arial" w:cs="Arial"/>
        </w:rPr>
      </w:pPr>
      <w:r>
        <w:rPr>
          <w:rFonts w:ascii="Arial" w:hAnsi="Arial" w:cs="Arial"/>
        </w:rPr>
        <w:t xml:space="preserve">Mexico Business News (2025) </w:t>
      </w:r>
      <w:r>
        <w:rPr>
          <w:rFonts w:ascii="Arial" w:hAnsi="Arial" w:cs="Arial"/>
          <w:i/>
          <w:iCs/>
        </w:rPr>
        <w:t>Mexico and E-Commerce: Opportunities and Gaps in the Digital Boom</w:t>
      </w:r>
      <w:r>
        <w:rPr>
          <w:rFonts w:ascii="Arial" w:hAnsi="Arial" w:cs="Arial"/>
        </w:rPr>
        <w:t xml:space="preserve">, </w:t>
      </w:r>
      <w:r>
        <w:rPr>
          <w:rFonts w:ascii="Arial" w:hAnsi="Arial" w:cs="Arial"/>
          <w:i/>
          <w:iCs/>
        </w:rPr>
        <w:t>Mexico Business</w:t>
      </w:r>
      <w:r>
        <w:rPr>
          <w:rFonts w:ascii="Arial" w:hAnsi="Arial" w:cs="Arial"/>
        </w:rPr>
        <w:t xml:space="preserve">. Available at: </w:t>
      </w:r>
      <w:hyperlink r:id="rId23" w:history="1">
        <w:r>
          <w:rPr>
            <w:rFonts w:ascii="Arial" w:hAnsi="Arial" w:cs="Arial"/>
            <w:color w:val="1155CC"/>
            <w:u w:val="single"/>
          </w:rPr>
          <w:t>https://mexicobusiness.news/ecommerce/news/mexico-and-e-commerce-opportunities-and-gaps-digital-boom</w:t>
        </w:r>
      </w:hyperlink>
      <w:r>
        <w:rPr>
          <w:rFonts w:ascii="Arial" w:hAnsi="Arial" w:cs="Arial"/>
        </w:rPr>
        <w:t xml:space="preserve">  (Accessed: 1 December 2025).</w:t>
      </w:r>
    </w:p>
    <w:p w14:paraId="27F11C26" w14:textId="77777777" w:rsidR="000A3F91" w:rsidRDefault="00000000">
      <w:pPr>
        <w:spacing w:after="240"/>
        <w:rPr>
          <w:rFonts w:ascii="Arial" w:hAnsi="Arial" w:cs="Arial"/>
        </w:rPr>
      </w:pPr>
      <w:r>
        <w:rPr>
          <w:rFonts w:ascii="Arial" w:hAnsi="Arial" w:cs="Arial"/>
        </w:rPr>
        <w:t xml:space="preserve">Mordor Intelligence (2025) </w:t>
      </w:r>
      <w:r>
        <w:rPr>
          <w:rFonts w:ascii="Arial" w:hAnsi="Arial" w:cs="Arial"/>
          <w:i/>
          <w:iCs/>
        </w:rPr>
        <w:t>Mexico Retail Sector Market | 2022 - 27 | Industry Share, Size, Growth - Mordor Intelligence</w:t>
      </w:r>
      <w:r>
        <w:rPr>
          <w:rFonts w:ascii="Arial" w:hAnsi="Arial" w:cs="Arial"/>
        </w:rPr>
        <w:t xml:space="preserve">, </w:t>
      </w:r>
      <w:r>
        <w:rPr>
          <w:rFonts w:ascii="Arial" w:hAnsi="Arial" w:cs="Arial"/>
          <w:i/>
          <w:iCs/>
        </w:rPr>
        <w:t>www.mordorintelligence.com</w:t>
      </w:r>
      <w:r>
        <w:rPr>
          <w:rFonts w:ascii="Arial" w:hAnsi="Arial" w:cs="Arial"/>
        </w:rPr>
        <w:t xml:space="preserve">. Available at: </w:t>
      </w:r>
      <w:hyperlink r:id="rId24" w:history="1">
        <w:r>
          <w:rPr>
            <w:rFonts w:ascii="Arial" w:hAnsi="Arial" w:cs="Arial"/>
            <w:color w:val="1155CC"/>
            <w:u w:val="single"/>
          </w:rPr>
          <w:t>https://www.mordorintelligence.com/industry-reports/mexico-retail-sector</w:t>
        </w:r>
      </w:hyperlink>
      <w:r>
        <w:rPr>
          <w:rFonts w:ascii="Arial" w:hAnsi="Arial" w:cs="Arial"/>
        </w:rPr>
        <w:t xml:space="preserve">  (Accessed: 1 December 2025).</w:t>
      </w:r>
    </w:p>
    <w:p w14:paraId="67D1976C" w14:textId="77777777" w:rsidR="000A3F91" w:rsidRDefault="00000000">
      <w:pPr>
        <w:spacing w:after="240"/>
        <w:rPr>
          <w:rFonts w:ascii="Arial" w:hAnsi="Arial" w:cs="Arial"/>
        </w:rPr>
      </w:pPr>
      <w:r>
        <w:rPr>
          <w:rFonts w:ascii="Arial" w:hAnsi="Arial" w:cs="Arial"/>
        </w:rPr>
        <w:t xml:space="preserve">Ohakwe, C.R. and Wu, J. (2025) ‘The Impact of Macroeconomic Indicators on Logistics Performance: A Comparative Analysis Using Simulated Scenarios’, </w:t>
      </w:r>
      <w:r>
        <w:rPr>
          <w:rFonts w:ascii="Arial" w:hAnsi="Arial" w:cs="Arial"/>
          <w:i/>
          <w:iCs/>
        </w:rPr>
        <w:t>Sustainable Futures</w:t>
      </w:r>
      <w:r>
        <w:rPr>
          <w:rFonts w:ascii="Arial" w:hAnsi="Arial" w:cs="Arial"/>
        </w:rPr>
        <w:t xml:space="preserve">, 9, p. 100567. Available at: </w:t>
      </w:r>
      <w:hyperlink r:id="rId25" w:history="1">
        <w:r>
          <w:rPr>
            <w:rFonts w:ascii="Arial" w:hAnsi="Arial" w:cs="Arial"/>
            <w:color w:val="1155CC"/>
            <w:u w:val="single"/>
          </w:rPr>
          <w:t>https://doi.org/10.1016/j.sftr.2025.100567</w:t>
        </w:r>
      </w:hyperlink>
      <w:r>
        <w:rPr>
          <w:rFonts w:ascii="Arial" w:hAnsi="Arial" w:cs="Arial"/>
        </w:rPr>
        <w:t xml:space="preserve">. </w:t>
      </w:r>
    </w:p>
    <w:p w14:paraId="6EAAFE39" w14:textId="77777777" w:rsidR="000A3F91" w:rsidRDefault="00000000">
      <w:pPr>
        <w:spacing w:after="240"/>
        <w:rPr>
          <w:rFonts w:ascii="Arial" w:hAnsi="Arial" w:cs="Arial"/>
        </w:rPr>
      </w:pPr>
      <w:r>
        <w:rPr>
          <w:rFonts w:ascii="Arial" w:hAnsi="Arial" w:cs="Arial"/>
        </w:rPr>
        <w:t xml:space="preserve">OUSTR (2025) </w:t>
      </w:r>
      <w:r>
        <w:rPr>
          <w:rFonts w:ascii="Arial" w:hAnsi="Arial" w:cs="Arial"/>
          <w:i/>
          <w:iCs/>
        </w:rPr>
        <w:t>UNITED STATES–MEXICO–CANADA TRADE FACT SHEET Modernizing NAFTA into a 21st Century Trade Agreement | United States Trade Representative</w:t>
      </w:r>
      <w:r>
        <w:rPr>
          <w:rFonts w:ascii="Arial" w:hAnsi="Arial" w:cs="Arial"/>
        </w:rPr>
        <w:t xml:space="preserve">, </w:t>
      </w:r>
      <w:r>
        <w:rPr>
          <w:rFonts w:ascii="Arial" w:hAnsi="Arial" w:cs="Arial"/>
          <w:i/>
          <w:iCs/>
        </w:rPr>
        <w:t>Ustr.gov</w:t>
      </w:r>
      <w:r>
        <w:rPr>
          <w:rFonts w:ascii="Arial" w:hAnsi="Arial" w:cs="Arial"/>
        </w:rPr>
        <w:t xml:space="preserve">. Available at: </w:t>
      </w:r>
      <w:hyperlink r:id="rId26" w:history="1">
        <w:r>
          <w:rPr>
            <w:rFonts w:ascii="Arial" w:hAnsi="Arial" w:cs="Arial"/>
            <w:color w:val="1155CC"/>
            <w:u w:val="single"/>
          </w:rPr>
          <w:t>https://ustr.gov/trade-agreements/free-trade-agreements/united-states-mexico-canada-agreement/fact-sheets/modernizing</w:t>
        </w:r>
      </w:hyperlink>
      <w:r>
        <w:rPr>
          <w:rFonts w:ascii="Arial" w:hAnsi="Arial" w:cs="Arial"/>
        </w:rPr>
        <w:t xml:space="preserve">  (Accessed: 1 December 2025).</w:t>
      </w:r>
    </w:p>
    <w:p w14:paraId="30E7B171" w14:textId="77777777" w:rsidR="000A3F91" w:rsidRDefault="00000000">
      <w:pPr>
        <w:spacing w:after="240"/>
        <w:rPr>
          <w:rFonts w:ascii="Arial" w:hAnsi="Arial" w:cs="Arial"/>
        </w:rPr>
      </w:pPr>
      <w:r>
        <w:rPr>
          <w:rFonts w:ascii="Arial" w:hAnsi="Arial" w:cs="Arial"/>
        </w:rPr>
        <w:t xml:space="preserve">Pazhayattil, A.B. and Sharma, S. (2025) ‘Management of Deviation and Failure Investigation’, </w:t>
      </w:r>
      <w:r>
        <w:rPr>
          <w:rFonts w:ascii="Arial" w:hAnsi="Arial" w:cs="Arial"/>
          <w:i/>
          <w:iCs/>
        </w:rPr>
        <w:t>AAPS Introductions in the Pharmaceutical Sciences</w:t>
      </w:r>
      <w:r>
        <w:rPr>
          <w:rFonts w:ascii="Arial" w:hAnsi="Arial" w:cs="Arial"/>
        </w:rPr>
        <w:t xml:space="preserve">, pp. 53–76. Available at: </w:t>
      </w:r>
      <w:hyperlink r:id="rId27" w:history="1">
        <w:r>
          <w:rPr>
            <w:rFonts w:ascii="Arial" w:hAnsi="Arial" w:cs="Arial"/>
            <w:color w:val="1155CC"/>
            <w:u w:val="single"/>
          </w:rPr>
          <w:t>https://doi.org/10.1007/978-3-031-86504-6_4</w:t>
        </w:r>
      </w:hyperlink>
      <w:r>
        <w:rPr>
          <w:rFonts w:ascii="Arial" w:hAnsi="Arial" w:cs="Arial"/>
        </w:rPr>
        <w:t xml:space="preserve">. </w:t>
      </w:r>
    </w:p>
    <w:p w14:paraId="438F02B5" w14:textId="77777777" w:rsidR="000A3F91" w:rsidRDefault="00000000">
      <w:pPr>
        <w:spacing w:after="240"/>
        <w:rPr>
          <w:rFonts w:ascii="Arial" w:hAnsi="Arial" w:cs="Arial"/>
        </w:rPr>
      </w:pPr>
      <w:r>
        <w:rPr>
          <w:rFonts w:ascii="Arial" w:hAnsi="Arial" w:cs="Arial"/>
        </w:rPr>
        <w:lastRenderedPageBreak/>
        <w:t xml:space="preserve">Peinado-Vara, E. (2022) ‘Corporate Social Responsibility in Latin America’, </w:t>
      </w:r>
      <w:r>
        <w:rPr>
          <w:rFonts w:ascii="Arial" w:hAnsi="Arial" w:cs="Arial"/>
          <w:i/>
          <w:iCs/>
        </w:rPr>
        <w:t>The Journal of Corporate Citizenship</w:t>
      </w:r>
      <w:r>
        <w:rPr>
          <w:rFonts w:ascii="Arial" w:hAnsi="Arial" w:cs="Arial"/>
        </w:rPr>
        <w:t xml:space="preserve">, pp. 61–70. Available at: </w:t>
      </w:r>
      <w:hyperlink r:id="rId28" w:history="1">
        <w:r>
          <w:rPr>
            <w:rFonts w:ascii="Arial" w:hAnsi="Arial" w:cs="Arial"/>
            <w:color w:val="1155CC"/>
            <w:u w:val="single"/>
          </w:rPr>
          <w:t>https://doi.org/10.4324/9781351288484-8</w:t>
        </w:r>
      </w:hyperlink>
      <w:r>
        <w:rPr>
          <w:rFonts w:ascii="Arial" w:hAnsi="Arial" w:cs="Arial"/>
        </w:rPr>
        <w:t xml:space="preserve">. </w:t>
      </w:r>
    </w:p>
    <w:p w14:paraId="6067BE9B" w14:textId="77777777" w:rsidR="000A3F91" w:rsidRDefault="00000000">
      <w:pPr>
        <w:spacing w:after="240"/>
        <w:rPr>
          <w:rFonts w:ascii="Arial" w:hAnsi="Arial" w:cs="Arial"/>
        </w:rPr>
      </w:pPr>
      <w:r>
        <w:rPr>
          <w:rFonts w:ascii="Arial" w:hAnsi="Arial" w:cs="Arial"/>
        </w:rPr>
        <w:t xml:space="preserve">Population-pyramid (2025) </w:t>
      </w:r>
      <w:r>
        <w:rPr>
          <w:rFonts w:ascii="Arial" w:hAnsi="Arial" w:cs="Arial"/>
          <w:i/>
          <w:iCs/>
        </w:rPr>
        <w:t>Population Pyramid of Mexico at 2025</w:t>
      </w:r>
      <w:r>
        <w:rPr>
          <w:rFonts w:ascii="Arial" w:hAnsi="Arial" w:cs="Arial"/>
        </w:rPr>
        <w:t xml:space="preserve">, </w:t>
      </w:r>
      <w:r>
        <w:rPr>
          <w:rFonts w:ascii="Arial" w:hAnsi="Arial" w:cs="Arial"/>
          <w:i/>
          <w:iCs/>
        </w:rPr>
        <w:t>Population-pyramid.net</w:t>
      </w:r>
      <w:r>
        <w:rPr>
          <w:rFonts w:ascii="Arial" w:hAnsi="Arial" w:cs="Arial"/>
        </w:rPr>
        <w:t xml:space="preserve">. Available at: </w:t>
      </w:r>
      <w:hyperlink r:id="rId29" w:history="1">
        <w:r>
          <w:rPr>
            <w:rFonts w:ascii="Arial" w:hAnsi="Arial" w:cs="Arial"/>
            <w:color w:val="1155CC"/>
            <w:u w:val="single"/>
          </w:rPr>
          <w:t>https://population-pyramid.net/en/pp/mexico</w:t>
        </w:r>
      </w:hyperlink>
      <w:r>
        <w:rPr>
          <w:rFonts w:ascii="Arial" w:hAnsi="Arial" w:cs="Arial"/>
        </w:rPr>
        <w:t xml:space="preserve">  (Accessed: 1 December 2025).</w:t>
      </w:r>
    </w:p>
    <w:p w14:paraId="07082CE2" w14:textId="77777777" w:rsidR="000A3F91" w:rsidRDefault="00000000">
      <w:pPr>
        <w:spacing w:after="240"/>
        <w:rPr>
          <w:rFonts w:ascii="Arial" w:hAnsi="Arial" w:cs="Arial"/>
        </w:rPr>
      </w:pPr>
      <w:r>
        <w:rPr>
          <w:rFonts w:ascii="Arial" w:hAnsi="Arial" w:cs="Arial"/>
        </w:rPr>
        <w:t xml:space="preserve">Quantive (2024) </w:t>
      </w:r>
      <w:r>
        <w:rPr>
          <w:rFonts w:ascii="Arial" w:hAnsi="Arial" w:cs="Arial"/>
          <w:i/>
          <w:iCs/>
        </w:rPr>
        <w:t>What Is The Ansoff Matrix: Definition, Steps &amp; Examples</w:t>
      </w:r>
      <w:r>
        <w:rPr>
          <w:rFonts w:ascii="Arial" w:hAnsi="Arial" w:cs="Arial"/>
        </w:rPr>
        <w:t xml:space="preserve">, </w:t>
      </w:r>
      <w:r>
        <w:rPr>
          <w:rFonts w:ascii="Arial" w:hAnsi="Arial" w:cs="Arial"/>
          <w:i/>
          <w:iCs/>
        </w:rPr>
        <w:t>Quantive.com</w:t>
      </w:r>
      <w:r>
        <w:rPr>
          <w:rFonts w:ascii="Arial" w:hAnsi="Arial" w:cs="Arial"/>
        </w:rPr>
        <w:t xml:space="preserve">. Available at: </w:t>
      </w:r>
      <w:hyperlink r:id="rId30" w:history="1">
        <w:r>
          <w:rPr>
            <w:rFonts w:ascii="Arial" w:hAnsi="Arial" w:cs="Arial"/>
            <w:color w:val="1155CC"/>
            <w:u w:val="single"/>
          </w:rPr>
          <w:t>https://quantive.com/resources/articles/ansoff-matrix</w:t>
        </w:r>
      </w:hyperlink>
      <w:r>
        <w:rPr>
          <w:rFonts w:ascii="Arial" w:hAnsi="Arial" w:cs="Arial"/>
        </w:rPr>
        <w:t xml:space="preserve">  (Accessed: 1 December 2025).</w:t>
      </w:r>
    </w:p>
    <w:p w14:paraId="5FAE9525" w14:textId="77777777" w:rsidR="000A3F91" w:rsidRDefault="00000000">
      <w:pPr>
        <w:spacing w:after="240"/>
        <w:rPr>
          <w:rFonts w:ascii="Arial" w:hAnsi="Arial" w:cs="Arial"/>
        </w:rPr>
      </w:pPr>
      <w:r>
        <w:rPr>
          <w:rFonts w:ascii="Arial" w:hAnsi="Arial" w:cs="Arial"/>
        </w:rPr>
        <w:t xml:space="preserve">Rajagopal (2022) ‘Critical Insights on Disruption in Marketing Strategies: Some Perspectives in Latin American Countries’, </w:t>
      </w:r>
      <w:r>
        <w:rPr>
          <w:rFonts w:ascii="Arial" w:hAnsi="Arial" w:cs="Arial"/>
          <w:i/>
          <w:iCs/>
        </w:rPr>
        <w:t>Springer eBooks</w:t>
      </w:r>
      <w:r>
        <w:rPr>
          <w:rFonts w:ascii="Arial" w:hAnsi="Arial" w:cs="Arial"/>
        </w:rPr>
        <w:t xml:space="preserve">, pp. 3–31. Available at: </w:t>
      </w:r>
      <w:hyperlink r:id="rId31" w:history="1">
        <w:r>
          <w:rPr>
            <w:rFonts w:ascii="Arial" w:hAnsi="Arial" w:cs="Arial"/>
            <w:color w:val="1155CC"/>
            <w:u w:val="single"/>
          </w:rPr>
          <w:t>https://doi.org/10.1007/978-3-030-79709-6_1</w:t>
        </w:r>
      </w:hyperlink>
      <w:r>
        <w:rPr>
          <w:rFonts w:ascii="Arial" w:hAnsi="Arial" w:cs="Arial"/>
        </w:rPr>
        <w:t xml:space="preserve">. </w:t>
      </w:r>
    </w:p>
    <w:p w14:paraId="479C8B60" w14:textId="77777777" w:rsidR="000A3F91" w:rsidRDefault="00000000">
      <w:pPr>
        <w:spacing w:after="240"/>
        <w:rPr>
          <w:rFonts w:ascii="Arial" w:hAnsi="Arial" w:cs="Arial"/>
        </w:rPr>
      </w:pPr>
      <w:r>
        <w:rPr>
          <w:rFonts w:ascii="Arial" w:hAnsi="Arial" w:cs="Arial"/>
        </w:rPr>
        <w:t xml:space="preserve">Ravi, V.K. </w:t>
      </w:r>
      <w:r>
        <w:rPr>
          <w:rFonts w:ascii="Arial" w:hAnsi="Arial" w:cs="Arial"/>
          <w:i/>
          <w:iCs/>
        </w:rPr>
        <w:t>et al.</w:t>
      </w:r>
      <w:r>
        <w:rPr>
          <w:rFonts w:ascii="Arial" w:hAnsi="Arial" w:cs="Arial"/>
        </w:rPr>
        <w:t xml:space="preserve"> (2024) ‘Blockchain Integration in SAP for Supply Chain Transparency’, </w:t>
      </w:r>
      <w:r>
        <w:rPr>
          <w:rFonts w:ascii="Arial" w:hAnsi="Arial" w:cs="Arial"/>
          <w:i/>
          <w:iCs/>
        </w:rPr>
        <w:t>Integrated Journal for Research in Arts and Humanities</w:t>
      </w:r>
      <w:r>
        <w:rPr>
          <w:rFonts w:ascii="Arial" w:hAnsi="Arial" w:cs="Arial"/>
        </w:rPr>
        <w:t xml:space="preserve">, 4(6), pp. 251–278. Available at: </w:t>
      </w:r>
      <w:hyperlink r:id="rId32" w:history="1">
        <w:r>
          <w:rPr>
            <w:rFonts w:ascii="Arial" w:hAnsi="Arial" w:cs="Arial"/>
            <w:color w:val="1155CC"/>
            <w:u w:val="single"/>
          </w:rPr>
          <w:t>https://doi.org/10.55544/ijrah.4.6.22</w:t>
        </w:r>
      </w:hyperlink>
      <w:r>
        <w:rPr>
          <w:rFonts w:ascii="Arial" w:hAnsi="Arial" w:cs="Arial"/>
        </w:rPr>
        <w:t xml:space="preserve">. </w:t>
      </w:r>
    </w:p>
    <w:p w14:paraId="5B9BC108" w14:textId="77777777" w:rsidR="000A3F91" w:rsidRDefault="00000000">
      <w:pPr>
        <w:spacing w:after="240"/>
        <w:rPr>
          <w:rFonts w:ascii="Arial" w:hAnsi="Arial" w:cs="Arial"/>
        </w:rPr>
      </w:pPr>
      <w:r>
        <w:rPr>
          <w:rFonts w:ascii="Arial" w:hAnsi="Arial" w:cs="Arial"/>
        </w:rPr>
        <w:t xml:space="preserve">Reardon, T. </w:t>
      </w:r>
      <w:r>
        <w:rPr>
          <w:rFonts w:ascii="Arial" w:hAnsi="Arial" w:cs="Arial"/>
          <w:i/>
          <w:iCs/>
        </w:rPr>
        <w:t>et al.</w:t>
      </w:r>
      <w:r>
        <w:rPr>
          <w:rFonts w:ascii="Arial" w:hAnsi="Arial" w:cs="Arial"/>
        </w:rPr>
        <w:t xml:space="preserve"> (2021) ‘E</w:t>
      </w:r>
      <w:r>
        <w:rPr>
          <w:rFonts w:ascii="Cambria Math" w:hAnsi="Cambria Math" w:cs="Cambria Math"/>
        </w:rPr>
        <w:t>‐</w:t>
      </w:r>
      <w:r>
        <w:rPr>
          <w:rFonts w:ascii="Arial" w:hAnsi="Arial" w:cs="Arial"/>
        </w:rPr>
        <w:t>commerce’s Fast</w:t>
      </w:r>
      <w:r>
        <w:rPr>
          <w:rFonts w:ascii="Cambria Math" w:hAnsi="Cambria Math" w:cs="Cambria Math"/>
        </w:rPr>
        <w:t>‐</w:t>
      </w:r>
      <w:r>
        <w:rPr>
          <w:rFonts w:ascii="Arial" w:hAnsi="Arial" w:cs="Arial"/>
        </w:rPr>
        <w:t xml:space="preserve">tracking Diffusion and Adaptation in Developing Countries’, </w:t>
      </w:r>
      <w:r>
        <w:rPr>
          <w:rFonts w:ascii="Arial" w:hAnsi="Arial" w:cs="Arial"/>
          <w:i/>
          <w:iCs/>
        </w:rPr>
        <w:t>Applied Economic Perspectives and Policy</w:t>
      </w:r>
      <w:r>
        <w:rPr>
          <w:rFonts w:ascii="Arial" w:hAnsi="Arial" w:cs="Arial"/>
        </w:rPr>
        <w:t xml:space="preserve">, 43(4), pp. 1243–1259. Available at: </w:t>
      </w:r>
      <w:hyperlink r:id="rId33" w:history="1">
        <w:r>
          <w:rPr>
            <w:rFonts w:ascii="Arial" w:hAnsi="Arial" w:cs="Arial"/>
            <w:color w:val="1155CC"/>
            <w:u w:val="single"/>
          </w:rPr>
          <w:t>https://doi.org/10.1002/aepp.13160</w:t>
        </w:r>
      </w:hyperlink>
      <w:r>
        <w:rPr>
          <w:rFonts w:ascii="Arial" w:hAnsi="Arial" w:cs="Arial"/>
        </w:rPr>
        <w:t xml:space="preserve">. </w:t>
      </w:r>
    </w:p>
    <w:p w14:paraId="014943F9" w14:textId="77777777" w:rsidR="000A3F91" w:rsidRDefault="00000000">
      <w:pPr>
        <w:spacing w:after="240"/>
        <w:rPr>
          <w:rFonts w:ascii="Arial" w:hAnsi="Arial" w:cs="Arial"/>
        </w:rPr>
      </w:pPr>
      <w:r>
        <w:rPr>
          <w:rFonts w:ascii="Arial" w:hAnsi="Arial" w:cs="Arial"/>
        </w:rPr>
        <w:t xml:space="preserve">Robles, F. and Wiese, N.M. (2023) </w:t>
      </w:r>
      <w:r>
        <w:rPr>
          <w:rFonts w:ascii="Arial" w:hAnsi="Arial" w:cs="Arial"/>
          <w:i/>
          <w:iCs/>
        </w:rPr>
        <w:t>Business in Latin America</w:t>
      </w:r>
      <w:r>
        <w:rPr>
          <w:rFonts w:ascii="Arial" w:hAnsi="Arial" w:cs="Arial"/>
        </w:rPr>
        <w:t xml:space="preserve">. Available at: </w:t>
      </w:r>
      <w:hyperlink r:id="rId34" w:history="1">
        <w:r>
          <w:rPr>
            <w:rFonts w:ascii="Arial" w:hAnsi="Arial" w:cs="Arial"/>
            <w:color w:val="1155CC"/>
            <w:u w:val="single"/>
          </w:rPr>
          <w:t>https://doi.org/10.4324/9781003182672</w:t>
        </w:r>
      </w:hyperlink>
      <w:r>
        <w:rPr>
          <w:rFonts w:ascii="Arial" w:hAnsi="Arial" w:cs="Arial"/>
        </w:rPr>
        <w:t xml:space="preserve">. </w:t>
      </w:r>
    </w:p>
    <w:p w14:paraId="72C168CB" w14:textId="77777777" w:rsidR="000A3F91" w:rsidRDefault="00000000">
      <w:pPr>
        <w:spacing w:after="240"/>
        <w:rPr>
          <w:rFonts w:ascii="Arial" w:hAnsi="Arial" w:cs="Arial"/>
        </w:rPr>
      </w:pPr>
      <w:r>
        <w:rPr>
          <w:rFonts w:ascii="Arial" w:hAnsi="Arial" w:cs="Arial"/>
        </w:rPr>
        <w:t xml:space="preserve">Roszko-Wójtowicz, E. </w:t>
      </w:r>
      <w:r>
        <w:rPr>
          <w:rFonts w:ascii="Arial" w:hAnsi="Arial" w:cs="Arial"/>
          <w:i/>
          <w:iCs/>
        </w:rPr>
        <w:t>et al.</w:t>
      </w:r>
      <w:r>
        <w:rPr>
          <w:rFonts w:ascii="Arial" w:hAnsi="Arial" w:cs="Arial"/>
        </w:rPr>
        <w:t xml:space="preserve"> (2024) ‘Innovation-Driven E-Commerce Growth in the EU: An Empirical Study of the Propensity for Online Purchases and Sustainable Consumption’, </w:t>
      </w:r>
      <w:r>
        <w:rPr>
          <w:rFonts w:ascii="Arial" w:hAnsi="Arial" w:cs="Arial"/>
          <w:i/>
          <w:iCs/>
        </w:rPr>
        <w:t>Sustainability</w:t>
      </w:r>
      <w:r>
        <w:rPr>
          <w:rFonts w:ascii="Arial" w:hAnsi="Arial" w:cs="Arial"/>
        </w:rPr>
        <w:t xml:space="preserve">, 16(4), p. 1563. Available at: </w:t>
      </w:r>
      <w:hyperlink r:id="rId35" w:history="1">
        <w:r>
          <w:rPr>
            <w:rFonts w:ascii="Arial" w:hAnsi="Arial" w:cs="Arial"/>
            <w:color w:val="1155CC"/>
            <w:u w:val="single"/>
          </w:rPr>
          <w:t>https://doi.org/10.3390/su16041563</w:t>
        </w:r>
      </w:hyperlink>
      <w:r>
        <w:rPr>
          <w:rFonts w:ascii="Arial" w:hAnsi="Arial" w:cs="Arial"/>
        </w:rPr>
        <w:t xml:space="preserve">. </w:t>
      </w:r>
    </w:p>
    <w:p w14:paraId="00DE1C93" w14:textId="77777777" w:rsidR="000A3F91" w:rsidRDefault="00000000">
      <w:pPr>
        <w:spacing w:after="240"/>
        <w:rPr>
          <w:rFonts w:ascii="Arial" w:hAnsi="Arial" w:cs="Arial"/>
        </w:rPr>
      </w:pPr>
      <w:r>
        <w:rPr>
          <w:rFonts w:ascii="Arial" w:hAnsi="Arial" w:cs="Arial"/>
        </w:rPr>
        <w:t xml:space="preserve">Statista (2025a) </w:t>
      </w:r>
      <w:r>
        <w:rPr>
          <w:rFonts w:ascii="Arial" w:hAnsi="Arial" w:cs="Arial"/>
          <w:i/>
          <w:iCs/>
        </w:rPr>
        <w:t>Mexico - Inflation rate 2030| Statista</w:t>
      </w:r>
      <w:r>
        <w:rPr>
          <w:rFonts w:ascii="Arial" w:hAnsi="Arial" w:cs="Arial"/>
        </w:rPr>
        <w:t xml:space="preserve">, </w:t>
      </w:r>
      <w:r>
        <w:rPr>
          <w:rFonts w:ascii="Arial" w:hAnsi="Arial" w:cs="Arial"/>
          <w:i/>
          <w:iCs/>
        </w:rPr>
        <w:t>Statista</w:t>
      </w:r>
      <w:r>
        <w:rPr>
          <w:rFonts w:ascii="Arial" w:hAnsi="Arial" w:cs="Arial"/>
        </w:rPr>
        <w:t xml:space="preserve">. Available at: </w:t>
      </w:r>
      <w:hyperlink r:id="rId36" w:history="1">
        <w:r>
          <w:rPr>
            <w:rFonts w:ascii="Arial" w:hAnsi="Arial" w:cs="Arial"/>
            <w:color w:val="1155CC"/>
            <w:u w:val="single"/>
          </w:rPr>
          <w:t>https://www.statista.com/statistics/275414/inflation-rate-in-mexico/?srsltid=AfmBOoqQvPKAJGRG8K3ArkeSfpmN0aZPFiJBq4ttpYCA7maEkDNq33px</w:t>
        </w:r>
      </w:hyperlink>
      <w:r>
        <w:rPr>
          <w:rFonts w:ascii="Arial" w:hAnsi="Arial" w:cs="Arial"/>
        </w:rPr>
        <w:t xml:space="preserve">  (Accessed: 1 December 2025).</w:t>
      </w:r>
    </w:p>
    <w:p w14:paraId="63FAF6E9" w14:textId="77777777" w:rsidR="000A3F91" w:rsidRDefault="00000000">
      <w:pPr>
        <w:spacing w:after="240"/>
        <w:rPr>
          <w:rFonts w:ascii="Arial" w:hAnsi="Arial" w:cs="Arial"/>
        </w:rPr>
      </w:pPr>
      <w:r>
        <w:rPr>
          <w:rFonts w:ascii="Arial" w:hAnsi="Arial" w:cs="Arial"/>
        </w:rPr>
        <w:lastRenderedPageBreak/>
        <w:t xml:space="preserve">Statista (2025b) </w:t>
      </w:r>
      <w:r>
        <w:rPr>
          <w:rFonts w:ascii="Arial" w:hAnsi="Arial" w:cs="Arial"/>
          <w:i/>
          <w:iCs/>
        </w:rPr>
        <w:t>Revenue in the food market in Mexico from 2018 to 2030, by segment</w:t>
      </w:r>
      <w:r>
        <w:rPr>
          <w:rFonts w:ascii="Arial" w:hAnsi="Arial" w:cs="Arial"/>
        </w:rPr>
        <w:t xml:space="preserve">, </w:t>
      </w:r>
      <w:r>
        <w:rPr>
          <w:rFonts w:ascii="Arial" w:hAnsi="Arial" w:cs="Arial"/>
          <w:i/>
          <w:iCs/>
        </w:rPr>
        <w:t>Oclc.org</w:t>
      </w:r>
      <w:r>
        <w:rPr>
          <w:rFonts w:ascii="Arial" w:hAnsi="Arial" w:cs="Arial"/>
        </w:rPr>
        <w:t xml:space="preserve">. Available at: </w:t>
      </w:r>
      <w:hyperlink r:id="rId37" w:history="1">
        <w:r>
          <w:rPr>
            <w:rFonts w:ascii="Arial" w:hAnsi="Arial" w:cs="Arial"/>
            <w:color w:val="1155CC"/>
            <w:u w:val="single"/>
          </w:rPr>
          <w:t>https://www-statista-com.roe.idm.oclc.org/forecasts/1443847/revenue-food-market-for-different-segments-mexico</w:t>
        </w:r>
      </w:hyperlink>
      <w:r>
        <w:rPr>
          <w:rFonts w:ascii="Arial" w:hAnsi="Arial" w:cs="Arial"/>
        </w:rPr>
        <w:t xml:space="preserve"> (Accessed: 1 December 2025).</w:t>
      </w:r>
    </w:p>
    <w:p w14:paraId="2DDF3BBD" w14:textId="77777777" w:rsidR="000A3F91" w:rsidRDefault="00000000">
      <w:pPr>
        <w:spacing w:after="240"/>
        <w:rPr>
          <w:rFonts w:ascii="Arial" w:hAnsi="Arial" w:cs="Arial"/>
        </w:rPr>
      </w:pPr>
      <w:r>
        <w:rPr>
          <w:rFonts w:ascii="Arial" w:hAnsi="Arial" w:cs="Arial"/>
        </w:rPr>
        <w:t xml:space="preserve">Stripe (2025) </w:t>
      </w:r>
      <w:r>
        <w:rPr>
          <w:rFonts w:ascii="Arial" w:hAnsi="Arial" w:cs="Arial"/>
          <w:i/>
          <w:iCs/>
        </w:rPr>
        <w:t>Global market entry strategies: A guide for expansion | Stripe</w:t>
      </w:r>
      <w:r>
        <w:rPr>
          <w:rFonts w:ascii="Arial" w:hAnsi="Arial" w:cs="Arial"/>
        </w:rPr>
        <w:t xml:space="preserve">, </w:t>
      </w:r>
      <w:r>
        <w:rPr>
          <w:rFonts w:ascii="Arial" w:hAnsi="Arial" w:cs="Arial"/>
          <w:i/>
          <w:iCs/>
        </w:rPr>
        <w:t>Stripe.com</w:t>
      </w:r>
      <w:r>
        <w:rPr>
          <w:rFonts w:ascii="Arial" w:hAnsi="Arial" w:cs="Arial"/>
        </w:rPr>
        <w:t xml:space="preserve">. Stripe. Available at: </w:t>
      </w:r>
      <w:hyperlink r:id="rId38" w:history="1">
        <w:r>
          <w:rPr>
            <w:rFonts w:ascii="Arial" w:hAnsi="Arial" w:cs="Arial"/>
            <w:color w:val="1155CC"/>
            <w:u w:val="single"/>
          </w:rPr>
          <w:t>https://stripe.com/resources/more/global-market-entry-strategies-a-guide-for-expansion</w:t>
        </w:r>
      </w:hyperlink>
      <w:r>
        <w:rPr>
          <w:rFonts w:ascii="Arial" w:hAnsi="Arial" w:cs="Arial"/>
        </w:rPr>
        <w:t xml:space="preserve"> (Accessed: 1 December 2025).</w:t>
      </w:r>
    </w:p>
    <w:p w14:paraId="68038099" w14:textId="77777777" w:rsidR="000A3F91" w:rsidRDefault="00000000">
      <w:pPr>
        <w:spacing w:after="240"/>
        <w:rPr>
          <w:rFonts w:ascii="Arial" w:hAnsi="Arial" w:cs="Arial"/>
        </w:rPr>
      </w:pPr>
      <w:r>
        <w:rPr>
          <w:rFonts w:ascii="Arial" w:hAnsi="Arial" w:cs="Arial"/>
        </w:rPr>
        <w:t xml:space="preserve">Sustainable Business (2025) </w:t>
      </w:r>
      <w:r>
        <w:rPr>
          <w:rFonts w:ascii="Arial" w:hAnsi="Arial" w:cs="Arial"/>
          <w:i/>
          <w:iCs/>
        </w:rPr>
        <w:t>Environmental Impacts and Effects of Environmental Issues in Mexico</w:t>
      </w:r>
      <w:r>
        <w:rPr>
          <w:rFonts w:ascii="Arial" w:hAnsi="Arial" w:cs="Arial"/>
        </w:rPr>
        <w:t xml:space="preserve">, </w:t>
      </w:r>
      <w:r>
        <w:rPr>
          <w:rFonts w:ascii="Arial" w:hAnsi="Arial" w:cs="Arial"/>
          <w:i/>
          <w:iCs/>
        </w:rPr>
        <w:t>Sustainable Business Magazine</w:t>
      </w:r>
      <w:r>
        <w:rPr>
          <w:rFonts w:ascii="Arial" w:hAnsi="Arial" w:cs="Arial"/>
        </w:rPr>
        <w:t xml:space="preserve">. Available at: </w:t>
      </w:r>
      <w:hyperlink r:id="rId39" w:history="1">
        <w:r>
          <w:rPr>
            <w:rFonts w:ascii="Arial" w:hAnsi="Arial" w:cs="Arial"/>
            <w:color w:val="1155CC"/>
            <w:u w:val="single"/>
          </w:rPr>
          <w:t>https://sustainablebusinessmagazine.net/eco-review/environmental-impacts-and-effects-of-environmental-issues-in-mexico/</w:t>
        </w:r>
      </w:hyperlink>
      <w:r>
        <w:rPr>
          <w:rFonts w:ascii="Arial" w:hAnsi="Arial" w:cs="Arial"/>
        </w:rPr>
        <w:t xml:space="preserve"> (Accessed: 1 December 2025).</w:t>
      </w:r>
    </w:p>
    <w:p w14:paraId="69695D99" w14:textId="77777777" w:rsidR="000A3F91" w:rsidRDefault="00000000">
      <w:pPr>
        <w:spacing w:after="240"/>
        <w:rPr>
          <w:rFonts w:ascii="Arial" w:hAnsi="Arial" w:cs="Arial"/>
        </w:rPr>
      </w:pPr>
      <w:r>
        <w:rPr>
          <w:rFonts w:ascii="Arial" w:hAnsi="Arial" w:cs="Arial"/>
        </w:rPr>
        <w:t xml:space="preserve">UNCCD (2025) </w:t>
      </w:r>
      <w:r>
        <w:rPr>
          <w:rFonts w:ascii="Arial" w:hAnsi="Arial" w:cs="Arial"/>
          <w:i/>
          <w:iCs/>
        </w:rPr>
        <w:t>Drought Hotspots Around the World 2023-2025</w:t>
      </w:r>
      <w:r>
        <w:rPr>
          <w:rFonts w:ascii="Arial" w:hAnsi="Arial" w:cs="Arial"/>
        </w:rPr>
        <w:t xml:space="preserve">, </w:t>
      </w:r>
      <w:r>
        <w:rPr>
          <w:rFonts w:ascii="Arial" w:hAnsi="Arial" w:cs="Arial"/>
          <w:i/>
          <w:iCs/>
        </w:rPr>
        <w:t>www.unccd.com</w:t>
      </w:r>
      <w:r>
        <w:rPr>
          <w:rFonts w:ascii="Arial" w:hAnsi="Arial" w:cs="Arial"/>
        </w:rPr>
        <w:t xml:space="preserve">. Available at: </w:t>
      </w:r>
      <w:hyperlink r:id="rId40" w:history="1">
        <w:r>
          <w:rPr>
            <w:rFonts w:ascii="Arial" w:hAnsi="Arial" w:cs="Arial"/>
            <w:color w:val="1155CC"/>
            <w:u w:val="single"/>
          </w:rPr>
          <w:t>https://www.unccd.int/sites/default/files/2025-07/Drought%20Hotspots%202023-2025_ENG.pdf</w:t>
        </w:r>
      </w:hyperlink>
      <w:r>
        <w:rPr>
          <w:rFonts w:ascii="Arial" w:hAnsi="Arial" w:cs="Arial"/>
        </w:rPr>
        <w:t xml:space="preserve"> (Accessed: 1 December 2025).</w:t>
      </w:r>
    </w:p>
    <w:p w14:paraId="0A38A5A1" w14:textId="77777777" w:rsidR="000A3F91" w:rsidRDefault="00000000">
      <w:pPr>
        <w:spacing w:after="240"/>
        <w:rPr>
          <w:rFonts w:ascii="Arial" w:hAnsi="Arial" w:cs="Arial"/>
        </w:rPr>
      </w:pPr>
      <w:r>
        <w:rPr>
          <w:rFonts w:ascii="Arial" w:hAnsi="Arial" w:cs="Arial"/>
        </w:rPr>
        <w:t xml:space="preserve">Unilever (2024) </w:t>
      </w:r>
      <w:r>
        <w:rPr>
          <w:rFonts w:ascii="Arial" w:hAnsi="Arial" w:cs="Arial"/>
          <w:i/>
          <w:iCs/>
        </w:rPr>
        <w:t>Unilever Annual Report</w:t>
      </w:r>
      <w:r>
        <w:rPr>
          <w:rFonts w:ascii="Arial" w:hAnsi="Arial" w:cs="Arial"/>
        </w:rPr>
        <w:t xml:space="preserve">. Available at: </w:t>
      </w:r>
      <w:hyperlink r:id="rId41" w:history="1">
        <w:r>
          <w:rPr>
            <w:rFonts w:ascii="Arial" w:hAnsi="Arial" w:cs="Arial"/>
            <w:color w:val="1155CC"/>
            <w:u w:val="single"/>
          </w:rPr>
          <w:t>https://www.unilever.com/files/unilever-annual-report-and-accounts-2024.pdf</w:t>
        </w:r>
      </w:hyperlink>
      <w:r>
        <w:rPr>
          <w:rFonts w:ascii="Arial" w:hAnsi="Arial" w:cs="Arial"/>
        </w:rPr>
        <w:t xml:space="preserve"> (Accessed: 1 December 2025).</w:t>
      </w:r>
    </w:p>
    <w:p w14:paraId="3A36CC4F" w14:textId="77777777" w:rsidR="000A3F91" w:rsidRDefault="00000000">
      <w:pPr>
        <w:spacing w:after="240"/>
        <w:rPr>
          <w:rFonts w:ascii="Arial" w:hAnsi="Arial" w:cs="Arial"/>
        </w:rPr>
      </w:pPr>
      <w:r>
        <w:rPr>
          <w:rFonts w:ascii="Arial" w:hAnsi="Arial" w:cs="Arial"/>
        </w:rPr>
        <w:t xml:space="preserve">Unilever (2025a) </w:t>
      </w:r>
      <w:r>
        <w:rPr>
          <w:rFonts w:ascii="Arial" w:hAnsi="Arial" w:cs="Arial"/>
          <w:i/>
          <w:iCs/>
        </w:rPr>
        <w:t>Leading in the next era of corporate sustainability</w:t>
      </w:r>
      <w:r>
        <w:rPr>
          <w:rFonts w:ascii="Arial" w:hAnsi="Arial" w:cs="Arial"/>
        </w:rPr>
        <w:t xml:space="preserve">, </w:t>
      </w:r>
      <w:r>
        <w:rPr>
          <w:rFonts w:ascii="Arial" w:hAnsi="Arial" w:cs="Arial"/>
          <w:i/>
          <w:iCs/>
        </w:rPr>
        <w:t>Unilever</w:t>
      </w:r>
      <w:r>
        <w:rPr>
          <w:rFonts w:ascii="Arial" w:hAnsi="Arial" w:cs="Arial"/>
        </w:rPr>
        <w:t xml:space="preserve">. www.unilever.com. Available at: </w:t>
      </w:r>
      <w:hyperlink r:id="rId42" w:history="1">
        <w:r>
          <w:rPr>
            <w:rFonts w:ascii="Arial" w:hAnsi="Arial" w:cs="Arial"/>
            <w:color w:val="1155CC"/>
            <w:u w:val="single"/>
          </w:rPr>
          <w:t>https://www.unilever.com/sustainability/</w:t>
        </w:r>
      </w:hyperlink>
      <w:r>
        <w:rPr>
          <w:rFonts w:ascii="Arial" w:hAnsi="Arial" w:cs="Arial"/>
        </w:rPr>
        <w:t xml:space="preserve"> (Accessed: 1 December 2025).</w:t>
      </w:r>
    </w:p>
    <w:p w14:paraId="6348BCBA" w14:textId="77777777" w:rsidR="000A3F91" w:rsidRDefault="00000000">
      <w:pPr>
        <w:spacing w:after="240"/>
        <w:rPr>
          <w:rFonts w:ascii="Arial" w:hAnsi="Arial" w:cs="Arial"/>
        </w:rPr>
      </w:pPr>
      <w:r>
        <w:rPr>
          <w:rFonts w:ascii="Arial" w:hAnsi="Arial" w:cs="Arial"/>
        </w:rPr>
        <w:t xml:space="preserve">Unilever (2025b) </w:t>
      </w:r>
      <w:r>
        <w:rPr>
          <w:rFonts w:ascii="Arial" w:hAnsi="Arial" w:cs="Arial"/>
          <w:i/>
          <w:iCs/>
        </w:rPr>
        <w:t>Our Climate Transition Action Plan</w:t>
      </w:r>
      <w:r>
        <w:rPr>
          <w:rFonts w:ascii="Arial" w:hAnsi="Arial" w:cs="Arial"/>
        </w:rPr>
        <w:t xml:space="preserve">, </w:t>
      </w:r>
      <w:r>
        <w:rPr>
          <w:rFonts w:ascii="Arial" w:hAnsi="Arial" w:cs="Arial"/>
          <w:i/>
          <w:iCs/>
        </w:rPr>
        <w:t>Unilever</w:t>
      </w:r>
      <w:r>
        <w:rPr>
          <w:rFonts w:ascii="Arial" w:hAnsi="Arial" w:cs="Arial"/>
        </w:rPr>
        <w:t xml:space="preserve">. Available at: </w:t>
      </w:r>
      <w:hyperlink r:id="rId43" w:history="1">
        <w:r>
          <w:rPr>
            <w:rFonts w:ascii="Arial" w:hAnsi="Arial" w:cs="Arial"/>
            <w:color w:val="1155CC"/>
            <w:u w:val="single"/>
          </w:rPr>
          <w:t>https://www.unilever.com/sustainability/climate/our-climate-transition-action-plan/</w:t>
        </w:r>
      </w:hyperlink>
      <w:r>
        <w:rPr>
          <w:rFonts w:ascii="Arial" w:hAnsi="Arial" w:cs="Arial"/>
        </w:rPr>
        <w:t xml:space="preserve"> (Accessed: 1 December 2025).</w:t>
      </w:r>
    </w:p>
    <w:p w14:paraId="787D1717" w14:textId="77777777" w:rsidR="000A3F91" w:rsidRDefault="00000000">
      <w:pPr>
        <w:spacing w:after="240"/>
        <w:rPr>
          <w:rFonts w:ascii="Arial" w:hAnsi="Arial" w:cs="Arial"/>
        </w:rPr>
      </w:pPr>
      <w:r>
        <w:rPr>
          <w:rFonts w:ascii="Arial" w:hAnsi="Arial" w:cs="Arial"/>
        </w:rPr>
        <w:t xml:space="preserve">Unilever (2025c) </w:t>
      </w:r>
      <w:r>
        <w:rPr>
          <w:rFonts w:ascii="Arial" w:hAnsi="Arial" w:cs="Arial"/>
          <w:i/>
          <w:iCs/>
        </w:rPr>
        <w:t>Unilever at a Glance</w:t>
      </w:r>
      <w:r>
        <w:rPr>
          <w:rFonts w:ascii="Arial" w:hAnsi="Arial" w:cs="Arial"/>
        </w:rPr>
        <w:t xml:space="preserve">, </w:t>
      </w:r>
      <w:r>
        <w:rPr>
          <w:rFonts w:ascii="Arial" w:hAnsi="Arial" w:cs="Arial"/>
          <w:i/>
          <w:iCs/>
        </w:rPr>
        <w:t>Unilever</w:t>
      </w:r>
      <w:r>
        <w:rPr>
          <w:rFonts w:ascii="Arial" w:hAnsi="Arial" w:cs="Arial"/>
        </w:rPr>
        <w:t xml:space="preserve">. www.unilever.com. Available at: </w:t>
      </w:r>
      <w:hyperlink r:id="rId44" w:history="1">
        <w:r>
          <w:rPr>
            <w:rFonts w:ascii="Arial" w:hAnsi="Arial" w:cs="Arial"/>
            <w:color w:val="1155CC"/>
            <w:u w:val="single"/>
          </w:rPr>
          <w:t>https://www.unilever.com/our-company/at-a-glance/</w:t>
        </w:r>
      </w:hyperlink>
      <w:r>
        <w:rPr>
          <w:rFonts w:ascii="Arial" w:hAnsi="Arial" w:cs="Arial"/>
        </w:rPr>
        <w:t xml:space="preserve"> (Accessed: 1 December 2025).</w:t>
      </w:r>
    </w:p>
    <w:p w14:paraId="71EBC04B" w14:textId="77777777" w:rsidR="000A3F91" w:rsidRDefault="00000000">
      <w:pPr>
        <w:spacing w:after="240"/>
        <w:rPr>
          <w:rFonts w:ascii="Arial" w:hAnsi="Arial" w:cs="Arial"/>
        </w:rPr>
      </w:pPr>
      <w:r>
        <w:rPr>
          <w:rFonts w:ascii="Arial" w:hAnsi="Arial" w:cs="Arial"/>
        </w:rPr>
        <w:t xml:space="preserve">Unilever PLC (2024) </w:t>
      </w:r>
      <w:r>
        <w:rPr>
          <w:rFonts w:ascii="Arial" w:hAnsi="Arial" w:cs="Arial"/>
          <w:i/>
          <w:iCs/>
        </w:rPr>
        <w:t>Unilever boosts investment in packaging R&amp;D to cut virgin plastic</w:t>
      </w:r>
      <w:r>
        <w:rPr>
          <w:rFonts w:ascii="Arial" w:hAnsi="Arial" w:cs="Arial"/>
        </w:rPr>
        <w:t xml:space="preserve">, </w:t>
      </w:r>
      <w:r>
        <w:rPr>
          <w:rFonts w:ascii="Arial" w:hAnsi="Arial" w:cs="Arial"/>
          <w:i/>
          <w:iCs/>
        </w:rPr>
        <w:t>Unilever</w:t>
      </w:r>
      <w:r>
        <w:rPr>
          <w:rFonts w:ascii="Arial" w:hAnsi="Arial" w:cs="Arial"/>
        </w:rPr>
        <w:t xml:space="preserve">. Unilever PLC. Available at: </w:t>
      </w:r>
      <w:hyperlink r:id="rId45" w:history="1">
        <w:r>
          <w:rPr>
            <w:rFonts w:ascii="Arial" w:hAnsi="Arial" w:cs="Arial"/>
            <w:color w:val="1155CC"/>
            <w:u w:val="single"/>
          </w:rPr>
          <w:t>https://www.unilever.com/news/news-search/2024/unilever-boosts-investment-in-packaging-rd-to-cut-virgin-plastic/</w:t>
        </w:r>
      </w:hyperlink>
      <w:r>
        <w:rPr>
          <w:rFonts w:ascii="Arial" w:hAnsi="Arial" w:cs="Arial"/>
        </w:rPr>
        <w:t xml:space="preserve"> (Accessed: 1 December 2025).</w:t>
      </w:r>
    </w:p>
    <w:p w14:paraId="7C3CEFA9" w14:textId="77777777" w:rsidR="000A3F91" w:rsidRDefault="00000000">
      <w:pPr>
        <w:pStyle w:val="Heading1"/>
        <w:rPr>
          <w:rFonts w:ascii="Arial" w:hAnsi="Arial" w:cs="Arial"/>
        </w:rPr>
      </w:pPr>
      <w:bookmarkStart w:id="55" w:name="_hyei1bqihqva" w:colFirst="0" w:colLast="0"/>
      <w:bookmarkStart w:id="56" w:name="_Toc215485299"/>
      <w:bookmarkEnd w:id="55"/>
      <w:r>
        <w:rPr>
          <w:rFonts w:ascii="Arial" w:hAnsi="Arial" w:cs="Arial"/>
        </w:rPr>
        <w:lastRenderedPageBreak/>
        <w:t>Appendices</w:t>
      </w:r>
      <w:bookmarkEnd w:id="56"/>
      <w:r>
        <w:rPr>
          <w:rFonts w:ascii="Arial" w:hAnsi="Arial" w:cs="Arial"/>
        </w:rPr>
        <w:t xml:space="preserve"> </w:t>
      </w:r>
    </w:p>
    <w:p w14:paraId="48C30E52" w14:textId="77777777" w:rsidR="000A3F91" w:rsidRDefault="00000000">
      <w:pPr>
        <w:pStyle w:val="Heading2"/>
        <w:rPr>
          <w:rFonts w:ascii="Arial" w:hAnsi="Arial" w:cs="Arial"/>
        </w:rPr>
      </w:pPr>
      <w:bookmarkStart w:id="57" w:name="_895i8ohzdajs" w:colFirst="0" w:colLast="0"/>
      <w:bookmarkStart w:id="58" w:name="_Toc215485300"/>
      <w:bookmarkEnd w:id="57"/>
      <w:r>
        <w:rPr>
          <w:rFonts w:ascii="Arial" w:hAnsi="Arial" w:cs="Arial"/>
        </w:rPr>
        <w:t>Appendix A: BCG Matrix for Unilever’s Global Portfolio</w:t>
      </w:r>
      <w:bookmarkEnd w:id="58"/>
    </w:p>
    <w:tbl>
      <w:tblPr>
        <w:tblStyle w:val="a4"/>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60"/>
        <w:gridCol w:w="3234"/>
        <w:gridCol w:w="4431"/>
      </w:tblGrid>
      <w:tr w:rsidR="000A3F91" w14:paraId="238FDD00" w14:textId="77777777">
        <w:trPr>
          <w:trHeight w:val="770"/>
        </w:trPr>
        <w:tc>
          <w:tcPr>
            <w:tcW w:w="13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09373A" w14:textId="77777777" w:rsidR="000A3F91" w:rsidRDefault="00000000">
            <w:pPr>
              <w:jc w:val="center"/>
              <w:rPr>
                <w:rFonts w:ascii="Arial" w:hAnsi="Arial" w:cs="Arial"/>
              </w:rPr>
            </w:pPr>
            <w:r>
              <w:rPr>
                <w:rFonts w:ascii="Arial" w:hAnsi="Arial" w:cs="Arial"/>
                <w:b/>
                <w:bCs/>
              </w:rPr>
              <w:t>BCG Quadrant</w:t>
            </w:r>
          </w:p>
        </w:tc>
        <w:tc>
          <w:tcPr>
            <w:tcW w:w="32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98AB4C" w14:textId="77777777" w:rsidR="000A3F91" w:rsidRDefault="00000000">
            <w:pPr>
              <w:jc w:val="center"/>
              <w:rPr>
                <w:rFonts w:ascii="Arial" w:hAnsi="Arial" w:cs="Arial"/>
              </w:rPr>
            </w:pPr>
            <w:r>
              <w:rPr>
                <w:rFonts w:ascii="Arial" w:hAnsi="Arial" w:cs="Arial"/>
                <w:b/>
                <w:bCs/>
              </w:rPr>
              <w:t>Unilever Brands/Categories</w:t>
            </w:r>
          </w:p>
        </w:tc>
        <w:tc>
          <w:tcPr>
            <w:tcW w:w="4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F06CEE" w14:textId="77777777" w:rsidR="000A3F91" w:rsidRDefault="00000000">
            <w:pPr>
              <w:jc w:val="center"/>
              <w:rPr>
                <w:rFonts w:ascii="Arial" w:hAnsi="Arial" w:cs="Arial"/>
              </w:rPr>
            </w:pPr>
            <w:r>
              <w:rPr>
                <w:rFonts w:ascii="Arial" w:hAnsi="Arial" w:cs="Arial"/>
                <w:b/>
                <w:bCs/>
              </w:rPr>
              <w:t>Rationale</w:t>
            </w:r>
          </w:p>
        </w:tc>
      </w:tr>
      <w:tr w:rsidR="000A3F91" w14:paraId="586A1F4A" w14:textId="77777777">
        <w:trPr>
          <w:trHeight w:val="1310"/>
        </w:trPr>
        <w:tc>
          <w:tcPr>
            <w:tcW w:w="13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1E0A43" w14:textId="77777777" w:rsidR="000A3F91" w:rsidRDefault="00000000">
            <w:pPr>
              <w:rPr>
                <w:rFonts w:ascii="Arial" w:hAnsi="Arial" w:cs="Arial"/>
              </w:rPr>
            </w:pPr>
            <w:r>
              <w:rPr>
                <w:rFonts w:ascii="Arial" w:hAnsi="Arial" w:cs="Arial"/>
                <w:b/>
                <w:bCs/>
              </w:rPr>
              <w:t>Stars</w:t>
            </w:r>
          </w:p>
        </w:tc>
        <w:tc>
          <w:tcPr>
            <w:tcW w:w="32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7C8E32" w14:textId="77777777" w:rsidR="000A3F91" w:rsidRDefault="00000000">
            <w:pPr>
              <w:rPr>
                <w:rFonts w:ascii="Arial" w:hAnsi="Arial" w:cs="Arial"/>
              </w:rPr>
            </w:pPr>
            <w:r>
              <w:rPr>
                <w:rFonts w:ascii="Arial" w:hAnsi="Arial" w:cs="Arial"/>
              </w:rPr>
              <w:t>Beauty &amp; Personal Care (Dove, Rexona); Home Care (Surf, Omo)</w:t>
            </w:r>
          </w:p>
        </w:tc>
        <w:tc>
          <w:tcPr>
            <w:tcW w:w="4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67F68C" w14:textId="77777777" w:rsidR="000A3F91" w:rsidRDefault="00000000">
            <w:pPr>
              <w:rPr>
                <w:rFonts w:ascii="Arial" w:hAnsi="Arial" w:cs="Arial"/>
              </w:rPr>
            </w:pPr>
            <w:r>
              <w:rPr>
                <w:rFonts w:ascii="Arial" w:hAnsi="Arial" w:cs="Arial"/>
              </w:rPr>
              <w:t>High growth in emerging markets; strong market share; innovation-driven; sustainability-led demand increasing (Statista, 2025).</w:t>
            </w:r>
          </w:p>
        </w:tc>
      </w:tr>
      <w:tr w:rsidR="000A3F91" w14:paraId="4C999301" w14:textId="77777777">
        <w:trPr>
          <w:trHeight w:val="1040"/>
        </w:trPr>
        <w:tc>
          <w:tcPr>
            <w:tcW w:w="13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3F5031" w14:textId="77777777" w:rsidR="000A3F91" w:rsidRDefault="00000000">
            <w:pPr>
              <w:rPr>
                <w:rFonts w:ascii="Arial" w:hAnsi="Arial" w:cs="Arial"/>
              </w:rPr>
            </w:pPr>
            <w:r>
              <w:rPr>
                <w:rFonts w:ascii="Arial" w:hAnsi="Arial" w:cs="Arial"/>
                <w:b/>
                <w:bCs/>
              </w:rPr>
              <w:t>Cash Cows</w:t>
            </w:r>
          </w:p>
        </w:tc>
        <w:tc>
          <w:tcPr>
            <w:tcW w:w="32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F460BC" w14:textId="77777777" w:rsidR="000A3F91" w:rsidRDefault="00000000">
            <w:pPr>
              <w:rPr>
                <w:rFonts w:ascii="Arial" w:hAnsi="Arial" w:cs="Arial"/>
              </w:rPr>
            </w:pPr>
            <w:r>
              <w:rPr>
                <w:rFonts w:ascii="Arial" w:hAnsi="Arial" w:cs="Arial"/>
              </w:rPr>
              <w:t>Nutrition (Knorr, Hellmann’s)</w:t>
            </w:r>
          </w:p>
        </w:tc>
        <w:tc>
          <w:tcPr>
            <w:tcW w:w="4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2FECBA" w14:textId="77777777" w:rsidR="000A3F91" w:rsidRDefault="00000000">
            <w:pPr>
              <w:rPr>
                <w:rFonts w:ascii="Arial" w:hAnsi="Arial" w:cs="Arial"/>
              </w:rPr>
            </w:pPr>
            <w:r>
              <w:rPr>
                <w:rFonts w:ascii="Arial" w:hAnsi="Arial" w:cs="Arial"/>
              </w:rPr>
              <w:t>Stable demand globally; strong brand equity; predictable cash flows; mature categories with efficiency-based margins.</w:t>
            </w:r>
          </w:p>
        </w:tc>
      </w:tr>
      <w:tr w:rsidR="000A3F91" w14:paraId="5BA6B72C" w14:textId="77777777">
        <w:trPr>
          <w:trHeight w:val="1040"/>
        </w:trPr>
        <w:tc>
          <w:tcPr>
            <w:tcW w:w="13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A97BBC" w14:textId="77777777" w:rsidR="000A3F91" w:rsidRDefault="00000000">
            <w:pPr>
              <w:rPr>
                <w:rFonts w:ascii="Arial" w:hAnsi="Arial" w:cs="Arial"/>
              </w:rPr>
            </w:pPr>
            <w:r>
              <w:rPr>
                <w:rFonts w:ascii="Arial" w:hAnsi="Arial" w:cs="Arial"/>
                <w:b/>
                <w:bCs/>
              </w:rPr>
              <w:t>Question Marks</w:t>
            </w:r>
          </w:p>
        </w:tc>
        <w:tc>
          <w:tcPr>
            <w:tcW w:w="32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FCA421" w14:textId="77777777" w:rsidR="000A3F91" w:rsidRDefault="00000000">
            <w:pPr>
              <w:rPr>
                <w:rFonts w:ascii="Arial" w:hAnsi="Arial" w:cs="Arial"/>
              </w:rPr>
            </w:pPr>
            <w:r>
              <w:rPr>
                <w:rFonts w:ascii="Arial" w:hAnsi="Arial" w:cs="Arial"/>
              </w:rPr>
              <w:t>Premium Beauty (localised variants), Plant-based products</w:t>
            </w:r>
          </w:p>
        </w:tc>
        <w:tc>
          <w:tcPr>
            <w:tcW w:w="4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314EBF" w14:textId="77777777" w:rsidR="000A3F91" w:rsidRDefault="00000000">
            <w:pPr>
              <w:rPr>
                <w:rFonts w:ascii="Arial" w:hAnsi="Arial" w:cs="Arial"/>
              </w:rPr>
            </w:pPr>
            <w:r>
              <w:rPr>
                <w:rFonts w:ascii="Arial" w:hAnsi="Arial" w:cs="Arial"/>
              </w:rPr>
              <w:t>Growing segments but competitive intensity is high; requires investment to gain scale in Mexico.</w:t>
            </w:r>
          </w:p>
        </w:tc>
      </w:tr>
      <w:tr w:rsidR="000A3F91" w14:paraId="1D8B0EE0" w14:textId="77777777">
        <w:trPr>
          <w:trHeight w:val="770"/>
        </w:trPr>
        <w:tc>
          <w:tcPr>
            <w:tcW w:w="13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CDFF42" w14:textId="77777777" w:rsidR="000A3F91" w:rsidRDefault="00000000">
            <w:pPr>
              <w:rPr>
                <w:rFonts w:ascii="Arial" w:hAnsi="Arial" w:cs="Arial"/>
              </w:rPr>
            </w:pPr>
            <w:r>
              <w:rPr>
                <w:rFonts w:ascii="Arial" w:hAnsi="Arial" w:cs="Arial"/>
                <w:b/>
                <w:bCs/>
              </w:rPr>
              <w:t>Dogs</w:t>
            </w:r>
          </w:p>
        </w:tc>
        <w:tc>
          <w:tcPr>
            <w:tcW w:w="32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C657F9" w14:textId="77777777" w:rsidR="000A3F91" w:rsidRDefault="00000000">
            <w:pPr>
              <w:rPr>
                <w:rFonts w:ascii="Arial" w:hAnsi="Arial" w:cs="Arial"/>
              </w:rPr>
            </w:pPr>
            <w:r>
              <w:rPr>
                <w:rFonts w:ascii="Arial" w:hAnsi="Arial" w:cs="Arial"/>
              </w:rPr>
              <w:t>Low-growth legacy categories in saturated markets</w:t>
            </w:r>
          </w:p>
        </w:tc>
        <w:tc>
          <w:tcPr>
            <w:tcW w:w="4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29D2DB" w14:textId="77777777" w:rsidR="000A3F91" w:rsidRDefault="00000000">
            <w:pPr>
              <w:rPr>
                <w:rFonts w:ascii="Arial" w:hAnsi="Arial" w:cs="Arial"/>
              </w:rPr>
            </w:pPr>
            <w:r>
              <w:rPr>
                <w:rFonts w:ascii="Arial" w:hAnsi="Arial" w:cs="Arial"/>
              </w:rPr>
              <w:t>Minimal growth potential and limited strategic advantage.</w:t>
            </w:r>
          </w:p>
        </w:tc>
      </w:tr>
    </w:tbl>
    <w:p w14:paraId="7AC66FC1" w14:textId="77777777" w:rsidR="000A3F91" w:rsidRDefault="00000000">
      <w:pPr>
        <w:jc w:val="center"/>
        <w:rPr>
          <w:rFonts w:ascii="Arial" w:hAnsi="Arial" w:cs="Arial"/>
        </w:rPr>
      </w:pPr>
      <w:r>
        <w:rPr>
          <w:rFonts w:ascii="Arial" w:hAnsi="Arial" w:cs="Arial"/>
        </w:rPr>
        <w:t>(Source: Self-Developed)</w:t>
      </w:r>
    </w:p>
    <w:p w14:paraId="29BA2AC9" w14:textId="77777777" w:rsidR="000A3F91" w:rsidRDefault="000A3F91">
      <w:pPr>
        <w:rPr>
          <w:rFonts w:ascii="Arial" w:hAnsi="Arial" w:cs="Arial"/>
        </w:rPr>
      </w:pPr>
    </w:p>
    <w:sectPr w:rsidR="000A3F91">
      <w:footerReference w:type="default" r:id="rId4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6F7B2" w14:textId="77777777" w:rsidR="001B6137" w:rsidRDefault="001B6137">
      <w:pPr>
        <w:spacing w:line="240" w:lineRule="auto"/>
      </w:pPr>
      <w:r>
        <w:separator/>
      </w:r>
    </w:p>
  </w:endnote>
  <w:endnote w:type="continuationSeparator" w:id="0">
    <w:p w14:paraId="66C52B6D" w14:textId="77777777" w:rsidR="001B6137" w:rsidRDefault="001B61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FC6241D-845B-46C9-9558-F1FF70CC7EF8}"/>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embedRegular r:id="rId2" w:fontKey="{7665E52C-246D-4706-8DDD-A541B72C510C}"/>
  </w:font>
  <w:font w:name="Cambria Math">
    <w:panose1 w:val="02040503050406030204"/>
    <w:charset w:val="00"/>
    <w:family w:val="roman"/>
    <w:pitch w:val="variable"/>
    <w:sig w:usb0="E00006FF" w:usb1="420024FF" w:usb2="02000000" w:usb3="00000000" w:csb0="0000019F" w:csb1="00000000"/>
    <w:embedRegular r:id="rId3" w:fontKey="{C7847C58-7672-4BC9-A6D8-A95F8907743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384BE" w14:textId="77777777" w:rsidR="000A3F91"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p w14:paraId="0FF85780" w14:textId="77777777" w:rsidR="000A3F91" w:rsidRDefault="000A3F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3EB3E" w14:textId="77777777" w:rsidR="001B6137" w:rsidRDefault="001B6137">
      <w:pPr>
        <w:spacing w:line="240" w:lineRule="auto"/>
      </w:pPr>
      <w:r>
        <w:separator/>
      </w:r>
    </w:p>
  </w:footnote>
  <w:footnote w:type="continuationSeparator" w:id="0">
    <w:p w14:paraId="7F982AD1" w14:textId="77777777" w:rsidR="001B6137" w:rsidRDefault="001B613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F91"/>
    <w:rsid w:val="000A3F91"/>
    <w:rsid w:val="001B6137"/>
    <w:rsid w:val="001F137D"/>
    <w:rsid w:val="00AC62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3D831"/>
  <w15:docId w15:val="{9A797E01-F765-41A2-84D7-8364B9088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after="80" w:line="276" w:lineRule="auto"/>
      <w:outlineLvl w:val="3"/>
    </w:pPr>
    <w:rPr>
      <w:b/>
      <w:bCs/>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TOCHeading">
    <w:name w:val="TOC Heading"/>
    <w:basedOn w:val="Heading1"/>
    <w:next w:val="Normal"/>
    <w:uiPriority w:val="39"/>
    <w:qFormat/>
    <w:pPr>
      <w:spacing w:before="240" w:line="259" w:lineRule="auto"/>
      <w:jc w:val="left"/>
      <w:outlineLvl w:val="9"/>
    </w:pPr>
    <w:rPr>
      <w:rFonts w:ascii="Calibri" w:eastAsia="SimSun" w:hAnsi="Calibri" w:cs="SimSun"/>
      <w:b w:val="0"/>
      <w:bCs w:val="0"/>
      <w:color w:val="365F91"/>
      <w:sz w:val="32"/>
      <w:szCs w:val="32"/>
      <w:lang w:val="en-US" w:eastAsia="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000FF"/>
      <w:u w:val="single"/>
    </w:rPr>
  </w:style>
  <w:style w:type="paragraph" w:styleId="Revision">
    <w:name w:val="Revision"/>
    <w:uiPriority w:val="99"/>
    <w:pPr>
      <w:spacing w:line="240" w:lineRule="auto"/>
      <w:jc w:val="left"/>
    </w:pPr>
  </w:style>
  <w:style w:type="paragraph" w:styleId="Header">
    <w:name w:val="header"/>
    <w:basedOn w:val="Normal"/>
    <w:link w:val="HeaderChar"/>
    <w:uiPriority w:val="99"/>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4324/9781003468899-1" TargetMode="External"/><Relationship Id="rId18" Type="http://schemas.openxmlformats.org/officeDocument/2006/relationships/hyperlink" Target="https://www.theglobalist.com/mexico-democracy-corruption-governance-security/" TargetMode="External"/><Relationship Id="rId26" Type="http://schemas.openxmlformats.org/officeDocument/2006/relationships/hyperlink" Target="https://ustr.gov/trade-agreements/free-trade-agreements/united-states-mexico-canada-agreement/fact-sheets/modernizing" TargetMode="External"/><Relationship Id="rId39" Type="http://schemas.openxmlformats.org/officeDocument/2006/relationships/hyperlink" Target="https://sustainablebusinessmagazine.net/eco-review/environmental-impacts-and-effects-of-environmental-issues-in-mexico/" TargetMode="External"/><Relationship Id="rId21" Type="http://schemas.openxmlformats.org/officeDocument/2006/relationships/hyperlink" Target="https://www.ifc.org/content/dam/ifc/doc/mgrt/advancing-gender-equality-in-the-fast-moving-consumer-goods-sector.pdf" TargetMode="External"/><Relationship Id="rId34" Type="http://schemas.openxmlformats.org/officeDocument/2006/relationships/hyperlink" Target="https://doi.org/10.4324/9781003182672" TargetMode="External"/><Relationship Id="rId42" Type="http://schemas.openxmlformats.org/officeDocument/2006/relationships/hyperlink" Target="https://www.unilever.com/sustainability/"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34172/ijhpm.2021.164" TargetMode="External"/><Relationship Id="rId29" Type="http://schemas.openxmlformats.org/officeDocument/2006/relationships/hyperlink" Target="https://population-pyramid.net/en/pp/mexico"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mordorintelligence.com/industry-reports/mexico-retail-sector" TargetMode="External"/><Relationship Id="rId32" Type="http://schemas.openxmlformats.org/officeDocument/2006/relationships/hyperlink" Target="https://doi.org/10.55544/ijrah.4.6.22" TargetMode="External"/><Relationship Id="rId37" Type="http://schemas.openxmlformats.org/officeDocument/2006/relationships/hyperlink" Target="https://www-statista-com.roe.idm.oclc.org/forecasts/1443847/revenue-food-market-for-different-segments-mexico" TargetMode="External"/><Relationship Id="rId40" Type="http://schemas.openxmlformats.org/officeDocument/2006/relationships/hyperlink" Target="https://www.unccd.int/sites/default/files/2025-07/Drought%20Hotspots%202023-2025_ENG.pdf" TargetMode="External"/><Relationship Id="rId45" Type="http://schemas.openxmlformats.org/officeDocument/2006/relationships/hyperlink" Target="https://www.unilever.com/news/news-search/2024/unilever-boosts-investment-in-packaging-rd-to-cut-virgin-plastic/" TargetMode="External"/><Relationship Id="rId5" Type="http://schemas.openxmlformats.org/officeDocument/2006/relationships/footnotes" Target="footnotes.xml"/><Relationship Id="rId15" Type="http://schemas.openxmlformats.org/officeDocument/2006/relationships/hyperlink" Target="https://www.mckinsey.com/industries/consumer-packaged-goods/our-insights/the-trends-defining-the-1-point-8-trillion-dollar-global-wellness-market-in-2024" TargetMode="External"/><Relationship Id="rId23" Type="http://schemas.openxmlformats.org/officeDocument/2006/relationships/hyperlink" Target="https://mexicobusiness.news/ecommerce/news/mexico-and-e-commerce-opportunities-and-gaps-digital-boom" TargetMode="External"/><Relationship Id="rId28" Type="http://schemas.openxmlformats.org/officeDocument/2006/relationships/hyperlink" Target="https://doi.org/10.4324/9781351288484-8" TargetMode="External"/><Relationship Id="rId36" Type="http://schemas.openxmlformats.org/officeDocument/2006/relationships/hyperlink" Target="https://www.statista.com/statistics/275414/inflation-rate-in-mexico/?srsltid=AfmBOoqQvPKAJGRG8K3ArkeSfpmN0aZPFiJBq4ttpYCA7maEkDNq33px" TargetMode="External"/><Relationship Id="rId10" Type="http://schemas.openxmlformats.org/officeDocument/2006/relationships/image" Target="media/image4.png"/><Relationship Id="rId19" Type="http://schemas.openxmlformats.org/officeDocument/2006/relationships/hyperlink" Target="https://doi.org/10.13140/RG.2.2.20946.47040" TargetMode="External"/><Relationship Id="rId31" Type="http://schemas.openxmlformats.org/officeDocument/2006/relationships/hyperlink" Target="https://doi.org/10.1007/978-3-030-79709-6_1" TargetMode="External"/><Relationship Id="rId44" Type="http://schemas.openxmlformats.org/officeDocument/2006/relationships/hyperlink" Target="https://www.unilever.com/our-company/at-a-glanc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38/s41598-022-12067-x" TargetMode="External"/><Relationship Id="rId22" Type="http://schemas.openxmlformats.org/officeDocument/2006/relationships/hyperlink" Target="https://www.innovamarketinsights.com/trends/consumer-spending-trends-in-mexico/" TargetMode="External"/><Relationship Id="rId27" Type="http://schemas.openxmlformats.org/officeDocument/2006/relationships/hyperlink" Target="https://doi.org/10.1007/978-3-031-86504-6_4" TargetMode="External"/><Relationship Id="rId30" Type="http://schemas.openxmlformats.org/officeDocument/2006/relationships/hyperlink" Target="https://quantive.com/resources/articles/ansoff-matrix" TargetMode="External"/><Relationship Id="rId35" Type="http://schemas.openxmlformats.org/officeDocument/2006/relationships/hyperlink" Target="https://doi.org/10.3390/su16041563" TargetMode="External"/><Relationship Id="rId43" Type="http://schemas.openxmlformats.org/officeDocument/2006/relationships/hyperlink" Target="https://www.unilever.com/sustainability/climate/our-climate-transition-action-plan/"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doi.org/10.1016/j.ijgfs.2021.100357" TargetMode="External"/><Relationship Id="rId25" Type="http://schemas.openxmlformats.org/officeDocument/2006/relationships/hyperlink" Target="https://doi.org/10.1016/j.sftr.2025.100567" TargetMode="External"/><Relationship Id="rId33" Type="http://schemas.openxmlformats.org/officeDocument/2006/relationships/hyperlink" Target="https://doi.org/10.1002/aepp.13160" TargetMode="External"/><Relationship Id="rId38" Type="http://schemas.openxmlformats.org/officeDocument/2006/relationships/hyperlink" Target="https://stripe.com/resources/more/global-market-entry-strategies-a-guide-for-expansion" TargetMode="External"/><Relationship Id="rId46" Type="http://schemas.openxmlformats.org/officeDocument/2006/relationships/footer" Target="footer1.xml"/><Relationship Id="rId20" Type="http://schemas.openxmlformats.org/officeDocument/2006/relationships/hyperlink" Target="https://www.iea.org/reports/net-zero-roadmap-a-global-pathway-to-keep-the-15-c-goal-in-reach/executive-summary" TargetMode="External"/><Relationship Id="rId41" Type="http://schemas.openxmlformats.org/officeDocument/2006/relationships/hyperlink" Target="https://www.unilever.com/files/unilever-annual-report-and-accounts-2024.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86959-CB5F-4CB4-BBBE-A277A1B80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7456</Words>
  <Characters>42503</Characters>
  <Application>Microsoft Office Word</Application>
  <DocSecurity>0</DocSecurity>
  <Lines>354</Lines>
  <Paragraphs>99</Paragraphs>
  <ScaleCrop>false</ScaleCrop>
  <Company/>
  <LinksUpToDate>false</LinksUpToDate>
  <CharactersWithSpaces>49860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Zeeshan Shahid</cp:lastModifiedBy>
  <cp:revision>2</cp:revision>
  <dcterms:created xsi:type="dcterms:W3CDTF">2025-12-15T08:56:00Z</dcterms:created>
  <dcterms:modified xsi:type="dcterms:W3CDTF">2025-12-15T08:56:00Z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06bf4d8ac08e4d7d8b66cf4dd4db1bee</vt:lpwstr>
  </property>
</Properties>
</file>