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3480C" w14:textId="77777777" w:rsidR="009D6435" w:rsidRPr="00AA4FB2" w:rsidRDefault="009D6435">
      <w:pPr>
        <w:rPr>
          <w:rFonts w:asciiTheme="majorHAnsi" w:hAnsiTheme="majorHAnsi" w:cstheme="majorHAnsi"/>
        </w:rPr>
      </w:pPr>
    </w:p>
    <w:p w14:paraId="6C02C870" w14:textId="77777777" w:rsidR="003013A0" w:rsidRPr="00AA4FB2" w:rsidRDefault="003013A0">
      <w:pPr>
        <w:rPr>
          <w:rFonts w:asciiTheme="majorHAnsi" w:hAnsiTheme="majorHAnsi" w:cstheme="majorHAnsi"/>
        </w:rPr>
      </w:pPr>
    </w:p>
    <w:p w14:paraId="1F338BFB" w14:textId="77777777" w:rsidR="003013A0" w:rsidRPr="00AA4FB2" w:rsidRDefault="003013A0" w:rsidP="003013A0">
      <w:pPr>
        <w:pStyle w:val="Title"/>
        <w:jc w:val="center"/>
        <w:rPr>
          <w:rFonts w:cstheme="majorHAnsi"/>
          <w:b/>
          <w:bCs/>
          <w:sz w:val="72"/>
          <w:szCs w:val="72"/>
          <w:u w:val="single"/>
        </w:rPr>
      </w:pPr>
    </w:p>
    <w:p w14:paraId="0A755A8D" w14:textId="4B72EFB4" w:rsidR="003013A0" w:rsidRPr="00AA4FB2" w:rsidRDefault="00DD0272" w:rsidP="003013A0">
      <w:pPr>
        <w:pStyle w:val="Title"/>
        <w:jc w:val="center"/>
        <w:rPr>
          <w:rFonts w:cstheme="majorHAnsi"/>
          <w:b/>
          <w:bCs/>
          <w:sz w:val="72"/>
          <w:szCs w:val="72"/>
          <w:u w:val="single"/>
        </w:rPr>
      </w:pPr>
      <w:r w:rsidRPr="00AA4FB2">
        <w:rPr>
          <w:rFonts w:cstheme="majorHAnsi"/>
          <w:noProof/>
        </w:rPr>
        <w:drawing>
          <wp:inline distT="0" distB="0" distL="0" distR="0" wp14:anchorId="281A9FB6" wp14:editId="49AB4B42">
            <wp:extent cx="3331845" cy="3291840"/>
            <wp:effectExtent l="0" t="0" r="1905" b="3810"/>
            <wp:docPr id="1493589405"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in The United Kingdom : Review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31845" cy="3291840"/>
                    </a:xfrm>
                    <a:prstGeom prst="rect">
                      <a:avLst/>
                    </a:prstGeom>
                    <a:noFill/>
                    <a:ln>
                      <a:noFill/>
                    </a:ln>
                  </pic:spPr>
                </pic:pic>
              </a:graphicData>
            </a:graphic>
          </wp:inline>
        </w:drawing>
      </w:r>
    </w:p>
    <w:p w14:paraId="7C87C6CC" w14:textId="77777777" w:rsidR="003013A0" w:rsidRPr="00AA4FB2" w:rsidRDefault="003013A0" w:rsidP="003013A0">
      <w:pPr>
        <w:pStyle w:val="Title"/>
        <w:jc w:val="center"/>
        <w:rPr>
          <w:rFonts w:cstheme="majorHAnsi"/>
          <w:b/>
          <w:bCs/>
          <w:sz w:val="72"/>
          <w:szCs w:val="72"/>
          <w:u w:val="single"/>
        </w:rPr>
      </w:pPr>
    </w:p>
    <w:p w14:paraId="7C6F1B75" w14:textId="77777777" w:rsidR="007B3E4F" w:rsidRPr="007B3E4F" w:rsidRDefault="007B3E4F" w:rsidP="007B3E4F">
      <w:pPr>
        <w:jc w:val="center"/>
        <w:rPr>
          <w:rFonts w:asciiTheme="majorHAnsi" w:eastAsiaTheme="majorEastAsia" w:hAnsiTheme="majorHAnsi" w:cstheme="majorHAnsi"/>
          <w:b/>
          <w:bCs/>
          <w:color w:val="262626" w:themeColor="text1" w:themeTint="D9"/>
          <w:sz w:val="72"/>
          <w:szCs w:val="72"/>
          <w:lang w:val="en-US"/>
        </w:rPr>
      </w:pPr>
      <w:r w:rsidRPr="007B3E4F">
        <w:rPr>
          <w:rFonts w:asciiTheme="majorHAnsi" w:eastAsiaTheme="majorEastAsia" w:hAnsiTheme="majorHAnsi" w:cstheme="majorHAnsi"/>
          <w:b/>
          <w:bCs/>
          <w:color w:val="262626" w:themeColor="text1" w:themeTint="D9"/>
          <w:sz w:val="72"/>
          <w:szCs w:val="72"/>
          <w:lang w:val="en-US"/>
        </w:rPr>
        <w:t>A critique of the methods used in ordnance identification</w:t>
      </w:r>
    </w:p>
    <w:p w14:paraId="7F15531D" w14:textId="77777777" w:rsidR="007B3E4F" w:rsidRPr="00545B3C" w:rsidRDefault="007B3E4F" w:rsidP="007B3E4F">
      <w:pPr>
        <w:jc w:val="center"/>
        <w:rPr>
          <w:rFonts w:ascii="Segoe UI Light" w:hAnsi="Segoe UI Light" w:cs="Segoe UI Light"/>
          <w:b/>
          <w:bCs/>
          <w:lang w:val="en-US"/>
        </w:rPr>
      </w:pPr>
      <w:r w:rsidRPr="001012D5">
        <w:rPr>
          <w:rFonts w:ascii="Segoe UI Light" w:hAnsi="Segoe UI Light" w:cs="Segoe UI Light"/>
          <w:b/>
          <w:bCs/>
          <w:lang w:val="en-US"/>
        </w:rPr>
        <w:t>L6 - Data Capture and Evaluation (ACDA6021)</w:t>
      </w:r>
    </w:p>
    <w:p w14:paraId="1E3C682F" w14:textId="6ED522CD" w:rsidR="003013A0" w:rsidRPr="00AA4FB2" w:rsidRDefault="003013A0" w:rsidP="007422D6">
      <w:pPr>
        <w:jc w:val="center"/>
        <w:rPr>
          <w:rFonts w:asciiTheme="majorHAnsi" w:hAnsiTheme="majorHAnsi" w:cstheme="majorHAnsi"/>
        </w:rPr>
      </w:pPr>
      <w:r w:rsidRPr="00AA4FB2">
        <w:rPr>
          <w:rFonts w:asciiTheme="majorHAnsi" w:hAnsiTheme="majorHAnsi" w:cstheme="majorHAnsi"/>
        </w:rPr>
        <w:t>222315</w:t>
      </w:r>
      <w:r w:rsidR="00DD0272" w:rsidRPr="00AA4FB2">
        <w:rPr>
          <w:rFonts w:asciiTheme="majorHAnsi" w:hAnsiTheme="majorHAnsi" w:cstheme="majorHAnsi"/>
        </w:rPr>
        <w:t>5</w:t>
      </w:r>
    </w:p>
    <w:p w14:paraId="53E3B2FC" w14:textId="77777777" w:rsidR="003013A0" w:rsidRPr="00AA4FB2" w:rsidRDefault="003013A0">
      <w:pPr>
        <w:rPr>
          <w:rFonts w:asciiTheme="majorHAnsi" w:hAnsiTheme="majorHAnsi" w:cstheme="majorHAnsi"/>
        </w:rPr>
      </w:pPr>
    </w:p>
    <w:p w14:paraId="48AC73BA" w14:textId="77777777" w:rsidR="003013A0" w:rsidRPr="00AA4FB2" w:rsidRDefault="003013A0">
      <w:pPr>
        <w:rPr>
          <w:rFonts w:asciiTheme="majorHAnsi" w:hAnsiTheme="majorHAnsi" w:cstheme="majorHAnsi"/>
        </w:rPr>
      </w:pPr>
    </w:p>
    <w:p w14:paraId="0D1551D0" w14:textId="695AB868" w:rsidR="003013A0" w:rsidRPr="00AA4FB2" w:rsidRDefault="003013A0">
      <w:pPr>
        <w:rPr>
          <w:rFonts w:asciiTheme="majorHAnsi" w:hAnsiTheme="majorHAnsi" w:cstheme="majorHAnsi"/>
        </w:rPr>
      </w:pPr>
    </w:p>
    <w:p w14:paraId="27B7A86B" w14:textId="77777777" w:rsidR="007A3086" w:rsidRPr="00AA4FB2" w:rsidRDefault="007A3086">
      <w:pPr>
        <w:rPr>
          <w:rFonts w:asciiTheme="majorHAnsi" w:hAnsiTheme="majorHAnsi" w:cstheme="majorHAnsi"/>
        </w:rPr>
      </w:pPr>
    </w:p>
    <w:p w14:paraId="60F6CF54" w14:textId="77777777" w:rsidR="003013A0" w:rsidRPr="00AA4FB2" w:rsidRDefault="003013A0">
      <w:pPr>
        <w:rPr>
          <w:rFonts w:asciiTheme="majorHAnsi" w:hAnsiTheme="majorHAnsi" w:cstheme="majorHAnsi"/>
        </w:rPr>
      </w:pPr>
    </w:p>
    <w:sdt>
      <w:sdtPr>
        <w:rPr>
          <w:rFonts w:eastAsiaTheme="minorEastAsia" w:cstheme="majorHAnsi"/>
          <w:color w:val="auto"/>
          <w:sz w:val="21"/>
          <w:szCs w:val="21"/>
        </w:rPr>
        <w:id w:val="-1968346181"/>
        <w:docPartObj>
          <w:docPartGallery w:val="Table of Contents"/>
          <w:docPartUnique/>
        </w:docPartObj>
      </w:sdtPr>
      <w:sdtEndPr>
        <w:rPr>
          <w:b/>
          <w:bCs/>
          <w:noProof/>
        </w:rPr>
      </w:sdtEndPr>
      <w:sdtContent>
        <w:p w14:paraId="239FB82C" w14:textId="77777777" w:rsidR="006278EF" w:rsidRPr="00AA4FB2" w:rsidRDefault="006278EF">
          <w:pPr>
            <w:pStyle w:val="TOCHeading"/>
            <w:rPr>
              <w:rFonts w:cstheme="majorHAnsi"/>
            </w:rPr>
          </w:pPr>
          <w:r w:rsidRPr="00AA4FB2">
            <w:rPr>
              <w:rFonts w:cstheme="majorHAnsi"/>
            </w:rPr>
            <w:t>Table of Contents</w:t>
          </w:r>
        </w:p>
        <w:p w14:paraId="56E10234" w14:textId="0733F6E7" w:rsidR="007B3E4F" w:rsidRDefault="006278EF">
          <w:pPr>
            <w:pStyle w:val="TOC1"/>
            <w:tabs>
              <w:tab w:val="right" w:leader="dot" w:pos="9016"/>
            </w:tabs>
            <w:rPr>
              <w:noProof/>
              <w:kern w:val="2"/>
              <w:sz w:val="24"/>
              <w:szCs w:val="24"/>
              <w:lang w:val="en-US"/>
              <w14:ligatures w14:val="standardContextual"/>
            </w:rPr>
          </w:pPr>
          <w:r w:rsidRPr="00AA4FB2">
            <w:rPr>
              <w:rFonts w:asciiTheme="majorHAnsi" w:hAnsiTheme="majorHAnsi" w:cstheme="majorHAnsi"/>
            </w:rPr>
            <w:fldChar w:fldCharType="begin"/>
          </w:r>
          <w:r w:rsidRPr="00AA4FB2">
            <w:rPr>
              <w:rFonts w:asciiTheme="majorHAnsi" w:hAnsiTheme="majorHAnsi" w:cstheme="majorHAnsi"/>
            </w:rPr>
            <w:instrText xml:space="preserve"> TOC \o "1-3" \h \z \u </w:instrText>
          </w:r>
          <w:r w:rsidRPr="00AA4FB2">
            <w:rPr>
              <w:rFonts w:asciiTheme="majorHAnsi" w:hAnsiTheme="majorHAnsi" w:cstheme="majorHAnsi"/>
            </w:rPr>
            <w:fldChar w:fldCharType="separate"/>
          </w:r>
          <w:hyperlink w:anchor="_Toc220064209" w:history="1">
            <w:r w:rsidR="007B3E4F" w:rsidRPr="00075924">
              <w:rPr>
                <w:rStyle w:val="Hyperlink"/>
                <w:rFonts w:cstheme="majorHAnsi"/>
                <w:noProof/>
                <w:lang w:val="en-US"/>
              </w:rPr>
              <w:t>Table of Figures</w:t>
            </w:r>
            <w:r w:rsidR="007B3E4F">
              <w:rPr>
                <w:noProof/>
                <w:webHidden/>
              </w:rPr>
              <w:tab/>
            </w:r>
            <w:r w:rsidR="007B3E4F">
              <w:rPr>
                <w:noProof/>
                <w:webHidden/>
              </w:rPr>
              <w:fldChar w:fldCharType="begin"/>
            </w:r>
            <w:r w:rsidR="007B3E4F">
              <w:rPr>
                <w:noProof/>
                <w:webHidden/>
              </w:rPr>
              <w:instrText xml:space="preserve"> PAGEREF _Toc220064209 \h </w:instrText>
            </w:r>
            <w:r w:rsidR="007B3E4F">
              <w:rPr>
                <w:noProof/>
                <w:webHidden/>
              </w:rPr>
            </w:r>
            <w:r w:rsidR="007B3E4F">
              <w:rPr>
                <w:noProof/>
                <w:webHidden/>
              </w:rPr>
              <w:fldChar w:fldCharType="separate"/>
            </w:r>
            <w:r w:rsidR="007B3E4F">
              <w:rPr>
                <w:noProof/>
                <w:webHidden/>
              </w:rPr>
              <w:t>2</w:t>
            </w:r>
            <w:r w:rsidR="007B3E4F">
              <w:rPr>
                <w:noProof/>
                <w:webHidden/>
              </w:rPr>
              <w:fldChar w:fldCharType="end"/>
            </w:r>
          </w:hyperlink>
        </w:p>
        <w:p w14:paraId="111E7942" w14:textId="0ECDF21A" w:rsidR="007B3E4F" w:rsidRDefault="007B3E4F">
          <w:pPr>
            <w:pStyle w:val="TOC1"/>
            <w:tabs>
              <w:tab w:val="right" w:leader="dot" w:pos="9016"/>
            </w:tabs>
            <w:rPr>
              <w:noProof/>
              <w:kern w:val="2"/>
              <w:sz w:val="24"/>
              <w:szCs w:val="24"/>
              <w:lang w:val="en-US"/>
              <w14:ligatures w14:val="standardContextual"/>
            </w:rPr>
          </w:pPr>
          <w:hyperlink w:anchor="_Toc220064210" w:history="1">
            <w:r w:rsidRPr="00075924">
              <w:rPr>
                <w:rStyle w:val="Hyperlink"/>
                <w:rFonts w:cstheme="majorHAnsi"/>
                <w:noProof/>
                <w:lang w:val="en-US"/>
              </w:rPr>
              <w:t>Table of Equations</w:t>
            </w:r>
            <w:r>
              <w:rPr>
                <w:noProof/>
                <w:webHidden/>
              </w:rPr>
              <w:tab/>
            </w:r>
            <w:r>
              <w:rPr>
                <w:noProof/>
                <w:webHidden/>
              </w:rPr>
              <w:fldChar w:fldCharType="begin"/>
            </w:r>
            <w:r>
              <w:rPr>
                <w:noProof/>
                <w:webHidden/>
              </w:rPr>
              <w:instrText xml:space="preserve"> PAGEREF _Toc220064210 \h </w:instrText>
            </w:r>
            <w:r>
              <w:rPr>
                <w:noProof/>
                <w:webHidden/>
              </w:rPr>
            </w:r>
            <w:r>
              <w:rPr>
                <w:noProof/>
                <w:webHidden/>
              </w:rPr>
              <w:fldChar w:fldCharType="separate"/>
            </w:r>
            <w:r>
              <w:rPr>
                <w:noProof/>
                <w:webHidden/>
              </w:rPr>
              <w:t>2</w:t>
            </w:r>
            <w:r>
              <w:rPr>
                <w:noProof/>
                <w:webHidden/>
              </w:rPr>
              <w:fldChar w:fldCharType="end"/>
            </w:r>
          </w:hyperlink>
        </w:p>
        <w:p w14:paraId="591E8FD3" w14:textId="1F9A6F9E" w:rsidR="007B3E4F" w:rsidRDefault="007B3E4F">
          <w:pPr>
            <w:pStyle w:val="TOC1"/>
            <w:tabs>
              <w:tab w:val="right" w:leader="dot" w:pos="9016"/>
            </w:tabs>
            <w:rPr>
              <w:noProof/>
              <w:kern w:val="2"/>
              <w:sz w:val="24"/>
              <w:szCs w:val="24"/>
              <w:lang w:val="en-US"/>
              <w14:ligatures w14:val="standardContextual"/>
            </w:rPr>
          </w:pPr>
          <w:hyperlink w:anchor="_Toc220064211" w:history="1">
            <w:r w:rsidRPr="00075924">
              <w:rPr>
                <w:rStyle w:val="Hyperlink"/>
                <w:rFonts w:cstheme="majorHAnsi"/>
                <w:noProof/>
              </w:rPr>
              <w:t>Abstract</w:t>
            </w:r>
            <w:r>
              <w:rPr>
                <w:noProof/>
                <w:webHidden/>
              </w:rPr>
              <w:tab/>
            </w:r>
            <w:r>
              <w:rPr>
                <w:noProof/>
                <w:webHidden/>
              </w:rPr>
              <w:fldChar w:fldCharType="begin"/>
            </w:r>
            <w:r>
              <w:rPr>
                <w:noProof/>
                <w:webHidden/>
              </w:rPr>
              <w:instrText xml:space="preserve"> PAGEREF _Toc220064211 \h </w:instrText>
            </w:r>
            <w:r>
              <w:rPr>
                <w:noProof/>
                <w:webHidden/>
              </w:rPr>
            </w:r>
            <w:r>
              <w:rPr>
                <w:noProof/>
                <w:webHidden/>
              </w:rPr>
              <w:fldChar w:fldCharType="separate"/>
            </w:r>
            <w:r>
              <w:rPr>
                <w:noProof/>
                <w:webHidden/>
              </w:rPr>
              <w:t>2</w:t>
            </w:r>
            <w:r>
              <w:rPr>
                <w:noProof/>
                <w:webHidden/>
              </w:rPr>
              <w:fldChar w:fldCharType="end"/>
            </w:r>
          </w:hyperlink>
        </w:p>
        <w:p w14:paraId="048069FF" w14:textId="03AE207B" w:rsidR="007B3E4F" w:rsidRDefault="007B3E4F">
          <w:pPr>
            <w:pStyle w:val="TOC1"/>
            <w:tabs>
              <w:tab w:val="right" w:leader="dot" w:pos="9016"/>
            </w:tabs>
            <w:rPr>
              <w:noProof/>
              <w:kern w:val="2"/>
              <w:sz w:val="24"/>
              <w:szCs w:val="24"/>
              <w:lang w:val="en-US"/>
              <w14:ligatures w14:val="standardContextual"/>
            </w:rPr>
          </w:pPr>
          <w:hyperlink w:anchor="_Toc220064212" w:history="1">
            <w:r w:rsidRPr="00075924">
              <w:rPr>
                <w:rStyle w:val="Hyperlink"/>
                <w:rFonts w:cstheme="majorHAnsi"/>
                <w:noProof/>
                <w:lang w:val="en-US"/>
              </w:rPr>
              <w:t>Introduction</w:t>
            </w:r>
            <w:r>
              <w:rPr>
                <w:noProof/>
                <w:webHidden/>
              </w:rPr>
              <w:tab/>
            </w:r>
            <w:r>
              <w:rPr>
                <w:noProof/>
                <w:webHidden/>
              </w:rPr>
              <w:fldChar w:fldCharType="begin"/>
            </w:r>
            <w:r>
              <w:rPr>
                <w:noProof/>
                <w:webHidden/>
              </w:rPr>
              <w:instrText xml:space="preserve"> PAGEREF _Toc220064212 \h </w:instrText>
            </w:r>
            <w:r>
              <w:rPr>
                <w:noProof/>
                <w:webHidden/>
              </w:rPr>
            </w:r>
            <w:r>
              <w:rPr>
                <w:noProof/>
                <w:webHidden/>
              </w:rPr>
              <w:fldChar w:fldCharType="separate"/>
            </w:r>
            <w:r>
              <w:rPr>
                <w:noProof/>
                <w:webHidden/>
              </w:rPr>
              <w:t>2</w:t>
            </w:r>
            <w:r>
              <w:rPr>
                <w:noProof/>
                <w:webHidden/>
              </w:rPr>
              <w:fldChar w:fldCharType="end"/>
            </w:r>
          </w:hyperlink>
        </w:p>
        <w:p w14:paraId="4D6F1508" w14:textId="65FF04F9" w:rsidR="007B3E4F" w:rsidRDefault="007B3E4F">
          <w:pPr>
            <w:pStyle w:val="TOC1"/>
            <w:tabs>
              <w:tab w:val="right" w:leader="dot" w:pos="9016"/>
            </w:tabs>
            <w:rPr>
              <w:noProof/>
              <w:kern w:val="2"/>
              <w:sz w:val="24"/>
              <w:szCs w:val="24"/>
              <w:lang w:val="en-US"/>
              <w14:ligatures w14:val="standardContextual"/>
            </w:rPr>
          </w:pPr>
          <w:hyperlink w:anchor="_Toc220064213" w:history="1">
            <w:r w:rsidRPr="00075924">
              <w:rPr>
                <w:rStyle w:val="Hyperlink"/>
                <w:rFonts w:cstheme="majorHAnsi"/>
                <w:noProof/>
                <w:lang w:val="en-US"/>
              </w:rPr>
              <w:t>Principles of Data Capture</w:t>
            </w:r>
            <w:r>
              <w:rPr>
                <w:noProof/>
                <w:webHidden/>
              </w:rPr>
              <w:tab/>
            </w:r>
            <w:r>
              <w:rPr>
                <w:noProof/>
                <w:webHidden/>
              </w:rPr>
              <w:fldChar w:fldCharType="begin"/>
            </w:r>
            <w:r>
              <w:rPr>
                <w:noProof/>
                <w:webHidden/>
              </w:rPr>
              <w:instrText xml:space="preserve"> PAGEREF _Toc220064213 \h </w:instrText>
            </w:r>
            <w:r>
              <w:rPr>
                <w:noProof/>
                <w:webHidden/>
              </w:rPr>
            </w:r>
            <w:r>
              <w:rPr>
                <w:noProof/>
                <w:webHidden/>
              </w:rPr>
              <w:fldChar w:fldCharType="separate"/>
            </w:r>
            <w:r>
              <w:rPr>
                <w:noProof/>
                <w:webHidden/>
              </w:rPr>
              <w:t>3</w:t>
            </w:r>
            <w:r>
              <w:rPr>
                <w:noProof/>
                <w:webHidden/>
              </w:rPr>
              <w:fldChar w:fldCharType="end"/>
            </w:r>
          </w:hyperlink>
        </w:p>
        <w:p w14:paraId="3986B2FE" w14:textId="46E96DB4" w:rsidR="007B3E4F" w:rsidRDefault="007B3E4F">
          <w:pPr>
            <w:pStyle w:val="TOC1"/>
            <w:tabs>
              <w:tab w:val="right" w:leader="dot" w:pos="9016"/>
            </w:tabs>
            <w:rPr>
              <w:noProof/>
              <w:kern w:val="2"/>
              <w:sz w:val="24"/>
              <w:szCs w:val="24"/>
              <w:lang w:val="en-US"/>
              <w14:ligatures w14:val="standardContextual"/>
            </w:rPr>
          </w:pPr>
          <w:hyperlink w:anchor="_Toc220064214" w:history="1">
            <w:r w:rsidRPr="00075924">
              <w:rPr>
                <w:rStyle w:val="Hyperlink"/>
                <w:rFonts w:cstheme="majorHAnsi"/>
                <w:noProof/>
                <w:lang w:val="en-US"/>
              </w:rPr>
              <w:t>Method-by-Method Analysis</w:t>
            </w:r>
            <w:r>
              <w:rPr>
                <w:noProof/>
                <w:webHidden/>
              </w:rPr>
              <w:tab/>
            </w:r>
            <w:r>
              <w:rPr>
                <w:noProof/>
                <w:webHidden/>
              </w:rPr>
              <w:fldChar w:fldCharType="begin"/>
            </w:r>
            <w:r>
              <w:rPr>
                <w:noProof/>
                <w:webHidden/>
              </w:rPr>
              <w:instrText xml:space="preserve"> PAGEREF _Toc220064214 \h </w:instrText>
            </w:r>
            <w:r>
              <w:rPr>
                <w:noProof/>
                <w:webHidden/>
              </w:rPr>
            </w:r>
            <w:r>
              <w:rPr>
                <w:noProof/>
                <w:webHidden/>
              </w:rPr>
              <w:fldChar w:fldCharType="separate"/>
            </w:r>
            <w:r>
              <w:rPr>
                <w:noProof/>
                <w:webHidden/>
              </w:rPr>
              <w:t>3</w:t>
            </w:r>
            <w:r>
              <w:rPr>
                <w:noProof/>
                <w:webHidden/>
              </w:rPr>
              <w:fldChar w:fldCharType="end"/>
            </w:r>
          </w:hyperlink>
        </w:p>
        <w:p w14:paraId="7F8D8101" w14:textId="35F29860" w:rsidR="007B3E4F" w:rsidRDefault="007B3E4F">
          <w:pPr>
            <w:pStyle w:val="TOC2"/>
            <w:tabs>
              <w:tab w:val="right" w:leader="dot" w:pos="9016"/>
            </w:tabs>
            <w:rPr>
              <w:noProof/>
              <w:kern w:val="2"/>
              <w:sz w:val="24"/>
              <w:szCs w:val="24"/>
              <w:lang w:val="en-US"/>
              <w14:ligatures w14:val="standardContextual"/>
            </w:rPr>
          </w:pPr>
          <w:hyperlink w:anchor="_Toc220064215" w:history="1">
            <w:r w:rsidRPr="00075924">
              <w:rPr>
                <w:rStyle w:val="Hyperlink"/>
                <w:rFonts w:cstheme="majorHAnsi"/>
                <w:noProof/>
                <w:lang w:val="en-US"/>
              </w:rPr>
              <w:t>Blast gauge</w:t>
            </w:r>
            <w:r>
              <w:rPr>
                <w:noProof/>
                <w:webHidden/>
              </w:rPr>
              <w:tab/>
            </w:r>
            <w:r>
              <w:rPr>
                <w:noProof/>
                <w:webHidden/>
              </w:rPr>
              <w:fldChar w:fldCharType="begin"/>
            </w:r>
            <w:r>
              <w:rPr>
                <w:noProof/>
                <w:webHidden/>
              </w:rPr>
              <w:instrText xml:space="preserve"> PAGEREF _Toc220064215 \h </w:instrText>
            </w:r>
            <w:r>
              <w:rPr>
                <w:noProof/>
                <w:webHidden/>
              </w:rPr>
            </w:r>
            <w:r>
              <w:rPr>
                <w:noProof/>
                <w:webHidden/>
              </w:rPr>
              <w:fldChar w:fldCharType="separate"/>
            </w:r>
            <w:r>
              <w:rPr>
                <w:noProof/>
                <w:webHidden/>
              </w:rPr>
              <w:t>3</w:t>
            </w:r>
            <w:r>
              <w:rPr>
                <w:noProof/>
                <w:webHidden/>
              </w:rPr>
              <w:fldChar w:fldCharType="end"/>
            </w:r>
          </w:hyperlink>
        </w:p>
        <w:p w14:paraId="729AEF2F" w14:textId="5C9DC28A" w:rsidR="007B3E4F" w:rsidRDefault="007B3E4F">
          <w:pPr>
            <w:pStyle w:val="TOC2"/>
            <w:tabs>
              <w:tab w:val="right" w:leader="dot" w:pos="9016"/>
            </w:tabs>
            <w:rPr>
              <w:noProof/>
              <w:kern w:val="2"/>
              <w:sz w:val="24"/>
              <w:szCs w:val="24"/>
              <w:lang w:val="en-US"/>
              <w14:ligatures w14:val="standardContextual"/>
            </w:rPr>
          </w:pPr>
          <w:hyperlink w:anchor="_Toc220064216" w:history="1">
            <w:r w:rsidRPr="00075924">
              <w:rPr>
                <w:rStyle w:val="Hyperlink"/>
                <w:rFonts w:cstheme="majorHAnsi"/>
                <w:noProof/>
                <w:lang w:val="en-US"/>
              </w:rPr>
              <w:t>Velocity foil</w:t>
            </w:r>
            <w:r>
              <w:rPr>
                <w:noProof/>
                <w:webHidden/>
              </w:rPr>
              <w:tab/>
            </w:r>
            <w:r>
              <w:rPr>
                <w:noProof/>
                <w:webHidden/>
              </w:rPr>
              <w:fldChar w:fldCharType="begin"/>
            </w:r>
            <w:r>
              <w:rPr>
                <w:noProof/>
                <w:webHidden/>
              </w:rPr>
              <w:instrText xml:space="preserve"> PAGEREF _Toc220064216 \h </w:instrText>
            </w:r>
            <w:r>
              <w:rPr>
                <w:noProof/>
                <w:webHidden/>
              </w:rPr>
            </w:r>
            <w:r>
              <w:rPr>
                <w:noProof/>
                <w:webHidden/>
              </w:rPr>
              <w:fldChar w:fldCharType="separate"/>
            </w:r>
            <w:r>
              <w:rPr>
                <w:noProof/>
                <w:webHidden/>
              </w:rPr>
              <w:t>4</w:t>
            </w:r>
            <w:r>
              <w:rPr>
                <w:noProof/>
                <w:webHidden/>
              </w:rPr>
              <w:fldChar w:fldCharType="end"/>
            </w:r>
          </w:hyperlink>
        </w:p>
        <w:p w14:paraId="3CD6C69A" w14:textId="604A8A90" w:rsidR="007B3E4F" w:rsidRDefault="007B3E4F">
          <w:pPr>
            <w:pStyle w:val="TOC2"/>
            <w:tabs>
              <w:tab w:val="right" w:leader="dot" w:pos="9016"/>
            </w:tabs>
            <w:rPr>
              <w:noProof/>
              <w:kern w:val="2"/>
              <w:sz w:val="24"/>
              <w:szCs w:val="24"/>
              <w:lang w:val="en-US"/>
              <w14:ligatures w14:val="standardContextual"/>
            </w:rPr>
          </w:pPr>
          <w:hyperlink w:anchor="_Toc220064217" w:history="1">
            <w:r w:rsidRPr="00075924">
              <w:rPr>
                <w:rStyle w:val="Hyperlink"/>
                <w:rFonts w:cstheme="majorHAnsi"/>
                <w:noProof/>
                <w:lang w:val="en-US"/>
              </w:rPr>
              <w:t>Strawboard</w:t>
            </w:r>
            <w:r>
              <w:rPr>
                <w:noProof/>
                <w:webHidden/>
              </w:rPr>
              <w:tab/>
            </w:r>
            <w:r>
              <w:rPr>
                <w:noProof/>
                <w:webHidden/>
              </w:rPr>
              <w:fldChar w:fldCharType="begin"/>
            </w:r>
            <w:r>
              <w:rPr>
                <w:noProof/>
                <w:webHidden/>
              </w:rPr>
              <w:instrText xml:space="preserve"> PAGEREF _Toc220064217 \h </w:instrText>
            </w:r>
            <w:r>
              <w:rPr>
                <w:noProof/>
                <w:webHidden/>
              </w:rPr>
            </w:r>
            <w:r>
              <w:rPr>
                <w:noProof/>
                <w:webHidden/>
              </w:rPr>
              <w:fldChar w:fldCharType="separate"/>
            </w:r>
            <w:r>
              <w:rPr>
                <w:noProof/>
                <w:webHidden/>
              </w:rPr>
              <w:t>5</w:t>
            </w:r>
            <w:r>
              <w:rPr>
                <w:noProof/>
                <w:webHidden/>
              </w:rPr>
              <w:fldChar w:fldCharType="end"/>
            </w:r>
          </w:hyperlink>
        </w:p>
        <w:p w14:paraId="168DC469" w14:textId="30899DB4" w:rsidR="007B3E4F" w:rsidRDefault="007B3E4F">
          <w:pPr>
            <w:pStyle w:val="TOC2"/>
            <w:tabs>
              <w:tab w:val="right" w:leader="dot" w:pos="9016"/>
            </w:tabs>
            <w:rPr>
              <w:noProof/>
              <w:kern w:val="2"/>
              <w:sz w:val="24"/>
              <w:szCs w:val="24"/>
              <w:lang w:val="en-US"/>
              <w14:ligatures w14:val="standardContextual"/>
            </w:rPr>
          </w:pPr>
          <w:hyperlink w:anchor="_Toc220064218" w:history="1">
            <w:r w:rsidRPr="00075924">
              <w:rPr>
                <w:rStyle w:val="Hyperlink"/>
                <w:rFonts w:cstheme="majorHAnsi"/>
                <w:noProof/>
                <w:lang w:val="en-US"/>
              </w:rPr>
              <w:t>FT-IR</w:t>
            </w:r>
            <w:r>
              <w:rPr>
                <w:noProof/>
                <w:webHidden/>
              </w:rPr>
              <w:tab/>
            </w:r>
            <w:r>
              <w:rPr>
                <w:noProof/>
                <w:webHidden/>
              </w:rPr>
              <w:fldChar w:fldCharType="begin"/>
            </w:r>
            <w:r>
              <w:rPr>
                <w:noProof/>
                <w:webHidden/>
              </w:rPr>
              <w:instrText xml:space="preserve"> PAGEREF _Toc220064218 \h </w:instrText>
            </w:r>
            <w:r>
              <w:rPr>
                <w:noProof/>
                <w:webHidden/>
              </w:rPr>
            </w:r>
            <w:r>
              <w:rPr>
                <w:noProof/>
                <w:webHidden/>
              </w:rPr>
              <w:fldChar w:fldCharType="separate"/>
            </w:r>
            <w:r>
              <w:rPr>
                <w:noProof/>
                <w:webHidden/>
              </w:rPr>
              <w:t>6</w:t>
            </w:r>
            <w:r>
              <w:rPr>
                <w:noProof/>
                <w:webHidden/>
              </w:rPr>
              <w:fldChar w:fldCharType="end"/>
            </w:r>
          </w:hyperlink>
        </w:p>
        <w:p w14:paraId="57B4A80A" w14:textId="3A0B32A6" w:rsidR="007B3E4F" w:rsidRDefault="007B3E4F">
          <w:pPr>
            <w:pStyle w:val="TOC1"/>
            <w:tabs>
              <w:tab w:val="right" w:leader="dot" w:pos="9016"/>
            </w:tabs>
            <w:rPr>
              <w:noProof/>
              <w:kern w:val="2"/>
              <w:sz w:val="24"/>
              <w:szCs w:val="24"/>
              <w:lang w:val="en-US"/>
              <w14:ligatures w14:val="standardContextual"/>
            </w:rPr>
          </w:pPr>
          <w:hyperlink w:anchor="_Toc220064219" w:history="1">
            <w:r w:rsidRPr="00075924">
              <w:rPr>
                <w:rStyle w:val="Hyperlink"/>
                <w:rFonts w:cstheme="majorHAnsi"/>
                <w:noProof/>
              </w:rPr>
              <w:t>Other data capture methods</w:t>
            </w:r>
            <w:r>
              <w:rPr>
                <w:noProof/>
                <w:webHidden/>
              </w:rPr>
              <w:tab/>
            </w:r>
            <w:r>
              <w:rPr>
                <w:noProof/>
                <w:webHidden/>
              </w:rPr>
              <w:fldChar w:fldCharType="begin"/>
            </w:r>
            <w:r>
              <w:rPr>
                <w:noProof/>
                <w:webHidden/>
              </w:rPr>
              <w:instrText xml:space="preserve"> PAGEREF _Toc220064219 \h </w:instrText>
            </w:r>
            <w:r>
              <w:rPr>
                <w:noProof/>
                <w:webHidden/>
              </w:rPr>
            </w:r>
            <w:r>
              <w:rPr>
                <w:noProof/>
                <w:webHidden/>
              </w:rPr>
              <w:fldChar w:fldCharType="separate"/>
            </w:r>
            <w:r>
              <w:rPr>
                <w:noProof/>
                <w:webHidden/>
              </w:rPr>
              <w:t>7</w:t>
            </w:r>
            <w:r>
              <w:rPr>
                <w:noProof/>
                <w:webHidden/>
              </w:rPr>
              <w:fldChar w:fldCharType="end"/>
            </w:r>
          </w:hyperlink>
        </w:p>
        <w:p w14:paraId="489F74CE" w14:textId="35C9949B" w:rsidR="007B3E4F" w:rsidRDefault="007B3E4F">
          <w:pPr>
            <w:pStyle w:val="TOC1"/>
            <w:tabs>
              <w:tab w:val="right" w:leader="dot" w:pos="9016"/>
            </w:tabs>
            <w:rPr>
              <w:noProof/>
              <w:kern w:val="2"/>
              <w:sz w:val="24"/>
              <w:szCs w:val="24"/>
              <w:lang w:val="en-US"/>
              <w14:ligatures w14:val="standardContextual"/>
            </w:rPr>
          </w:pPr>
          <w:hyperlink w:anchor="_Toc220064220" w:history="1">
            <w:r w:rsidRPr="00075924">
              <w:rPr>
                <w:rStyle w:val="Hyperlink"/>
                <w:rFonts w:cstheme="majorHAnsi"/>
                <w:noProof/>
                <w:lang w:val="en-US"/>
              </w:rPr>
              <w:t>Critical Evaluation of Data Quality</w:t>
            </w:r>
            <w:r>
              <w:rPr>
                <w:noProof/>
                <w:webHidden/>
              </w:rPr>
              <w:tab/>
            </w:r>
            <w:r>
              <w:rPr>
                <w:noProof/>
                <w:webHidden/>
              </w:rPr>
              <w:fldChar w:fldCharType="begin"/>
            </w:r>
            <w:r>
              <w:rPr>
                <w:noProof/>
                <w:webHidden/>
              </w:rPr>
              <w:instrText xml:space="preserve"> PAGEREF _Toc220064220 \h </w:instrText>
            </w:r>
            <w:r>
              <w:rPr>
                <w:noProof/>
                <w:webHidden/>
              </w:rPr>
            </w:r>
            <w:r>
              <w:rPr>
                <w:noProof/>
                <w:webHidden/>
              </w:rPr>
              <w:fldChar w:fldCharType="separate"/>
            </w:r>
            <w:r>
              <w:rPr>
                <w:noProof/>
                <w:webHidden/>
              </w:rPr>
              <w:t>7</w:t>
            </w:r>
            <w:r>
              <w:rPr>
                <w:noProof/>
                <w:webHidden/>
              </w:rPr>
              <w:fldChar w:fldCharType="end"/>
            </w:r>
          </w:hyperlink>
        </w:p>
        <w:p w14:paraId="2850CF44" w14:textId="4B0B22D9" w:rsidR="007B3E4F" w:rsidRDefault="007B3E4F">
          <w:pPr>
            <w:pStyle w:val="TOC1"/>
            <w:tabs>
              <w:tab w:val="right" w:leader="dot" w:pos="9016"/>
            </w:tabs>
            <w:rPr>
              <w:noProof/>
              <w:kern w:val="2"/>
              <w:sz w:val="24"/>
              <w:szCs w:val="24"/>
              <w:lang w:val="en-US"/>
              <w14:ligatures w14:val="standardContextual"/>
            </w:rPr>
          </w:pPr>
          <w:hyperlink w:anchor="_Toc220064221" w:history="1">
            <w:r w:rsidRPr="00075924">
              <w:rPr>
                <w:rStyle w:val="Hyperlink"/>
                <w:rFonts w:cstheme="majorHAnsi"/>
                <w:noProof/>
                <w:lang w:val="en-US"/>
              </w:rPr>
              <w:t>Recommendations</w:t>
            </w:r>
            <w:r>
              <w:rPr>
                <w:noProof/>
                <w:webHidden/>
              </w:rPr>
              <w:tab/>
            </w:r>
            <w:r>
              <w:rPr>
                <w:noProof/>
                <w:webHidden/>
              </w:rPr>
              <w:fldChar w:fldCharType="begin"/>
            </w:r>
            <w:r>
              <w:rPr>
                <w:noProof/>
                <w:webHidden/>
              </w:rPr>
              <w:instrText xml:space="preserve"> PAGEREF _Toc220064221 \h </w:instrText>
            </w:r>
            <w:r>
              <w:rPr>
                <w:noProof/>
                <w:webHidden/>
              </w:rPr>
            </w:r>
            <w:r>
              <w:rPr>
                <w:noProof/>
                <w:webHidden/>
              </w:rPr>
              <w:fldChar w:fldCharType="separate"/>
            </w:r>
            <w:r>
              <w:rPr>
                <w:noProof/>
                <w:webHidden/>
              </w:rPr>
              <w:t>8</w:t>
            </w:r>
            <w:r>
              <w:rPr>
                <w:noProof/>
                <w:webHidden/>
              </w:rPr>
              <w:fldChar w:fldCharType="end"/>
            </w:r>
          </w:hyperlink>
        </w:p>
        <w:p w14:paraId="3F2C21AB" w14:textId="391148C9" w:rsidR="007B3E4F" w:rsidRDefault="007B3E4F">
          <w:pPr>
            <w:pStyle w:val="TOC1"/>
            <w:tabs>
              <w:tab w:val="right" w:leader="dot" w:pos="9016"/>
            </w:tabs>
            <w:rPr>
              <w:noProof/>
              <w:kern w:val="2"/>
              <w:sz w:val="24"/>
              <w:szCs w:val="24"/>
              <w:lang w:val="en-US"/>
              <w14:ligatures w14:val="standardContextual"/>
            </w:rPr>
          </w:pPr>
          <w:hyperlink w:anchor="_Toc220064222" w:history="1">
            <w:r w:rsidRPr="00075924">
              <w:rPr>
                <w:rStyle w:val="Hyperlink"/>
                <w:rFonts w:cstheme="majorHAnsi"/>
                <w:noProof/>
              </w:rPr>
              <w:t>Conclusion</w:t>
            </w:r>
            <w:r>
              <w:rPr>
                <w:noProof/>
                <w:webHidden/>
              </w:rPr>
              <w:tab/>
            </w:r>
            <w:r>
              <w:rPr>
                <w:noProof/>
                <w:webHidden/>
              </w:rPr>
              <w:fldChar w:fldCharType="begin"/>
            </w:r>
            <w:r>
              <w:rPr>
                <w:noProof/>
                <w:webHidden/>
              </w:rPr>
              <w:instrText xml:space="preserve"> PAGEREF _Toc220064222 \h </w:instrText>
            </w:r>
            <w:r>
              <w:rPr>
                <w:noProof/>
                <w:webHidden/>
              </w:rPr>
            </w:r>
            <w:r>
              <w:rPr>
                <w:noProof/>
                <w:webHidden/>
              </w:rPr>
              <w:fldChar w:fldCharType="separate"/>
            </w:r>
            <w:r>
              <w:rPr>
                <w:noProof/>
                <w:webHidden/>
              </w:rPr>
              <w:t>8</w:t>
            </w:r>
            <w:r>
              <w:rPr>
                <w:noProof/>
                <w:webHidden/>
              </w:rPr>
              <w:fldChar w:fldCharType="end"/>
            </w:r>
          </w:hyperlink>
        </w:p>
        <w:p w14:paraId="1B147F48" w14:textId="228D1285" w:rsidR="007B3E4F" w:rsidRDefault="007B3E4F">
          <w:pPr>
            <w:pStyle w:val="TOC1"/>
            <w:tabs>
              <w:tab w:val="right" w:leader="dot" w:pos="9016"/>
            </w:tabs>
            <w:rPr>
              <w:noProof/>
              <w:kern w:val="2"/>
              <w:sz w:val="24"/>
              <w:szCs w:val="24"/>
              <w:lang w:val="en-US"/>
              <w14:ligatures w14:val="standardContextual"/>
            </w:rPr>
          </w:pPr>
          <w:hyperlink w:anchor="_Toc220064223" w:history="1">
            <w:r w:rsidRPr="00075924">
              <w:rPr>
                <w:rStyle w:val="Hyperlink"/>
                <w:rFonts w:cstheme="majorHAnsi"/>
                <w:noProof/>
              </w:rPr>
              <w:t>References</w:t>
            </w:r>
            <w:r>
              <w:rPr>
                <w:noProof/>
                <w:webHidden/>
              </w:rPr>
              <w:tab/>
            </w:r>
            <w:r>
              <w:rPr>
                <w:noProof/>
                <w:webHidden/>
              </w:rPr>
              <w:fldChar w:fldCharType="begin"/>
            </w:r>
            <w:r>
              <w:rPr>
                <w:noProof/>
                <w:webHidden/>
              </w:rPr>
              <w:instrText xml:space="preserve"> PAGEREF _Toc220064223 \h </w:instrText>
            </w:r>
            <w:r>
              <w:rPr>
                <w:noProof/>
                <w:webHidden/>
              </w:rPr>
            </w:r>
            <w:r>
              <w:rPr>
                <w:noProof/>
                <w:webHidden/>
              </w:rPr>
              <w:fldChar w:fldCharType="separate"/>
            </w:r>
            <w:r>
              <w:rPr>
                <w:noProof/>
                <w:webHidden/>
              </w:rPr>
              <w:t>8</w:t>
            </w:r>
            <w:r>
              <w:rPr>
                <w:noProof/>
                <w:webHidden/>
              </w:rPr>
              <w:fldChar w:fldCharType="end"/>
            </w:r>
          </w:hyperlink>
        </w:p>
        <w:p w14:paraId="7C639EAE" w14:textId="054621E9" w:rsidR="007B3E4F" w:rsidRDefault="007B3E4F">
          <w:pPr>
            <w:pStyle w:val="TOC1"/>
            <w:tabs>
              <w:tab w:val="right" w:leader="dot" w:pos="9016"/>
            </w:tabs>
            <w:rPr>
              <w:noProof/>
              <w:kern w:val="2"/>
              <w:sz w:val="24"/>
              <w:szCs w:val="24"/>
              <w:lang w:val="en-US"/>
              <w14:ligatures w14:val="standardContextual"/>
            </w:rPr>
          </w:pPr>
          <w:hyperlink w:anchor="_Toc220064224" w:history="1">
            <w:r w:rsidRPr="00075924">
              <w:rPr>
                <w:rStyle w:val="Hyperlink"/>
                <w:rFonts w:cstheme="majorHAnsi"/>
                <w:noProof/>
              </w:rPr>
              <w:t>Appendix</w:t>
            </w:r>
            <w:r>
              <w:rPr>
                <w:noProof/>
                <w:webHidden/>
              </w:rPr>
              <w:tab/>
            </w:r>
            <w:r>
              <w:rPr>
                <w:noProof/>
                <w:webHidden/>
              </w:rPr>
              <w:fldChar w:fldCharType="begin"/>
            </w:r>
            <w:r>
              <w:rPr>
                <w:noProof/>
                <w:webHidden/>
              </w:rPr>
              <w:instrText xml:space="preserve"> PAGEREF _Toc220064224 \h </w:instrText>
            </w:r>
            <w:r>
              <w:rPr>
                <w:noProof/>
                <w:webHidden/>
              </w:rPr>
            </w:r>
            <w:r>
              <w:rPr>
                <w:noProof/>
                <w:webHidden/>
              </w:rPr>
              <w:fldChar w:fldCharType="separate"/>
            </w:r>
            <w:r>
              <w:rPr>
                <w:noProof/>
                <w:webHidden/>
              </w:rPr>
              <w:t>9</w:t>
            </w:r>
            <w:r>
              <w:rPr>
                <w:noProof/>
                <w:webHidden/>
              </w:rPr>
              <w:fldChar w:fldCharType="end"/>
            </w:r>
          </w:hyperlink>
        </w:p>
        <w:p w14:paraId="31C59A54" w14:textId="14CB7BE4" w:rsidR="002D3172" w:rsidRPr="00AA4FB2" w:rsidRDefault="006278EF" w:rsidP="00910414">
          <w:pPr>
            <w:rPr>
              <w:rFonts w:asciiTheme="majorHAnsi" w:hAnsiTheme="majorHAnsi" w:cstheme="majorHAnsi"/>
              <w:b/>
              <w:bCs/>
              <w:noProof/>
            </w:rPr>
          </w:pPr>
          <w:r w:rsidRPr="00AA4FB2">
            <w:rPr>
              <w:rFonts w:asciiTheme="majorHAnsi" w:hAnsiTheme="majorHAnsi" w:cstheme="majorHAnsi"/>
              <w:b/>
              <w:bCs/>
              <w:noProof/>
            </w:rPr>
            <w:fldChar w:fldCharType="end"/>
          </w:r>
        </w:p>
      </w:sdtContent>
    </w:sdt>
    <w:p w14:paraId="74027F08" w14:textId="12C02B3B" w:rsidR="00E64BB0" w:rsidRPr="00AA4FB2" w:rsidRDefault="00E64BB0" w:rsidP="00A666C2">
      <w:pPr>
        <w:pStyle w:val="TableofFigures"/>
        <w:tabs>
          <w:tab w:val="right" w:leader="dot" w:pos="9016"/>
        </w:tabs>
        <w:rPr>
          <w:rFonts w:asciiTheme="majorHAnsi" w:hAnsiTheme="majorHAnsi" w:cstheme="majorHAnsi"/>
          <w:lang w:val="en-US"/>
        </w:rPr>
      </w:pPr>
      <w:r w:rsidRPr="00AA4FB2">
        <w:rPr>
          <w:rFonts w:asciiTheme="majorHAnsi" w:hAnsiTheme="majorHAnsi" w:cstheme="majorHAnsi"/>
          <w:lang w:val="en-US"/>
        </w:rPr>
        <w:fldChar w:fldCharType="begin"/>
      </w:r>
      <w:r w:rsidRPr="00AA4FB2">
        <w:rPr>
          <w:rFonts w:asciiTheme="majorHAnsi" w:hAnsiTheme="majorHAnsi" w:cstheme="majorHAnsi"/>
          <w:lang w:val="en-US"/>
        </w:rPr>
        <w:instrText xml:space="preserve"> TOC \h \z \c "Equation" </w:instrText>
      </w:r>
      <w:r w:rsidRPr="00AA4FB2">
        <w:rPr>
          <w:rFonts w:asciiTheme="majorHAnsi" w:hAnsiTheme="majorHAnsi" w:cstheme="majorHAnsi"/>
          <w:lang w:val="en-US"/>
        </w:rPr>
        <w:fldChar w:fldCharType="separate"/>
      </w:r>
      <w:r w:rsidRPr="00AA4FB2">
        <w:rPr>
          <w:rFonts w:asciiTheme="majorHAnsi" w:hAnsiTheme="majorHAnsi" w:cstheme="majorHAnsi"/>
          <w:lang w:val="en-US"/>
        </w:rPr>
        <w:fldChar w:fldCharType="end"/>
      </w:r>
    </w:p>
    <w:p w14:paraId="0CC6568D" w14:textId="7E1A2363" w:rsidR="00806F74" w:rsidRPr="00AA4FB2" w:rsidRDefault="00806F74" w:rsidP="00E64BB0">
      <w:pPr>
        <w:pStyle w:val="Heading1"/>
        <w:rPr>
          <w:rFonts w:cstheme="majorHAnsi"/>
          <w:noProof/>
        </w:rPr>
      </w:pPr>
      <w:bookmarkStart w:id="0" w:name="_Toc220064211"/>
      <w:r w:rsidRPr="00AA4FB2">
        <w:rPr>
          <w:rFonts w:cstheme="majorHAnsi"/>
          <w:noProof/>
        </w:rPr>
        <w:t>Abstract</w:t>
      </w:r>
      <w:bookmarkEnd w:id="0"/>
    </w:p>
    <w:p w14:paraId="0C5B9E7A" w14:textId="6622B81B" w:rsidR="00314170" w:rsidRPr="00C42814" w:rsidRDefault="00C42814" w:rsidP="00314170">
      <w:pPr>
        <w:rPr>
          <w:rFonts w:asciiTheme="majorHAnsi" w:hAnsiTheme="majorHAnsi" w:cstheme="majorHAnsi"/>
        </w:rPr>
      </w:pPr>
      <w:r w:rsidRPr="00C42814">
        <w:rPr>
          <w:rFonts w:asciiTheme="majorHAnsi" w:hAnsiTheme="majorHAnsi" w:cstheme="majorHAnsi"/>
        </w:rPr>
        <w:t>This report critiques the methods used for ordnance identification during an arena trial, focusing on the effectiveness and limitations of key data capture techniques. Blast gauges, velocity foils, strawboard, and FT-IR were evaluated in terms of accuracy, reliability, and forensic value. The analysis highlights the need for multi-modal data collection to mitigate uncertainty and sensor vulnerability. Alternative and emerging techniques are considered, and recommendations are made to improve robustness, calibration, and confidence in forensic reconstruction.</w:t>
      </w:r>
    </w:p>
    <w:p w14:paraId="10E97195" w14:textId="2FCC0C35" w:rsidR="00767166" w:rsidRPr="00C42814" w:rsidRDefault="006804D9" w:rsidP="00393374">
      <w:pPr>
        <w:pStyle w:val="Heading1"/>
        <w:rPr>
          <w:rFonts w:cstheme="majorHAnsi"/>
          <w:lang w:val="en-US"/>
        </w:rPr>
      </w:pPr>
      <w:bookmarkStart w:id="1" w:name="_Toc220064212"/>
      <w:r w:rsidRPr="00C42814">
        <w:rPr>
          <w:rFonts w:cstheme="majorHAnsi"/>
          <w:lang w:val="en-US"/>
        </w:rPr>
        <w:t>Introduction</w:t>
      </w:r>
      <w:bookmarkEnd w:id="1"/>
    </w:p>
    <w:p w14:paraId="7BB95129" w14:textId="7F038470" w:rsidR="00C42814" w:rsidRPr="00C42814" w:rsidRDefault="00C42814" w:rsidP="00C42814">
      <w:pPr>
        <w:rPr>
          <w:rFonts w:asciiTheme="majorHAnsi" w:hAnsiTheme="majorHAnsi" w:cstheme="majorHAnsi"/>
          <w:lang w:val="en-US"/>
        </w:rPr>
      </w:pPr>
      <w:r w:rsidRPr="00C42814">
        <w:rPr>
          <w:rFonts w:asciiTheme="majorHAnsi" w:hAnsiTheme="majorHAnsi" w:cstheme="majorHAnsi"/>
        </w:rPr>
        <w:t>A</w:t>
      </w:r>
      <w:r w:rsidRPr="00C42814">
        <w:rPr>
          <w:rFonts w:asciiTheme="majorHAnsi" w:hAnsiTheme="majorHAnsi" w:cstheme="majorHAnsi"/>
        </w:rPr>
        <w:t xml:space="preserve">ccurate ordnance identification relies on robust data capture across energetic, mechanical, and chemical domains. In arena trials such as COTEC, sensors must operate in extreme environments while producing reliable data to support safety, performance assessment, and forensic reconstruction. This report critiques the data capture methods employed during the trial, evaluating their strengths, weaknesses, and limitations. Blast gauges, velocity foils, strawboard, and FT-IR are examined alongside alternative </w:t>
      </w:r>
      <w:r w:rsidRPr="00C42814">
        <w:rPr>
          <w:rFonts w:asciiTheme="majorHAnsi" w:hAnsiTheme="majorHAnsi" w:cstheme="majorHAnsi"/>
        </w:rPr>
        <w:lastRenderedPageBreak/>
        <w:t>techniques. The aim is to assess data quality and propose improvements aligned with modern industry practice.</w:t>
      </w:r>
    </w:p>
    <w:p w14:paraId="14C4D055" w14:textId="28310BC1" w:rsidR="00EB27B3" w:rsidRPr="00AA4FB2" w:rsidRDefault="0005258E" w:rsidP="0005258E">
      <w:pPr>
        <w:pStyle w:val="Heading1"/>
        <w:rPr>
          <w:rFonts w:cstheme="majorHAnsi"/>
          <w:lang w:val="en-US"/>
        </w:rPr>
      </w:pPr>
      <w:bookmarkStart w:id="2" w:name="_Toc220064213"/>
      <w:r w:rsidRPr="00AA4FB2">
        <w:rPr>
          <w:rFonts w:cstheme="majorHAnsi"/>
          <w:lang w:val="en-US"/>
        </w:rPr>
        <w:t>Principles</w:t>
      </w:r>
      <w:r w:rsidR="00EB27B3" w:rsidRPr="00AA4FB2">
        <w:rPr>
          <w:rFonts w:cstheme="majorHAnsi"/>
          <w:lang w:val="en-US"/>
        </w:rPr>
        <w:t xml:space="preserve"> of Data Capture</w:t>
      </w:r>
      <w:bookmarkEnd w:id="2"/>
      <w:r w:rsidR="00EB27B3" w:rsidRPr="00AA4FB2">
        <w:rPr>
          <w:rFonts w:cstheme="majorHAnsi"/>
          <w:lang w:val="en-US"/>
        </w:rPr>
        <w:t xml:space="preserve"> </w:t>
      </w:r>
    </w:p>
    <w:p w14:paraId="6903165D" w14:textId="695A43E6" w:rsidR="0034039A" w:rsidRPr="00AA4FB2" w:rsidRDefault="00BF5A47" w:rsidP="0034039A">
      <w:pPr>
        <w:rPr>
          <w:rFonts w:asciiTheme="majorHAnsi" w:hAnsiTheme="majorHAnsi" w:cstheme="majorHAnsi"/>
        </w:rPr>
      </w:pPr>
      <w:r w:rsidRPr="00AA4FB2">
        <w:rPr>
          <w:rFonts w:asciiTheme="majorHAnsi" w:hAnsiTheme="majorHAnsi" w:cstheme="majorHAnsi"/>
          <w:lang w:val="en-US"/>
        </w:rPr>
        <w:t xml:space="preserve">Data </w:t>
      </w:r>
      <w:r w:rsidR="00917AF9" w:rsidRPr="00AA4FB2">
        <w:rPr>
          <w:rFonts w:asciiTheme="majorHAnsi" w:hAnsiTheme="majorHAnsi" w:cstheme="majorHAnsi"/>
          <w:lang w:val="en-US"/>
        </w:rPr>
        <w:t xml:space="preserve">Capture refers to the collection of measurable information that relates </w:t>
      </w:r>
      <w:r w:rsidR="001E7A24" w:rsidRPr="00AA4FB2">
        <w:rPr>
          <w:rFonts w:asciiTheme="majorHAnsi" w:hAnsiTheme="majorHAnsi" w:cstheme="majorHAnsi"/>
          <w:lang w:val="en-US"/>
        </w:rPr>
        <w:t xml:space="preserve">to how an item behaves, functions and degrades. </w:t>
      </w:r>
      <w:r w:rsidR="0034039A" w:rsidRPr="00AA4FB2">
        <w:rPr>
          <w:rFonts w:asciiTheme="majorHAnsi" w:hAnsiTheme="majorHAnsi" w:cstheme="majorHAnsi"/>
          <w:lang w:val="en-US"/>
        </w:rPr>
        <w:t>In</w:t>
      </w:r>
      <w:r w:rsidR="001E7A24" w:rsidRPr="00AA4FB2">
        <w:rPr>
          <w:rFonts w:asciiTheme="majorHAnsi" w:hAnsiTheme="majorHAnsi" w:cstheme="majorHAnsi"/>
          <w:lang w:val="en-US"/>
        </w:rPr>
        <w:t xml:space="preserve"> OME</w:t>
      </w:r>
      <w:r w:rsidR="0034039A" w:rsidRPr="00AA4FB2">
        <w:rPr>
          <w:rFonts w:asciiTheme="majorHAnsi" w:hAnsiTheme="majorHAnsi" w:cstheme="majorHAnsi"/>
          <w:lang w:val="en-US"/>
        </w:rPr>
        <w:t xml:space="preserve"> (Ordinance Munition and Explosives)</w:t>
      </w:r>
      <w:r w:rsidR="00101AAA" w:rsidRPr="00AA4FB2">
        <w:rPr>
          <w:rFonts w:asciiTheme="majorHAnsi" w:hAnsiTheme="majorHAnsi" w:cstheme="majorHAnsi"/>
          <w:lang w:val="en-US"/>
        </w:rPr>
        <w:t>,</w:t>
      </w:r>
      <w:r w:rsidR="001E7A24" w:rsidRPr="00AA4FB2">
        <w:rPr>
          <w:rFonts w:asciiTheme="majorHAnsi" w:hAnsiTheme="majorHAnsi" w:cstheme="majorHAnsi"/>
          <w:lang w:val="en-US"/>
        </w:rPr>
        <w:t xml:space="preserve"> </w:t>
      </w:r>
      <w:r w:rsidR="00101AAA" w:rsidRPr="00AA4FB2">
        <w:rPr>
          <w:rFonts w:asciiTheme="majorHAnsi" w:hAnsiTheme="majorHAnsi" w:cstheme="majorHAnsi"/>
        </w:rPr>
        <w:t>it</w:t>
      </w:r>
      <w:r w:rsidR="0034039A" w:rsidRPr="00AA4FB2">
        <w:rPr>
          <w:rFonts w:asciiTheme="majorHAnsi" w:hAnsiTheme="majorHAnsi" w:cstheme="majorHAnsi"/>
        </w:rPr>
        <w:t xml:space="preserve"> involves gathering physical, chemical, mechanical and energetic characteristics throughout a munition’s lifecycle to ensure it remains safe and performs as intended. Data may be collected directly through trials as primary data, or drawn from published research as secondary data, with both forms typically used together to support robust analysis.</w:t>
      </w:r>
      <w:r w:rsidR="004B498B" w:rsidRPr="00AA4FB2">
        <w:rPr>
          <w:rFonts w:asciiTheme="majorHAnsi" w:hAnsiTheme="majorHAnsi" w:cstheme="majorHAnsi"/>
        </w:rPr>
        <w:t xml:space="preserve"> </w:t>
      </w:r>
      <w:sdt>
        <w:sdtPr>
          <w:rPr>
            <w:rFonts w:asciiTheme="majorHAnsi" w:hAnsiTheme="majorHAnsi" w:cstheme="majorHAnsi"/>
          </w:rPr>
          <w:id w:val="-369533163"/>
          <w:citation/>
        </w:sdtPr>
        <w:sdtContent>
          <w:r w:rsidR="004B498B" w:rsidRPr="00AA4FB2">
            <w:rPr>
              <w:rFonts w:asciiTheme="majorHAnsi" w:hAnsiTheme="majorHAnsi" w:cstheme="majorHAnsi"/>
            </w:rPr>
            <w:fldChar w:fldCharType="begin"/>
          </w:r>
          <w:r w:rsidR="004B498B" w:rsidRPr="00AA4FB2">
            <w:rPr>
              <w:rFonts w:asciiTheme="majorHAnsi" w:hAnsiTheme="majorHAnsi" w:cstheme="majorHAnsi"/>
            </w:rPr>
            <w:instrText xml:space="preserve"> CITATION 1 \l 2057 </w:instrText>
          </w:r>
          <w:r w:rsidR="004B498B" w:rsidRPr="00AA4FB2">
            <w:rPr>
              <w:rFonts w:asciiTheme="majorHAnsi" w:hAnsiTheme="majorHAnsi" w:cstheme="majorHAnsi"/>
            </w:rPr>
            <w:fldChar w:fldCharType="separate"/>
          </w:r>
          <w:r w:rsidR="007A4287" w:rsidRPr="007A4287">
            <w:rPr>
              <w:rFonts w:asciiTheme="majorHAnsi" w:hAnsiTheme="majorHAnsi" w:cstheme="majorHAnsi"/>
              <w:noProof/>
            </w:rPr>
            <w:t>[1]</w:t>
          </w:r>
          <w:r w:rsidR="004B498B" w:rsidRPr="00AA4FB2">
            <w:rPr>
              <w:rFonts w:asciiTheme="majorHAnsi" w:hAnsiTheme="majorHAnsi" w:cstheme="majorHAnsi"/>
            </w:rPr>
            <w:fldChar w:fldCharType="end"/>
          </w:r>
        </w:sdtContent>
      </w:sdt>
    </w:p>
    <w:p w14:paraId="7E7C3D3B" w14:textId="366574ED" w:rsidR="00D71468" w:rsidRPr="00AA4FB2" w:rsidRDefault="0034039A" w:rsidP="00BF5A47">
      <w:pPr>
        <w:rPr>
          <w:rFonts w:asciiTheme="majorHAnsi" w:hAnsiTheme="majorHAnsi" w:cstheme="majorHAnsi"/>
          <w:lang w:val="en-US"/>
        </w:rPr>
      </w:pPr>
      <w:r w:rsidRPr="00AA4FB2">
        <w:rPr>
          <w:rFonts w:asciiTheme="majorHAnsi" w:hAnsiTheme="majorHAnsi" w:cstheme="majorHAnsi"/>
          <w:lang w:val="en-US"/>
        </w:rPr>
        <w:t xml:space="preserve">Reliable data is essential </w:t>
      </w:r>
      <w:r w:rsidR="004B498B" w:rsidRPr="00AA4FB2">
        <w:rPr>
          <w:rFonts w:asciiTheme="majorHAnsi" w:hAnsiTheme="majorHAnsi" w:cstheme="majorHAnsi"/>
          <w:lang w:val="en-US"/>
        </w:rPr>
        <w:t xml:space="preserve">for </w:t>
      </w:r>
      <w:r w:rsidRPr="00AA4FB2">
        <w:rPr>
          <w:rFonts w:asciiTheme="majorHAnsi" w:hAnsiTheme="majorHAnsi" w:cstheme="majorHAnsi"/>
          <w:lang w:val="en-US"/>
        </w:rPr>
        <w:t xml:space="preserve">critical decisions. Measurements such as overpressure, fragmentation </w:t>
      </w:r>
      <w:r w:rsidR="00D71468" w:rsidRPr="00AA4FB2">
        <w:rPr>
          <w:rFonts w:asciiTheme="majorHAnsi" w:hAnsiTheme="majorHAnsi" w:cstheme="majorHAnsi"/>
          <w:lang w:val="en-US"/>
        </w:rPr>
        <w:t>behaviour</w:t>
      </w:r>
      <w:r w:rsidRPr="00AA4FB2">
        <w:rPr>
          <w:rFonts w:asciiTheme="majorHAnsi" w:hAnsiTheme="majorHAnsi" w:cstheme="majorHAnsi"/>
          <w:lang w:val="en-US"/>
        </w:rPr>
        <w:t xml:space="preserve">, detonation characteristics and impulse allow </w:t>
      </w:r>
      <w:r w:rsidRPr="00AA4FB2">
        <w:rPr>
          <w:rFonts w:asciiTheme="majorHAnsi" w:hAnsiTheme="majorHAnsi" w:cstheme="majorHAnsi"/>
          <w:lang w:val="en-US"/>
        </w:rPr>
        <w:t>determination of</w:t>
      </w:r>
      <w:r w:rsidRPr="00AA4FB2">
        <w:rPr>
          <w:rFonts w:asciiTheme="majorHAnsi" w:hAnsiTheme="majorHAnsi" w:cstheme="majorHAnsi"/>
          <w:lang w:val="en-US"/>
        </w:rPr>
        <w:t xml:space="preserve"> whether a munition has functioned correctly and where improvements may be required. such as visual indicators and deformation patterns, or quantitative, such as chemical signatures and energetic response measurements. In many cases, multiple data types must be combined to reach a confident conclusion.</w:t>
      </w:r>
      <w:sdt>
        <w:sdtPr>
          <w:rPr>
            <w:rFonts w:asciiTheme="majorHAnsi" w:hAnsiTheme="majorHAnsi" w:cstheme="majorHAnsi"/>
            <w:lang w:val="en-US"/>
          </w:rPr>
          <w:id w:val="-967893101"/>
          <w:citation/>
        </w:sdtPr>
        <w:sdtContent>
          <w:r w:rsidR="004B498B" w:rsidRPr="00AA4FB2">
            <w:rPr>
              <w:rFonts w:asciiTheme="majorHAnsi" w:hAnsiTheme="majorHAnsi" w:cstheme="majorHAnsi"/>
              <w:lang w:val="en-US"/>
            </w:rPr>
            <w:fldChar w:fldCharType="begin"/>
          </w:r>
          <w:r w:rsidR="004B498B" w:rsidRPr="00AA4FB2">
            <w:rPr>
              <w:rFonts w:asciiTheme="majorHAnsi" w:hAnsiTheme="majorHAnsi" w:cstheme="majorHAnsi"/>
            </w:rPr>
            <w:instrText xml:space="preserve"> CITATION 2 \l 2057 </w:instrText>
          </w:r>
          <w:r w:rsidR="004B498B" w:rsidRPr="00AA4FB2">
            <w:rPr>
              <w:rFonts w:asciiTheme="majorHAnsi" w:hAnsiTheme="majorHAnsi" w:cstheme="majorHAnsi"/>
              <w:lang w:val="en-US"/>
            </w:rPr>
            <w:fldChar w:fldCharType="separate"/>
          </w:r>
          <w:r w:rsidR="007A4287">
            <w:rPr>
              <w:rFonts w:asciiTheme="majorHAnsi" w:hAnsiTheme="majorHAnsi" w:cstheme="majorHAnsi"/>
              <w:noProof/>
            </w:rPr>
            <w:t xml:space="preserve"> </w:t>
          </w:r>
          <w:r w:rsidR="007A4287" w:rsidRPr="007A4287">
            <w:rPr>
              <w:rFonts w:asciiTheme="majorHAnsi" w:hAnsiTheme="majorHAnsi" w:cstheme="majorHAnsi"/>
              <w:noProof/>
            </w:rPr>
            <w:t>[2]</w:t>
          </w:r>
          <w:r w:rsidR="004B498B" w:rsidRPr="00AA4FB2">
            <w:rPr>
              <w:rFonts w:asciiTheme="majorHAnsi" w:hAnsiTheme="majorHAnsi" w:cstheme="majorHAnsi"/>
              <w:lang w:val="en-US"/>
            </w:rPr>
            <w:fldChar w:fldCharType="end"/>
          </w:r>
        </w:sdtContent>
      </w:sdt>
      <w:r w:rsidR="00D71468" w:rsidRPr="00AA4FB2">
        <w:rPr>
          <w:rFonts w:asciiTheme="majorHAnsi" w:hAnsiTheme="majorHAnsi" w:cstheme="majorHAnsi"/>
          <w:lang w:val="en-US"/>
        </w:rPr>
        <w:t xml:space="preserve"> A key part of why data capture is important is to develop a deeper understanding and expand on the characteristics of material under specific environments. This provides invaluable data that can then be used to validate models of munitions to decrease the reliance on physical testing, in the early stages of development, making it much safer to investigate new concepts and ideas.</w:t>
      </w:r>
    </w:p>
    <w:p w14:paraId="46F3ADA3" w14:textId="6FD4C3E8" w:rsidR="009D0E5F" w:rsidRPr="00AA4FB2" w:rsidRDefault="00C50DF6" w:rsidP="001E7A24">
      <w:pPr>
        <w:rPr>
          <w:rFonts w:asciiTheme="majorHAnsi" w:hAnsiTheme="majorHAnsi" w:cstheme="majorHAnsi"/>
          <w:lang w:val="en-US"/>
        </w:rPr>
      </w:pPr>
      <w:r w:rsidRPr="00AA4FB2">
        <w:rPr>
          <w:rFonts w:asciiTheme="majorHAnsi" w:hAnsiTheme="majorHAnsi" w:cstheme="majorHAnsi"/>
          <w:lang w:val="en-US"/>
        </w:rPr>
        <w:t xml:space="preserve">Understanding </w:t>
      </w:r>
      <w:r w:rsidR="0034039A" w:rsidRPr="00AA4FB2">
        <w:rPr>
          <w:rFonts w:asciiTheme="majorHAnsi" w:hAnsiTheme="majorHAnsi" w:cstheme="majorHAnsi"/>
          <w:lang w:val="en-US"/>
        </w:rPr>
        <w:t>data enables</w:t>
      </w:r>
      <w:r w:rsidR="009D0E5F" w:rsidRPr="00AA4FB2">
        <w:rPr>
          <w:rFonts w:asciiTheme="majorHAnsi" w:hAnsiTheme="majorHAnsi" w:cstheme="majorHAnsi"/>
          <w:lang w:val="en-US"/>
        </w:rPr>
        <w:t xml:space="preserve"> </w:t>
      </w:r>
      <w:r w:rsidRPr="00AA4FB2">
        <w:rPr>
          <w:rFonts w:asciiTheme="majorHAnsi" w:hAnsiTheme="majorHAnsi" w:cstheme="majorHAnsi"/>
          <w:lang w:val="en-US"/>
        </w:rPr>
        <w:t xml:space="preserve">forensic reconstruction. </w:t>
      </w:r>
      <w:r w:rsidR="0034039A" w:rsidRPr="00AA4FB2">
        <w:rPr>
          <w:rFonts w:asciiTheme="majorHAnsi" w:hAnsiTheme="majorHAnsi" w:cstheme="majorHAnsi"/>
        </w:rPr>
        <w:t xml:space="preserve">Accurate data also enables forensic reconstruction, as demonstrated during the COTEC trial, where </w:t>
      </w:r>
      <w:r w:rsidR="0034039A" w:rsidRPr="00AA4FB2">
        <w:rPr>
          <w:rFonts w:asciiTheme="majorHAnsi" w:hAnsiTheme="majorHAnsi" w:cstheme="majorHAnsi"/>
        </w:rPr>
        <w:t>post-event</w:t>
      </w:r>
      <w:r w:rsidR="0034039A" w:rsidRPr="00AA4FB2">
        <w:rPr>
          <w:rFonts w:asciiTheme="majorHAnsi" w:hAnsiTheme="majorHAnsi" w:cstheme="majorHAnsi"/>
        </w:rPr>
        <w:t xml:space="preserve"> observations were analysed to infer the characteristics of the munition involved</w:t>
      </w:r>
      <w:r w:rsidR="0034039A" w:rsidRPr="00AA4FB2">
        <w:rPr>
          <w:rFonts w:asciiTheme="majorHAnsi" w:hAnsiTheme="majorHAnsi" w:cstheme="majorHAnsi"/>
          <w:lang w:val="en-US"/>
        </w:rPr>
        <w:t xml:space="preserve">. </w:t>
      </w:r>
      <w:sdt>
        <w:sdtPr>
          <w:rPr>
            <w:rFonts w:asciiTheme="majorHAnsi" w:hAnsiTheme="majorHAnsi" w:cstheme="majorHAnsi"/>
            <w:lang w:val="en-US"/>
          </w:rPr>
          <w:id w:val="-30499660"/>
          <w:citation/>
        </w:sdtPr>
        <w:sdtContent>
          <w:r w:rsidR="0029399F" w:rsidRPr="00AA4FB2">
            <w:rPr>
              <w:rFonts w:asciiTheme="majorHAnsi" w:hAnsiTheme="majorHAnsi" w:cstheme="majorHAnsi"/>
              <w:lang w:val="en-US"/>
            </w:rPr>
            <w:fldChar w:fldCharType="begin"/>
          </w:r>
          <w:r w:rsidR="0029399F" w:rsidRPr="00AA4FB2">
            <w:rPr>
              <w:rFonts w:asciiTheme="majorHAnsi" w:hAnsiTheme="majorHAnsi" w:cstheme="majorHAnsi"/>
            </w:rPr>
            <w:instrText xml:space="preserve"> CITATION 3 \l 2057 </w:instrText>
          </w:r>
          <w:r w:rsidR="0029399F" w:rsidRPr="00AA4FB2">
            <w:rPr>
              <w:rFonts w:asciiTheme="majorHAnsi" w:hAnsiTheme="majorHAnsi" w:cstheme="majorHAnsi"/>
              <w:lang w:val="en-US"/>
            </w:rPr>
            <w:fldChar w:fldCharType="separate"/>
          </w:r>
          <w:r w:rsidR="007A4287" w:rsidRPr="007A4287">
            <w:rPr>
              <w:rFonts w:asciiTheme="majorHAnsi" w:hAnsiTheme="majorHAnsi" w:cstheme="majorHAnsi"/>
              <w:noProof/>
            </w:rPr>
            <w:t>[3]</w:t>
          </w:r>
          <w:r w:rsidR="0029399F" w:rsidRPr="00AA4FB2">
            <w:rPr>
              <w:rFonts w:asciiTheme="majorHAnsi" w:hAnsiTheme="majorHAnsi" w:cstheme="majorHAnsi"/>
              <w:lang w:val="en-US"/>
            </w:rPr>
            <w:fldChar w:fldCharType="end"/>
          </w:r>
        </w:sdtContent>
      </w:sdt>
      <w:r w:rsidR="0029399F" w:rsidRPr="00AA4FB2">
        <w:rPr>
          <w:rFonts w:asciiTheme="majorHAnsi" w:hAnsiTheme="majorHAnsi" w:cstheme="majorHAnsi"/>
          <w:lang w:val="en-US"/>
        </w:rPr>
        <w:t xml:space="preserve"> </w:t>
      </w:r>
      <w:r w:rsidR="0034039A" w:rsidRPr="00AA4FB2">
        <w:rPr>
          <w:rFonts w:asciiTheme="majorHAnsi" w:hAnsiTheme="majorHAnsi" w:cstheme="majorHAnsi"/>
        </w:rPr>
        <w:t>H</w:t>
      </w:r>
      <w:r w:rsidR="0034039A" w:rsidRPr="00AA4FB2">
        <w:rPr>
          <w:rFonts w:asciiTheme="majorHAnsi" w:hAnsiTheme="majorHAnsi" w:cstheme="majorHAnsi"/>
        </w:rPr>
        <w:t>owever, field data capture is</w:t>
      </w:r>
      <w:r w:rsidR="0034039A" w:rsidRPr="00AA4FB2">
        <w:rPr>
          <w:rFonts w:asciiTheme="majorHAnsi" w:hAnsiTheme="majorHAnsi" w:cstheme="majorHAnsi"/>
        </w:rPr>
        <w:t xml:space="preserve"> affected</w:t>
      </w:r>
      <w:r w:rsidR="0034039A" w:rsidRPr="00AA4FB2">
        <w:rPr>
          <w:rFonts w:asciiTheme="majorHAnsi" w:hAnsiTheme="majorHAnsi" w:cstheme="majorHAnsi"/>
        </w:rPr>
        <w:t xml:space="preserve"> by environmental variability, equipment vulnerability </w:t>
      </w:r>
      <w:r w:rsidR="0034039A" w:rsidRPr="00AA4FB2">
        <w:rPr>
          <w:rFonts w:asciiTheme="majorHAnsi" w:hAnsiTheme="majorHAnsi" w:cstheme="majorHAnsi"/>
        </w:rPr>
        <w:t>and safety regulations</w:t>
      </w:r>
      <w:r w:rsidR="0034039A" w:rsidRPr="00AA4FB2">
        <w:rPr>
          <w:rFonts w:asciiTheme="majorHAnsi" w:hAnsiTheme="majorHAnsi" w:cstheme="majorHAnsi"/>
        </w:rPr>
        <w:t>. Uncertainty may arise from weather effects, human factors, calibration drift or sensor misalignment, requiring a balance between measurement accuracy, sensor survivability and overall safety.</w:t>
      </w:r>
      <w:r w:rsidR="0034039A" w:rsidRPr="00AA4FB2">
        <w:rPr>
          <w:rFonts w:asciiTheme="majorHAnsi" w:hAnsiTheme="majorHAnsi" w:cstheme="majorHAnsi"/>
        </w:rPr>
        <w:t xml:space="preserve"> This differs from Lab results, which are often on a much smaller scale and heavily controlled compared to the real-world trial. </w:t>
      </w:r>
      <w:sdt>
        <w:sdtPr>
          <w:rPr>
            <w:rFonts w:asciiTheme="majorHAnsi" w:hAnsiTheme="majorHAnsi" w:cstheme="majorHAnsi"/>
          </w:rPr>
          <w:id w:val="88516432"/>
          <w:citation/>
        </w:sdtPr>
        <w:sdtContent>
          <w:r w:rsidR="0029399F" w:rsidRPr="00AA4FB2">
            <w:rPr>
              <w:rFonts w:asciiTheme="majorHAnsi" w:hAnsiTheme="majorHAnsi" w:cstheme="majorHAnsi"/>
            </w:rPr>
            <w:fldChar w:fldCharType="begin"/>
          </w:r>
          <w:r w:rsidR="0029399F" w:rsidRPr="00AA4FB2">
            <w:rPr>
              <w:rFonts w:asciiTheme="majorHAnsi" w:hAnsiTheme="majorHAnsi" w:cstheme="majorHAnsi"/>
            </w:rPr>
            <w:instrText xml:space="preserve"> CITATION 4 \l 2057 </w:instrText>
          </w:r>
          <w:r w:rsidR="0029399F" w:rsidRPr="00AA4FB2">
            <w:rPr>
              <w:rFonts w:asciiTheme="majorHAnsi" w:hAnsiTheme="majorHAnsi" w:cstheme="majorHAnsi"/>
            </w:rPr>
            <w:fldChar w:fldCharType="separate"/>
          </w:r>
          <w:r w:rsidR="007A4287" w:rsidRPr="007A4287">
            <w:rPr>
              <w:rFonts w:asciiTheme="majorHAnsi" w:hAnsiTheme="majorHAnsi" w:cstheme="majorHAnsi"/>
              <w:noProof/>
            </w:rPr>
            <w:t>[4]</w:t>
          </w:r>
          <w:r w:rsidR="0029399F" w:rsidRPr="00AA4FB2">
            <w:rPr>
              <w:rFonts w:asciiTheme="majorHAnsi" w:hAnsiTheme="majorHAnsi" w:cstheme="majorHAnsi"/>
            </w:rPr>
            <w:fldChar w:fldCharType="end"/>
          </w:r>
        </w:sdtContent>
      </w:sdt>
    </w:p>
    <w:p w14:paraId="2A847644" w14:textId="118713A6" w:rsidR="00EB27B3" w:rsidRPr="00AA4FB2" w:rsidRDefault="00EB27B3" w:rsidP="008A36F6">
      <w:pPr>
        <w:pStyle w:val="Heading1"/>
        <w:rPr>
          <w:rFonts w:cstheme="majorHAnsi"/>
          <w:lang w:val="en-US"/>
        </w:rPr>
      </w:pPr>
      <w:bookmarkStart w:id="3" w:name="_Toc220064214"/>
      <w:r w:rsidRPr="00AA4FB2">
        <w:rPr>
          <w:rFonts w:cstheme="majorHAnsi"/>
          <w:lang w:val="en-US"/>
        </w:rPr>
        <w:t>Method-by-Method Analysis</w:t>
      </w:r>
      <w:bookmarkEnd w:id="3"/>
      <w:r w:rsidRPr="00AA4FB2">
        <w:rPr>
          <w:rFonts w:cstheme="majorHAnsi"/>
          <w:lang w:val="en-US"/>
        </w:rPr>
        <w:t xml:space="preserve"> </w:t>
      </w:r>
    </w:p>
    <w:p w14:paraId="03BE1995" w14:textId="23F17994" w:rsidR="005464F8" w:rsidRPr="00AA4FB2" w:rsidRDefault="005464F8" w:rsidP="00591316">
      <w:pPr>
        <w:rPr>
          <w:rFonts w:asciiTheme="majorHAnsi" w:hAnsiTheme="majorHAnsi" w:cstheme="majorHAnsi"/>
          <w:lang w:val="en-US"/>
        </w:rPr>
      </w:pPr>
      <w:r w:rsidRPr="00AA4FB2">
        <w:rPr>
          <w:rFonts w:asciiTheme="majorHAnsi" w:hAnsiTheme="majorHAnsi" w:cstheme="majorHAnsi"/>
          <w:lang w:val="en-US"/>
        </w:rPr>
        <w:fldChar w:fldCharType="begin"/>
      </w:r>
      <w:r w:rsidRPr="00AA4FB2">
        <w:rPr>
          <w:rFonts w:asciiTheme="majorHAnsi" w:hAnsiTheme="majorHAnsi" w:cstheme="majorHAnsi"/>
          <w:lang w:val="en-US"/>
        </w:rPr>
        <w:instrText xml:space="preserve"> REF _Ref220027335 \h </w:instrText>
      </w:r>
      <w:r w:rsidRPr="00AA4FB2">
        <w:rPr>
          <w:rFonts w:asciiTheme="majorHAnsi" w:hAnsiTheme="majorHAnsi" w:cstheme="majorHAnsi"/>
          <w:lang w:val="en-US"/>
        </w:rPr>
      </w:r>
      <w:r w:rsidR="00AA4FB2">
        <w:rPr>
          <w:rFonts w:asciiTheme="majorHAnsi" w:hAnsiTheme="majorHAnsi" w:cstheme="majorHAnsi"/>
          <w:lang w:val="en-US"/>
        </w:rPr>
        <w:instrText xml:space="preserve"> \* MERGEFORMAT </w:instrText>
      </w:r>
      <w:r w:rsidRPr="00AA4FB2">
        <w:rPr>
          <w:rFonts w:asciiTheme="majorHAnsi" w:hAnsiTheme="majorHAnsi" w:cstheme="majorHAnsi"/>
          <w:lang w:val="en-US"/>
        </w:rPr>
        <w:fldChar w:fldCharType="separate"/>
      </w:r>
      <w:r w:rsidRPr="00AA4FB2">
        <w:rPr>
          <w:rFonts w:asciiTheme="majorHAnsi" w:hAnsiTheme="majorHAnsi" w:cstheme="majorHAnsi"/>
        </w:rPr>
        <w:t>Appendix</w:t>
      </w:r>
      <w:r w:rsidRPr="00AA4FB2">
        <w:rPr>
          <w:rFonts w:asciiTheme="majorHAnsi" w:hAnsiTheme="majorHAnsi" w:cstheme="majorHAnsi"/>
          <w:lang w:val="en-US"/>
        </w:rPr>
        <w:fldChar w:fldCharType="end"/>
      </w:r>
      <w:r w:rsidR="00981E50" w:rsidRPr="00AA4FB2">
        <w:rPr>
          <w:rFonts w:asciiTheme="majorHAnsi" w:hAnsiTheme="majorHAnsi" w:cstheme="majorHAnsi"/>
          <w:lang w:val="en-US"/>
        </w:rPr>
        <w:t xml:space="preserve"> An outline of a rough overview of the trial setup. </w:t>
      </w:r>
      <w:r w:rsidRPr="00AA4FB2">
        <w:rPr>
          <w:rFonts w:asciiTheme="majorHAnsi" w:hAnsiTheme="majorHAnsi" w:cstheme="majorHAnsi"/>
          <w:lang w:val="en-US"/>
        </w:rPr>
        <w:t xml:space="preserve"> </w:t>
      </w:r>
    </w:p>
    <w:p w14:paraId="16961AE7" w14:textId="26975820" w:rsidR="005464F8" w:rsidRPr="00AA4FB2" w:rsidRDefault="00981E50" w:rsidP="00591316">
      <w:pPr>
        <w:rPr>
          <w:rFonts w:asciiTheme="majorHAnsi" w:hAnsiTheme="majorHAnsi" w:cstheme="majorHAnsi"/>
          <w:lang w:val="en-US"/>
        </w:rPr>
      </w:pPr>
      <w:r w:rsidRPr="00AA4FB2">
        <w:rPr>
          <w:rFonts w:asciiTheme="majorHAnsi" w:hAnsiTheme="majorHAnsi" w:cstheme="majorHAnsi"/>
          <w:lang w:val="en-US"/>
        </w:rPr>
        <w:t xml:space="preserve">During the trial, lots of different methods were used to collect the data for analysis. In this section, it will cover an overview of the four main methods being: blast gauges, velocity foils, strawboard and FT-IR. Then the advantages cover the advantages of that method and the information it provides to help with the investigation. As well as some of the drawbacks and uncertainties that come with that method of analysis. </w:t>
      </w:r>
      <w:r w:rsidR="00846BDD" w:rsidRPr="00AA4FB2">
        <w:rPr>
          <w:rFonts w:asciiTheme="majorHAnsi" w:hAnsiTheme="majorHAnsi" w:cstheme="majorHAnsi"/>
          <w:lang w:val="en-US"/>
        </w:rPr>
        <w:t>Finally,</w:t>
      </w:r>
      <w:r w:rsidRPr="00AA4FB2">
        <w:rPr>
          <w:rFonts w:asciiTheme="majorHAnsi" w:hAnsiTheme="majorHAnsi" w:cstheme="majorHAnsi"/>
          <w:lang w:val="en-US"/>
        </w:rPr>
        <w:t xml:space="preserve"> look at some alternative techniques and the advantages </w:t>
      </w:r>
      <w:r w:rsidR="00846BDD" w:rsidRPr="00AA4FB2">
        <w:rPr>
          <w:rFonts w:asciiTheme="majorHAnsi" w:hAnsiTheme="majorHAnsi" w:cstheme="majorHAnsi"/>
          <w:lang w:val="en-US"/>
        </w:rPr>
        <w:t>as an alternative or to work alongside the other techniques.</w:t>
      </w:r>
    </w:p>
    <w:p w14:paraId="7602E12E" w14:textId="77777777" w:rsidR="00042641" w:rsidRPr="00AA4FB2" w:rsidRDefault="00FE20F9" w:rsidP="00A50C01">
      <w:pPr>
        <w:pStyle w:val="Heading2"/>
        <w:rPr>
          <w:rFonts w:cstheme="majorHAnsi"/>
          <w:lang w:val="en-US"/>
        </w:rPr>
      </w:pPr>
      <w:bookmarkStart w:id="4" w:name="_Toc220064215"/>
      <w:r w:rsidRPr="00AA4FB2">
        <w:rPr>
          <w:rFonts w:cstheme="majorHAnsi"/>
          <w:lang w:val="en-US"/>
        </w:rPr>
        <w:t>Blast gauge</w:t>
      </w:r>
      <w:bookmarkEnd w:id="4"/>
    </w:p>
    <w:p w14:paraId="5988423E" w14:textId="54772DCC" w:rsidR="00EF20D1" w:rsidRPr="00AA4FB2" w:rsidRDefault="00A11914" w:rsidP="00346CF6">
      <w:pPr>
        <w:rPr>
          <w:rFonts w:asciiTheme="majorHAnsi" w:hAnsiTheme="majorHAnsi" w:cstheme="majorHAnsi"/>
          <w:lang w:val="en-US"/>
        </w:rPr>
      </w:pPr>
      <w:r w:rsidRPr="00AA4FB2">
        <w:rPr>
          <w:rFonts w:asciiTheme="majorHAnsi" w:hAnsiTheme="majorHAnsi" w:cstheme="majorHAnsi"/>
        </w:rPr>
        <w:t>Piezoelectric bla</w:t>
      </w:r>
      <w:r w:rsidRPr="00AA4FB2">
        <w:rPr>
          <w:rFonts w:asciiTheme="majorHAnsi" w:hAnsiTheme="majorHAnsi" w:cstheme="majorHAnsi"/>
        </w:rPr>
        <w:t xml:space="preserve">st gauges are high-frequency pressure sensors </w:t>
      </w:r>
      <w:r w:rsidR="00042641" w:rsidRPr="00AA4FB2">
        <w:rPr>
          <w:rFonts w:asciiTheme="majorHAnsi" w:hAnsiTheme="majorHAnsi" w:cstheme="majorHAnsi"/>
        </w:rPr>
        <w:t xml:space="preserve">used to measure the incident blast wave from </w:t>
      </w:r>
      <w:r w:rsidRPr="00AA4FB2">
        <w:rPr>
          <w:rFonts w:asciiTheme="majorHAnsi" w:hAnsiTheme="majorHAnsi" w:cstheme="majorHAnsi"/>
        </w:rPr>
        <w:t>an explosive event</w:t>
      </w:r>
      <w:r w:rsidR="008453A9" w:rsidRPr="00AA4FB2">
        <w:rPr>
          <w:rFonts w:asciiTheme="majorHAnsi" w:hAnsiTheme="majorHAnsi" w:cstheme="majorHAnsi"/>
        </w:rPr>
        <w:t xml:space="preserve">. </w:t>
      </w:r>
      <w:r w:rsidR="00042641" w:rsidRPr="00AA4FB2">
        <w:rPr>
          <w:rFonts w:asciiTheme="majorHAnsi" w:hAnsiTheme="majorHAnsi" w:cstheme="majorHAnsi"/>
        </w:rPr>
        <w:t>They operate u</w:t>
      </w:r>
      <w:r w:rsidR="00042641" w:rsidRPr="00AA4FB2">
        <w:rPr>
          <w:rFonts w:asciiTheme="majorHAnsi" w:hAnsiTheme="majorHAnsi" w:cstheme="majorHAnsi"/>
        </w:rPr>
        <w:t xml:space="preserve">sing a crystalline </w:t>
      </w:r>
      <w:r w:rsidR="00042641" w:rsidRPr="00AA4FB2">
        <w:rPr>
          <w:rFonts w:asciiTheme="majorHAnsi" w:hAnsiTheme="majorHAnsi" w:cstheme="majorHAnsi"/>
        </w:rPr>
        <w:t xml:space="preserve">material </w:t>
      </w:r>
      <w:r w:rsidR="00042641" w:rsidRPr="00AA4FB2">
        <w:rPr>
          <w:rFonts w:asciiTheme="majorHAnsi" w:hAnsiTheme="majorHAnsi" w:cstheme="majorHAnsi"/>
        </w:rPr>
        <w:t>that generates an electrical charge when subjected to mechanical stress</w:t>
      </w:r>
      <w:r w:rsidR="00042641" w:rsidRPr="00AA4FB2">
        <w:rPr>
          <w:rFonts w:asciiTheme="majorHAnsi" w:hAnsiTheme="majorHAnsi" w:cstheme="majorHAnsi"/>
        </w:rPr>
        <w:t xml:space="preserve">, recording data that helps find </w:t>
      </w:r>
      <w:r w:rsidR="00042641" w:rsidRPr="00AA4FB2">
        <w:rPr>
          <w:rFonts w:asciiTheme="majorHAnsi" w:hAnsiTheme="majorHAnsi" w:cstheme="majorHAnsi"/>
        </w:rPr>
        <w:t>key parameters such as peak overpressure, impulse and shockwave arrival time</w:t>
      </w:r>
      <w:r w:rsidR="00042641" w:rsidRPr="00AA4FB2">
        <w:rPr>
          <w:rFonts w:asciiTheme="majorHAnsi" w:hAnsiTheme="majorHAnsi" w:cstheme="majorHAnsi"/>
        </w:rPr>
        <w:t>. The gauge is mounted in the centre of a conical disk</w:t>
      </w:r>
      <w:r w:rsidR="00042641" w:rsidRPr="00AA4FB2">
        <w:rPr>
          <w:rFonts w:asciiTheme="majorHAnsi" w:hAnsiTheme="majorHAnsi" w:cstheme="majorHAnsi"/>
        </w:rPr>
        <w:t xml:space="preserve">, </w:t>
      </w:r>
      <w:r w:rsidR="00042641" w:rsidRPr="00AA4FB2">
        <w:rPr>
          <w:rFonts w:asciiTheme="majorHAnsi" w:hAnsiTheme="majorHAnsi" w:cstheme="majorHAnsi"/>
        </w:rPr>
        <w:t xml:space="preserve">which </w:t>
      </w:r>
      <w:r w:rsidR="00042641" w:rsidRPr="00AA4FB2">
        <w:rPr>
          <w:rFonts w:asciiTheme="majorHAnsi" w:hAnsiTheme="majorHAnsi" w:cstheme="majorHAnsi"/>
        </w:rPr>
        <w:t>help</w:t>
      </w:r>
      <w:r w:rsidR="00042641" w:rsidRPr="00AA4FB2">
        <w:rPr>
          <w:rFonts w:asciiTheme="majorHAnsi" w:hAnsiTheme="majorHAnsi" w:cstheme="majorHAnsi"/>
        </w:rPr>
        <w:t>s</w:t>
      </w:r>
      <w:r w:rsidR="00042641" w:rsidRPr="00AA4FB2">
        <w:rPr>
          <w:rFonts w:asciiTheme="majorHAnsi" w:hAnsiTheme="majorHAnsi" w:cstheme="majorHAnsi"/>
        </w:rPr>
        <w:t xml:space="preserve"> </w:t>
      </w:r>
      <w:r w:rsidR="00042641" w:rsidRPr="00AA4FB2">
        <w:rPr>
          <w:rFonts w:asciiTheme="majorHAnsi" w:hAnsiTheme="majorHAnsi" w:cstheme="majorHAnsi"/>
        </w:rPr>
        <w:lastRenderedPageBreak/>
        <w:t>maintain a uniform pressure field across the diaphragm</w:t>
      </w:r>
      <w:r w:rsidR="00042641" w:rsidRPr="00AA4FB2">
        <w:rPr>
          <w:rFonts w:asciiTheme="majorHAnsi" w:hAnsiTheme="majorHAnsi" w:cstheme="majorHAnsi"/>
        </w:rPr>
        <w:t xml:space="preserve"> when placed perpendicular to the blast wave</w:t>
      </w:r>
      <w:r w:rsidR="00EF20D1" w:rsidRPr="00AA4FB2">
        <w:rPr>
          <w:rFonts w:asciiTheme="majorHAnsi" w:hAnsiTheme="majorHAnsi" w:cstheme="majorHAnsi"/>
        </w:rPr>
        <w:t xml:space="preserve">. </w:t>
      </w:r>
      <w:r w:rsidR="00EF20D1" w:rsidRPr="00AA4FB2">
        <w:rPr>
          <w:rFonts w:asciiTheme="majorHAnsi" w:hAnsiTheme="majorHAnsi" w:cstheme="majorHAnsi"/>
        </w:rPr>
        <w:t xml:space="preserve">During the COTEC trial, gauges were positioned at </w:t>
      </w:r>
      <w:r w:rsidR="00EF20D1" w:rsidRPr="00AA4FB2">
        <w:rPr>
          <w:rFonts w:asciiTheme="majorHAnsi" w:hAnsiTheme="majorHAnsi" w:cstheme="majorHAnsi"/>
        </w:rPr>
        <w:t xml:space="preserve">three </w:t>
      </w:r>
      <w:r w:rsidR="00EF20D1" w:rsidRPr="00AA4FB2">
        <w:rPr>
          <w:rFonts w:asciiTheme="majorHAnsi" w:hAnsiTheme="majorHAnsi" w:cstheme="majorHAnsi"/>
        </w:rPr>
        <w:t>predetermined distances from the detonation point</w:t>
      </w:r>
      <w:r w:rsidR="00EF20D1" w:rsidRPr="00AA4FB2">
        <w:rPr>
          <w:rFonts w:asciiTheme="majorHAnsi" w:hAnsiTheme="majorHAnsi" w:cstheme="majorHAnsi"/>
        </w:rPr>
        <w:t>. Each gauge had</w:t>
      </w:r>
      <w:r w:rsidR="00EF20D1" w:rsidRPr="00AA4FB2">
        <w:rPr>
          <w:rFonts w:asciiTheme="majorHAnsi" w:hAnsiTheme="majorHAnsi" w:cstheme="majorHAnsi"/>
        </w:rPr>
        <w:t xml:space="preserve"> a sampling rate of 250 kHz</w:t>
      </w:r>
      <w:r w:rsidR="00EF20D1" w:rsidRPr="00AA4FB2">
        <w:rPr>
          <w:rFonts w:asciiTheme="majorHAnsi" w:hAnsiTheme="majorHAnsi" w:cstheme="majorHAnsi"/>
        </w:rPr>
        <w:t xml:space="preserve"> (250,000 per second), which is a sufficient</w:t>
      </w:r>
      <w:r w:rsidR="00EF20D1" w:rsidRPr="00AA4FB2">
        <w:rPr>
          <w:rFonts w:asciiTheme="majorHAnsi" w:hAnsiTheme="majorHAnsi" w:cstheme="majorHAnsi"/>
        </w:rPr>
        <w:t xml:space="preserve"> temporal resolution to capture the rapid pressure changes characteristic of </w:t>
      </w:r>
      <w:r w:rsidR="00EF20D1" w:rsidRPr="00AA4FB2">
        <w:rPr>
          <w:rFonts w:asciiTheme="majorHAnsi" w:hAnsiTheme="majorHAnsi" w:cstheme="majorHAnsi"/>
        </w:rPr>
        <w:t>high-order</w:t>
      </w:r>
      <w:r w:rsidR="00EF20D1" w:rsidRPr="00AA4FB2">
        <w:rPr>
          <w:rFonts w:asciiTheme="majorHAnsi" w:hAnsiTheme="majorHAnsi" w:cstheme="majorHAnsi"/>
        </w:rPr>
        <w:t xml:space="preserve"> detonations</w:t>
      </w:r>
      <w:r w:rsidR="00EF20D1" w:rsidRPr="00AA4FB2">
        <w:rPr>
          <w:rFonts w:asciiTheme="majorHAnsi" w:hAnsiTheme="majorHAnsi" w:cstheme="majorHAnsi"/>
        </w:rPr>
        <w:t xml:space="preserve">. The gauges output a voltage-time data that </w:t>
      </w:r>
      <w:r w:rsidR="00EF20D1" w:rsidRPr="00AA4FB2">
        <w:rPr>
          <w:rFonts w:asciiTheme="majorHAnsi" w:hAnsiTheme="majorHAnsi" w:cstheme="majorHAnsi"/>
        </w:rPr>
        <w:t xml:space="preserve">offers quantitative evidence of explosive performance and can be compared with theoretical blast models </w:t>
      </w:r>
      <w:r w:rsidR="00EF20D1" w:rsidRPr="00AA4FB2">
        <w:rPr>
          <w:rFonts w:asciiTheme="majorHAnsi" w:hAnsiTheme="majorHAnsi" w:cstheme="majorHAnsi"/>
        </w:rPr>
        <w:t xml:space="preserve">to aid in the forensic investigation of a munition. They can also pick up abnormal function in the detonation, which may not be apparent in a visual inspection and indicate the munition if it is not functioning correctly. </w:t>
      </w:r>
      <w:sdt>
        <w:sdtPr>
          <w:rPr>
            <w:rFonts w:asciiTheme="majorHAnsi" w:hAnsiTheme="majorHAnsi" w:cstheme="majorHAnsi"/>
          </w:rPr>
          <w:id w:val="1070069453"/>
          <w:citation/>
        </w:sdtPr>
        <w:sdtContent>
          <w:r w:rsidR="00C42814">
            <w:rPr>
              <w:rFonts w:asciiTheme="majorHAnsi" w:hAnsiTheme="majorHAnsi" w:cstheme="majorHAnsi"/>
            </w:rPr>
            <w:fldChar w:fldCharType="begin"/>
          </w:r>
          <w:r w:rsidR="00C42814">
            <w:rPr>
              <w:rFonts w:asciiTheme="majorHAnsi" w:hAnsiTheme="majorHAnsi" w:cstheme="majorHAnsi"/>
            </w:rPr>
            <w:instrText xml:space="preserve"> CITATION 5 \l 2057 </w:instrText>
          </w:r>
          <w:r w:rsidR="00C42814">
            <w:rPr>
              <w:rFonts w:asciiTheme="majorHAnsi" w:hAnsiTheme="majorHAnsi" w:cstheme="majorHAnsi"/>
            </w:rPr>
            <w:fldChar w:fldCharType="separate"/>
          </w:r>
          <w:r w:rsidR="007A4287" w:rsidRPr="007A4287">
            <w:rPr>
              <w:rFonts w:asciiTheme="majorHAnsi" w:hAnsiTheme="majorHAnsi" w:cstheme="majorHAnsi"/>
              <w:noProof/>
            </w:rPr>
            <w:t>[5]</w:t>
          </w:r>
          <w:r w:rsidR="00C42814">
            <w:rPr>
              <w:rFonts w:asciiTheme="majorHAnsi" w:hAnsiTheme="majorHAnsi" w:cstheme="majorHAnsi"/>
            </w:rPr>
            <w:fldChar w:fldCharType="end"/>
          </w:r>
        </w:sdtContent>
      </w:sdt>
    </w:p>
    <w:p w14:paraId="76E5FB5F" w14:textId="73581AB4" w:rsidR="003E7545" w:rsidRPr="00AA4FB2" w:rsidRDefault="00563BA8" w:rsidP="00FE20F9">
      <w:pPr>
        <w:rPr>
          <w:rFonts w:asciiTheme="majorHAnsi" w:hAnsiTheme="majorHAnsi" w:cstheme="majorHAnsi"/>
        </w:rPr>
      </w:pPr>
      <w:r w:rsidRPr="00AA4FB2">
        <w:rPr>
          <w:rFonts w:asciiTheme="majorHAnsi" w:hAnsiTheme="majorHAnsi" w:cstheme="majorHAnsi"/>
        </w:rPr>
        <w:t xml:space="preserve">Despite all its </w:t>
      </w:r>
      <w:r w:rsidR="003E7545" w:rsidRPr="00AA4FB2">
        <w:rPr>
          <w:rFonts w:asciiTheme="majorHAnsi" w:hAnsiTheme="majorHAnsi" w:cstheme="majorHAnsi"/>
        </w:rPr>
        <w:t>advantages</w:t>
      </w:r>
      <w:r w:rsidRPr="00AA4FB2">
        <w:rPr>
          <w:rFonts w:asciiTheme="majorHAnsi" w:hAnsiTheme="majorHAnsi" w:cstheme="majorHAnsi"/>
        </w:rPr>
        <w:t xml:space="preserve">, </w:t>
      </w:r>
      <w:r w:rsidRPr="00AA4FB2">
        <w:rPr>
          <w:rFonts w:asciiTheme="majorHAnsi" w:hAnsiTheme="majorHAnsi" w:cstheme="majorHAnsi"/>
        </w:rPr>
        <w:t xml:space="preserve">piezoelectric blast gauges have </w:t>
      </w:r>
      <w:r w:rsidR="003E7545" w:rsidRPr="00AA4FB2">
        <w:rPr>
          <w:rFonts w:asciiTheme="majorHAnsi" w:hAnsiTheme="majorHAnsi" w:cstheme="majorHAnsi"/>
        </w:rPr>
        <w:t xml:space="preserve">several </w:t>
      </w:r>
      <w:r w:rsidRPr="00AA4FB2">
        <w:rPr>
          <w:rFonts w:asciiTheme="majorHAnsi" w:hAnsiTheme="majorHAnsi" w:cstheme="majorHAnsi"/>
        </w:rPr>
        <w:t>notable limitations</w:t>
      </w:r>
      <w:r w:rsidRPr="00AA4FB2">
        <w:rPr>
          <w:rFonts w:asciiTheme="majorHAnsi" w:hAnsiTheme="majorHAnsi" w:cstheme="majorHAnsi"/>
        </w:rPr>
        <w:t>. They are fragile to handle</w:t>
      </w:r>
      <w:r w:rsidR="003E7545" w:rsidRPr="00AA4FB2">
        <w:rPr>
          <w:rFonts w:asciiTheme="majorHAnsi" w:hAnsiTheme="majorHAnsi" w:cstheme="majorHAnsi"/>
        </w:rPr>
        <w:t xml:space="preserve">, while the conical disk offers some protection. The diaphragm is sensitive if it gets impacted before the event, then it could compromise the </w:t>
      </w:r>
      <w:r w:rsidR="003E7545" w:rsidRPr="00AA4FB2">
        <w:rPr>
          <w:rFonts w:asciiTheme="majorHAnsi" w:hAnsiTheme="majorHAnsi" w:cstheme="majorHAnsi"/>
        </w:rPr>
        <w:t>calibration of the gauge</w:t>
      </w:r>
      <w:r w:rsidR="003E7545" w:rsidRPr="00AA4FB2">
        <w:rPr>
          <w:rFonts w:asciiTheme="majorHAnsi" w:hAnsiTheme="majorHAnsi" w:cstheme="majorHAnsi"/>
        </w:rPr>
        <w:t xml:space="preserve"> and therefore the outputs. They are also vulnerable to fragment strike, which may result in a loss of data or the destruction of the sensor. The gauge is required to be wired to the data logger positioned in the control room </w:t>
      </w:r>
      <w:r w:rsidR="006D0563" w:rsidRPr="00AA4FB2">
        <w:rPr>
          <w:rFonts w:asciiTheme="majorHAnsi" w:hAnsiTheme="majorHAnsi" w:cstheme="majorHAnsi"/>
        </w:rPr>
        <w:t>to</w:t>
      </w:r>
      <w:r w:rsidR="003E7545" w:rsidRPr="00AA4FB2">
        <w:rPr>
          <w:rFonts w:asciiTheme="majorHAnsi" w:hAnsiTheme="majorHAnsi" w:cstheme="majorHAnsi"/>
        </w:rPr>
        <w:t xml:space="preserve"> store the </w:t>
      </w:r>
      <w:r w:rsidR="006D0563" w:rsidRPr="00AA4FB2">
        <w:rPr>
          <w:rFonts w:asciiTheme="majorHAnsi" w:hAnsiTheme="majorHAnsi" w:cstheme="majorHAnsi"/>
        </w:rPr>
        <w:t xml:space="preserve">pressure traces recorded. </w:t>
      </w:r>
      <w:sdt>
        <w:sdtPr>
          <w:rPr>
            <w:rFonts w:asciiTheme="majorHAnsi" w:hAnsiTheme="majorHAnsi" w:cstheme="majorHAnsi"/>
          </w:rPr>
          <w:id w:val="105239420"/>
          <w:citation/>
        </w:sdtPr>
        <w:sdtContent>
          <w:r w:rsidR="00B959EB">
            <w:rPr>
              <w:rFonts w:asciiTheme="majorHAnsi" w:hAnsiTheme="majorHAnsi" w:cstheme="majorHAnsi"/>
            </w:rPr>
            <w:fldChar w:fldCharType="begin"/>
          </w:r>
          <w:r w:rsidR="00B959EB">
            <w:rPr>
              <w:rFonts w:asciiTheme="majorHAnsi" w:hAnsiTheme="majorHAnsi" w:cstheme="majorHAnsi"/>
            </w:rPr>
            <w:instrText xml:space="preserve"> CITATION 6 \l 2057 </w:instrText>
          </w:r>
          <w:r w:rsidR="00B959EB">
            <w:rPr>
              <w:rFonts w:asciiTheme="majorHAnsi" w:hAnsiTheme="majorHAnsi" w:cstheme="majorHAnsi"/>
            </w:rPr>
            <w:fldChar w:fldCharType="separate"/>
          </w:r>
          <w:r w:rsidR="007A4287" w:rsidRPr="007A4287">
            <w:rPr>
              <w:rFonts w:asciiTheme="majorHAnsi" w:hAnsiTheme="majorHAnsi" w:cstheme="majorHAnsi"/>
              <w:noProof/>
            </w:rPr>
            <w:t>[6]</w:t>
          </w:r>
          <w:r w:rsidR="00B959EB">
            <w:rPr>
              <w:rFonts w:asciiTheme="majorHAnsi" w:hAnsiTheme="majorHAnsi" w:cstheme="majorHAnsi"/>
            </w:rPr>
            <w:fldChar w:fldCharType="end"/>
          </w:r>
        </w:sdtContent>
      </w:sdt>
      <w:r w:rsidR="00B959EB">
        <w:rPr>
          <w:rFonts w:asciiTheme="majorHAnsi" w:hAnsiTheme="majorHAnsi" w:cstheme="majorHAnsi"/>
        </w:rPr>
        <w:t xml:space="preserve"> </w:t>
      </w:r>
      <w:r w:rsidR="006D0563" w:rsidRPr="00AA4FB2">
        <w:rPr>
          <w:rFonts w:asciiTheme="majorHAnsi" w:hAnsiTheme="majorHAnsi" w:cstheme="majorHAnsi"/>
        </w:rPr>
        <w:t xml:space="preserve">This </w:t>
      </w:r>
      <w:r w:rsidR="006D0563" w:rsidRPr="00AA4FB2">
        <w:rPr>
          <w:rFonts w:asciiTheme="majorHAnsi" w:hAnsiTheme="majorHAnsi" w:cstheme="majorHAnsi"/>
        </w:rPr>
        <w:t xml:space="preserve">must be protected from the blast, adding logistical complexity and increasing </w:t>
      </w:r>
      <w:r w:rsidR="006D0563" w:rsidRPr="00AA4FB2">
        <w:rPr>
          <w:rFonts w:asciiTheme="majorHAnsi" w:hAnsiTheme="majorHAnsi" w:cstheme="majorHAnsi"/>
        </w:rPr>
        <w:t xml:space="preserve">the overall setup time of the arena setup. This wiring could also limit the positioning of the gauges. </w:t>
      </w:r>
      <w:r w:rsidR="006D0563" w:rsidRPr="00AA4FB2">
        <w:rPr>
          <w:rFonts w:asciiTheme="majorHAnsi" w:hAnsiTheme="majorHAnsi" w:cstheme="majorHAnsi"/>
        </w:rPr>
        <w:t xml:space="preserve">Reflected pressure waves </w:t>
      </w:r>
      <w:r w:rsidR="006D0563" w:rsidRPr="00AA4FB2">
        <w:rPr>
          <w:rFonts w:asciiTheme="majorHAnsi" w:hAnsiTheme="majorHAnsi" w:cstheme="majorHAnsi"/>
        </w:rPr>
        <w:t xml:space="preserve">from </w:t>
      </w:r>
      <w:r w:rsidR="006D0563" w:rsidRPr="00AA4FB2">
        <w:rPr>
          <w:rFonts w:asciiTheme="majorHAnsi" w:hAnsiTheme="majorHAnsi" w:cstheme="majorHAnsi"/>
        </w:rPr>
        <w:t>the ground or nearby structures can distort readings, producing artificially elevated overpressures</w:t>
      </w:r>
      <w:r w:rsidR="006D0563" w:rsidRPr="00AA4FB2">
        <w:rPr>
          <w:rFonts w:asciiTheme="majorHAnsi" w:hAnsiTheme="majorHAnsi" w:cstheme="majorHAnsi"/>
        </w:rPr>
        <w:t xml:space="preserve">, making the blast waves harder to interpret without smoothing tools. </w:t>
      </w:r>
      <w:r w:rsidR="006D0563" w:rsidRPr="00AA4FB2">
        <w:rPr>
          <w:rFonts w:asciiTheme="majorHAnsi" w:hAnsiTheme="majorHAnsi" w:cstheme="majorHAnsi"/>
        </w:rPr>
        <w:t>Routine calibration is essential, as the sensors are susceptible to drift over time</w:t>
      </w:r>
      <w:r w:rsidR="006D0563" w:rsidRPr="00AA4FB2">
        <w:rPr>
          <w:rFonts w:asciiTheme="majorHAnsi" w:hAnsiTheme="majorHAnsi" w:cstheme="majorHAnsi"/>
        </w:rPr>
        <w:t>. Overall, they provide valuable data about shock wave</w:t>
      </w:r>
      <w:r w:rsidR="006D0563" w:rsidRPr="00AA4FB2">
        <w:rPr>
          <w:rFonts w:asciiTheme="majorHAnsi" w:hAnsiTheme="majorHAnsi" w:cstheme="majorHAnsi"/>
        </w:rPr>
        <w:t xml:space="preserve"> data</w:t>
      </w:r>
      <w:r w:rsidR="006D0563" w:rsidRPr="00AA4FB2">
        <w:rPr>
          <w:rFonts w:asciiTheme="majorHAnsi" w:hAnsiTheme="majorHAnsi" w:cstheme="majorHAnsi"/>
        </w:rPr>
        <w:t xml:space="preserve"> to help identify the munitions. They</w:t>
      </w:r>
      <w:r w:rsidR="006D0563" w:rsidRPr="00AA4FB2">
        <w:rPr>
          <w:rFonts w:asciiTheme="majorHAnsi" w:hAnsiTheme="majorHAnsi" w:cstheme="majorHAnsi"/>
        </w:rPr>
        <w:t xml:space="preserve"> cannot identify a munition in isolation</w:t>
      </w:r>
      <w:r w:rsidR="006D0563" w:rsidRPr="00AA4FB2">
        <w:rPr>
          <w:rFonts w:asciiTheme="majorHAnsi" w:hAnsiTheme="majorHAnsi" w:cstheme="majorHAnsi"/>
        </w:rPr>
        <w:t xml:space="preserve"> and must work alongside other pieces of evidence collected</w:t>
      </w:r>
      <w:r w:rsidR="006D0563" w:rsidRPr="00AA4FB2">
        <w:rPr>
          <w:rFonts w:asciiTheme="majorHAnsi" w:hAnsiTheme="majorHAnsi" w:cstheme="majorHAnsi"/>
        </w:rPr>
        <w:t>.</w:t>
      </w:r>
      <w:sdt>
        <w:sdtPr>
          <w:rPr>
            <w:rFonts w:asciiTheme="majorHAnsi" w:hAnsiTheme="majorHAnsi" w:cstheme="majorHAnsi"/>
          </w:rPr>
          <w:id w:val="-757059135"/>
          <w:citation/>
        </w:sdtPr>
        <w:sdtContent>
          <w:r w:rsidR="0012695F">
            <w:rPr>
              <w:rFonts w:asciiTheme="majorHAnsi" w:hAnsiTheme="majorHAnsi" w:cstheme="majorHAnsi"/>
            </w:rPr>
            <w:fldChar w:fldCharType="begin"/>
          </w:r>
          <w:r w:rsidR="0012695F">
            <w:rPr>
              <w:rFonts w:asciiTheme="majorHAnsi" w:hAnsiTheme="majorHAnsi" w:cstheme="majorHAnsi"/>
            </w:rPr>
            <w:instrText xml:space="preserve"> CITATION 7 \l 2057 </w:instrText>
          </w:r>
          <w:r w:rsidR="0012695F">
            <w:rPr>
              <w:rFonts w:asciiTheme="majorHAnsi" w:hAnsiTheme="majorHAnsi" w:cstheme="majorHAnsi"/>
            </w:rPr>
            <w:fldChar w:fldCharType="separate"/>
          </w:r>
          <w:r w:rsidR="007A4287">
            <w:rPr>
              <w:rFonts w:asciiTheme="majorHAnsi" w:hAnsiTheme="majorHAnsi" w:cstheme="majorHAnsi"/>
              <w:noProof/>
            </w:rPr>
            <w:t xml:space="preserve"> </w:t>
          </w:r>
          <w:r w:rsidR="007A4287" w:rsidRPr="007A4287">
            <w:rPr>
              <w:rFonts w:asciiTheme="majorHAnsi" w:hAnsiTheme="majorHAnsi" w:cstheme="majorHAnsi"/>
              <w:noProof/>
            </w:rPr>
            <w:t>[7]</w:t>
          </w:r>
          <w:r w:rsidR="0012695F">
            <w:rPr>
              <w:rFonts w:asciiTheme="majorHAnsi" w:hAnsiTheme="majorHAnsi" w:cstheme="majorHAnsi"/>
            </w:rPr>
            <w:fldChar w:fldCharType="end"/>
          </w:r>
        </w:sdtContent>
      </w:sdt>
    </w:p>
    <w:p w14:paraId="1F068F35" w14:textId="0D4AE7BE" w:rsidR="00BF5A47" w:rsidRPr="00AA4FB2" w:rsidRDefault="000A07BE" w:rsidP="00FE20F9">
      <w:pPr>
        <w:rPr>
          <w:rFonts w:asciiTheme="majorHAnsi" w:hAnsiTheme="majorHAnsi" w:cstheme="majorHAnsi"/>
        </w:rPr>
      </w:pPr>
      <w:r w:rsidRPr="00AA4FB2">
        <w:rPr>
          <w:rFonts w:asciiTheme="majorHAnsi" w:hAnsiTheme="majorHAnsi" w:cstheme="majorHAnsi"/>
        </w:rPr>
        <w:t xml:space="preserve">Potential improvements </w:t>
      </w:r>
      <w:r w:rsidR="00346CF6" w:rsidRPr="00AA4FB2">
        <w:rPr>
          <w:rFonts w:asciiTheme="majorHAnsi" w:hAnsiTheme="majorHAnsi" w:cstheme="majorHAnsi"/>
        </w:rPr>
        <w:t>are higher</w:t>
      </w:r>
      <w:r w:rsidRPr="00AA4FB2">
        <w:rPr>
          <w:rFonts w:asciiTheme="majorHAnsi" w:hAnsiTheme="majorHAnsi" w:cstheme="majorHAnsi"/>
        </w:rPr>
        <w:t xml:space="preserve"> frequency gauges, though they are less common</w:t>
      </w:r>
      <w:r w:rsidR="00346CF6" w:rsidRPr="00AA4FB2">
        <w:rPr>
          <w:rFonts w:asciiTheme="majorHAnsi" w:hAnsiTheme="majorHAnsi" w:cstheme="majorHAnsi"/>
        </w:rPr>
        <w:t>,</w:t>
      </w:r>
      <w:r w:rsidRPr="00AA4FB2">
        <w:rPr>
          <w:rFonts w:asciiTheme="majorHAnsi" w:hAnsiTheme="majorHAnsi" w:cstheme="majorHAnsi"/>
        </w:rPr>
        <w:t xml:space="preserve"> and the 250kHz can provide valuable data</w:t>
      </w:r>
      <w:r w:rsidR="00346CF6" w:rsidRPr="00AA4FB2">
        <w:rPr>
          <w:rFonts w:asciiTheme="majorHAnsi" w:hAnsiTheme="majorHAnsi" w:cstheme="majorHAnsi"/>
        </w:rPr>
        <w:t>. The higher</w:t>
      </w:r>
      <w:r w:rsidRPr="00AA4FB2">
        <w:rPr>
          <w:rFonts w:asciiTheme="majorHAnsi" w:hAnsiTheme="majorHAnsi" w:cstheme="majorHAnsi"/>
        </w:rPr>
        <w:t xml:space="preserve"> frequency </w:t>
      </w:r>
      <w:r w:rsidR="00346CF6" w:rsidRPr="00AA4FB2">
        <w:rPr>
          <w:rFonts w:asciiTheme="majorHAnsi" w:hAnsiTheme="majorHAnsi" w:cstheme="majorHAnsi"/>
        </w:rPr>
        <w:t>has</w:t>
      </w:r>
      <w:r w:rsidRPr="00AA4FB2">
        <w:rPr>
          <w:rFonts w:asciiTheme="majorHAnsi" w:hAnsiTheme="majorHAnsi" w:cstheme="majorHAnsi"/>
        </w:rPr>
        <w:t xml:space="preserve"> a higher sampling rate and </w:t>
      </w:r>
      <w:r w:rsidR="00346CF6" w:rsidRPr="00AA4FB2">
        <w:rPr>
          <w:rFonts w:asciiTheme="majorHAnsi" w:hAnsiTheme="majorHAnsi" w:cstheme="majorHAnsi"/>
        </w:rPr>
        <w:t>therefore</w:t>
      </w:r>
      <w:r w:rsidRPr="00AA4FB2">
        <w:rPr>
          <w:rFonts w:asciiTheme="majorHAnsi" w:hAnsiTheme="majorHAnsi" w:cstheme="majorHAnsi"/>
        </w:rPr>
        <w:t xml:space="preserve"> will show </w:t>
      </w:r>
      <w:r w:rsidR="00346CF6" w:rsidRPr="00AA4FB2">
        <w:rPr>
          <w:rFonts w:asciiTheme="majorHAnsi" w:hAnsiTheme="majorHAnsi" w:cstheme="majorHAnsi"/>
        </w:rPr>
        <w:t xml:space="preserve">a clear separation between the incident overpressure and any reflected wave. </w:t>
      </w:r>
      <w:sdt>
        <w:sdtPr>
          <w:rPr>
            <w:rFonts w:asciiTheme="majorHAnsi" w:hAnsiTheme="majorHAnsi" w:cstheme="majorHAnsi"/>
          </w:rPr>
          <w:id w:val="-805230412"/>
          <w:citation/>
        </w:sdtPr>
        <w:sdtContent>
          <w:r w:rsidR="00B959EB">
            <w:rPr>
              <w:rFonts w:asciiTheme="majorHAnsi" w:hAnsiTheme="majorHAnsi" w:cstheme="majorHAnsi"/>
            </w:rPr>
            <w:fldChar w:fldCharType="begin"/>
          </w:r>
          <w:r w:rsidR="00B959EB">
            <w:rPr>
              <w:rFonts w:asciiTheme="majorHAnsi" w:hAnsiTheme="majorHAnsi" w:cstheme="majorHAnsi"/>
            </w:rPr>
            <w:instrText xml:space="preserve"> CITATION 8 \l 2057 </w:instrText>
          </w:r>
          <w:r w:rsidR="00B959EB">
            <w:rPr>
              <w:rFonts w:asciiTheme="majorHAnsi" w:hAnsiTheme="majorHAnsi" w:cstheme="majorHAnsi"/>
            </w:rPr>
            <w:fldChar w:fldCharType="separate"/>
          </w:r>
          <w:r w:rsidR="007A4287" w:rsidRPr="007A4287">
            <w:rPr>
              <w:rFonts w:asciiTheme="majorHAnsi" w:hAnsiTheme="majorHAnsi" w:cstheme="majorHAnsi"/>
              <w:noProof/>
            </w:rPr>
            <w:t>[8]</w:t>
          </w:r>
          <w:r w:rsidR="00B959EB">
            <w:rPr>
              <w:rFonts w:asciiTheme="majorHAnsi" w:hAnsiTheme="majorHAnsi" w:cstheme="majorHAnsi"/>
            </w:rPr>
            <w:fldChar w:fldCharType="end"/>
          </w:r>
        </w:sdtContent>
      </w:sdt>
      <w:r w:rsidR="00346CF6" w:rsidRPr="00AA4FB2">
        <w:rPr>
          <w:rFonts w:asciiTheme="majorHAnsi" w:hAnsiTheme="majorHAnsi" w:cstheme="majorHAnsi"/>
        </w:rPr>
        <w:t>One of the gauges suffered a fragmentation strike and therefore could not provide any data, so an improved mounting system would not only help minimise reflection but, with the addition of a shirling system, could prevent data loss. Wireless gauges are also an option, although they do not have as high a resolution as wires, it reduced the possibility of losing data due to wiring failure and open more potential positioning on the arc around the detonation point. More gauge places at the same distance but in a new position would also help verify both lots of data collected but provide a backup if one is destroyed.</w:t>
      </w:r>
      <w:r w:rsidR="0012695F">
        <w:rPr>
          <w:rFonts w:asciiTheme="majorHAnsi" w:hAnsiTheme="majorHAnsi" w:cstheme="majorHAnsi"/>
        </w:rPr>
        <w:t xml:space="preserve">  </w:t>
      </w:r>
      <w:sdt>
        <w:sdtPr>
          <w:rPr>
            <w:rFonts w:asciiTheme="majorHAnsi" w:hAnsiTheme="majorHAnsi" w:cstheme="majorHAnsi"/>
          </w:rPr>
          <w:id w:val="-399138435"/>
          <w:citation/>
        </w:sdtPr>
        <w:sdtContent>
          <w:r w:rsidR="0012695F">
            <w:rPr>
              <w:rFonts w:asciiTheme="majorHAnsi" w:hAnsiTheme="majorHAnsi" w:cstheme="majorHAnsi"/>
            </w:rPr>
            <w:fldChar w:fldCharType="begin"/>
          </w:r>
          <w:r w:rsidR="0012695F">
            <w:rPr>
              <w:rFonts w:asciiTheme="majorHAnsi" w:hAnsiTheme="majorHAnsi" w:cstheme="majorHAnsi"/>
            </w:rPr>
            <w:instrText xml:space="preserve"> CITATION 9 \l 2057 </w:instrText>
          </w:r>
          <w:r w:rsidR="0012695F">
            <w:rPr>
              <w:rFonts w:asciiTheme="majorHAnsi" w:hAnsiTheme="majorHAnsi" w:cstheme="majorHAnsi"/>
            </w:rPr>
            <w:fldChar w:fldCharType="separate"/>
          </w:r>
          <w:r w:rsidR="007A4287" w:rsidRPr="007A4287">
            <w:rPr>
              <w:rFonts w:asciiTheme="majorHAnsi" w:hAnsiTheme="majorHAnsi" w:cstheme="majorHAnsi"/>
              <w:noProof/>
            </w:rPr>
            <w:t>[9]</w:t>
          </w:r>
          <w:r w:rsidR="0012695F">
            <w:rPr>
              <w:rFonts w:asciiTheme="majorHAnsi" w:hAnsiTheme="majorHAnsi" w:cstheme="majorHAnsi"/>
            </w:rPr>
            <w:fldChar w:fldCharType="end"/>
          </w:r>
        </w:sdtContent>
      </w:sdt>
    </w:p>
    <w:p w14:paraId="06AC4B0B" w14:textId="6EEB2BB4" w:rsidR="00C819E8" w:rsidRPr="00DB34F9" w:rsidRDefault="00346CF6" w:rsidP="00FE20F9">
      <w:pPr>
        <w:rPr>
          <w:rFonts w:asciiTheme="majorHAnsi" w:hAnsiTheme="majorHAnsi" w:cstheme="majorHAnsi"/>
          <w:lang w:val="en-US"/>
        </w:rPr>
      </w:pPr>
      <w:r w:rsidRPr="00346CF6">
        <w:rPr>
          <w:rFonts w:asciiTheme="majorHAnsi" w:hAnsiTheme="majorHAnsi" w:cstheme="majorHAnsi"/>
          <w:lang w:val="en-US"/>
        </w:rPr>
        <w:t xml:space="preserve">Another option is the use of </w:t>
      </w:r>
      <w:r w:rsidRPr="00AA4FB2">
        <w:rPr>
          <w:rFonts w:asciiTheme="majorHAnsi" w:hAnsiTheme="majorHAnsi" w:cstheme="majorHAnsi"/>
          <w:lang w:val="en-US"/>
        </w:rPr>
        <w:t>pressure-sensitive</w:t>
      </w:r>
      <w:r w:rsidRPr="00346CF6">
        <w:rPr>
          <w:rFonts w:asciiTheme="majorHAnsi" w:hAnsiTheme="majorHAnsi" w:cstheme="majorHAnsi"/>
          <w:lang w:val="en-US"/>
        </w:rPr>
        <w:t xml:space="preserve"> films or blast pens, which change </w:t>
      </w:r>
      <w:proofErr w:type="spellStart"/>
      <w:r w:rsidRPr="00346CF6">
        <w:rPr>
          <w:rFonts w:asciiTheme="majorHAnsi" w:hAnsiTheme="majorHAnsi" w:cstheme="majorHAnsi"/>
          <w:lang w:val="en-US"/>
        </w:rPr>
        <w:t>colour</w:t>
      </w:r>
      <w:proofErr w:type="spellEnd"/>
      <w:r w:rsidRPr="00346CF6">
        <w:rPr>
          <w:rFonts w:asciiTheme="majorHAnsi" w:hAnsiTheme="majorHAnsi" w:cstheme="majorHAnsi"/>
          <w:lang w:val="en-US"/>
        </w:rPr>
        <w:t xml:space="preserve"> or deform when exposed to specific pressure thresholds. These devices are inexpensive, robust and simple to deploy, making them useful for confirming whether certain pressure levels were exceeded. Their limitation is that they do not provide a full </w:t>
      </w:r>
      <w:r w:rsidRPr="00AA4FB2">
        <w:rPr>
          <w:rFonts w:asciiTheme="majorHAnsi" w:hAnsiTheme="majorHAnsi" w:cstheme="majorHAnsi"/>
          <w:lang w:val="en-US"/>
        </w:rPr>
        <w:t xml:space="preserve">pressure </w:t>
      </w:r>
      <w:r w:rsidR="00B959EB" w:rsidRPr="00AA4FB2">
        <w:rPr>
          <w:rFonts w:asciiTheme="majorHAnsi" w:hAnsiTheme="majorHAnsi" w:cstheme="majorHAnsi"/>
          <w:lang w:val="en-US"/>
        </w:rPr>
        <w:t>wave but</w:t>
      </w:r>
      <w:r w:rsidRPr="00AA4FB2">
        <w:rPr>
          <w:rFonts w:asciiTheme="majorHAnsi" w:hAnsiTheme="majorHAnsi" w:cstheme="majorHAnsi"/>
          <w:lang w:val="en-US"/>
        </w:rPr>
        <w:t xml:space="preserve"> can give a guide to support other pressure gauges.</w:t>
      </w:r>
      <w:sdt>
        <w:sdtPr>
          <w:rPr>
            <w:rFonts w:asciiTheme="majorHAnsi" w:hAnsiTheme="majorHAnsi" w:cstheme="majorHAnsi"/>
            <w:lang w:val="en-US"/>
          </w:rPr>
          <w:id w:val="-723063039"/>
          <w:citation/>
        </w:sdtPr>
        <w:sdtContent>
          <w:r w:rsidR="0012695F">
            <w:rPr>
              <w:rFonts w:asciiTheme="majorHAnsi" w:hAnsiTheme="majorHAnsi" w:cstheme="majorHAnsi"/>
              <w:lang w:val="en-US"/>
            </w:rPr>
            <w:fldChar w:fldCharType="begin"/>
          </w:r>
          <w:r w:rsidR="0012695F">
            <w:rPr>
              <w:rFonts w:asciiTheme="majorHAnsi" w:hAnsiTheme="majorHAnsi" w:cstheme="majorHAnsi"/>
            </w:rPr>
            <w:instrText xml:space="preserve"> CITATION 10 \l 2057 </w:instrText>
          </w:r>
          <w:r w:rsidR="0012695F">
            <w:rPr>
              <w:rFonts w:asciiTheme="majorHAnsi" w:hAnsiTheme="majorHAnsi" w:cstheme="majorHAnsi"/>
              <w:lang w:val="en-US"/>
            </w:rPr>
            <w:fldChar w:fldCharType="separate"/>
          </w:r>
          <w:r w:rsidR="007A4287">
            <w:rPr>
              <w:rFonts w:asciiTheme="majorHAnsi" w:hAnsiTheme="majorHAnsi" w:cstheme="majorHAnsi"/>
              <w:noProof/>
            </w:rPr>
            <w:t xml:space="preserve"> </w:t>
          </w:r>
          <w:r w:rsidR="007A4287" w:rsidRPr="007A4287">
            <w:rPr>
              <w:rFonts w:asciiTheme="majorHAnsi" w:hAnsiTheme="majorHAnsi" w:cstheme="majorHAnsi"/>
              <w:noProof/>
            </w:rPr>
            <w:t>[10]</w:t>
          </w:r>
          <w:r w:rsidR="0012695F">
            <w:rPr>
              <w:rFonts w:asciiTheme="majorHAnsi" w:hAnsiTheme="majorHAnsi" w:cstheme="majorHAnsi"/>
              <w:lang w:val="en-US"/>
            </w:rPr>
            <w:fldChar w:fldCharType="end"/>
          </w:r>
        </w:sdtContent>
      </w:sdt>
    </w:p>
    <w:p w14:paraId="4AF53C82" w14:textId="5CA807DB" w:rsidR="00FE20F9" w:rsidRPr="00AA4FB2" w:rsidRDefault="00FE20F9" w:rsidP="00A50C01">
      <w:pPr>
        <w:pStyle w:val="Heading2"/>
        <w:rPr>
          <w:rFonts w:cstheme="majorHAnsi"/>
          <w:lang w:val="en-US"/>
        </w:rPr>
      </w:pPr>
      <w:bookmarkStart w:id="5" w:name="_Toc220064216"/>
      <w:r w:rsidRPr="00AA4FB2">
        <w:rPr>
          <w:rFonts w:cstheme="majorHAnsi"/>
          <w:lang w:val="en-US"/>
        </w:rPr>
        <w:t xml:space="preserve">Velocity </w:t>
      </w:r>
      <w:r w:rsidR="00A50C01" w:rsidRPr="00AA4FB2">
        <w:rPr>
          <w:rFonts w:cstheme="majorHAnsi"/>
          <w:lang w:val="en-US"/>
        </w:rPr>
        <w:t>foil</w:t>
      </w:r>
      <w:bookmarkEnd w:id="5"/>
      <w:r w:rsidRPr="00AA4FB2">
        <w:rPr>
          <w:rFonts w:cstheme="majorHAnsi"/>
          <w:lang w:val="en-US"/>
        </w:rPr>
        <w:t xml:space="preserve"> </w:t>
      </w:r>
    </w:p>
    <w:p w14:paraId="16245A12" w14:textId="46580DB0" w:rsidR="00F51232" w:rsidRPr="00AA4FB2" w:rsidRDefault="000C263C" w:rsidP="00E436C4">
      <w:pPr>
        <w:rPr>
          <w:rFonts w:asciiTheme="majorHAnsi" w:hAnsiTheme="majorHAnsi" w:cstheme="majorHAnsi"/>
        </w:rPr>
      </w:pPr>
      <w:r w:rsidRPr="00AA4FB2">
        <w:rPr>
          <w:rFonts w:asciiTheme="majorHAnsi" w:hAnsiTheme="majorHAnsi" w:cstheme="majorHAnsi"/>
          <w:lang w:val="en-US"/>
        </w:rPr>
        <w:t xml:space="preserve">Velocity foils </w:t>
      </w:r>
      <w:r w:rsidR="009C6FF2" w:rsidRPr="00AA4FB2">
        <w:rPr>
          <w:rFonts w:asciiTheme="majorHAnsi" w:hAnsiTheme="majorHAnsi" w:cstheme="majorHAnsi"/>
          <w:lang w:val="en-US"/>
        </w:rPr>
        <w:t xml:space="preserve">are thin conductive </w:t>
      </w:r>
      <w:r w:rsidR="00C50789" w:rsidRPr="00AA4FB2">
        <w:rPr>
          <w:rFonts w:asciiTheme="majorHAnsi" w:hAnsiTheme="majorHAnsi" w:cstheme="majorHAnsi"/>
          <w:lang w:val="en-US"/>
        </w:rPr>
        <w:t xml:space="preserve">sheets </w:t>
      </w:r>
      <w:r w:rsidR="00823998" w:rsidRPr="00AA4FB2">
        <w:rPr>
          <w:rFonts w:asciiTheme="majorHAnsi" w:hAnsiTheme="majorHAnsi" w:cstheme="majorHAnsi"/>
          <w:lang w:val="en-US"/>
        </w:rPr>
        <w:t>positioned</w:t>
      </w:r>
      <w:r w:rsidR="00683477" w:rsidRPr="00AA4FB2">
        <w:rPr>
          <w:rFonts w:asciiTheme="majorHAnsi" w:hAnsiTheme="majorHAnsi" w:cstheme="majorHAnsi"/>
          <w:lang w:val="en-US"/>
        </w:rPr>
        <w:t xml:space="preserve"> at </w:t>
      </w:r>
      <w:r w:rsidR="00882CEB" w:rsidRPr="00AA4FB2">
        <w:rPr>
          <w:rFonts w:asciiTheme="majorHAnsi" w:hAnsiTheme="majorHAnsi" w:cstheme="majorHAnsi"/>
          <w:lang w:val="en-US"/>
        </w:rPr>
        <w:t>known</w:t>
      </w:r>
      <w:r w:rsidR="00683477" w:rsidRPr="00AA4FB2">
        <w:rPr>
          <w:rFonts w:asciiTheme="majorHAnsi" w:hAnsiTheme="majorHAnsi" w:cstheme="majorHAnsi"/>
          <w:lang w:val="en-US"/>
        </w:rPr>
        <w:t xml:space="preserve"> </w:t>
      </w:r>
      <w:r w:rsidR="009166F7" w:rsidRPr="00AA4FB2">
        <w:rPr>
          <w:rFonts w:asciiTheme="majorHAnsi" w:hAnsiTheme="majorHAnsi" w:cstheme="majorHAnsi"/>
          <w:lang w:val="en-US"/>
        </w:rPr>
        <w:t>distances</w:t>
      </w:r>
      <w:r w:rsidR="00683477" w:rsidRPr="00AA4FB2">
        <w:rPr>
          <w:rFonts w:asciiTheme="majorHAnsi" w:hAnsiTheme="majorHAnsi" w:cstheme="majorHAnsi"/>
          <w:lang w:val="en-US"/>
        </w:rPr>
        <w:t xml:space="preserve"> from</w:t>
      </w:r>
      <w:r w:rsidR="00402BC6" w:rsidRPr="00AA4FB2">
        <w:rPr>
          <w:rFonts w:asciiTheme="majorHAnsi" w:hAnsiTheme="majorHAnsi" w:cstheme="majorHAnsi"/>
          <w:lang w:val="en-US"/>
        </w:rPr>
        <w:t xml:space="preserve"> </w:t>
      </w:r>
      <w:r w:rsidR="004319F7" w:rsidRPr="00AA4FB2">
        <w:rPr>
          <w:rFonts w:asciiTheme="majorHAnsi" w:hAnsiTheme="majorHAnsi" w:cstheme="majorHAnsi"/>
          <w:lang w:val="en-US"/>
        </w:rPr>
        <w:t xml:space="preserve">the detonation point. </w:t>
      </w:r>
      <w:r w:rsidR="0002179A" w:rsidRPr="00AA4FB2">
        <w:rPr>
          <w:rFonts w:asciiTheme="majorHAnsi" w:hAnsiTheme="majorHAnsi" w:cstheme="majorHAnsi"/>
          <w:lang w:val="en-US"/>
        </w:rPr>
        <w:t>In this trial</w:t>
      </w:r>
      <w:r w:rsidR="00101483" w:rsidRPr="00AA4FB2">
        <w:rPr>
          <w:rFonts w:asciiTheme="majorHAnsi" w:hAnsiTheme="majorHAnsi" w:cstheme="majorHAnsi"/>
          <w:lang w:val="en-US"/>
        </w:rPr>
        <w:t>,</w:t>
      </w:r>
      <w:r w:rsidR="0002179A" w:rsidRPr="00AA4FB2">
        <w:rPr>
          <w:rFonts w:asciiTheme="majorHAnsi" w:hAnsiTheme="majorHAnsi" w:cstheme="majorHAnsi"/>
          <w:lang w:val="en-US"/>
        </w:rPr>
        <w:t xml:space="preserve"> they are </w:t>
      </w:r>
      <w:r w:rsidR="00823998" w:rsidRPr="00AA4FB2">
        <w:rPr>
          <w:rFonts w:asciiTheme="majorHAnsi" w:hAnsiTheme="majorHAnsi" w:cstheme="majorHAnsi"/>
          <w:lang w:val="en-US"/>
        </w:rPr>
        <w:t>mounted</w:t>
      </w:r>
      <w:r w:rsidR="004E60C6" w:rsidRPr="00AA4FB2">
        <w:rPr>
          <w:rFonts w:asciiTheme="majorHAnsi" w:hAnsiTheme="majorHAnsi" w:cstheme="majorHAnsi"/>
          <w:lang w:val="en-US"/>
        </w:rPr>
        <w:t xml:space="preserve"> </w:t>
      </w:r>
      <w:r w:rsidR="00436A8A" w:rsidRPr="00AA4FB2">
        <w:rPr>
          <w:rFonts w:asciiTheme="majorHAnsi" w:hAnsiTheme="majorHAnsi" w:cstheme="majorHAnsi"/>
          <w:lang w:val="en-US"/>
        </w:rPr>
        <w:t>on the starboard and measure the ‘Time of flight’ of the fragment</w:t>
      </w:r>
      <w:r w:rsidR="00823998" w:rsidRPr="00AA4FB2">
        <w:rPr>
          <w:rFonts w:asciiTheme="majorHAnsi" w:hAnsiTheme="majorHAnsi" w:cstheme="majorHAnsi"/>
          <w:lang w:val="en-US"/>
        </w:rPr>
        <w:t>s</w:t>
      </w:r>
      <w:r w:rsidR="001850D9" w:rsidRPr="00AA4FB2">
        <w:rPr>
          <w:rFonts w:asciiTheme="majorHAnsi" w:hAnsiTheme="majorHAnsi" w:cstheme="majorHAnsi"/>
          <w:lang w:val="en-US"/>
        </w:rPr>
        <w:t>.</w:t>
      </w:r>
      <w:r w:rsidR="00823998" w:rsidRPr="00AA4FB2">
        <w:rPr>
          <w:rFonts w:asciiTheme="majorHAnsi" w:hAnsiTheme="majorHAnsi" w:cstheme="majorHAnsi"/>
          <w:lang w:val="en-US"/>
        </w:rPr>
        <w:t xml:space="preserve"> There were 9 used today with 3 foils per starboard section. </w:t>
      </w:r>
      <w:r w:rsidR="00823998" w:rsidRPr="00AA4FB2">
        <w:rPr>
          <w:rFonts w:asciiTheme="majorHAnsi" w:hAnsiTheme="majorHAnsi" w:cstheme="majorHAnsi"/>
        </w:rPr>
        <w:t xml:space="preserve">When a fragment strikes the foil, it breaks the conductive circuit, generating a </w:t>
      </w:r>
      <w:r w:rsidR="00823998" w:rsidRPr="00AA4FB2">
        <w:rPr>
          <w:rFonts w:asciiTheme="majorHAnsi" w:hAnsiTheme="majorHAnsi" w:cstheme="majorHAnsi"/>
        </w:rPr>
        <w:t>time-stamped</w:t>
      </w:r>
      <w:r w:rsidR="00823998" w:rsidRPr="00AA4FB2">
        <w:rPr>
          <w:rFonts w:asciiTheme="majorHAnsi" w:hAnsiTheme="majorHAnsi" w:cstheme="majorHAnsi"/>
        </w:rPr>
        <w:t xml:space="preserve"> signal (in mV) that is sent to the data logger</w:t>
      </w:r>
      <w:r w:rsidR="00823998" w:rsidRPr="00AA4FB2">
        <w:rPr>
          <w:rFonts w:asciiTheme="majorHAnsi" w:hAnsiTheme="majorHAnsi" w:cstheme="majorHAnsi"/>
          <w:lang w:val="en-US"/>
        </w:rPr>
        <w:t xml:space="preserve">. Using the know stand-off distance for each foil, fragment velocity can be calculated for each strike on the </w:t>
      </w:r>
      <w:r w:rsidR="005C6097" w:rsidRPr="00AA4FB2">
        <w:rPr>
          <w:rFonts w:asciiTheme="majorHAnsi" w:hAnsiTheme="majorHAnsi" w:cstheme="majorHAnsi"/>
          <w:lang w:val="en-US"/>
        </w:rPr>
        <w:t xml:space="preserve">strawboard. The foils record all strikes, so multiple velocities can be recorded on each, though the first strike tends to have the most reliable data. </w:t>
      </w:r>
      <w:r w:rsidR="005C6097" w:rsidRPr="00AA4FB2">
        <w:rPr>
          <w:rFonts w:asciiTheme="majorHAnsi" w:hAnsiTheme="majorHAnsi" w:cstheme="majorHAnsi"/>
          <w:lang w:val="en-US"/>
        </w:rPr>
        <w:t>Velocity foils provide direct qualitative data a</w:t>
      </w:r>
      <w:r w:rsidR="005C6097" w:rsidRPr="00AA4FB2">
        <w:rPr>
          <w:rFonts w:asciiTheme="majorHAnsi" w:hAnsiTheme="majorHAnsi" w:cstheme="majorHAnsi"/>
          <w:lang w:val="en-US"/>
        </w:rPr>
        <w:t xml:space="preserve">t </w:t>
      </w:r>
      <w:proofErr w:type="gramStart"/>
      <w:r w:rsidR="005C6097" w:rsidRPr="00AA4FB2">
        <w:rPr>
          <w:rFonts w:asciiTheme="majorHAnsi" w:hAnsiTheme="majorHAnsi" w:cstheme="majorHAnsi"/>
          <w:lang w:val="en-US"/>
        </w:rPr>
        <w:t>fairly high-accuracy</w:t>
      </w:r>
      <w:proofErr w:type="gramEnd"/>
      <w:r w:rsidR="005C6097" w:rsidRPr="00AA4FB2">
        <w:rPr>
          <w:rFonts w:asciiTheme="majorHAnsi" w:hAnsiTheme="majorHAnsi" w:cstheme="majorHAnsi"/>
          <w:lang w:val="en-US"/>
        </w:rPr>
        <w:t xml:space="preserve"> measurements while being relatively low cost compared to other methods of measuring fragment </w:t>
      </w:r>
      <w:r w:rsidR="00F51232" w:rsidRPr="00AA4FB2">
        <w:rPr>
          <w:rFonts w:asciiTheme="majorHAnsi" w:hAnsiTheme="majorHAnsi" w:cstheme="majorHAnsi"/>
          <w:lang w:val="en-US"/>
        </w:rPr>
        <w:t>velocity.</w:t>
      </w:r>
      <w:r w:rsidR="00F51232" w:rsidRPr="00AA4FB2">
        <w:rPr>
          <w:rFonts w:asciiTheme="majorHAnsi" w:hAnsiTheme="majorHAnsi" w:cstheme="majorHAnsi"/>
        </w:rPr>
        <w:t xml:space="preserve"> Because</w:t>
      </w:r>
      <w:r w:rsidR="00F51232" w:rsidRPr="00AA4FB2">
        <w:rPr>
          <w:rFonts w:asciiTheme="majorHAnsi" w:hAnsiTheme="majorHAnsi" w:cstheme="majorHAnsi"/>
        </w:rPr>
        <w:t xml:space="preserve"> they rely on electronic signalling, there is far less uncertainty in the “time zero” point compared with manual triggering </w:t>
      </w:r>
      <w:r w:rsidR="00F51232" w:rsidRPr="00AA4FB2">
        <w:rPr>
          <w:rFonts w:asciiTheme="majorHAnsi" w:hAnsiTheme="majorHAnsi" w:cstheme="majorHAnsi"/>
        </w:rPr>
        <w:lastRenderedPageBreak/>
        <w:t>methods</w:t>
      </w:r>
      <w:r w:rsidR="00F51232" w:rsidRPr="00AA4FB2">
        <w:rPr>
          <w:rFonts w:asciiTheme="majorHAnsi" w:hAnsiTheme="majorHAnsi" w:cstheme="majorHAnsi"/>
        </w:rPr>
        <w:t>, which include human factors</w:t>
      </w:r>
      <w:r w:rsidR="00F51232" w:rsidRPr="00AA4FB2">
        <w:rPr>
          <w:rFonts w:asciiTheme="majorHAnsi" w:hAnsiTheme="majorHAnsi" w:cstheme="majorHAnsi"/>
        </w:rPr>
        <w:t xml:space="preserve">, making them </w:t>
      </w:r>
      <w:r w:rsidR="00F51232" w:rsidRPr="00AA4FB2">
        <w:rPr>
          <w:rFonts w:asciiTheme="majorHAnsi" w:hAnsiTheme="majorHAnsi" w:cstheme="majorHAnsi"/>
        </w:rPr>
        <w:t>well-suited</w:t>
      </w:r>
      <w:r w:rsidR="00F51232" w:rsidRPr="00AA4FB2">
        <w:rPr>
          <w:rFonts w:asciiTheme="majorHAnsi" w:hAnsiTheme="majorHAnsi" w:cstheme="majorHAnsi"/>
        </w:rPr>
        <w:t xml:space="preserve"> to </w:t>
      </w:r>
      <w:r w:rsidR="00F51232" w:rsidRPr="00AA4FB2">
        <w:rPr>
          <w:rFonts w:asciiTheme="majorHAnsi" w:hAnsiTheme="majorHAnsi" w:cstheme="majorHAnsi"/>
        </w:rPr>
        <w:t>high-speed</w:t>
      </w:r>
      <w:r w:rsidR="00F51232" w:rsidRPr="00AA4FB2">
        <w:rPr>
          <w:rFonts w:asciiTheme="majorHAnsi" w:hAnsiTheme="majorHAnsi" w:cstheme="majorHAnsi"/>
        </w:rPr>
        <w:t xml:space="preserve"> explosive</w:t>
      </w:r>
      <w:r w:rsidR="00F51232" w:rsidRPr="00AA4FB2">
        <w:rPr>
          <w:rFonts w:asciiTheme="majorHAnsi" w:hAnsiTheme="majorHAnsi" w:cstheme="majorHAnsi"/>
        </w:rPr>
        <w:t xml:space="preserve"> </w:t>
      </w:r>
      <w:r w:rsidR="00F51232" w:rsidRPr="00AA4FB2">
        <w:rPr>
          <w:rFonts w:asciiTheme="majorHAnsi" w:hAnsiTheme="majorHAnsi" w:cstheme="majorHAnsi"/>
        </w:rPr>
        <w:t>events. The resulting velocity data can support safety assessments, lethality modelling and functioning analysis.</w:t>
      </w:r>
      <w:r w:rsidR="00D55CB1">
        <w:rPr>
          <w:rFonts w:asciiTheme="majorHAnsi" w:hAnsiTheme="majorHAnsi" w:cstheme="majorHAnsi"/>
        </w:rPr>
        <w:t xml:space="preserve"> </w:t>
      </w:r>
      <w:sdt>
        <w:sdtPr>
          <w:rPr>
            <w:rFonts w:asciiTheme="majorHAnsi" w:hAnsiTheme="majorHAnsi" w:cstheme="majorHAnsi"/>
          </w:rPr>
          <w:id w:val="342055288"/>
          <w:citation/>
        </w:sdtPr>
        <w:sdtContent>
          <w:r w:rsidR="00D55CB1">
            <w:rPr>
              <w:rFonts w:asciiTheme="majorHAnsi" w:hAnsiTheme="majorHAnsi" w:cstheme="majorHAnsi"/>
            </w:rPr>
            <w:fldChar w:fldCharType="begin"/>
          </w:r>
          <w:r w:rsidR="00D55CB1">
            <w:rPr>
              <w:rFonts w:asciiTheme="majorHAnsi" w:hAnsiTheme="majorHAnsi" w:cstheme="majorHAnsi"/>
            </w:rPr>
            <w:instrText xml:space="preserve"> CITATION 11 \l 2057 </w:instrText>
          </w:r>
          <w:r w:rsidR="00D55CB1">
            <w:rPr>
              <w:rFonts w:asciiTheme="majorHAnsi" w:hAnsiTheme="majorHAnsi" w:cstheme="majorHAnsi"/>
            </w:rPr>
            <w:fldChar w:fldCharType="separate"/>
          </w:r>
          <w:r w:rsidR="007A4287" w:rsidRPr="007A4287">
            <w:rPr>
              <w:rFonts w:asciiTheme="majorHAnsi" w:hAnsiTheme="majorHAnsi" w:cstheme="majorHAnsi"/>
              <w:noProof/>
            </w:rPr>
            <w:t>[11]</w:t>
          </w:r>
          <w:r w:rsidR="00D55CB1">
            <w:rPr>
              <w:rFonts w:asciiTheme="majorHAnsi" w:hAnsiTheme="majorHAnsi" w:cstheme="majorHAnsi"/>
            </w:rPr>
            <w:fldChar w:fldCharType="end"/>
          </w:r>
        </w:sdtContent>
      </w:sdt>
    </w:p>
    <w:p w14:paraId="2A983D7E" w14:textId="0C8C71DD" w:rsidR="00F51232" w:rsidRPr="00AA4FB2" w:rsidRDefault="00F51232" w:rsidP="00E436C4">
      <w:pPr>
        <w:rPr>
          <w:rFonts w:asciiTheme="majorHAnsi" w:hAnsiTheme="majorHAnsi" w:cstheme="majorHAnsi"/>
          <w:lang w:val="en-US"/>
        </w:rPr>
      </w:pPr>
      <w:r w:rsidRPr="00AA4FB2">
        <w:rPr>
          <w:rFonts w:asciiTheme="majorHAnsi" w:hAnsiTheme="majorHAnsi" w:cstheme="majorHAnsi"/>
        </w:rPr>
        <w:t xml:space="preserve">However, velocity foils only record the fragments that physically strike them, meaning they represent a small sample of the overall fragmentation field. Correct placement relative to the detonation point is essential. The first strike typically provides the cleanest data, as later strikes may be affected by debris, soot or fragments lodged in the </w:t>
      </w:r>
      <w:r w:rsidRPr="00AA4FB2">
        <w:rPr>
          <w:rFonts w:asciiTheme="majorHAnsi" w:hAnsiTheme="majorHAnsi" w:cstheme="majorHAnsi"/>
        </w:rPr>
        <w:t>straw</w:t>
      </w:r>
      <w:r w:rsidRPr="00AA4FB2">
        <w:rPr>
          <w:rFonts w:asciiTheme="majorHAnsi" w:hAnsiTheme="majorHAnsi" w:cstheme="majorHAnsi"/>
        </w:rPr>
        <w:t>board</w:t>
      </w:r>
      <w:r w:rsidRPr="00AA4FB2">
        <w:rPr>
          <w:rFonts w:asciiTheme="majorHAnsi" w:hAnsiTheme="majorHAnsi" w:cstheme="majorHAnsi"/>
        </w:rPr>
        <w:t xml:space="preserve"> and cutting the velocity foils circuits signal. </w:t>
      </w:r>
      <w:r w:rsidRPr="00AA4FB2">
        <w:rPr>
          <w:rFonts w:asciiTheme="majorHAnsi" w:hAnsiTheme="majorHAnsi" w:cstheme="majorHAnsi"/>
        </w:rPr>
        <w:t>Although the velocity measurement itself is highly accurate, the foils do not provide additional information such as fragment mass, shape or trajectory. They also require reinforced cabling to the data logger, which increases setup time and vulnerability to blast effects.</w:t>
      </w:r>
      <w:r w:rsidRPr="00AA4FB2">
        <w:rPr>
          <w:rFonts w:asciiTheme="majorHAnsi" w:hAnsiTheme="majorHAnsi" w:cstheme="majorHAnsi"/>
        </w:rPr>
        <w:t xml:space="preserve"> Despite being relatively inexpensive, they are a single-use item, which could be expensive over long periods of time. </w:t>
      </w:r>
      <w:sdt>
        <w:sdtPr>
          <w:rPr>
            <w:rFonts w:asciiTheme="majorHAnsi" w:hAnsiTheme="majorHAnsi" w:cstheme="majorHAnsi"/>
          </w:rPr>
          <w:id w:val="-1351107619"/>
          <w:citation/>
        </w:sdtPr>
        <w:sdtContent>
          <w:r w:rsidR="00D55CB1">
            <w:rPr>
              <w:rFonts w:asciiTheme="majorHAnsi" w:hAnsiTheme="majorHAnsi" w:cstheme="majorHAnsi"/>
            </w:rPr>
            <w:fldChar w:fldCharType="begin"/>
          </w:r>
          <w:r w:rsidR="00D55CB1">
            <w:rPr>
              <w:rFonts w:asciiTheme="majorHAnsi" w:hAnsiTheme="majorHAnsi" w:cstheme="majorHAnsi"/>
            </w:rPr>
            <w:instrText xml:space="preserve"> CITATION 14 \l 2057 </w:instrText>
          </w:r>
          <w:r w:rsidR="00D55CB1">
            <w:rPr>
              <w:rFonts w:asciiTheme="majorHAnsi" w:hAnsiTheme="majorHAnsi" w:cstheme="majorHAnsi"/>
            </w:rPr>
            <w:fldChar w:fldCharType="separate"/>
          </w:r>
          <w:r w:rsidR="007A4287" w:rsidRPr="007A4287">
            <w:rPr>
              <w:rFonts w:asciiTheme="majorHAnsi" w:hAnsiTheme="majorHAnsi" w:cstheme="majorHAnsi"/>
              <w:noProof/>
            </w:rPr>
            <w:t>[12]</w:t>
          </w:r>
          <w:r w:rsidR="00D55CB1">
            <w:rPr>
              <w:rFonts w:asciiTheme="majorHAnsi" w:hAnsiTheme="majorHAnsi" w:cstheme="majorHAnsi"/>
            </w:rPr>
            <w:fldChar w:fldCharType="end"/>
          </w:r>
        </w:sdtContent>
      </w:sdt>
    </w:p>
    <w:p w14:paraId="6CFA0B87" w14:textId="66BBD53F" w:rsidR="00F51232" w:rsidRPr="00AA4FB2" w:rsidRDefault="00F51232" w:rsidP="00A50C01">
      <w:pPr>
        <w:rPr>
          <w:rFonts w:asciiTheme="majorHAnsi" w:hAnsiTheme="majorHAnsi" w:cstheme="majorHAnsi"/>
        </w:rPr>
      </w:pPr>
      <w:r w:rsidRPr="00AA4FB2">
        <w:rPr>
          <w:rFonts w:asciiTheme="majorHAnsi" w:hAnsiTheme="majorHAnsi" w:cstheme="majorHAnsi"/>
        </w:rPr>
        <w:t>Several</w:t>
      </w:r>
      <w:r w:rsidRPr="00AA4FB2">
        <w:rPr>
          <w:rFonts w:asciiTheme="majorHAnsi" w:hAnsiTheme="majorHAnsi" w:cstheme="majorHAnsi"/>
        </w:rPr>
        <w:t xml:space="preserve"> alternative methods exist for capturing fragment velocity. Light gates use two optical beams placed at a known separation distance; when a fragment interrupts each beam, the time of flight is recorded. This method offers extremely high timing accuracy and produces simple, easily interpreted data. However, in arena trials with high fragment density, multiple fragments can interrupt the beams simultaneously, reducing confidence in the results. Light gates are therefore more effective in controlled, </w:t>
      </w:r>
      <w:r w:rsidRPr="00AA4FB2">
        <w:rPr>
          <w:rFonts w:asciiTheme="majorHAnsi" w:hAnsiTheme="majorHAnsi" w:cstheme="majorHAnsi"/>
        </w:rPr>
        <w:t>low-fragment-density</w:t>
      </w:r>
      <w:r w:rsidRPr="00AA4FB2">
        <w:rPr>
          <w:rFonts w:asciiTheme="majorHAnsi" w:hAnsiTheme="majorHAnsi" w:cstheme="majorHAnsi"/>
        </w:rPr>
        <w:t xml:space="preserve"> laboratory tests.</w:t>
      </w:r>
      <w:sdt>
        <w:sdtPr>
          <w:rPr>
            <w:rFonts w:asciiTheme="majorHAnsi" w:hAnsiTheme="majorHAnsi" w:cstheme="majorHAnsi"/>
          </w:rPr>
          <w:id w:val="704678240"/>
          <w:citation/>
        </w:sdtPr>
        <w:sdtContent>
          <w:r w:rsidR="00D55CB1">
            <w:rPr>
              <w:rFonts w:asciiTheme="majorHAnsi" w:hAnsiTheme="majorHAnsi" w:cstheme="majorHAnsi"/>
            </w:rPr>
            <w:fldChar w:fldCharType="begin"/>
          </w:r>
          <w:r w:rsidR="00D55CB1">
            <w:rPr>
              <w:rFonts w:asciiTheme="majorHAnsi" w:hAnsiTheme="majorHAnsi" w:cstheme="majorHAnsi"/>
            </w:rPr>
            <w:instrText xml:space="preserve"> CITATION 12 \l 2057 </w:instrText>
          </w:r>
          <w:r w:rsidR="00D55CB1">
            <w:rPr>
              <w:rFonts w:asciiTheme="majorHAnsi" w:hAnsiTheme="majorHAnsi" w:cstheme="majorHAnsi"/>
            </w:rPr>
            <w:fldChar w:fldCharType="separate"/>
          </w:r>
          <w:r w:rsidR="007A4287">
            <w:rPr>
              <w:rFonts w:asciiTheme="majorHAnsi" w:hAnsiTheme="majorHAnsi" w:cstheme="majorHAnsi"/>
              <w:noProof/>
            </w:rPr>
            <w:t xml:space="preserve"> </w:t>
          </w:r>
          <w:r w:rsidR="007A4287" w:rsidRPr="007A4287">
            <w:rPr>
              <w:rFonts w:asciiTheme="majorHAnsi" w:hAnsiTheme="majorHAnsi" w:cstheme="majorHAnsi"/>
              <w:noProof/>
            </w:rPr>
            <w:t>[13]</w:t>
          </w:r>
          <w:r w:rsidR="00D55CB1">
            <w:rPr>
              <w:rFonts w:asciiTheme="majorHAnsi" w:hAnsiTheme="majorHAnsi" w:cstheme="majorHAnsi"/>
            </w:rPr>
            <w:fldChar w:fldCharType="end"/>
          </w:r>
        </w:sdtContent>
      </w:sdt>
    </w:p>
    <w:p w14:paraId="62CA0BFB" w14:textId="644ECAEE" w:rsidR="004D60AF" w:rsidRPr="00AA4FB2" w:rsidRDefault="009E1FE5" w:rsidP="00A50C01">
      <w:pPr>
        <w:rPr>
          <w:rFonts w:asciiTheme="majorHAnsi" w:hAnsiTheme="majorHAnsi" w:cstheme="majorHAnsi"/>
          <w:lang w:val="en-US"/>
        </w:rPr>
      </w:pPr>
      <w:r w:rsidRPr="00AA4FB2">
        <w:rPr>
          <w:rFonts w:asciiTheme="majorHAnsi" w:hAnsiTheme="majorHAnsi" w:cstheme="majorHAnsi"/>
          <w:lang w:val="en-US"/>
        </w:rPr>
        <w:t>Doppler</w:t>
      </w:r>
      <w:r w:rsidR="0049777C" w:rsidRPr="00AA4FB2">
        <w:rPr>
          <w:rFonts w:asciiTheme="majorHAnsi" w:hAnsiTheme="majorHAnsi" w:cstheme="majorHAnsi"/>
          <w:lang w:val="en-US"/>
        </w:rPr>
        <w:t xml:space="preserve"> radar is a way of </w:t>
      </w:r>
      <w:r w:rsidRPr="00AA4FB2">
        <w:rPr>
          <w:rFonts w:asciiTheme="majorHAnsi" w:hAnsiTheme="majorHAnsi" w:cstheme="majorHAnsi"/>
          <w:lang w:val="en-US"/>
        </w:rPr>
        <w:t xml:space="preserve">providing continuous velocity data of the fragments as </w:t>
      </w:r>
      <w:r w:rsidR="00F51232" w:rsidRPr="00AA4FB2">
        <w:rPr>
          <w:rFonts w:asciiTheme="majorHAnsi" w:hAnsiTheme="majorHAnsi" w:cstheme="majorHAnsi"/>
          <w:lang w:val="en-US"/>
        </w:rPr>
        <w:t>they</w:t>
      </w:r>
      <w:r w:rsidRPr="00AA4FB2">
        <w:rPr>
          <w:rFonts w:asciiTheme="majorHAnsi" w:hAnsiTheme="majorHAnsi" w:cstheme="majorHAnsi"/>
          <w:lang w:val="en-US"/>
        </w:rPr>
        <w:t xml:space="preserve"> travel from the </w:t>
      </w:r>
      <w:r w:rsidR="00F51232" w:rsidRPr="00AA4FB2">
        <w:rPr>
          <w:rFonts w:asciiTheme="majorHAnsi" w:hAnsiTheme="majorHAnsi" w:cstheme="majorHAnsi"/>
          <w:lang w:val="en-US"/>
        </w:rPr>
        <w:t>detonation</w:t>
      </w:r>
      <w:r w:rsidRPr="00AA4FB2">
        <w:rPr>
          <w:rFonts w:asciiTheme="majorHAnsi" w:hAnsiTheme="majorHAnsi" w:cstheme="majorHAnsi"/>
          <w:lang w:val="en-US"/>
        </w:rPr>
        <w:t xml:space="preserve"> point</w:t>
      </w:r>
      <w:r w:rsidR="00F51232" w:rsidRPr="00AA4FB2">
        <w:rPr>
          <w:rFonts w:asciiTheme="majorHAnsi" w:hAnsiTheme="majorHAnsi" w:cstheme="majorHAnsi"/>
          <w:lang w:val="en-US"/>
        </w:rPr>
        <w:t xml:space="preserve">, </w:t>
      </w:r>
      <w:r w:rsidR="00F51232" w:rsidRPr="00AA4FB2">
        <w:rPr>
          <w:rFonts w:asciiTheme="majorHAnsi" w:hAnsiTheme="majorHAnsi" w:cstheme="majorHAnsi"/>
          <w:lang w:val="en-US"/>
        </w:rPr>
        <w:t xml:space="preserve">by </w:t>
      </w:r>
      <w:r w:rsidR="00F51232" w:rsidRPr="00AA4FB2">
        <w:rPr>
          <w:rFonts w:asciiTheme="majorHAnsi" w:hAnsiTheme="majorHAnsi" w:cstheme="majorHAnsi"/>
          <w:lang w:val="en-US"/>
        </w:rPr>
        <w:t>analysing</w:t>
      </w:r>
      <w:r w:rsidR="00F51232" w:rsidRPr="00AA4FB2">
        <w:rPr>
          <w:rFonts w:asciiTheme="majorHAnsi" w:hAnsiTheme="majorHAnsi" w:cstheme="majorHAnsi"/>
          <w:lang w:val="en-US"/>
        </w:rPr>
        <w:t xml:space="preserve"> the frequency shift of electromagnetic waves reflected from moving fragments. </w:t>
      </w:r>
      <w:r w:rsidR="00F51232" w:rsidRPr="00AA4FB2">
        <w:rPr>
          <w:rFonts w:asciiTheme="majorHAnsi" w:hAnsiTheme="majorHAnsi" w:cstheme="majorHAnsi"/>
          <w:lang w:val="en-US"/>
        </w:rPr>
        <w:t>Th</w:t>
      </w:r>
      <w:r w:rsidR="00F51232" w:rsidRPr="00AA4FB2">
        <w:rPr>
          <w:rFonts w:asciiTheme="majorHAnsi" w:hAnsiTheme="majorHAnsi" w:cstheme="majorHAnsi"/>
        </w:rPr>
        <w:t xml:space="preserve">is technique can reveal deceleration patterns and spatial effects as fragments travel </w:t>
      </w:r>
      <w:r w:rsidR="00F51232" w:rsidRPr="00AA4FB2">
        <w:rPr>
          <w:rFonts w:asciiTheme="majorHAnsi" w:hAnsiTheme="majorHAnsi" w:cstheme="majorHAnsi"/>
        </w:rPr>
        <w:t xml:space="preserve">through </w:t>
      </w:r>
      <w:r w:rsidR="001861B9" w:rsidRPr="00AA4FB2">
        <w:rPr>
          <w:rFonts w:asciiTheme="majorHAnsi" w:hAnsiTheme="majorHAnsi" w:cstheme="majorHAnsi"/>
        </w:rPr>
        <w:t xml:space="preserve">the </w:t>
      </w:r>
      <w:r w:rsidR="00F51232" w:rsidRPr="00AA4FB2">
        <w:rPr>
          <w:rFonts w:asciiTheme="majorHAnsi" w:hAnsiTheme="majorHAnsi" w:cstheme="majorHAnsi"/>
        </w:rPr>
        <w:t>air</w:t>
      </w:r>
      <w:r w:rsidR="00F51232" w:rsidRPr="00AA4FB2">
        <w:rPr>
          <w:rFonts w:asciiTheme="majorHAnsi" w:hAnsiTheme="majorHAnsi" w:cstheme="majorHAnsi"/>
        </w:rPr>
        <w:t>. Its limitations are that it works best on large, reflective fragments and is highly directional, requiring assumptions about fragment paths</w:t>
      </w:r>
      <w:r w:rsidR="00F51232" w:rsidRPr="00AA4FB2">
        <w:rPr>
          <w:rFonts w:asciiTheme="majorHAnsi" w:hAnsiTheme="majorHAnsi" w:cstheme="majorHAnsi"/>
        </w:rPr>
        <w:t xml:space="preserve"> to be made </w:t>
      </w:r>
      <w:r w:rsidR="001861B9" w:rsidRPr="00AA4FB2">
        <w:rPr>
          <w:rFonts w:asciiTheme="majorHAnsi" w:hAnsiTheme="majorHAnsi" w:cstheme="majorHAnsi"/>
        </w:rPr>
        <w:t>to</w:t>
      </w:r>
      <w:r w:rsidR="00F51232" w:rsidRPr="00AA4FB2">
        <w:rPr>
          <w:rFonts w:asciiTheme="majorHAnsi" w:hAnsiTheme="majorHAnsi" w:cstheme="majorHAnsi"/>
        </w:rPr>
        <w:t xml:space="preserve"> justify the data</w:t>
      </w:r>
      <w:r w:rsidR="00F51232" w:rsidRPr="00AA4FB2">
        <w:rPr>
          <w:rFonts w:asciiTheme="majorHAnsi" w:hAnsiTheme="majorHAnsi" w:cstheme="majorHAnsi"/>
        </w:rPr>
        <w:t>.</w:t>
      </w:r>
      <w:r w:rsidR="00F51232" w:rsidRPr="00AA4FB2">
        <w:rPr>
          <w:rFonts w:asciiTheme="majorHAnsi" w:hAnsiTheme="majorHAnsi" w:cstheme="majorHAnsi"/>
        </w:rPr>
        <w:t xml:space="preserve"> Although if used </w:t>
      </w:r>
      <w:r w:rsidR="001861B9" w:rsidRPr="00AA4FB2">
        <w:rPr>
          <w:rFonts w:asciiTheme="majorHAnsi" w:hAnsiTheme="majorHAnsi" w:cstheme="majorHAnsi"/>
        </w:rPr>
        <w:t>alongside</w:t>
      </w:r>
      <w:r w:rsidR="00F51232" w:rsidRPr="00AA4FB2">
        <w:rPr>
          <w:rFonts w:asciiTheme="majorHAnsi" w:hAnsiTheme="majorHAnsi" w:cstheme="majorHAnsi"/>
        </w:rPr>
        <w:t xml:space="preserve"> other </w:t>
      </w:r>
      <w:r w:rsidR="001861B9" w:rsidRPr="00AA4FB2">
        <w:rPr>
          <w:rFonts w:asciiTheme="majorHAnsi" w:hAnsiTheme="majorHAnsi" w:cstheme="majorHAnsi"/>
        </w:rPr>
        <w:t>tools,</w:t>
      </w:r>
      <w:r w:rsidR="00F51232" w:rsidRPr="00AA4FB2">
        <w:rPr>
          <w:rFonts w:asciiTheme="majorHAnsi" w:hAnsiTheme="majorHAnsi" w:cstheme="majorHAnsi"/>
        </w:rPr>
        <w:t xml:space="preserve"> like </w:t>
      </w:r>
      <w:r w:rsidR="001861B9" w:rsidRPr="00AA4FB2">
        <w:rPr>
          <w:rFonts w:asciiTheme="majorHAnsi" w:hAnsiTheme="majorHAnsi" w:cstheme="majorHAnsi"/>
        </w:rPr>
        <w:t>cameras</w:t>
      </w:r>
      <w:r w:rsidR="00F51232" w:rsidRPr="00AA4FB2">
        <w:rPr>
          <w:rFonts w:asciiTheme="majorHAnsi" w:hAnsiTheme="majorHAnsi" w:cstheme="majorHAnsi"/>
        </w:rPr>
        <w:t xml:space="preserve"> can </w:t>
      </w:r>
      <w:r w:rsidR="001861B9" w:rsidRPr="00AA4FB2">
        <w:rPr>
          <w:rFonts w:asciiTheme="majorHAnsi" w:hAnsiTheme="majorHAnsi" w:cstheme="majorHAnsi"/>
        </w:rPr>
        <w:t>prove. In t</w:t>
      </w:r>
      <w:r w:rsidR="00F51232" w:rsidRPr="00AA4FB2">
        <w:rPr>
          <w:rFonts w:asciiTheme="majorHAnsi" w:hAnsiTheme="majorHAnsi" w:cstheme="majorHAnsi"/>
        </w:rPr>
        <w:t>rials like this one—where fragments were small, irregular and numerous—radar may struggle to detect individual pieces, and overlapping signals can introduce anomalies.</w:t>
      </w:r>
      <w:sdt>
        <w:sdtPr>
          <w:rPr>
            <w:rFonts w:asciiTheme="majorHAnsi" w:hAnsiTheme="majorHAnsi" w:cstheme="majorHAnsi"/>
          </w:rPr>
          <w:id w:val="-2026705524"/>
          <w:citation/>
        </w:sdtPr>
        <w:sdtContent>
          <w:r w:rsidR="00D55CB1">
            <w:rPr>
              <w:rFonts w:asciiTheme="majorHAnsi" w:hAnsiTheme="majorHAnsi" w:cstheme="majorHAnsi"/>
            </w:rPr>
            <w:fldChar w:fldCharType="begin"/>
          </w:r>
          <w:r w:rsidR="00D55CB1">
            <w:rPr>
              <w:rFonts w:asciiTheme="majorHAnsi" w:hAnsiTheme="majorHAnsi" w:cstheme="majorHAnsi"/>
            </w:rPr>
            <w:instrText xml:space="preserve"> CITATION 13 \l 2057 </w:instrText>
          </w:r>
          <w:r w:rsidR="00D55CB1">
            <w:rPr>
              <w:rFonts w:asciiTheme="majorHAnsi" w:hAnsiTheme="majorHAnsi" w:cstheme="majorHAnsi"/>
            </w:rPr>
            <w:fldChar w:fldCharType="separate"/>
          </w:r>
          <w:r w:rsidR="007A4287">
            <w:rPr>
              <w:rFonts w:asciiTheme="majorHAnsi" w:hAnsiTheme="majorHAnsi" w:cstheme="majorHAnsi"/>
              <w:noProof/>
            </w:rPr>
            <w:t xml:space="preserve"> </w:t>
          </w:r>
          <w:r w:rsidR="007A4287" w:rsidRPr="007A4287">
            <w:rPr>
              <w:rFonts w:asciiTheme="majorHAnsi" w:hAnsiTheme="majorHAnsi" w:cstheme="majorHAnsi"/>
              <w:noProof/>
            </w:rPr>
            <w:t>[14]</w:t>
          </w:r>
          <w:r w:rsidR="00D55CB1">
            <w:rPr>
              <w:rFonts w:asciiTheme="majorHAnsi" w:hAnsiTheme="majorHAnsi" w:cstheme="majorHAnsi"/>
            </w:rPr>
            <w:fldChar w:fldCharType="end"/>
          </w:r>
        </w:sdtContent>
      </w:sdt>
    </w:p>
    <w:p w14:paraId="72CBE645" w14:textId="58A8276F" w:rsidR="003A0524" w:rsidRPr="00AA4FB2" w:rsidRDefault="00A50C01" w:rsidP="00101483">
      <w:pPr>
        <w:pStyle w:val="Heading2"/>
        <w:rPr>
          <w:rFonts w:cstheme="majorHAnsi"/>
          <w:lang w:val="en-US"/>
        </w:rPr>
      </w:pPr>
      <w:bookmarkStart w:id="6" w:name="_Toc220064217"/>
      <w:r w:rsidRPr="00AA4FB2">
        <w:rPr>
          <w:rFonts w:cstheme="majorHAnsi"/>
          <w:lang w:val="en-US"/>
        </w:rPr>
        <w:t>Strawboard</w:t>
      </w:r>
      <w:bookmarkEnd w:id="6"/>
      <w:r w:rsidR="00965E8B" w:rsidRPr="00AA4FB2">
        <w:rPr>
          <w:rFonts w:cstheme="majorHAnsi"/>
          <w:lang w:val="en-US"/>
        </w:rPr>
        <w:t xml:space="preserve"> </w:t>
      </w:r>
    </w:p>
    <w:p w14:paraId="0BA847E7" w14:textId="03FFE3C4" w:rsidR="005A62C0" w:rsidRPr="00AA4FB2" w:rsidRDefault="006E3CA5" w:rsidP="00965E8B">
      <w:pPr>
        <w:rPr>
          <w:rFonts w:asciiTheme="majorHAnsi" w:hAnsiTheme="majorHAnsi" w:cstheme="majorHAnsi"/>
        </w:rPr>
      </w:pPr>
      <w:r w:rsidRPr="00AA4FB2">
        <w:rPr>
          <w:rFonts w:asciiTheme="majorHAnsi" w:hAnsiTheme="majorHAnsi" w:cstheme="majorHAnsi"/>
        </w:rPr>
        <w:t xml:space="preserve">Strawboard was </w:t>
      </w:r>
      <w:r w:rsidR="005A62C0" w:rsidRPr="00AA4FB2">
        <w:rPr>
          <w:rFonts w:asciiTheme="majorHAnsi" w:hAnsiTheme="majorHAnsi" w:cstheme="majorHAnsi"/>
        </w:rPr>
        <w:t xml:space="preserve">used in the trail </w:t>
      </w:r>
      <w:r w:rsidRPr="00AA4FB2">
        <w:rPr>
          <w:rFonts w:asciiTheme="majorHAnsi" w:hAnsiTheme="majorHAnsi" w:cstheme="majorHAnsi"/>
        </w:rPr>
        <w:t xml:space="preserve">to collect fragmentation resulting from the blast. </w:t>
      </w:r>
      <w:r w:rsidR="005A62C0" w:rsidRPr="00AA4FB2">
        <w:rPr>
          <w:rFonts w:asciiTheme="majorHAnsi" w:hAnsiTheme="majorHAnsi" w:cstheme="majorHAnsi"/>
        </w:rPr>
        <w:t>T</w:t>
      </w:r>
      <w:r w:rsidR="005A62C0" w:rsidRPr="00AA4FB2">
        <w:rPr>
          <w:rFonts w:asciiTheme="majorHAnsi" w:hAnsiTheme="majorHAnsi" w:cstheme="majorHAnsi"/>
        </w:rPr>
        <w:t>hree discrete sections were arranged along an arc at a fixed distance from the detonation point, with each section comprising sixteen layers of compressed strawboard. When the article detonates, fragments perforate the boards, leaving holes and embedded material that can be examined</w:t>
      </w:r>
      <w:r w:rsidR="005A62C0" w:rsidRPr="00AA4FB2">
        <w:rPr>
          <w:rFonts w:asciiTheme="majorHAnsi" w:hAnsiTheme="majorHAnsi" w:cstheme="majorHAnsi"/>
        </w:rPr>
        <w:t>.</w:t>
      </w:r>
      <w:r w:rsidR="005A62C0" w:rsidRPr="00AA4FB2">
        <w:rPr>
          <w:rFonts w:asciiTheme="majorHAnsi" w:hAnsiTheme="majorHAnsi" w:cstheme="majorHAnsi"/>
        </w:rPr>
        <w:t xml:space="preserve"> This method provides information on spatial distribution, fragmentation type (natural or </w:t>
      </w:r>
      <w:r w:rsidR="005A62C0" w:rsidRPr="00AA4FB2">
        <w:rPr>
          <w:rFonts w:asciiTheme="majorHAnsi" w:hAnsiTheme="majorHAnsi" w:cstheme="majorHAnsi"/>
        </w:rPr>
        <w:t>pre-formed</w:t>
      </w:r>
      <w:r w:rsidR="005A62C0" w:rsidRPr="00AA4FB2">
        <w:rPr>
          <w:rFonts w:asciiTheme="majorHAnsi" w:hAnsiTheme="majorHAnsi" w:cstheme="majorHAnsi"/>
        </w:rPr>
        <w:t>), and—if samples are collected—an approximate average fragment mass</w:t>
      </w:r>
      <w:r w:rsidR="005A62C0" w:rsidRPr="00AA4FB2">
        <w:rPr>
          <w:rFonts w:asciiTheme="majorHAnsi" w:hAnsiTheme="majorHAnsi" w:cstheme="majorHAnsi"/>
        </w:rPr>
        <w:t xml:space="preserve">. There is potential to estimate the velocity based on the depth of perforation in the starboard. </w:t>
      </w:r>
      <w:r w:rsidR="005A62C0" w:rsidRPr="00AA4FB2">
        <w:rPr>
          <w:rFonts w:asciiTheme="majorHAnsi" w:hAnsiTheme="majorHAnsi" w:cstheme="majorHAnsi"/>
        </w:rPr>
        <w:t>However, the data obtained are predominantly qualitative, and any quantitative interpretation carries higher uncertainty</w:t>
      </w:r>
      <w:r w:rsidR="005A62C0" w:rsidRPr="00AA4FB2">
        <w:rPr>
          <w:rFonts w:asciiTheme="majorHAnsi" w:hAnsiTheme="majorHAnsi" w:cstheme="majorHAnsi"/>
        </w:rPr>
        <w:t xml:space="preserve"> and needs to be backed up by other techniques</w:t>
      </w:r>
      <w:r w:rsidR="005A62C0" w:rsidRPr="00AA4FB2">
        <w:rPr>
          <w:rFonts w:asciiTheme="majorHAnsi" w:hAnsiTheme="majorHAnsi" w:cstheme="majorHAnsi"/>
        </w:rPr>
        <w:t>. For this reason, strawboard is typically used as a supporting technique</w:t>
      </w:r>
      <w:r w:rsidR="005A62C0" w:rsidRPr="00AA4FB2">
        <w:rPr>
          <w:rFonts w:asciiTheme="majorHAnsi" w:hAnsiTheme="majorHAnsi" w:cstheme="majorHAnsi"/>
        </w:rPr>
        <w:t xml:space="preserve"> where its predominantly use it to collect fragmentation</w:t>
      </w:r>
      <w:r w:rsidR="005A62C0" w:rsidRPr="00AA4FB2">
        <w:rPr>
          <w:rFonts w:asciiTheme="majorHAnsi" w:hAnsiTheme="majorHAnsi" w:cstheme="majorHAnsi"/>
        </w:rPr>
        <w:t>, complementing more precise measurement methods.</w:t>
      </w:r>
      <w:r w:rsidR="005A62C0" w:rsidRPr="00AA4FB2">
        <w:rPr>
          <w:rFonts w:asciiTheme="majorHAnsi" w:hAnsiTheme="majorHAnsi" w:cstheme="majorHAnsi"/>
        </w:rPr>
        <w:t xml:space="preserve">  </w:t>
      </w:r>
      <w:sdt>
        <w:sdtPr>
          <w:rPr>
            <w:rFonts w:asciiTheme="majorHAnsi" w:hAnsiTheme="majorHAnsi" w:cstheme="majorHAnsi"/>
          </w:rPr>
          <w:id w:val="91297560"/>
          <w:citation/>
        </w:sdtPr>
        <w:sdtContent>
          <w:r w:rsidR="00D55CB1">
            <w:rPr>
              <w:rFonts w:asciiTheme="majorHAnsi" w:hAnsiTheme="majorHAnsi" w:cstheme="majorHAnsi"/>
            </w:rPr>
            <w:fldChar w:fldCharType="begin"/>
          </w:r>
          <w:r w:rsidR="00D55CB1">
            <w:rPr>
              <w:rFonts w:asciiTheme="majorHAnsi" w:hAnsiTheme="majorHAnsi" w:cstheme="majorHAnsi"/>
            </w:rPr>
            <w:instrText xml:space="preserve"> CITATION 14 \l 2057 </w:instrText>
          </w:r>
          <w:r w:rsidR="00D55CB1">
            <w:rPr>
              <w:rFonts w:asciiTheme="majorHAnsi" w:hAnsiTheme="majorHAnsi" w:cstheme="majorHAnsi"/>
            </w:rPr>
            <w:fldChar w:fldCharType="separate"/>
          </w:r>
          <w:r w:rsidR="007A4287" w:rsidRPr="007A4287">
            <w:rPr>
              <w:rFonts w:asciiTheme="majorHAnsi" w:hAnsiTheme="majorHAnsi" w:cstheme="majorHAnsi"/>
              <w:noProof/>
            </w:rPr>
            <w:t>[12]</w:t>
          </w:r>
          <w:r w:rsidR="00D55CB1">
            <w:rPr>
              <w:rFonts w:asciiTheme="majorHAnsi" w:hAnsiTheme="majorHAnsi" w:cstheme="majorHAnsi"/>
            </w:rPr>
            <w:fldChar w:fldCharType="end"/>
          </w:r>
        </w:sdtContent>
      </w:sdt>
      <w:sdt>
        <w:sdtPr>
          <w:rPr>
            <w:rFonts w:asciiTheme="majorHAnsi" w:hAnsiTheme="majorHAnsi" w:cstheme="majorHAnsi"/>
          </w:rPr>
          <w:id w:val="-604885668"/>
          <w:citation/>
        </w:sdtPr>
        <w:sdtContent>
          <w:r w:rsidR="00D55CB1">
            <w:rPr>
              <w:rFonts w:asciiTheme="majorHAnsi" w:hAnsiTheme="majorHAnsi" w:cstheme="majorHAnsi"/>
            </w:rPr>
            <w:fldChar w:fldCharType="begin"/>
          </w:r>
          <w:r w:rsidR="00D55CB1">
            <w:rPr>
              <w:rFonts w:asciiTheme="majorHAnsi" w:hAnsiTheme="majorHAnsi" w:cstheme="majorHAnsi"/>
            </w:rPr>
            <w:instrText xml:space="preserve"> CITATION 16 \l 2057 </w:instrText>
          </w:r>
          <w:r w:rsidR="00D55CB1">
            <w:rPr>
              <w:rFonts w:asciiTheme="majorHAnsi" w:hAnsiTheme="majorHAnsi" w:cstheme="majorHAnsi"/>
            </w:rPr>
            <w:fldChar w:fldCharType="separate"/>
          </w:r>
          <w:r w:rsidR="007A4287">
            <w:rPr>
              <w:rFonts w:asciiTheme="majorHAnsi" w:hAnsiTheme="majorHAnsi" w:cstheme="majorHAnsi"/>
              <w:noProof/>
            </w:rPr>
            <w:t xml:space="preserve"> </w:t>
          </w:r>
          <w:r w:rsidR="007A4287" w:rsidRPr="007A4287">
            <w:rPr>
              <w:rFonts w:asciiTheme="majorHAnsi" w:hAnsiTheme="majorHAnsi" w:cstheme="majorHAnsi"/>
              <w:noProof/>
            </w:rPr>
            <w:t>[15]</w:t>
          </w:r>
          <w:r w:rsidR="00D55CB1">
            <w:rPr>
              <w:rFonts w:asciiTheme="majorHAnsi" w:hAnsiTheme="majorHAnsi" w:cstheme="majorHAnsi"/>
            </w:rPr>
            <w:fldChar w:fldCharType="end"/>
          </w:r>
        </w:sdtContent>
      </w:sdt>
    </w:p>
    <w:p w14:paraId="6B1C2887" w14:textId="19BCC203" w:rsidR="005A62C0" w:rsidRPr="00AA4FB2" w:rsidRDefault="0021453A" w:rsidP="00965E8B">
      <w:pPr>
        <w:rPr>
          <w:rFonts w:asciiTheme="majorHAnsi" w:hAnsiTheme="majorHAnsi" w:cstheme="majorHAnsi"/>
        </w:rPr>
      </w:pPr>
      <w:r w:rsidRPr="00AA4FB2">
        <w:rPr>
          <w:rFonts w:asciiTheme="majorHAnsi" w:hAnsiTheme="majorHAnsi" w:cstheme="majorHAnsi"/>
        </w:rPr>
        <w:t xml:space="preserve">The primary strength of </w:t>
      </w:r>
      <w:r w:rsidR="00C855D7" w:rsidRPr="00AA4FB2">
        <w:rPr>
          <w:rFonts w:asciiTheme="majorHAnsi" w:hAnsiTheme="majorHAnsi" w:cstheme="majorHAnsi"/>
        </w:rPr>
        <w:t>strawboards</w:t>
      </w:r>
      <w:r w:rsidR="00CC1233" w:rsidRPr="00AA4FB2">
        <w:rPr>
          <w:rFonts w:asciiTheme="majorHAnsi" w:hAnsiTheme="majorHAnsi" w:cstheme="majorHAnsi"/>
        </w:rPr>
        <w:t xml:space="preserve"> is </w:t>
      </w:r>
      <w:r w:rsidR="005A62C0" w:rsidRPr="00AA4FB2">
        <w:rPr>
          <w:rFonts w:asciiTheme="majorHAnsi" w:hAnsiTheme="majorHAnsi" w:cstheme="majorHAnsi"/>
        </w:rPr>
        <w:t>simplicity.</w:t>
      </w:r>
      <w:r w:rsidR="00CC1233" w:rsidRPr="00AA4FB2">
        <w:rPr>
          <w:rFonts w:asciiTheme="majorHAnsi" w:hAnsiTheme="majorHAnsi" w:cstheme="majorHAnsi"/>
        </w:rPr>
        <w:t xml:space="preserve"> </w:t>
      </w:r>
      <w:r w:rsidR="005A62C0" w:rsidRPr="00AA4FB2">
        <w:rPr>
          <w:rFonts w:asciiTheme="majorHAnsi" w:hAnsiTheme="majorHAnsi" w:cstheme="majorHAnsi"/>
        </w:rPr>
        <w:t xml:space="preserve">It requires no electronics, power supply or protective housing, making it highly robust in explosive environments. Its low cost allows large areas to be covered, enabling rapid assessment of fragmentation patterns. Boards can also be removed from the arena and examined </w:t>
      </w:r>
      <w:r w:rsidR="005A62C0" w:rsidRPr="00AA4FB2">
        <w:rPr>
          <w:rFonts w:asciiTheme="majorHAnsi" w:hAnsiTheme="majorHAnsi" w:cstheme="majorHAnsi"/>
        </w:rPr>
        <w:t>off-site</w:t>
      </w:r>
      <w:r w:rsidR="005A62C0" w:rsidRPr="00AA4FB2">
        <w:rPr>
          <w:rFonts w:asciiTheme="majorHAnsi" w:hAnsiTheme="majorHAnsi" w:cstheme="majorHAnsi"/>
        </w:rPr>
        <w:t>, which is useful for detailed post</w:t>
      </w:r>
      <w:r w:rsidR="005A62C0" w:rsidRPr="00AA4FB2">
        <w:rPr>
          <w:rFonts w:asciiTheme="majorHAnsi" w:hAnsiTheme="majorHAnsi" w:cstheme="majorHAnsi"/>
        </w:rPr>
        <w:noBreakHyphen/>
        <w:t>trial analysis</w:t>
      </w:r>
      <w:r w:rsidR="005A62C0" w:rsidRPr="00AA4FB2">
        <w:rPr>
          <w:rFonts w:asciiTheme="majorHAnsi" w:hAnsiTheme="majorHAnsi" w:cstheme="majorHAnsi"/>
        </w:rPr>
        <w:t xml:space="preserve"> or retesting</w:t>
      </w:r>
      <w:r w:rsidR="005A62C0" w:rsidRPr="00AA4FB2">
        <w:rPr>
          <w:rFonts w:asciiTheme="majorHAnsi" w:hAnsiTheme="majorHAnsi" w:cstheme="majorHAnsi"/>
        </w:rPr>
        <w:t>.</w:t>
      </w:r>
    </w:p>
    <w:p w14:paraId="1E6EA692" w14:textId="4F4D56AD" w:rsidR="005A62C0" w:rsidRPr="00AA4FB2" w:rsidRDefault="005A62C0" w:rsidP="00965E8B">
      <w:pPr>
        <w:rPr>
          <w:rFonts w:asciiTheme="majorHAnsi" w:hAnsiTheme="majorHAnsi" w:cstheme="majorHAnsi"/>
        </w:rPr>
      </w:pPr>
      <w:r w:rsidRPr="00AA4FB2">
        <w:rPr>
          <w:rFonts w:asciiTheme="majorHAnsi" w:hAnsiTheme="majorHAnsi" w:cstheme="majorHAnsi"/>
        </w:rPr>
        <w:t xml:space="preserve">Despite these advantages, strawboard has notable limitations. It provides only a snapshot of </w:t>
      </w:r>
      <w:r w:rsidRPr="00AA4FB2">
        <w:rPr>
          <w:rFonts w:asciiTheme="majorHAnsi" w:hAnsiTheme="majorHAnsi" w:cstheme="majorHAnsi"/>
        </w:rPr>
        <w:t>post-blast</w:t>
      </w:r>
      <w:r w:rsidRPr="00AA4FB2">
        <w:rPr>
          <w:rFonts w:asciiTheme="majorHAnsi" w:hAnsiTheme="majorHAnsi" w:cstheme="majorHAnsi"/>
        </w:rPr>
        <w:t xml:space="preserve"> effects and cannot capture</w:t>
      </w:r>
      <w:r w:rsidRPr="00AA4FB2">
        <w:rPr>
          <w:rFonts w:asciiTheme="majorHAnsi" w:hAnsiTheme="majorHAnsi" w:cstheme="majorHAnsi"/>
        </w:rPr>
        <w:t xml:space="preserve"> reliable </w:t>
      </w:r>
      <w:r w:rsidRPr="00AA4FB2">
        <w:rPr>
          <w:rFonts w:asciiTheme="majorHAnsi" w:hAnsiTheme="majorHAnsi" w:cstheme="majorHAnsi"/>
        </w:rPr>
        <w:t>quantitative parameters such as fragment velocity,</w:t>
      </w:r>
      <w:r w:rsidR="00AA71C7" w:rsidRPr="00AA4FB2">
        <w:rPr>
          <w:rFonts w:asciiTheme="majorHAnsi" w:hAnsiTheme="majorHAnsi" w:cstheme="majorHAnsi"/>
        </w:rPr>
        <w:t xml:space="preserve"> </w:t>
      </w:r>
      <w:r w:rsidR="00AA71C7" w:rsidRPr="00AA4FB2">
        <w:rPr>
          <w:rFonts w:asciiTheme="majorHAnsi" w:hAnsiTheme="majorHAnsi" w:cstheme="majorHAnsi"/>
        </w:rPr>
        <w:t xml:space="preserve">which are essential for lethality modelling and performance assessment. It also records only the fragments that physically </w:t>
      </w:r>
      <w:r w:rsidR="00AA71C7" w:rsidRPr="00AA4FB2">
        <w:rPr>
          <w:rFonts w:asciiTheme="majorHAnsi" w:hAnsiTheme="majorHAnsi" w:cstheme="majorHAnsi"/>
        </w:rPr>
        <w:lastRenderedPageBreak/>
        <w:t>strike the boards, representing a small sample of the total fragmentation field. High fragment densities</w:t>
      </w:r>
      <w:r w:rsidR="00AA71C7" w:rsidRPr="00AA4FB2">
        <w:rPr>
          <w:rFonts w:asciiTheme="majorHAnsi" w:hAnsiTheme="majorHAnsi" w:cstheme="majorHAnsi"/>
        </w:rPr>
        <w:t xml:space="preserve"> </w:t>
      </w:r>
      <w:r w:rsidR="00AA71C7" w:rsidRPr="00AA4FB2">
        <w:rPr>
          <w:rFonts w:asciiTheme="majorHAnsi" w:hAnsiTheme="majorHAnsi" w:cstheme="majorHAnsi"/>
        </w:rPr>
        <w:t>overwhelm the boards</w:t>
      </w:r>
      <w:r w:rsidR="00AA71C7" w:rsidRPr="00AA4FB2">
        <w:rPr>
          <w:rFonts w:asciiTheme="majorHAnsi" w:hAnsiTheme="majorHAnsi" w:cstheme="majorHAnsi"/>
        </w:rPr>
        <w:t xml:space="preserve">, weakening the material. Along with </w:t>
      </w:r>
      <w:r w:rsidR="00AA71C7" w:rsidRPr="00AA4FB2">
        <w:rPr>
          <w:rFonts w:asciiTheme="majorHAnsi" w:hAnsiTheme="majorHAnsi" w:cstheme="majorHAnsi"/>
        </w:rPr>
        <w:t>Environmental conditions</w:t>
      </w:r>
      <w:r w:rsidR="00AA71C7" w:rsidRPr="00AA4FB2">
        <w:rPr>
          <w:rFonts w:asciiTheme="majorHAnsi" w:hAnsiTheme="majorHAnsi" w:cstheme="majorHAnsi"/>
        </w:rPr>
        <w:t xml:space="preserve"> like </w:t>
      </w:r>
      <w:r w:rsidR="00AA71C7" w:rsidRPr="00AA4FB2">
        <w:rPr>
          <w:rFonts w:asciiTheme="majorHAnsi" w:hAnsiTheme="majorHAnsi" w:cstheme="majorHAnsi"/>
        </w:rPr>
        <w:t>rain, humidity and wind</w:t>
      </w:r>
      <w:r w:rsidR="00AA71C7" w:rsidRPr="00AA4FB2">
        <w:rPr>
          <w:rFonts w:asciiTheme="majorHAnsi" w:hAnsiTheme="majorHAnsi" w:cstheme="majorHAnsi"/>
        </w:rPr>
        <w:t xml:space="preserve">, which </w:t>
      </w:r>
      <w:r w:rsidR="00AA71C7" w:rsidRPr="00AA4FB2">
        <w:rPr>
          <w:rFonts w:asciiTheme="majorHAnsi" w:hAnsiTheme="majorHAnsi" w:cstheme="majorHAnsi"/>
        </w:rPr>
        <w:t>can</w:t>
      </w:r>
      <w:r w:rsidR="00AA71C7" w:rsidRPr="00AA4FB2">
        <w:rPr>
          <w:rFonts w:asciiTheme="majorHAnsi" w:hAnsiTheme="majorHAnsi" w:cstheme="majorHAnsi"/>
        </w:rPr>
        <w:t xml:space="preserve"> also</w:t>
      </w:r>
      <w:r w:rsidR="00AA71C7" w:rsidRPr="00AA4FB2">
        <w:rPr>
          <w:rFonts w:asciiTheme="majorHAnsi" w:hAnsiTheme="majorHAnsi" w:cstheme="majorHAnsi"/>
        </w:rPr>
        <w:t xml:space="preserve"> weaken the material and affect penetration </w:t>
      </w:r>
      <w:r w:rsidR="00AA71C7" w:rsidRPr="00AA4FB2">
        <w:rPr>
          <w:rFonts w:asciiTheme="majorHAnsi" w:hAnsiTheme="majorHAnsi" w:cstheme="majorHAnsi"/>
        </w:rPr>
        <w:t>depth and make recovery of fragments harder</w:t>
      </w:r>
      <w:r w:rsidR="00AA71C7" w:rsidRPr="00AA4FB2">
        <w:rPr>
          <w:rFonts w:asciiTheme="majorHAnsi" w:hAnsiTheme="majorHAnsi" w:cstheme="majorHAnsi"/>
        </w:rPr>
        <w:t xml:space="preserve">, further reducing reliability. As a result, strawboard alone is not </w:t>
      </w:r>
      <w:r w:rsidR="00AA71C7" w:rsidRPr="00AA4FB2">
        <w:rPr>
          <w:rFonts w:asciiTheme="majorHAnsi" w:hAnsiTheme="majorHAnsi" w:cstheme="majorHAnsi"/>
        </w:rPr>
        <w:t xml:space="preserve">a </w:t>
      </w:r>
      <w:r w:rsidR="00AA71C7" w:rsidRPr="00AA4FB2">
        <w:rPr>
          <w:rFonts w:asciiTheme="majorHAnsi" w:hAnsiTheme="majorHAnsi" w:cstheme="majorHAnsi"/>
        </w:rPr>
        <w:t xml:space="preserve">conclusive </w:t>
      </w:r>
      <w:r w:rsidR="00AA71C7" w:rsidRPr="00AA4FB2">
        <w:rPr>
          <w:rFonts w:asciiTheme="majorHAnsi" w:hAnsiTheme="majorHAnsi" w:cstheme="majorHAnsi"/>
        </w:rPr>
        <w:t>way to determine a munition, but a supporting piece of data alongside more concrete data from other data collection techniques.</w:t>
      </w:r>
    </w:p>
    <w:p w14:paraId="182D22A6" w14:textId="6F6994CE" w:rsidR="00AA71C7" w:rsidRPr="00AA4FB2" w:rsidRDefault="00AA71C7" w:rsidP="00AA71C7">
      <w:pPr>
        <w:rPr>
          <w:rFonts w:asciiTheme="majorHAnsi" w:hAnsiTheme="majorHAnsi" w:cstheme="majorHAnsi"/>
        </w:rPr>
      </w:pPr>
      <w:r w:rsidRPr="00AA71C7">
        <w:rPr>
          <w:rFonts w:asciiTheme="majorHAnsi" w:hAnsiTheme="majorHAnsi" w:cstheme="majorHAnsi"/>
          <w:lang w:val="en-US"/>
        </w:rPr>
        <w:t>Strawboard can offer limited supporting insight into fragment velocity by examining penetration depth, but this is not considered reliable due to the large assumptions required and the potential for human error</w:t>
      </w:r>
      <w:r w:rsidRPr="00AA4FB2">
        <w:rPr>
          <w:rFonts w:asciiTheme="majorHAnsi" w:hAnsiTheme="majorHAnsi" w:cstheme="majorHAnsi"/>
          <w:lang w:val="en-US"/>
        </w:rPr>
        <w:t xml:space="preserve"> when estimating velocities and fragment masses</w:t>
      </w:r>
      <w:r w:rsidRPr="00AA71C7">
        <w:rPr>
          <w:rFonts w:asciiTheme="majorHAnsi" w:hAnsiTheme="majorHAnsi" w:cstheme="majorHAnsi"/>
          <w:lang w:val="en-US"/>
        </w:rPr>
        <w:t xml:space="preserve">. More durable materials, such as </w:t>
      </w:r>
      <w:r w:rsidRPr="00AA4FB2">
        <w:rPr>
          <w:rFonts w:asciiTheme="majorHAnsi" w:hAnsiTheme="majorHAnsi" w:cstheme="majorHAnsi"/>
          <w:lang w:val="en-US"/>
        </w:rPr>
        <w:t>aluminum</w:t>
      </w:r>
      <w:r w:rsidRPr="00AA71C7">
        <w:rPr>
          <w:rFonts w:asciiTheme="majorHAnsi" w:hAnsiTheme="majorHAnsi" w:cstheme="majorHAnsi"/>
          <w:lang w:val="en-US"/>
        </w:rPr>
        <w:t xml:space="preserve"> or steel witness plates, may be used </w:t>
      </w:r>
      <w:r w:rsidRPr="00AA4FB2">
        <w:rPr>
          <w:rFonts w:asciiTheme="majorHAnsi" w:hAnsiTheme="majorHAnsi" w:cstheme="majorHAnsi"/>
        </w:rPr>
        <w:t xml:space="preserve">when greater structural integrity is </w:t>
      </w:r>
      <w:r w:rsidRPr="00AA4FB2">
        <w:rPr>
          <w:rFonts w:asciiTheme="majorHAnsi" w:hAnsiTheme="majorHAnsi" w:cstheme="majorHAnsi"/>
        </w:rPr>
        <w:t>required, whether that is due to weather or explosive and fragmentation power.</w:t>
      </w:r>
    </w:p>
    <w:p w14:paraId="47FC1F94" w14:textId="1011B90F" w:rsidR="00F0797E" w:rsidRPr="00AA4FB2" w:rsidRDefault="00AA71C7" w:rsidP="00965E8B">
      <w:pPr>
        <w:rPr>
          <w:rFonts w:asciiTheme="majorHAnsi" w:hAnsiTheme="majorHAnsi" w:cstheme="majorHAnsi"/>
          <w:lang w:val="en-US"/>
        </w:rPr>
      </w:pPr>
      <w:r w:rsidRPr="00AA4FB2">
        <w:rPr>
          <w:rFonts w:asciiTheme="majorHAnsi" w:hAnsiTheme="majorHAnsi" w:cstheme="majorHAnsi"/>
        </w:rPr>
        <w:t>I</w:t>
      </w:r>
      <w:r w:rsidRPr="00AA4FB2">
        <w:rPr>
          <w:rFonts w:asciiTheme="majorHAnsi" w:hAnsiTheme="majorHAnsi" w:cstheme="majorHAnsi"/>
        </w:rPr>
        <w:t>n some trials, fragmentation ditches are used alongside or instead of strawboard. These shallow trenches filled with soft soil or sand capture fragments as they land, preserving their shape, mass and terminal behaviour. While they do not provide spatial mapping as precisely as boards, they offer a valuable method for recovering intact fragments for further analysis.</w:t>
      </w:r>
      <w:sdt>
        <w:sdtPr>
          <w:rPr>
            <w:rFonts w:asciiTheme="majorHAnsi" w:hAnsiTheme="majorHAnsi" w:cstheme="majorHAnsi"/>
          </w:rPr>
          <w:id w:val="-1028251186"/>
          <w:citation/>
        </w:sdtPr>
        <w:sdtContent>
          <w:r w:rsidR="00771838">
            <w:rPr>
              <w:rFonts w:asciiTheme="majorHAnsi" w:hAnsiTheme="majorHAnsi" w:cstheme="majorHAnsi"/>
            </w:rPr>
            <w:fldChar w:fldCharType="begin"/>
          </w:r>
          <w:r w:rsidR="00771838">
            <w:rPr>
              <w:rFonts w:asciiTheme="majorHAnsi" w:hAnsiTheme="majorHAnsi" w:cstheme="majorHAnsi"/>
            </w:rPr>
            <w:instrText xml:space="preserve"> CITATION 15 \l 2057 </w:instrText>
          </w:r>
          <w:r w:rsidR="00771838">
            <w:rPr>
              <w:rFonts w:asciiTheme="majorHAnsi" w:hAnsiTheme="majorHAnsi" w:cstheme="majorHAnsi"/>
            </w:rPr>
            <w:fldChar w:fldCharType="separate"/>
          </w:r>
          <w:r w:rsidR="007A4287">
            <w:rPr>
              <w:rFonts w:asciiTheme="majorHAnsi" w:hAnsiTheme="majorHAnsi" w:cstheme="majorHAnsi"/>
              <w:noProof/>
            </w:rPr>
            <w:t xml:space="preserve"> </w:t>
          </w:r>
          <w:r w:rsidR="007A4287" w:rsidRPr="007A4287">
            <w:rPr>
              <w:rFonts w:asciiTheme="majorHAnsi" w:hAnsiTheme="majorHAnsi" w:cstheme="majorHAnsi"/>
              <w:noProof/>
            </w:rPr>
            <w:t>[16]</w:t>
          </w:r>
          <w:r w:rsidR="00771838">
            <w:rPr>
              <w:rFonts w:asciiTheme="majorHAnsi" w:hAnsiTheme="majorHAnsi" w:cstheme="majorHAnsi"/>
            </w:rPr>
            <w:fldChar w:fldCharType="end"/>
          </w:r>
        </w:sdtContent>
      </w:sdt>
    </w:p>
    <w:p w14:paraId="7C99BABE" w14:textId="2EE6870E" w:rsidR="00DA54D2" w:rsidRPr="00AA4FB2" w:rsidRDefault="005464F8" w:rsidP="00DA54D2">
      <w:pPr>
        <w:pStyle w:val="Heading2"/>
        <w:rPr>
          <w:rFonts w:cstheme="majorHAnsi"/>
          <w:lang w:val="en-US"/>
        </w:rPr>
      </w:pPr>
      <w:bookmarkStart w:id="7" w:name="_Toc220064218"/>
      <w:r w:rsidRPr="00AA4FB2">
        <w:rPr>
          <w:rFonts w:cstheme="majorHAnsi"/>
          <w:lang w:val="en-US"/>
        </w:rPr>
        <w:t>FT-IR</w:t>
      </w:r>
      <w:bookmarkEnd w:id="7"/>
    </w:p>
    <w:p w14:paraId="1D7914B9" w14:textId="36825159" w:rsidR="0015010C" w:rsidRPr="00AA4FB2" w:rsidRDefault="005464F8" w:rsidP="005464F8">
      <w:pPr>
        <w:rPr>
          <w:rFonts w:asciiTheme="majorHAnsi" w:hAnsiTheme="majorHAnsi" w:cstheme="majorHAnsi"/>
          <w:lang w:val="en-US"/>
        </w:rPr>
      </w:pPr>
      <w:r w:rsidRPr="00AA4FB2">
        <w:rPr>
          <w:rFonts w:asciiTheme="majorHAnsi" w:hAnsiTheme="majorHAnsi" w:cstheme="majorHAnsi"/>
          <w:lang w:val="en-US"/>
        </w:rPr>
        <w:t xml:space="preserve">FT-IR (Fourier Transform Infrared Spectroscopy) post-event </w:t>
      </w:r>
      <w:r w:rsidR="00AA71C7" w:rsidRPr="00AA4FB2">
        <w:rPr>
          <w:rFonts w:asciiTheme="majorHAnsi" w:hAnsiTheme="majorHAnsi" w:cstheme="majorHAnsi"/>
          <w:lang w:val="en-US"/>
        </w:rPr>
        <w:t>analysis is</w:t>
      </w:r>
      <w:r w:rsidR="00AA71C7" w:rsidRPr="00AA4FB2">
        <w:rPr>
          <w:rFonts w:asciiTheme="majorHAnsi" w:hAnsiTheme="majorHAnsi" w:cstheme="majorHAnsi"/>
          <w:lang w:val="en-US"/>
        </w:rPr>
        <w:t xml:space="preserve"> a technique </w:t>
      </w:r>
      <w:r w:rsidR="0015010C" w:rsidRPr="00AA4FB2">
        <w:rPr>
          <w:rFonts w:asciiTheme="majorHAnsi" w:hAnsiTheme="majorHAnsi" w:cstheme="majorHAnsi"/>
          <w:lang w:val="en-US"/>
        </w:rPr>
        <w:t>that</w:t>
      </w:r>
      <w:r w:rsidR="00AA71C7" w:rsidRPr="00AA4FB2">
        <w:rPr>
          <w:rFonts w:asciiTheme="majorHAnsi" w:hAnsiTheme="majorHAnsi" w:cstheme="majorHAnsi"/>
          <w:lang w:val="en-US"/>
        </w:rPr>
        <w:t xml:space="preserve"> </w:t>
      </w:r>
      <w:r w:rsidRPr="00AA4FB2">
        <w:rPr>
          <w:rFonts w:asciiTheme="majorHAnsi" w:hAnsiTheme="majorHAnsi" w:cstheme="majorHAnsi"/>
          <w:lang w:val="en-US"/>
        </w:rPr>
        <w:t xml:space="preserve">examines the </w:t>
      </w:r>
      <w:r w:rsidR="0015010C" w:rsidRPr="00AA4FB2">
        <w:rPr>
          <w:rFonts w:asciiTheme="majorHAnsi" w:hAnsiTheme="majorHAnsi" w:cstheme="majorHAnsi"/>
          <w:lang w:val="en-US"/>
        </w:rPr>
        <w:t xml:space="preserve">chemical </w:t>
      </w:r>
      <w:r w:rsidRPr="00AA4FB2">
        <w:rPr>
          <w:rFonts w:asciiTheme="majorHAnsi" w:hAnsiTheme="majorHAnsi" w:cstheme="majorHAnsi"/>
          <w:lang w:val="en-US"/>
        </w:rPr>
        <w:t xml:space="preserve">residue left after </w:t>
      </w:r>
      <w:r w:rsidR="0015010C" w:rsidRPr="00AA4FB2">
        <w:rPr>
          <w:rFonts w:asciiTheme="majorHAnsi" w:hAnsiTheme="majorHAnsi" w:cstheme="majorHAnsi"/>
          <w:lang w:val="en-US"/>
        </w:rPr>
        <w:t>the explosive</w:t>
      </w:r>
      <w:r w:rsidR="0015010C" w:rsidRPr="00AA4FB2">
        <w:rPr>
          <w:rFonts w:asciiTheme="majorHAnsi" w:hAnsiTheme="majorHAnsi" w:cstheme="majorHAnsi"/>
          <w:lang w:val="en-US"/>
        </w:rPr>
        <w:t xml:space="preserve"> </w:t>
      </w:r>
      <w:r w:rsidRPr="00AA4FB2">
        <w:rPr>
          <w:rFonts w:asciiTheme="majorHAnsi" w:hAnsiTheme="majorHAnsi" w:cstheme="majorHAnsi"/>
          <w:lang w:val="en-US"/>
        </w:rPr>
        <w:t>event</w:t>
      </w:r>
      <w:r w:rsidR="00472D12" w:rsidRPr="00AA4FB2">
        <w:rPr>
          <w:rFonts w:asciiTheme="majorHAnsi" w:hAnsiTheme="majorHAnsi" w:cstheme="majorHAnsi"/>
          <w:lang w:val="en-US"/>
        </w:rPr>
        <w:t xml:space="preserve"> </w:t>
      </w:r>
      <w:proofErr w:type="spellStart"/>
      <w:r w:rsidR="0015010C" w:rsidRPr="00AA4FB2">
        <w:rPr>
          <w:rFonts w:asciiTheme="majorHAnsi" w:hAnsiTheme="majorHAnsi" w:cstheme="majorHAnsi"/>
          <w:lang w:val="en-US"/>
        </w:rPr>
        <w:t>i</w:t>
      </w:r>
      <w:proofErr w:type="spellEnd"/>
      <w:r w:rsidR="0015010C" w:rsidRPr="00AA4FB2">
        <w:rPr>
          <w:rFonts w:asciiTheme="majorHAnsi" w:hAnsiTheme="majorHAnsi" w:cstheme="majorHAnsi"/>
        </w:rPr>
        <w:t>n this trial, residues were collected using swabs from the arena following detonation of the munition. FT-IR operates by measuring the absorption of infrared radiation by a sample, producing a spectrum that reflects the vibrational behaviour of molecular bonds. Different functional groups absorb infrared radiation at characteristic wavelengths, resulting in a spectral “fingerprint” that can be compared against reference spectra.</w:t>
      </w:r>
      <w:r w:rsidR="00771838">
        <w:rPr>
          <w:rFonts w:asciiTheme="majorHAnsi" w:hAnsiTheme="majorHAnsi" w:cstheme="majorHAnsi"/>
        </w:rPr>
        <w:t xml:space="preserve"> </w:t>
      </w:r>
      <w:sdt>
        <w:sdtPr>
          <w:rPr>
            <w:rFonts w:asciiTheme="majorHAnsi" w:hAnsiTheme="majorHAnsi" w:cstheme="majorHAnsi"/>
          </w:rPr>
          <w:id w:val="-1807154241"/>
          <w:citation/>
        </w:sdtPr>
        <w:sdtContent>
          <w:r w:rsidR="00771838">
            <w:rPr>
              <w:rFonts w:asciiTheme="majorHAnsi" w:hAnsiTheme="majorHAnsi" w:cstheme="majorHAnsi"/>
            </w:rPr>
            <w:fldChar w:fldCharType="begin"/>
          </w:r>
          <w:r w:rsidR="00771838">
            <w:rPr>
              <w:rFonts w:asciiTheme="majorHAnsi" w:hAnsiTheme="majorHAnsi" w:cstheme="majorHAnsi"/>
            </w:rPr>
            <w:instrText xml:space="preserve"> CITATION 17 \l 2057 </w:instrText>
          </w:r>
          <w:r w:rsidR="00771838">
            <w:rPr>
              <w:rFonts w:asciiTheme="majorHAnsi" w:hAnsiTheme="majorHAnsi" w:cstheme="majorHAnsi"/>
            </w:rPr>
            <w:fldChar w:fldCharType="separate"/>
          </w:r>
          <w:r w:rsidR="007A4287" w:rsidRPr="007A4287">
            <w:rPr>
              <w:rFonts w:asciiTheme="majorHAnsi" w:hAnsiTheme="majorHAnsi" w:cstheme="majorHAnsi"/>
              <w:noProof/>
            </w:rPr>
            <w:t>[17]</w:t>
          </w:r>
          <w:r w:rsidR="00771838">
            <w:rPr>
              <w:rFonts w:asciiTheme="majorHAnsi" w:hAnsiTheme="majorHAnsi" w:cstheme="majorHAnsi"/>
            </w:rPr>
            <w:fldChar w:fldCharType="end"/>
          </w:r>
        </w:sdtContent>
      </w:sdt>
    </w:p>
    <w:p w14:paraId="22D35801" w14:textId="4E52B9CE" w:rsidR="0015010C" w:rsidRPr="00AA4FB2" w:rsidRDefault="0015010C" w:rsidP="0015010C">
      <w:pPr>
        <w:rPr>
          <w:rFonts w:asciiTheme="majorHAnsi" w:hAnsiTheme="majorHAnsi" w:cstheme="majorHAnsi"/>
          <w:lang w:val="en-US"/>
        </w:rPr>
      </w:pPr>
      <w:r w:rsidRPr="00AA4FB2">
        <w:rPr>
          <w:rFonts w:asciiTheme="majorHAnsi" w:hAnsiTheme="majorHAnsi" w:cstheme="majorHAnsi"/>
        </w:rPr>
        <w:t xml:space="preserve">FT-IR was used to support the identification of explosive-related residues and to assess </w:t>
      </w:r>
      <w:r w:rsidRPr="00AA4FB2">
        <w:rPr>
          <w:rFonts w:asciiTheme="majorHAnsi" w:hAnsiTheme="majorHAnsi" w:cstheme="majorHAnsi"/>
        </w:rPr>
        <w:t xml:space="preserve">what energetic material the munition uses. It also looks at </w:t>
      </w:r>
      <w:r w:rsidRPr="00AA4FB2">
        <w:rPr>
          <w:rFonts w:asciiTheme="majorHAnsi" w:hAnsiTheme="majorHAnsi" w:cstheme="majorHAnsi"/>
        </w:rPr>
        <w:t xml:space="preserve">whether </w:t>
      </w:r>
      <w:r w:rsidRPr="00AA4FB2">
        <w:rPr>
          <w:rFonts w:asciiTheme="majorHAnsi" w:hAnsiTheme="majorHAnsi" w:cstheme="majorHAnsi"/>
        </w:rPr>
        <w:t xml:space="preserve">it </w:t>
      </w:r>
      <w:r w:rsidRPr="00AA4FB2">
        <w:rPr>
          <w:rFonts w:asciiTheme="majorHAnsi" w:hAnsiTheme="majorHAnsi" w:cstheme="majorHAnsi"/>
        </w:rPr>
        <w:t>functioned as expected</w:t>
      </w:r>
      <w:r w:rsidRPr="00AA4FB2">
        <w:rPr>
          <w:rFonts w:asciiTheme="majorHAnsi" w:hAnsiTheme="majorHAnsi" w:cstheme="majorHAnsi"/>
        </w:rPr>
        <w:t xml:space="preserve">, as seen by the </w:t>
      </w:r>
      <w:r w:rsidRPr="00AA4FB2">
        <w:rPr>
          <w:rFonts w:asciiTheme="majorHAnsi" w:hAnsiTheme="majorHAnsi" w:cstheme="majorHAnsi"/>
        </w:rPr>
        <w:t xml:space="preserve">presence of unreacted </w:t>
      </w:r>
      <w:r w:rsidRPr="00AA4FB2">
        <w:rPr>
          <w:rFonts w:asciiTheme="majorHAnsi" w:hAnsiTheme="majorHAnsi" w:cstheme="majorHAnsi"/>
        </w:rPr>
        <w:t>energy when interpreted</w:t>
      </w:r>
      <w:r w:rsidRPr="00AA4FB2">
        <w:rPr>
          <w:rFonts w:asciiTheme="majorHAnsi" w:hAnsiTheme="majorHAnsi" w:cstheme="majorHAnsi"/>
        </w:rPr>
        <w:t xml:space="preserve"> alongside blast and fragmentation data</w:t>
      </w:r>
      <w:r w:rsidRPr="00AA4FB2">
        <w:rPr>
          <w:rFonts w:asciiTheme="majorHAnsi" w:hAnsiTheme="majorHAnsi" w:cstheme="majorHAnsi"/>
        </w:rPr>
        <w:t xml:space="preserve">. There should also be a trace of post detonation products around the area if there was a detonation occurred. </w:t>
      </w:r>
      <w:r w:rsidRPr="00AA4FB2">
        <w:rPr>
          <w:rFonts w:asciiTheme="majorHAnsi" w:hAnsiTheme="majorHAnsi" w:cstheme="majorHAnsi"/>
        </w:rPr>
        <w:t>To account for background contamination, pre-blast swabs were collected</w:t>
      </w:r>
      <w:r w:rsidRPr="00AA4FB2">
        <w:rPr>
          <w:rFonts w:asciiTheme="majorHAnsi" w:hAnsiTheme="majorHAnsi" w:cstheme="majorHAnsi"/>
        </w:rPr>
        <w:t xml:space="preserve"> in the same spot where the post-blast areas will be swabbed</w:t>
      </w:r>
      <w:r w:rsidRPr="00AA4FB2">
        <w:rPr>
          <w:rFonts w:asciiTheme="majorHAnsi" w:hAnsiTheme="majorHAnsi" w:cstheme="majorHAnsi"/>
        </w:rPr>
        <w:t xml:space="preserve"> to establish baseline residue levels, enabling more reliable interpretation of post-blast samples</w:t>
      </w:r>
      <w:r w:rsidRPr="00AA4FB2">
        <w:rPr>
          <w:rFonts w:asciiTheme="majorHAnsi" w:hAnsiTheme="majorHAnsi" w:cstheme="majorHAnsi"/>
        </w:rPr>
        <w:t xml:space="preserve"> </w:t>
      </w:r>
      <w:r w:rsidRPr="00AA4FB2">
        <w:rPr>
          <w:rFonts w:asciiTheme="majorHAnsi" w:hAnsiTheme="majorHAnsi" w:cstheme="majorHAnsi"/>
          <w:lang w:val="en-US"/>
        </w:rPr>
        <w:t>FT-IR is particularly sensitive to organic compounds and offers several practical advantages. It is a rapid, non-destructive technique that allows samples to be reanalysed if required. Analysis is conducted under controlled laboratory conditions, improving repeatability and reducing environmental interference. As such, FT-IR is a valuable screening tool for determining the class of explosive material present.</w:t>
      </w:r>
      <w:sdt>
        <w:sdtPr>
          <w:rPr>
            <w:rFonts w:asciiTheme="majorHAnsi" w:hAnsiTheme="majorHAnsi" w:cstheme="majorHAnsi"/>
            <w:lang w:val="en-US"/>
          </w:rPr>
          <w:id w:val="1088730063"/>
          <w:citation/>
        </w:sdtPr>
        <w:sdtContent>
          <w:r w:rsidR="00771838">
            <w:rPr>
              <w:rFonts w:asciiTheme="majorHAnsi" w:hAnsiTheme="majorHAnsi" w:cstheme="majorHAnsi"/>
              <w:lang w:val="en-US"/>
            </w:rPr>
            <w:fldChar w:fldCharType="begin"/>
          </w:r>
          <w:r w:rsidR="00771838">
            <w:rPr>
              <w:rFonts w:asciiTheme="majorHAnsi" w:hAnsiTheme="majorHAnsi" w:cstheme="majorHAnsi"/>
            </w:rPr>
            <w:instrText xml:space="preserve"> CITATION 18 \l 2057 </w:instrText>
          </w:r>
          <w:r w:rsidR="00771838">
            <w:rPr>
              <w:rFonts w:asciiTheme="majorHAnsi" w:hAnsiTheme="majorHAnsi" w:cstheme="majorHAnsi"/>
              <w:lang w:val="en-US"/>
            </w:rPr>
            <w:fldChar w:fldCharType="separate"/>
          </w:r>
          <w:r w:rsidR="007A4287">
            <w:rPr>
              <w:rFonts w:asciiTheme="majorHAnsi" w:hAnsiTheme="majorHAnsi" w:cstheme="majorHAnsi"/>
              <w:noProof/>
            </w:rPr>
            <w:t xml:space="preserve"> </w:t>
          </w:r>
          <w:r w:rsidR="007A4287" w:rsidRPr="007A4287">
            <w:rPr>
              <w:rFonts w:asciiTheme="majorHAnsi" w:hAnsiTheme="majorHAnsi" w:cstheme="majorHAnsi"/>
              <w:noProof/>
            </w:rPr>
            <w:t>[18]</w:t>
          </w:r>
          <w:r w:rsidR="00771838">
            <w:rPr>
              <w:rFonts w:asciiTheme="majorHAnsi" w:hAnsiTheme="majorHAnsi" w:cstheme="majorHAnsi"/>
              <w:lang w:val="en-US"/>
            </w:rPr>
            <w:fldChar w:fldCharType="end"/>
          </w:r>
        </w:sdtContent>
      </w:sdt>
    </w:p>
    <w:p w14:paraId="566CC9A3" w14:textId="77777777" w:rsidR="0015010C" w:rsidRPr="00AA4FB2" w:rsidRDefault="0015010C" w:rsidP="0015010C">
      <w:pPr>
        <w:rPr>
          <w:rFonts w:asciiTheme="majorHAnsi" w:hAnsiTheme="majorHAnsi" w:cstheme="majorHAnsi"/>
          <w:lang w:val="en-US"/>
        </w:rPr>
      </w:pPr>
      <w:r w:rsidRPr="0015010C">
        <w:rPr>
          <w:rFonts w:asciiTheme="majorHAnsi" w:hAnsiTheme="majorHAnsi" w:cstheme="majorHAnsi"/>
          <w:lang w:val="en-US"/>
        </w:rPr>
        <w:t>However, FT-IR has several limitations. Results are highly dependent on sampling quality, and poor swabbing technique can lead to ambiguous spectra. Interpretation becomes more challenging for complex mixtures, as matrix interference may obscure key absorption bands. FT-IR also provides only partial structural information and cannot definitively identify an explosive compound in isolation. Consequently, FT-IR data must be interpreted cautiously and in conjunction with complementary analytical techniques.</w:t>
      </w:r>
    </w:p>
    <w:p w14:paraId="77BE90F1" w14:textId="613A68F2" w:rsidR="0015010C" w:rsidRPr="00AA4FB2" w:rsidRDefault="0015010C" w:rsidP="0015010C">
      <w:pPr>
        <w:rPr>
          <w:rFonts w:asciiTheme="majorHAnsi" w:hAnsiTheme="majorHAnsi" w:cstheme="majorHAnsi"/>
        </w:rPr>
      </w:pPr>
      <w:r w:rsidRPr="00AA4FB2">
        <w:rPr>
          <w:rFonts w:asciiTheme="majorHAnsi" w:hAnsiTheme="majorHAnsi" w:cstheme="majorHAnsi"/>
          <w:lang w:val="en-US"/>
        </w:rPr>
        <w:t>Improvements</w:t>
      </w:r>
      <w:r w:rsidRPr="00AA4FB2">
        <w:rPr>
          <w:rFonts w:asciiTheme="majorHAnsi" w:hAnsiTheme="majorHAnsi" w:cstheme="majorHAnsi"/>
        </w:rPr>
        <w:t xml:space="preserve"> to FT-IR analysis include collecting multiple samples to mitigate contamination or </w:t>
      </w:r>
      <w:r w:rsidR="00D71468" w:rsidRPr="00AA4FB2">
        <w:rPr>
          <w:rFonts w:asciiTheme="majorHAnsi" w:hAnsiTheme="majorHAnsi" w:cstheme="majorHAnsi"/>
        </w:rPr>
        <w:t>saturation and</w:t>
      </w:r>
      <w:r w:rsidRPr="00AA4FB2">
        <w:rPr>
          <w:rFonts w:asciiTheme="majorHAnsi" w:hAnsiTheme="majorHAnsi" w:cstheme="majorHAnsi"/>
        </w:rPr>
        <w:t xml:space="preserve"> building reference libraries using spectra from known materials and published sources</w:t>
      </w:r>
      <w:r w:rsidRPr="00AA4FB2">
        <w:rPr>
          <w:rFonts w:asciiTheme="majorHAnsi" w:hAnsiTheme="majorHAnsi" w:cstheme="majorHAnsi"/>
        </w:rPr>
        <w:t xml:space="preserve"> to help see similarities with the sample and the potential material</w:t>
      </w:r>
      <w:r w:rsidRPr="00AA4FB2">
        <w:rPr>
          <w:rFonts w:asciiTheme="majorHAnsi" w:hAnsiTheme="majorHAnsi" w:cstheme="majorHAnsi"/>
        </w:rPr>
        <w:t>. Sample pre-treatment methods such as filtration, solvent extraction, and drying can further improve spectral clarity.</w:t>
      </w:r>
    </w:p>
    <w:p w14:paraId="06254011" w14:textId="6E85175C" w:rsidR="0015010C" w:rsidRPr="00AA4FB2" w:rsidRDefault="00BB07EF" w:rsidP="005464F8">
      <w:pPr>
        <w:rPr>
          <w:rFonts w:asciiTheme="majorHAnsi" w:hAnsiTheme="majorHAnsi" w:cstheme="majorHAnsi"/>
          <w:lang w:val="en-US"/>
        </w:rPr>
      </w:pPr>
      <w:r w:rsidRPr="00AA4FB2">
        <w:rPr>
          <w:rFonts w:asciiTheme="majorHAnsi" w:hAnsiTheme="majorHAnsi" w:cstheme="majorHAnsi"/>
        </w:rPr>
        <w:lastRenderedPageBreak/>
        <w:t>R</w:t>
      </w:r>
      <w:r w:rsidRPr="00AA4FB2">
        <w:rPr>
          <w:rFonts w:asciiTheme="majorHAnsi" w:hAnsiTheme="majorHAnsi" w:cstheme="majorHAnsi"/>
        </w:rPr>
        <w:t>aman spectroscopy</w:t>
      </w:r>
      <w:r w:rsidRPr="00AA4FB2">
        <w:rPr>
          <w:rFonts w:asciiTheme="majorHAnsi" w:hAnsiTheme="majorHAnsi" w:cstheme="majorHAnsi"/>
        </w:rPr>
        <w:t xml:space="preserve"> can be brought to the range as a handheld detection device for rough investigation of the material on the day, but it is much more reliable in lab conditions, much like FT-IR</w:t>
      </w:r>
      <w:r w:rsidRPr="00AA4FB2">
        <w:rPr>
          <w:rFonts w:asciiTheme="majorHAnsi" w:hAnsiTheme="majorHAnsi" w:cstheme="majorHAnsi"/>
        </w:rPr>
        <w:t xml:space="preserve">, which provides complementary vibrational information but may be affected by </w:t>
      </w:r>
      <w:r w:rsidRPr="00AA4FB2">
        <w:rPr>
          <w:rFonts w:asciiTheme="majorHAnsi" w:hAnsiTheme="majorHAnsi" w:cstheme="majorHAnsi"/>
        </w:rPr>
        <w:t xml:space="preserve">the </w:t>
      </w:r>
      <w:r w:rsidRPr="00AA4FB2">
        <w:rPr>
          <w:rFonts w:asciiTheme="majorHAnsi" w:hAnsiTheme="majorHAnsi" w:cstheme="majorHAnsi"/>
        </w:rPr>
        <w:t>fluorescence</w:t>
      </w:r>
      <w:r w:rsidRPr="00AA4FB2">
        <w:rPr>
          <w:rFonts w:asciiTheme="majorHAnsi" w:hAnsiTheme="majorHAnsi" w:cstheme="majorHAnsi"/>
        </w:rPr>
        <w:t xml:space="preserve"> of an organic. These two are often used alongside each other to support the other one's findings. </w:t>
      </w:r>
      <w:sdt>
        <w:sdtPr>
          <w:rPr>
            <w:rFonts w:asciiTheme="majorHAnsi" w:hAnsiTheme="majorHAnsi" w:cstheme="majorHAnsi"/>
          </w:rPr>
          <w:id w:val="-715815857"/>
          <w:citation/>
        </w:sdtPr>
        <w:sdtContent>
          <w:r w:rsidR="00771838">
            <w:rPr>
              <w:rFonts w:asciiTheme="majorHAnsi" w:hAnsiTheme="majorHAnsi" w:cstheme="majorHAnsi"/>
            </w:rPr>
            <w:fldChar w:fldCharType="begin"/>
          </w:r>
          <w:r w:rsidR="00771838">
            <w:rPr>
              <w:rFonts w:asciiTheme="majorHAnsi" w:hAnsiTheme="majorHAnsi" w:cstheme="majorHAnsi"/>
            </w:rPr>
            <w:instrText xml:space="preserve"> CITATION 19 \l 2057 </w:instrText>
          </w:r>
          <w:r w:rsidR="00771838">
            <w:rPr>
              <w:rFonts w:asciiTheme="majorHAnsi" w:hAnsiTheme="majorHAnsi" w:cstheme="majorHAnsi"/>
            </w:rPr>
            <w:fldChar w:fldCharType="separate"/>
          </w:r>
          <w:r w:rsidR="007A4287" w:rsidRPr="007A4287">
            <w:rPr>
              <w:rFonts w:asciiTheme="majorHAnsi" w:hAnsiTheme="majorHAnsi" w:cstheme="majorHAnsi"/>
              <w:noProof/>
            </w:rPr>
            <w:t>[19]</w:t>
          </w:r>
          <w:r w:rsidR="00771838">
            <w:rPr>
              <w:rFonts w:asciiTheme="majorHAnsi" w:hAnsiTheme="majorHAnsi" w:cstheme="majorHAnsi"/>
            </w:rPr>
            <w:fldChar w:fldCharType="end"/>
          </w:r>
        </w:sdtContent>
      </w:sdt>
      <w:r w:rsidR="00771838">
        <w:rPr>
          <w:rFonts w:asciiTheme="majorHAnsi" w:hAnsiTheme="majorHAnsi" w:cstheme="majorHAnsi"/>
        </w:rPr>
        <w:t xml:space="preserve"> </w:t>
      </w:r>
      <w:r w:rsidRPr="00AA4FB2">
        <w:rPr>
          <w:rFonts w:asciiTheme="majorHAnsi" w:hAnsiTheme="majorHAnsi" w:cstheme="majorHAnsi"/>
        </w:rPr>
        <w:t>Gas chromatography</w:t>
      </w:r>
      <w:r w:rsidRPr="00AA4FB2">
        <w:rPr>
          <w:rFonts w:asciiTheme="majorHAnsi" w:hAnsiTheme="majorHAnsi" w:cstheme="majorHAnsi"/>
        </w:rPr>
        <w:t xml:space="preserve">–mass spectrometry (GC-MS), which offers high specificity </w:t>
      </w:r>
      <w:r w:rsidRPr="00AA4FB2">
        <w:rPr>
          <w:rFonts w:asciiTheme="majorHAnsi" w:hAnsiTheme="majorHAnsi" w:cstheme="majorHAnsi"/>
        </w:rPr>
        <w:t xml:space="preserve">and detail </w:t>
      </w:r>
      <w:r w:rsidRPr="00AA4FB2">
        <w:rPr>
          <w:rFonts w:asciiTheme="majorHAnsi" w:hAnsiTheme="majorHAnsi" w:cstheme="majorHAnsi"/>
        </w:rPr>
        <w:t>at the expense of time and sample preparation</w:t>
      </w:r>
      <w:r w:rsidRPr="00AA4FB2">
        <w:rPr>
          <w:rFonts w:asciiTheme="majorHAnsi" w:hAnsiTheme="majorHAnsi" w:cstheme="majorHAnsi"/>
        </w:rPr>
        <w:t xml:space="preserve">. </w:t>
      </w:r>
      <w:r w:rsidRPr="00AA4FB2">
        <w:rPr>
          <w:rFonts w:asciiTheme="majorHAnsi" w:hAnsiTheme="majorHAnsi" w:cstheme="majorHAnsi"/>
        </w:rPr>
        <w:t xml:space="preserve">Rapid on-site </w:t>
      </w:r>
      <w:r w:rsidRPr="00AA4FB2">
        <w:rPr>
          <w:rFonts w:asciiTheme="majorHAnsi" w:hAnsiTheme="majorHAnsi" w:cstheme="majorHAnsi"/>
        </w:rPr>
        <w:t>colourimetry</w:t>
      </w:r>
      <w:r w:rsidRPr="00AA4FB2">
        <w:rPr>
          <w:rFonts w:asciiTheme="majorHAnsi" w:hAnsiTheme="majorHAnsi" w:cstheme="majorHAnsi"/>
        </w:rPr>
        <w:t xml:space="preserve"> tests may also be used to provide </w:t>
      </w:r>
      <w:r w:rsidRPr="00AA4FB2">
        <w:rPr>
          <w:rFonts w:asciiTheme="majorHAnsi" w:hAnsiTheme="majorHAnsi" w:cstheme="majorHAnsi"/>
        </w:rPr>
        <w:t xml:space="preserve">a </w:t>
      </w:r>
      <w:r w:rsidRPr="00AA4FB2">
        <w:rPr>
          <w:rFonts w:asciiTheme="majorHAnsi" w:hAnsiTheme="majorHAnsi" w:cstheme="majorHAnsi"/>
        </w:rPr>
        <w:t>presumptive indication of nitrate or nitroaromatic functional groups.</w:t>
      </w:r>
      <w:sdt>
        <w:sdtPr>
          <w:rPr>
            <w:rFonts w:asciiTheme="majorHAnsi" w:hAnsiTheme="majorHAnsi" w:cstheme="majorHAnsi"/>
          </w:rPr>
          <w:id w:val="-1731374483"/>
          <w:citation/>
        </w:sdtPr>
        <w:sdtContent>
          <w:r w:rsidR="00771838">
            <w:rPr>
              <w:rFonts w:asciiTheme="majorHAnsi" w:hAnsiTheme="majorHAnsi" w:cstheme="majorHAnsi"/>
            </w:rPr>
            <w:fldChar w:fldCharType="begin"/>
          </w:r>
          <w:r w:rsidR="00771838">
            <w:rPr>
              <w:rFonts w:asciiTheme="majorHAnsi" w:hAnsiTheme="majorHAnsi" w:cstheme="majorHAnsi"/>
            </w:rPr>
            <w:instrText xml:space="preserve"> CITATION 20 \l 2057 </w:instrText>
          </w:r>
          <w:r w:rsidR="00771838">
            <w:rPr>
              <w:rFonts w:asciiTheme="majorHAnsi" w:hAnsiTheme="majorHAnsi" w:cstheme="majorHAnsi"/>
            </w:rPr>
            <w:fldChar w:fldCharType="separate"/>
          </w:r>
          <w:r w:rsidR="007A4287">
            <w:rPr>
              <w:rFonts w:asciiTheme="majorHAnsi" w:hAnsiTheme="majorHAnsi" w:cstheme="majorHAnsi"/>
              <w:noProof/>
            </w:rPr>
            <w:t xml:space="preserve"> </w:t>
          </w:r>
          <w:r w:rsidR="007A4287" w:rsidRPr="007A4287">
            <w:rPr>
              <w:rFonts w:asciiTheme="majorHAnsi" w:hAnsiTheme="majorHAnsi" w:cstheme="majorHAnsi"/>
              <w:noProof/>
            </w:rPr>
            <w:t>[20]</w:t>
          </w:r>
          <w:r w:rsidR="00771838">
            <w:rPr>
              <w:rFonts w:asciiTheme="majorHAnsi" w:hAnsiTheme="majorHAnsi" w:cstheme="majorHAnsi"/>
            </w:rPr>
            <w:fldChar w:fldCharType="end"/>
          </w:r>
        </w:sdtContent>
      </w:sdt>
    </w:p>
    <w:p w14:paraId="1F7661E7" w14:textId="2D0C9DB5" w:rsidR="00AC6AC9" w:rsidRPr="00AA4FB2" w:rsidRDefault="009E1FE5" w:rsidP="00BB07EF">
      <w:pPr>
        <w:pStyle w:val="Heading1"/>
        <w:rPr>
          <w:rFonts w:cstheme="majorHAnsi"/>
        </w:rPr>
      </w:pPr>
      <w:bookmarkStart w:id="8" w:name="_Toc220064219"/>
      <w:r w:rsidRPr="00AA4FB2">
        <w:rPr>
          <w:rStyle w:val="Heading1Char"/>
          <w:rFonts w:cstheme="majorHAnsi"/>
        </w:rPr>
        <w:t>Other data capture methods</w:t>
      </w:r>
      <w:bookmarkEnd w:id="8"/>
      <w:r w:rsidRPr="00AA4FB2">
        <w:rPr>
          <w:rFonts w:cstheme="majorHAnsi"/>
        </w:rPr>
        <w:t xml:space="preserve"> </w:t>
      </w:r>
    </w:p>
    <w:p w14:paraId="32BF6A71" w14:textId="435CACCA" w:rsidR="002E4373" w:rsidRPr="00AA4FB2" w:rsidRDefault="00BB07EF" w:rsidP="00C819E8">
      <w:pPr>
        <w:rPr>
          <w:rFonts w:asciiTheme="majorHAnsi" w:hAnsiTheme="majorHAnsi" w:cstheme="majorHAnsi"/>
        </w:rPr>
      </w:pPr>
      <w:r w:rsidRPr="00AA4FB2">
        <w:rPr>
          <w:rFonts w:asciiTheme="majorHAnsi" w:hAnsiTheme="majorHAnsi" w:cstheme="majorHAnsi"/>
        </w:rPr>
        <w:t>High-speed cameras are one of the most versatile pieces of equipment in OME data capture</w:t>
      </w:r>
      <w:r w:rsidR="000362E6" w:rsidRPr="00AA4FB2">
        <w:rPr>
          <w:rFonts w:asciiTheme="majorHAnsi" w:hAnsiTheme="majorHAnsi" w:cstheme="majorHAnsi"/>
        </w:rPr>
        <w:t xml:space="preserve">. </w:t>
      </w:r>
      <w:r w:rsidR="000362E6" w:rsidRPr="00AA4FB2">
        <w:rPr>
          <w:rFonts w:asciiTheme="majorHAnsi" w:hAnsiTheme="majorHAnsi" w:cstheme="majorHAnsi"/>
        </w:rPr>
        <w:t xml:space="preserve">Unlike </w:t>
      </w:r>
      <w:r w:rsidR="000362E6" w:rsidRPr="00AA4FB2">
        <w:rPr>
          <w:rFonts w:asciiTheme="majorHAnsi" w:hAnsiTheme="majorHAnsi" w:cstheme="majorHAnsi"/>
        </w:rPr>
        <w:t>single-purpose</w:t>
      </w:r>
      <w:r w:rsidR="000362E6" w:rsidRPr="00AA4FB2">
        <w:rPr>
          <w:rFonts w:asciiTheme="majorHAnsi" w:hAnsiTheme="majorHAnsi" w:cstheme="majorHAnsi"/>
        </w:rPr>
        <w:t xml:space="preserve"> sensors, </w:t>
      </w:r>
      <w:r w:rsidR="000362E6" w:rsidRPr="00AA4FB2">
        <w:rPr>
          <w:rFonts w:asciiTheme="majorHAnsi" w:hAnsiTheme="majorHAnsi" w:cstheme="majorHAnsi"/>
        </w:rPr>
        <w:t>high-speed</w:t>
      </w:r>
      <w:r w:rsidR="000362E6" w:rsidRPr="00AA4FB2">
        <w:rPr>
          <w:rFonts w:asciiTheme="majorHAnsi" w:hAnsiTheme="majorHAnsi" w:cstheme="majorHAnsi"/>
        </w:rPr>
        <w:t xml:space="preserve"> imaging</w:t>
      </w:r>
      <w:r w:rsidR="000362E6" w:rsidRPr="00AA4FB2">
        <w:rPr>
          <w:rFonts w:asciiTheme="majorHAnsi" w:hAnsiTheme="majorHAnsi" w:cstheme="majorHAnsi"/>
        </w:rPr>
        <w:t xml:space="preserve"> and optical data</w:t>
      </w:r>
      <w:r w:rsidR="000362E6" w:rsidRPr="00AA4FB2">
        <w:rPr>
          <w:rFonts w:asciiTheme="majorHAnsi" w:hAnsiTheme="majorHAnsi" w:cstheme="majorHAnsi"/>
        </w:rPr>
        <w:t xml:space="preserve"> </w:t>
      </w:r>
      <w:r w:rsidR="000362E6" w:rsidRPr="00AA4FB2">
        <w:rPr>
          <w:rFonts w:asciiTheme="majorHAnsi" w:hAnsiTheme="majorHAnsi" w:cstheme="majorHAnsi"/>
        </w:rPr>
        <w:t>capture</w:t>
      </w:r>
      <w:r w:rsidR="000362E6" w:rsidRPr="00AA4FB2">
        <w:rPr>
          <w:rFonts w:asciiTheme="majorHAnsi" w:hAnsiTheme="majorHAnsi" w:cstheme="majorHAnsi"/>
        </w:rPr>
        <w:t xml:space="preserve"> </w:t>
      </w:r>
      <w:r w:rsidR="000362E6" w:rsidRPr="00AA4FB2">
        <w:rPr>
          <w:rFonts w:asciiTheme="majorHAnsi" w:hAnsiTheme="majorHAnsi" w:cstheme="majorHAnsi"/>
        </w:rPr>
        <w:t xml:space="preserve">method offering </w:t>
      </w:r>
      <w:r w:rsidR="000362E6" w:rsidRPr="00AA4FB2">
        <w:rPr>
          <w:rFonts w:asciiTheme="majorHAnsi" w:hAnsiTheme="majorHAnsi" w:cstheme="majorHAnsi"/>
        </w:rPr>
        <w:t>a continuous visual record of the event, allowing multiple parameters to be extracted from the same footage</w:t>
      </w:r>
      <w:r w:rsidR="002E4373" w:rsidRPr="00AA4FB2">
        <w:rPr>
          <w:rFonts w:asciiTheme="majorHAnsi" w:hAnsiTheme="majorHAnsi" w:cstheme="majorHAnsi"/>
        </w:rPr>
        <w:t xml:space="preserve"> and giving the big picture</w:t>
      </w:r>
      <w:r w:rsidR="000362E6" w:rsidRPr="00AA4FB2">
        <w:rPr>
          <w:rFonts w:asciiTheme="majorHAnsi" w:hAnsiTheme="majorHAnsi" w:cstheme="majorHAnsi"/>
        </w:rPr>
        <w:t>.</w:t>
      </w:r>
      <w:r w:rsidR="000362E6" w:rsidRPr="00AA4FB2">
        <w:rPr>
          <w:rFonts w:asciiTheme="majorHAnsi" w:hAnsiTheme="majorHAnsi" w:cstheme="majorHAnsi"/>
        </w:rPr>
        <w:t xml:space="preserve"> For</w:t>
      </w:r>
      <w:r w:rsidR="000362E6" w:rsidRPr="00AA4FB2">
        <w:rPr>
          <w:rFonts w:asciiTheme="majorHAnsi" w:hAnsiTheme="majorHAnsi" w:cstheme="majorHAnsi"/>
        </w:rPr>
        <w:t xml:space="preserve"> blast characterisation, </w:t>
      </w:r>
      <w:r w:rsidR="000362E6" w:rsidRPr="00AA4FB2">
        <w:rPr>
          <w:rFonts w:asciiTheme="majorHAnsi" w:hAnsiTheme="majorHAnsi" w:cstheme="majorHAnsi"/>
        </w:rPr>
        <w:t>high-speed</w:t>
      </w:r>
      <w:r w:rsidR="000362E6" w:rsidRPr="00AA4FB2">
        <w:rPr>
          <w:rFonts w:asciiTheme="majorHAnsi" w:hAnsiTheme="majorHAnsi" w:cstheme="majorHAnsi"/>
        </w:rPr>
        <w:t xml:space="preserve"> imaging allows the visible shock front to be tracked frame</w:t>
      </w:r>
      <w:r w:rsidR="000362E6" w:rsidRPr="00AA4FB2">
        <w:rPr>
          <w:rFonts w:asciiTheme="majorHAnsi" w:hAnsiTheme="majorHAnsi" w:cstheme="majorHAnsi"/>
        </w:rPr>
        <w:noBreakHyphen/>
        <w:t>by</w:t>
      </w:r>
      <w:r w:rsidR="000362E6" w:rsidRPr="00AA4FB2">
        <w:rPr>
          <w:rFonts w:asciiTheme="majorHAnsi" w:hAnsiTheme="majorHAnsi" w:cstheme="majorHAnsi"/>
        </w:rPr>
        <w:noBreakHyphen/>
        <w:t>frame. By using two reference points of known distance</w:t>
      </w:r>
      <w:r w:rsidR="000362E6" w:rsidRPr="00AA4FB2">
        <w:rPr>
          <w:rFonts w:asciiTheme="majorHAnsi" w:hAnsiTheme="majorHAnsi" w:cstheme="majorHAnsi"/>
        </w:rPr>
        <w:t xml:space="preserve"> and the time stamps used</w:t>
      </w:r>
      <w:r w:rsidR="000362E6" w:rsidRPr="00AA4FB2">
        <w:rPr>
          <w:rFonts w:asciiTheme="majorHAnsi" w:hAnsiTheme="majorHAnsi" w:cstheme="majorHAnsi"/>
        </w:rPr>
        <w:t xml:space="preserve">, </w:t>
      </w:r>
      <w:r w:rsidR="000362E6" w:rsidRPr="00AA4FB2">
        <w:rPr>
          <w:rFonts w:asciiTheme="majorHAnsi" w:hAnsiTheme="majorHAnsi" w:cstheme="majorHAnsi"/>
        </w:rPr>
        <w:t xml:space="preserve">the </w:t>
      </w:r>
      <w:r w:rsidR="000362E6" w:rsidRPr="00AA4FB2">
        <w:rPr>
          <w:rFonts w:asciiTheme="majorHAnsi" w:hAnsiTheme="majorHAnsi" w:cstheme="majorHAnsi"/>
        </w:rPr>
        <w:t>approximate shock</w:t>
      </w:r>
      <w:r w:rsidR="000362E6" w:rsidRPr="00AA4FB2">
        <w:rPr>
          <w:rFonts w:asciiTheme="majorHAnsi" w:hAnsiTheme="majorHAnsi" w:cstheme="majorHAnsi"/>
        </w:rPr>
        <w:noBreakHyphen/>
        <w:t xml:space="preserve">front velocity and arrival time can be </w:t>
      </w:r>
      <w:r w:rsidR="002E4373" w:rsidRPr="00AA4FB2">
        <w:rPr>
          <w:rFonts w:asciiTheme="majorHAnsi" w:hAnsiTheme="majorHAnsi" w:cstheme="majorHAnsi"/>
        </w:rPr>
        <w:t xml:space="preserve">calculated. </w:t>
      </w:r>
      <w:sdt>
        <w:sdtPr>
          <w:rPr>
            <w:rFonts w:asciiTheme="majorHAnsi" w:hAnsiTheme="majorHAnsi" w:cstheme="majorHAnsi"/>
          </w:rPr>
          <w:id w:val="-626387373"/>
          <w:citation/>
        </w:sdtPr>
        <w:sdtContent>
          <w:r w:rsidR="00306194">
            <w:rPr>
              <w:rFonts w:asciiTheme="majorHAnsi" w:hAnsiTheme="majorHAnsi" w:cstheme="majorHAnsi"/>
            </w:rPr>
            <w:fldChar w:fldCharType="begin"/>
          </w:r>
          <w:r w:rsidR="00306194">
            <w:rPr>
              <w:rFonts w:asciiTheme="majorHAnsi" w:hAnsiTheme="majorHAnsi" w:cstheme="majorHAnsi"/>
            </w:rPr>
            <w:instrText xml:space="preserve"> CITATION 21 \l 2057 </w:instrText>
          </w:r>
          <w:r w:rsidR="00306194">
            <w:rPr>
              <w:rFonts w:asciiTheme="majorHAnsi" w:hAnsiTheme="majorHAnsi" w:cstheme="majorHAnsi"/>
            </w:rPr>
            <w:fldChar w:fldCharType="separate"/>
          </w:r>
          <w:r w:rsidR="007A4287" w:rsidRPr="007A4287">
            <w:rPr>
              <w:rFonts w:asciiTheme="majorHAnsi" w:hAnsiTheme="majorHAnsi" w:cstheme="majorHAnsi"/>
              <w:noProof/>
            </w:rPr>
            <w:t>[21]</w:t>
          </w:r>
          <w:r w:rsidR="00306194">
            <w:rPr>
              <w:rFonts w:asciiTheme="majorHAnsi" w:hAnsiTheme="majorHAnsi" w:cstheme="majorHAnsi"/>
            </w:rPr>
            <w:fldChar w:fldCharType="end"/>
          </w:r>
        </w:sdtContent>
      </w:sdt>
      <w:r w:rsidR="002E4373" w:rsidRPr="00AA4FB2">
        <w:rPr>
          <w:rFonts w:asciiTheme="majorHAnsi" w:hAnsiTheme="majorHAnsi" w:cstheme="majorHAnsi"/>
        </w:rPr>
        <w:t>This</w:t>
      </w:r>
      <w:r w:rsidR="002E4373" w:rsidRPr="00AA4FB2">
        <w:rPr>
          <w:rFonts w:asciiTheme="majorHAnsi" w:hAnsiTheme="majorHAnsi" w:cstheme="majorHAnsi"/>
        </w:rPr>
        <w:t xml:space="preserve"> is equally valuable for fragment velocity measurement. Individual fragments can be tracked across successive frames, allowing velocity and spatial distribution to be determined</w:t>
      </w:r>
      <w:r w:rsidR="002E4373" w:rsidRPr="00AA4FB2">
        <w:rPr>
          <w:rFonts w:asciiTheme="majorHAnsi" w:hAnsiTheme="majorHAnsi" w:cstheme="majorHAnsi"/>
        </w:rPr>
        <w:t>. It also captures the stage of detonation and fragmentation break up u wouldn’t see otherwise, much clearer than a sensor would. However, high-speed cameras need unobstructed views and often have limited focus at those high frame rates, making it difficult to interpret and much more time-consuming to interpret reliable data.</w:t>
      </w:r>
      <w:sdt>
        <w:sdtPr>
          <w:rPr>
            <w:rFonts w:asciiTheme="majorHAnsi" w:hAnsiTheme="majorHAnsi" w:cstheme="majorHAnsi"/>
          </w:rPr>
          <w:id w:val="996773727"/>
          <w:citation/>
        </w:sdtPr>
        <w:sdtContent>
          <w:r w:rsidR="00306194">
            <w:rPr>
              <w:rFonts w:asciiTheme="majorHAnsi" w:hAnsiTheme="majorHAnsi" w:cstheme="majorHAnsi"/>
            </w:rPr>
            <w:fldChar w:fldCharType="begin"/>
          </w:r>
          <w:r w:rsidR="00306194">
            <w:rPr>
              <w:rFonts w:asciiTheme="majorHAnsi" w:hAnsiTheme="majorHAnsi" w:cstheme="majorHAnsi"/>
            </w:rPr>
            <w:instrText xml:space="preserve"> CITATION 22 \l 2057 </w:instrText>
          </w:r>
          <w:r w:rsidR="00306194">
            <w:rPr>
              <w:rFonts w:asciiTheme="majorHAnsi" w:hAnsiTheme="majorHAnsi" w:cstheme="majorHAnsi"/>
            </w:rPr>
            <w:fldChar w:fldCharType="separate"/>
          </w:r>
          <w:r w:rsidR="007A4287">
            <w:rPr>
              <w:rFonts w:asciiTheme="majorHAnsi" w:hAnsiTheme="majorHAnsi" w:cstheme="majorHAnsi"/>
              <w:noProof/>
            </w:rPr>
            <w:t xml:space="preserve"> </w:t>
          </w:r>
          <w:r w:rsidR="007A4287" w:rsidRPr="007A4287">
            <w:rPr>
              <w:rFonts w:asciiTheme="majorHAnsi" w:hAnsiTheme="majorHAnsi" w:cstheme="majorHAnsi"/>
              <w:noProof/>
            </w:rPr>
            <w:t>[22]</w:t>
          </w:r>
          <w:r w:rsidR="00306194">
            <w:rPr>
              <w:rFonts w:asciiTheme="majorHAnsi" w:hAnsiTheme="majorHAnsi" w:cstheme="majorHAnsi"/>
            </w:rPr>
            <w:fldChar w:fldCharType="end"/>
          </w:r>
        </w:sdtContent>
      </w:sdt>
    </w:p>
    <w:p w14:paraId="62C84E07" w14:textId="6B98C99C" w:rsidR="00823998" w:rsidRPr="00AA4FB2" w:rsidRDefault="004E2B38" w:rsidP="00823998">
      <w:pPr>
        <w:rPr>
          <w:rFonts w:asciiTheme="majorHAnsi" w:hAnsiTheme="majorHAnsi" w:cstheme="majorHAnsi"/>
          <w:lang w:val="en-US"/>
        </w:rPr>
      </w:pPr>
      <w:proofErr w:type="gramStart"/>
      <w:r w:rsidRPr="00AA4FB2">
        <w:rPr>
          <w:rFonts w:asciiTheme="majorHAnsi" w:hAnsiTheme="majorHAnsi" w:cstheme="majorHAnsi"/>
          <w:lang w:val="en-US"/>
        </w:rPr>
        <w:t>Similar</w:t>
      </w:r>
      <w:r w:rsidR="00D71468" w:rsidRPr="00AA4FB2">
        <w:rPr>
          <w:rFonts w:asciiTheme="majorHAnsi" w:hAnsiTheme="majorHAnsi" w:cstheme="majorHAnsi"/>
          <w:lang w:val="en-US"/>
        </w:rPr>
        <w:t xml:space="preserve"> to</w:t>
      </w:r>
      <w:proofErr w:type="gramEnd"/>
      <w:r w:rsidR="00D71468" w:rsidRPr="00AA4FB2">
        <w:rPr>
          <w:rFonts w:asciiTheme="majorHAnsi" w:hAnsiTheme="majorHAnsi" w:cstheme="majorHAnsi"/>
          <w:lang w:val="en-US"/>
        </w:rPr>
        <w:t xml:space="preserve"> the camera </w:t>
      </w:r>
      <w:r w:rsidR="002E4373" w:rsidRPr="00AA4FB2">
        <w:rPr>
          <w:rFonts w:asciiTheme="majorHAnsi" w:hAnsiTheme="majorHAnsi" w:cstheme="majorHAnsi"/>
          <w:lang w:val="en-US"/>
        </w:rPr>
        <w:t>scanning and radiography tools</w:t>
      </w:r>
      <w:r w:rsidR="00D71468" w:rsidRPr="00AA4FB2">
        <w:rPr>
          <w:rFonts w:asciiTheme="majorHAnsi" w:hAnsiTheme="majorHAnsi" w:cstheme="majorHAnsi"/>
          <w:lang w:val="en-US"/>
        </w:rPr>
        <w:t>,</w:t>
      </w:r>
      <w:r w:rsidR="002E4373" w:rsidRPr="00AA4FB2">
        <w:rPr>
          <w:rFonts w:asciiTheme="majorHAnsi" w:hAnsiTheme="majorHAnsi" w:cstheme="majorHAnsi"/>
          <w:lang w:val="en-US"/>
        </w:rPr>
        <w:t xml:space="preserve"> </w:t>
      </w:r>
      <w:r w:rsidR="00D71468" w:rsidRPr="00AA4FB2">
        <w:rPr>
          <w:rFonts w:asciiTheme="majorHAnsi" w:hAnsiTheme="majorHAnsi" w:cstheme="majorHAnsi"/>
          <w:lang w:val="en-US"/>
        </w:rPr>
        <w:t xml:space="preserve">flash X-ray and CT can be used to see inside the case while the detonation process occurs and look at the shock wave propagation, case deformation and fragmentation. </w:t>
      </w:r>
      <w:r w:rsidRPr="00AA4FB2">
        <w:rPr>
          <w:rFonts w:asciiTheme="majorHAnsi" w:hAnsiTheme="majorHAnsi" w:cstheme="majorHAnsi"/>
          <w:lang w:val="en-US"/>
        </w:rPr>
        <w:t xml:space="preserve">The system emits an extremely brief X-ray pulse </w:t>
      </w:r>
      <w:r w:rsidR="00D71468" w:rsidRPr="00AA4FB2">
        <w:rPr>
          <w:rFonts w:asciiTheme="majorHAnsi" w:hAnsiTheme="majorHAnsi" w:cstheme="majorHAnsi"/>
          <w:lang w:val="en-US"/>
        </w:rPr>
        <w:t>of typically a nanosecond</w:t>
      </w:r>
      <w:r w:rsidRPr="00AA4FB2">
        <w:rPr>
          <w:rFonts w:asciiTheme="majorHAnsi" w:hAnsiTheme="majorHAnsi" w:cstheme="majorHAnsi"/>
          <w:lang w:val="en-US"/>
        </w:rPr>
        <w:t>,</w:t>
      </w:r>
      <w:r w:rsidR="00D71468" w:rsidRPr="00AA4FB2">
        <w:rPr>
          <w:rFonts w:asciiTheme="majorHAnsi" w:hAnsiTheme="majorHAnsi" w:cstheme="majorHAnsi"/>
          <w:lang w:val="en-US"/>
        </w:rPr>
        <w:t xml:space="preserve"> </w:t>
      </w:r>
      <w:r w:rsidRPr="00AA4FB2">
        <w:rPr>
          <w:rFonts w:asciiTheme="majorHAnsi" w:hAnsiTheme="majorHAnsi" w:cstheme="majorHAnsi"/>
          <w:lang w:val="en-US"/>
        </w:rPr>
        <w:t>which takes an image on the inside of the case proving invaluable data on the characteristics inside that case at that time. This system only offers 1 image and is extremely difficult to set up correctly, requiring high amounts of expertise.</w:t>
      </w:r>
      <w:sdt>
        <w:sdtPr>
          <w:rPr>
            <w:rFonts w:asciiTheme="majorHAnsi" w:hAnsiTheme="majorHAnsi" w:cstheme="majorHAnsi"/>
            <w:lang w:val="en-US"/>
          </w:rPr>
          <w:id w:val="736977646"/>
          <w:citation/>
        </w:sdtPr>
        <w:sdtContent>
          <w:r w:rsidR="00306194">
            <w:rPr>
              <w:rFonts w:asciiTheme="majorHAnsi" w:hAnsiTheme="majorHAnsi" w:cstheme="majorHAnsi"/>
              <w:lang w:val="en-US"/>
            </w:rPr>
            <w:fldChar w:fldCharType="begin"/>
          </w:r>
          <w:r w:rsidR="00306194">
            <w:rPr>
              <w:rFonts w:asciiTheme="majorHAnsi" w:hAnsiTheme="majorHAnsi" w:cstheme="majorHAnsi"/>
            </w:rPr>
            <w:instrText xml:space="preserve"> CITATION 23 \l 2057 </w:instrText>
          </w:r>
          <w:r w:rsidR="00306194">
            <w:rPr>
              <w:rFonts w:asciiTheme="majorHAnsi" w:hAnsiTheme="majorHAnsi" w:cstheme="majorHAnsi"/>
              <w:lang w:val="en-US"/>
            </w:rPr>
            <w:fldChar w:fldCharType="separate"/>
          </w:r>
          <w:r w:rsidR="007A4287">
            <w:rPr>
              <w:rFonts w:asciiTheme="majorHAnsi" w:hAnsiTheme="majorHAnsi" w:cstheme="majorHAnsi"/>
              <w:noProof/>
            </w:rPr>
            <w:t xml:space="preserve"> </w:t>
          </w:r>
          <w:r w:rsidR="007A4287" w:rsidRPr="007A4287">
            <w:rPr>
              <w:rFonts w:asciiTheme="majorHAnsi" w:hAnsiTheme="majorHAnsi" w:cstheme="majorHAnsi"/>
              <w:noProof/>
            </w:rPr>
            <w:t>[23]</w:t>
          </w:r>
          <w:r w:rsidR="00306194">
            <w:rPr>
              <w:rFonts w:asciiTheme="majorHAnsi" w:hAnsiTheme="majorHAnsi" w:cstheme="majorHAnsi"/>
              <w:lang w:val="en-US"/>
            </w:rPr>
            <w:fldChar w:fldCharType="end"/>
          </w:r>
        </w:sdtContent>
      </w:sdt>
      <w:sdt>
        <w:sdtPr>
          <w:rPr>
            <w:rFonts w:asciiTheme="majorHAnsi" w:hAnsiTheme="majorHAnsi" w:cstheme="majorHAnsi"/>
            <w:lang w:val="en-US"/>
          </w:rPr>
          <w:id w:val="-497356218"/>
          <w:citation/>
        </w:sdtPr>
        <w:sdtContent>
          <w:r w:rsidR="00306194">
            <w:rPr>
              <w:rFonts w:asciiTheme="majorHAnsi" w:hAnsiTheme="majorHAnsi" w:cstheme="majorHAnsi"/>
              <w:lang w:val="en-US"/>
            </w:rPr>
            <w:fldChar w:fldCharType="begin"/>
          </w:r>
          <w:r w:rsidR="00306194">
            <w:rPr>
              <w:rFonts w:asciiTheme="majorHAnsi" w:hAnsiTheme="majorHAnsi" w:cstheme="majorHAnsi"/>
            </w:rPr>
            <w:instrText xml:space="preserve"> CITATION 24 \l 2057 </w:instrText>
          </w:r>
          <w:r w:rsidR="00306194">
            <w:rPr>
              <w:rFonts w:asciiTheme="majorHAnsi" w:hAnsiTheme="majorHAnsi" w:cstheme="majorHAnsi"/>
              <w:lang w:val="en-US"/>
            </w:rPr>
            <w:fldChar w:fldCharType="separate"/>
          </w:r>
          <w:r w:rsidR="007A4287">
            <w:rPr>
              <w:rFonts w:asciiTheme="majorHAnsi" w:hAnsiTheme="majorHAnsi" w:cstheme="majorHAnsi"/>
              <w:noProof/>
            </w:rPr>
            <w:t xml:space="preserve"> </w:t>
          </w:r>
          <w:r w:rsidR="007A4287" w:rsidRPr="007A4287">
            <w:rPr>
              <w:rFonts w:asciiTheme="majorHAnsi" w:hAnsiTheme="majorHAnsi" w:cstheme="majorHAnsi"/>
              <w:noProof/>
            </w:rPr>
            <w:t>[24]</w:t>
          </w:r>
          <w:r w:rsidR="00306194">
            <w:rPr>
              <w:rFonts w:asciiTheme="majorHAnsi" w:hAnsiTheme="majorHAnsi" w:cstheme="majorHAnsi"/>
              <w:lang w:val="en-US"/>
            </w:rPr>
            <w:fldChar w:fldCharType="end"/>
          </w:r>
        </w:sdtContent>
      </w:sdt>
    </w:p>
    <w:p w14:paraId="06C00103" w14:textId="45050E98" w:rsidR="000362E6" w:rsidRPr="00AA4FB2" w:rsidRDefault="004E2B38" w:rsidP="00C819E8">
      <w:pPr>
        <w:rPr>
          <w:rFonts w:asciiTheme="majorHAnsi" w:hAnsiTheme="majorHAnsi" w:cstheme="majorHAnsi"/>
          <w:lang w:val="en-US"/>
        </w:rPr>
      </w:pPr>
      <w:r w:rsidRPr="00AA4FB2">
        <w:rPr>
          <w:rFonts w:asciiTheme="majorHAnsi" w:hAnsiTheme="majorHAnsi" w:cstheme="majorHAnsi"/>
          <w:lang w:val="en-US"/>
        </w:rPr>
        <w:t>Velocity of detonation was not used during the trials; it is an extremely powerful tool for determining the explosive type. One way to find this is by placing probes or small conductive pins/foils along the explosive charge they are triggered by at the same time as the detonation and recording the time it takes to reach them. They are a simple and cheap way to measure speed. However, the probs are highly sensitive</w:t>
      </w:r>
      <w:r w:rsidR="00846BDD" w:rsidRPr="00AA4FB2">
        <w:rPr>
          <w:rFonts w:asciiTheme="majorHAnsi" w:hAnsiTheme="majorHAnsi" w:cstheme="majorHAnsi"/>
          <w:lang w:val="en-US"/>
        </w:rPr>
        <w:t>,</w:t>
      </w:r>
      <w:r w:rsidRPr="00AA4FB2">
        <w:rPr>
          <w:rFonts w:asciiTheme="majorHAnsi" w:hAnsiTheme="majorHAnsi" w:cstheme="majorHAnsi"/>
          <w:lang w:val="en-US"/>
        </w:rPr>
        <w:t xml:space="preserve"> and small errors in timing, inaccuracy</w:t>
      </w:r>
      <w:r w:rsidR="00545B3C" w:rsidRPr="00AA4FB2">
        <w:rPr>
          <w:rFonts w:asciiTheme="majorHAnsi" w:hAnsiTheme="majorHAnsi" w:cstheme="majorHAnsi"/>
          <w:lang w:val="en-US"/>
        </w:rPr>
        <w:t>,</w:t>
      </w:r>
      <w:r w:rsidRPr="00AA4FB2">
        <w:rPr>
          <w:rFonts w:asciiTheme="majorHAnsi" w:hAnsiTheme="majorHAnsi" w:cstheme="majorHAnsi"/>
          <w:lang w:val="en-US"/>
        </w:rPr>
        <w:t xml:space="preserve"> or alignment could mean the </w:t>
      </w:r>
      <w:r w:rsidR="00545B3C" w:rsidRPr="00AA4FB2">
        <w:rPr>
          <w:rFonts w:asciiTheme="majorHAnsi" w:hAnsiTheme="majorHAnsi" w:cstheme="majorHAnsi"/>
          <w:lang w:val="en-US"/>
        </w:rPr>
        <w:t>results</w:t>
      </w:r>
      <w:r w:rsidRPr="00AA4FB2">
        <w:rPr>
          <w:rFonts w:asciiTheme="majorHAnsi" w:hAnsiTheme="majorHAnsi" w:cstheme="majorHAnsi"/>
          <w:lang w:val="en-US"/>
        </w:rPr>
        <w:t xml:space="preserve"> are limited. </w:t>
      </w:r>
      <w:sdt>
        <w:sdtPr>
          <w:rPr>
            <w:rFonts w:asciiTheme="majorHAnsi" w:hAnsiTheme="majorHAnsi" w:cstheme="majorHAnsi"/>
            <w:lang w:val="en-US"/>
          </w:rPr>
          <w:id w:val="1826853723"/>
          <w:citation/>
        </w:sdtPr>
        <w:sdtContent>
          <w:r w:rsidR="004D3AF9">
            <w:rPr>
              <w:rFonts w:asciiTheme="majorHAnsi" w:hAnsiTheme="majorHAnsi" w:cstheme="majorHAnsi"/>
              <w:lang w:val="en-US"/>
            </w:rPr>
            <w:fldChar w:fldCharType="begin"/>
          </w:r>
          <w:r w:rsidR="004D3AF9">
            <w:rPr>
              <w:rFonts w:asciiTheme="majorHAnsi" w:hAnsiTheme="majorHAnsi" w:cstheme="majorHAnsi"/>
            </w:rPr>
            <w:instrText xml:space="preserve"> CITATION 25 \l 2057 </w:instrText>
          </w:r>
          <w:r w:rsidR="004D3AF9">
            <w:rPr>
              <w:rFonts w:asciiTheme="majorHAnsi" w:hAnsiTheme="majorHAnsi" w:cstheme="majorHAnsi"/>
              <w:lang w:val="en-US"/>
            </w:rPr>
            <w:fldChar w:fldCharType="separate"/>
          </w:r>
          <w:r w:rsidR="007A4287" w:rsidRPr="007A4287">
            <w:rPr>
              <w:rFonts w:asciiTheme="majorHAnsi" w:hAnsiTheme="majorHAnsi" w:cstheme="majorHAnsi"/>
              <w:noProof/>
            </w:rPr>
            <w:t>[25]</w:t>
          </w:r>
          <w:r w:rsidR="004D3AF9">
            <w:rPr>
              <w:rFonts w:asciiTheme="majorHAnsi" w:hAnsiTheme="majorHAnsi" w:cstheme="majorHAnsi"/>
              <w:lang w:val="en-US"/>
            </w:rPr>
            <w:fldChar w:fldCharType="end"/>
          </w:r>
        </w:sdtContent>
      </w:sdt>
    </w:p>
    <w:p w14:paraId="176665DC" w14:textId="62EEB34F" w:rsidR="00EB27B3" w:rsidRPr="00AA4FB2" w:rsidRDefault="00EB27B3" w:rsidP="00B5367B">
      <w:pPr>
        <w:pStyle w:val="Heading1"/>
        <w:rPr>
          <w:rFonts w:cstheme="majorHAnsi"/>
          <w:lang w:val="en-US"/>
        </w:rPr>
      </w:pPr>
      <w:bookmarkStart w:id="9" w:name="_Toc220064220"/>
      <w:r w:rsidRPr="00AA4FB2">
        <w:rPr>
          <w:rFonts w:cstheme="majorHAnsi"/>
          <w:lang w:val="en-US"/>
        </w:rPr>
        <w:t>Critical Evaluation of Data Quality</w:t>
      </w:r>
      <w:bookmarkEnd w:id="9"/>
      <w:r w:rsidRPr="00AA4FB2">
        <w:rPr>
          <w:rFonts w:cstheme="majorHAnsi"/>
          <w:lang w:val="en-US"/>
        </w:rPr>
        <w:t xml:space="preserve"> </w:t>
      </w:r>
    </w:p>
    <w:p w14:paraId="55168D00" w14:textId="044DAB49" w:rsidR="00846BDD" w:rsidRPr="00AA4FB2" w:rsidRDefault="00846BDD" w:rsidP="00846BDD">
      <w:pPr>
        <w:rPr>
          <w:rFonts w:asciiTheme="majorHAnsi" w:hAnsiTheme="majorHAnsi" w:cstheme="majorHAnsi"/>
          <w:lang w:val="en-US"/>
        </w:rPr>
      </w:pPr>
      <w:r w:rsidRPr="00AA4FB2">
        <w:rPr>
          <w:rFonts w:asciiTheme="majorHAnsi" w:hAnsiTheme="majorHAnsi" w:cstheme="majorHAnsi"/>
          <w:lang w:val="en-US"/>
        </w:rPr>
        <w:t>There was a key difference in theory and practice when looking at the blast curves data and plotting them. The real-life data contains high amounts of noise throughout, and one of the gauges had 3 different peaks. Two of which were extremely close together, making it hard to interpret which one was the initial overpressure</w:t>
      </w:r>
      <w:r w:rsidRPr="00AA4FB2">
        <w:rPr>
          <w:rFonts w:asciiTheme="majorHAnsi" w:hAnsiTheme="majorHAnsi" w:cstheme="majorHAnsi"/>
          <w:lang w:val="en-US"/>
        </w:rPr>
        <w:t>. This is because the reflected waves interfere with the blast gauges creating the hard-to-integrate gauges. The fragmentation of gauge one meant that the first instance to capture overpressure was lost, which would have provided more insight into the data.</w:t>
      </w:r>
    </w:p>
    <w:p w14:paraId="6BFDE0BD" w14:textId="350A0FE4" w:rsidR="00774536" w:rsidRPr="00AA4FB2" w:rsidRDefault="00774536" w:rsidP="00774536">
      <w:pPr>
        <w:rPr>
          <w:rFonts w:asciiTheme="majorHAnsi" w:hAnsiTheme="majorHAnsi" w:cstheme="majorHAnsi"/>
        </w:rPr>
      </w:pPr>
      <w:r w:rsidRPr="00AA4FB2">
        <w:rPr>
          <w:rFonts w:asciiTheme="majorHAnsi" w:hAnsiTheme="majorHAnsi" w:cstheme="majorHAnsi"/>
          <w:lang w:val="en-US"/>
        </w:rPr>
        <w:lastRenderedPageBreak/>
        <w:t>A comparison of all the methods shows that, d</w:t>
      </w:r>
      <w:r w:rsidRPr="00AA4FB2">
        <w:rPr>
          <w:rFonts w:asciiTheme="majorHAnsi" w:hAnsiTheme="majorHAnsi" w:cstheme="majorHAnsi"/>
          <w:lang w:val="en-US"/>
        </w:rPr>
        <w:t xml:space="preserve">espite the </w:t>
      </w:r>
      <w:r w:rsidRPr="00AA4FB2">
        <w:rPr>
          <w:rFonts w:asciiTheme="majorHAnsi" w:hAnsiTheme="majorHAnsi" w:cstheme="majorHAnsi"/>
          <w:lang w:val="en-US"/>
        </w:rPr>
        <w:t xml:space="preserve">confusion, </w:t>
      </w:r>
      <w:r w:rsidRPr="00AA4FB2">
        <w:rPr>
          <w:rFonts w:asciiTheme="majorHAnsi" w:hAnsiTheme="majorHAnsi" w:cstheme="majorHAnsi"/>
        </w:rPr>
        <w:t xml:space="preserve">Piezoelectric blast gauges </w:t>
      </w:r>
      <w:r w:rsidRPr="00AA4FB2">
        <w:rPr>
          <w:rFonts w:asciiTheme="majorHAnsi" w:hAnsiTheme="majorHAnsi" w:cstheme="majorHAnsi"/>
        </w:rPr>
        <w:t>offered one of the most robust data sets, although in practice, they could have benefited from modelling to determine where the gauge would be best suited to achieve the best results in a real-world environment.</w:t>
      </w:r>
    </w:p>
    <w:p w14:paraId="777F62D3" w14:textId="05AAE566" w:rsidR="00774536" w:rsidRPr="00AA4FB2" w:rsidRDefault="00774536" w:rsidP="00846BDD">
      <w:pPr>
        <w:rPr>
          <w:rFonts w:asciiTheme="majorHAnsi" w:hAnsiTheme="majorHAnsi" w:cstheme="majorHAnsi"/>
          <w:lang w:val="en-US"/>
        </w:rPr>
      </w:pPr>
      <w:r w:rsidRPr="00AA4FB2">
        <w:rPr>
          <w:rFonts w:asciiTheme="majorHAnsi" w:hAnsiTheme="majorHAnsi" w:cstheme="majorHAnsi"/>
          <w:lang w:val="en-US"/>
        </w:rPr>
        <w:t xml:space="preserve">Velocity foils also had a robust quantitative data set to refer to, as all foils received at least one velocity strike, that average to be consistent. They, however, introduced a sample bias alongside the strawboard, where only that portion of fragmentation could be analysed </w:t>
      </w:r>
    </w:p>
    <w:p w14:paraId="52F2B0A0" w14:textId="53E446DD" w:rsidR="00846BDD" w:rsidRPr="00AA4FB2" w:rsidRDefault="00846BDD" w:rsidP="00846BDD">
      <w:pPr>
        <w:rPr>
          <w:rFonts w:asciiTheme="majorHAnsi" w:hAnsiTheme="majorHAnsi" w:cstheme="majorHAnsi"/>
          <w:lang w:val="en-US"/>
        </w:rPr>
      </w:pPr>
      <w:r w:rsidRPr="00AA4FB2">
        <w:rPr>
          <w:rFonts w:asciiTheme="majorHAnsi" w:hAnsiTheme="majorHAnsi" w:cstheme="majorHAnsi"/>
          <w:lang w:val="en-US"/>
        </w:rPr>
        <w:t xml:space="preserve">The FF-IR was also hard to integrate as there were unexpected peaks where there were traces of another material; however, using spectral analysis found in the literature, where there were limited contamination patterns, could be found that mimicked that of the sample, which, upon analysis of the peaks, could be used as supporting evidence to </w:t>
      </w:r>
      <w:r w:rsidR="00774536" w:rsidRPr="00AA4FB2">
        <w:rPr>
          <w:rFonts w:asciiTheme="majorHAnsi" w:hAnsiTheme="majorHAnsi" w:cstheme="majorHAnsi"/>
          <w:lang w:val="en-US"/>
        </w:rPr>
        <w:t>the material conclusion.</w:t>
      </w:r>
    </w:p>
    <w:p w14:paraId="72ECBE12" w14:textId="32F71BFC" w:rsidR="00774536" w:rsidRPr="00AA4FB2" w:rsidRDefault="00774536" w:rsidP="00846BDD">
      <w:pPr>
        <w:rPr>
          <w:rFonts w:asciiTheme="majorHAnsi" w:hAnsiTheme="majorHAnsi" w:cstheme="majorHAnsi"/>
          <w:lang w:val="en-US"/>
        </w:rPr>
      </w:pPr>
      <w:r w:rsidRPr="00AA4FB2">
        <w:rPr>
          <w:rFonts w:asciiTheme="majorHAnsi" w:hAnsiTheme="majorHAnsi" w:cstheme="majorHAnsi"/>
          <w:lang w:val="en-US"/>
        </w:rPr>
        <w:t>The strawboard was the least reliable piece of data as offer high human input into its analysis, which increases the likelihood of an error, even though it was the cheapest and fastest way to receive fragmentation data</w:t>
      </w:r>
    </w:p>
    <w:p w14:paraId="1BC88CDC" w14:textId="57E6810E" w:rsidR="00774536" w:rsidRPr="00AA4FB2" w:rsidRDefault="00774536" w:rsidP="00846BDD">
      <w:pPr>
        <w:rPr>
          <w:rFonts w:asciiTheme="majorHAnsi" w:hAnsiTheme="majorHAnsi" w:cstheme="majorHAnsi"/>
          <w:lang w:val="en-US"/>
        </w:rPr>
      </w:pPr>
      <w:r w:rsidRPr="00AA4FB2">
        <w:rPr>
          <w:rFonts w:asciiTheme="majorHAnsi" w:hAnsiTheme="majorHAnsi" w:cstheme="majorHAnsi"/>
          <w:lang w:val="en-US"/>
        </w:rPr>
        <w:t xml:space="preserve">Overall, the data set could have benefited from multiple analysis methods to identify the munition. Only having a single technique for both </w:t>
      </w:r>
      <w:r w:rsidR="00AA4FB2" w:rsidRPr="00AA4FB2">
        <w:rPr>
          <w:rFonts w:asciiTheme="majorHAnsi" w:hAnsiTheme="majorHAnsi" w:cstheme="majorHAnsi"/>
          <w:lang w:val="en-US"/>
        </w:rPr>
        <w:t>limiting</w:t>
      </w:r>
      <w:r w:rsidRPr="00AA4FB2">
        <w:rPr>
          <w:rFonts w:asciiTheme="majorHAnsi" w:hAnsiTheme="majorHAnsi" w:cstheme="majorHAnsi"/>
          <w:lang w:val="en-US"/>
        </w:rPr>
        <w:t xml:space="preserve"> the verification that could be done on the data and meant the damage from the blast, like the fragmented gauge, caused a big impact on the results and therefore the analytical methods used   </w:t>
      </w:r>
    </w:p>
    <w:p w14:paraId="5BE5E9AC" w14:textId="77777777" w:rsidR="00B5367B" w:rsidRPr="00AA4FB2" w:rsidRDefault="00EB27B3" w:rsidP="00B5367B">
      <w:pPr>
        <w:pStyle w:val="Heading1"/>
        <w:rPr>
          <w:rFonts w:cstheme="majorHAnsi"/>
          <w:lang w:val="en-US"/>
        </w:rPr>
      </w:pPr>
      <w:bookmarkStart w:id="10" w:name="_Toc220064221"/>
      <w:r w:rsidRPr="00AA4FB2">
        <w:rPr>
          <w:rFonts w:cstheme="majorHAnsi"/>
          <w:lang w:val="en-US"/>
        </w:rPr>
        <w:t>Recommendations</w:t>
      </w:r>
      <w:bookmarkEnd w:id="10"/>
      <w:r w:rsidRPr="00AA4FB2">
        <w:rPr>
          <w:rFonts w:cstheme="majorHAnsi"/>
          <w:lang w:val="en-US"/>
        </w:rPr>
        <w:t xml:space="preserve"> </w:t>
      </w:r>
    </w:p>
    <w:p w14:paraId="3ED88A4A" w14:textId="6CEF2C8F" w:rsidR="00AA4FB2" w:rsidRPr="00AA4FB2" w:rsidRDefault="00AA4FB2" w:rsidP="00AA4FB2">
      <w:pPr>
        <w:rPr>
          <w:rFonts w:asciiTheme="majorHAnsi" w:hAnsiTheme="majorHAnsi" w:cstheme="majorHAnsi"/>
        </w:rPr>
      </w:pPr>
      <w:r w:rsidRPr="00AA4FB2">
        <w:rPr>
          <w:rFonts w:asciiTheme="majorHAnsi" w:hAnsiTheme="majorHAnsi" w:cstheme="majorHAnsi"/>
        </w:rPr>
        <w:t>Future trials should prioritise strengthening the reliability of core sensors such as blast gauges and velocity foils by improving protection, reducing cable vulnerability and minimising reflective surfaces around the measurement arc. More durable alternatives to strawboard</w:t>
      </w:r>
      <w:r w:rsidRPr="00AA4FB2">
        <w:rPr>
          <w:rFonts w:asciiTheme="majorHAnsi" w:hAnsiTheme="majorHAnsi" w:cstheme="majorHAnsi"/>
        </w:rPr>
        <w:t xml:space="preserve">, such as aluminium, could be used alongside to </w:t>
      </w:r>
      <w:r w:rsidRPr="00AA4FB2">
        <w:rPr>
          <w:rFonts w:asciiTheme="majorHAnsi" w:hAnsiTheme="majorHAnsi" w:cstheme="majorHAnsi"/>
        </w:rPr>
        <w:t xml:space="preserve">reduce environmental sensitivity and improve fragment recovery. Using redundant gauges and foils at matched distances would increase confidence and mitigate data loss from fragment strike. </w:t>
      </w:r>
      <w:r w:rsidRPr="00AA4FB2">
        <w:rPr>
          <w:rFonts w:asciiTheme="majorHAnsi" w:hAnsiTheme="majorHAnsi" w:cstheme="majorHAnsi"/>
        </w:rPr>
        <w:t>Some qualitative methods that are cheap to implement</w:t>
      </w:r>
      <w:r>
        <w:rPr>
          <w:rFonts w:asciiTheme="majorHAnsi" w:hAnsiTheme="majorHAnsi" w:cstheme="majorHAnsi"/>
        </w:rPr>
        <w:t>,</w:t>
      </w:r>
      <w:r w:rsidRPr="00AA4FB2">
        <w:rPr>
          <w:rFonts w:asciiTheme="majorHAnsi" w:hAnsiTheme="majorHAnsi" w:cstheme="majorHAnsi"/>
        </w:rPr>
        <w:t xml:space="preserve"> such a</w:t>
      </w:r>
      <w:r>
        <w:rPr>
          <w:rFonts w:asciiTheme="majorHAnsi" w:hAnsiTheme="majorHAnsi" w:cstheme="majorHAnsi"/>
        </w:rPr>
        <w:t>s blast pens, would give low-cost supporting data to help with the analysis. The trial would also benefit from modelling done beforehand to ensure the instrumentation is in the optimal position for data collection.</w:t>
      </w:r>
    </w:p>
    <w:p w14:paraId="78FF35CD" w14:textId="2A750D1E" w:rsidR="00BC68C6" w:rsidRDefault="00053C6B" w:rsidP="00C42814">
      <w:pPr>
        <w:pStyle w:val="Heading1"/>
        <w:rPr>
          <w:rStyle w:val="Heading1Char"/>
          <w:rFonts w:cstheme="majorHAnsi"/>
        </w:rPr>
      </w:pPr>
      <w:bookmarkStart w:id="11" w:name="_Toc220064222"/>
      <w:r w:rsidRPr="00AA4FB2">
        <w:rPr>
          <w:rStyle w:val="Heading1Char"/>
          <w:rFonts w:cstheme="majorHAnsi"/>
        </w:rPr>
        <w:t>Conclusio</w:t>
      </w:r>
      <w:bookmarkEnd w:id="11"/>
      <w:r w:rsidR="00C42814">
        <w:rPr>
          <w:rStyle w:val="Heading1Char"/>
          <w:rFonts w:cstheme="majorHAnsi"/>
        </w:rPr>
        <w:t>n</w:t>
      </w:r>
    </w:p>
    <w:p w14:paraId="60257943" w14:textId="4F507301" w:rsidR="00314170" w:rsidRPr="00AA4FB2" w:rsidRDefault="00C42814" w:rsidP="00314170">
      <w:pPr>
        <w:rPr>
          <w:rFonts w:asciiTheme="majorHAnsi" w:hAnsiTheme="majorHAnsi" w:cstheme="majorHAnsi"/>
        </w:rPr>
      </w:pPr>
      <w:r>
        <w:rPr>
          <w:rFonts w:asciiTheme="majorHAnsi" w:hAnsiTheme="majorHAnsi" w:cstheme="majorHAnsi"/>
        </w:rPr>
        <w:t>Thi</w:t>
      </w:r>
      <w:r w:rsidRPr="00C42814">
        <w:rPr>
          <w:rFonts w:asciiTheme="majorHAnsi" w:hAnsiTheme="majorHAnsi" w:cstheme="majorHAnsi"/>
        </w:rPr>
        <w:t>s critique demonstrates that no single data capture method is sufficient for ordnance identification in isolation. Blast gauges and velocity foils provided the most reliable quantitative data, while strawboard and FT-IR offered valuable qualitative and supporting forensic insight. However, sensor vulnerability, sampling bias, and environmental effects introduced uncertainty. A multi-technique approach, supported by redundancy, improved calibration, and complementary analytical methods, is essential for robust conclusions. Future trials would benefit from integrating modern diagnostics and improved sensor protection to enhance confidence in forensic interpretation.</w:t>
      </w:r>
    </w:p>
    <w:bookmarkStart w:id="12" w:name="_Toc220064223" w:displacedByCustomXml="next"/>
    <w:sdt>
      <w:sdtPr>
        <w:rPr>
          <w:rFonts w:eastAsiaTheme="minorEastAsia" w:cstheme="majorHAnsi"/>
          <w:color w:val="auto"/>
          <w:sz w:val="21"/>
          <w:szCs w:val="21"/>
        </w:rPr>
        <w:id w:val="1300116970"/>
        <w:docPartObj>
          <w:docPartGallery w:val="Bibliographies"/>
          <w:docPartUnique/>
        </w:docPartObj>
      </w:sdtPr>
      <w:sdtEndPr>
        <w:rPr>
          <w:rFonts w:asciiTheme="minorHAnsi" w:hAnsiTheme="minorHAnsi" w:cstheme="minorBidi"/>
        </w:rPr>
      </w:sdtEndPr>
      <w:sdtContent>
        <w:p w14:paraId="1490B185" w14:textId="010E9039" w:rsidR="00E64BB0" w:rsidRPr="00AA4FB2" w:rsidRDefault="00E64BB0">
          <w:pPr>
            <w:pStyle w:val="Heading1"/>
            <w:rPr>
              <w:rFonts w:cstheme="majorHAnsi"/>
            </w:rPr>
          </w:pPr>
          <w:r w:rsidRPr="00AA4FB2">
            <w:rPr>
              <w:rFonts w:cstheme="majorHAnsi"/>
            </w:rPr>
            <w:t>References</w:t>
          </w:r>
          <w:bookmarkEnd w:id="12"/>
        </w:p>
        <w:sdt>
          <w:sdtPr>
            <w:id w:val="-573587230"/>
            <w:bibliography/>
          </w:sdtPr>
          <w:sdtEndPr/>
          <w:sdtContent>
            <w:p w14:paraId="486F9F27" w14:textId="77777777" w:rsidR="007A4287" w:rsidRDefault="00E64BB0" w:rsidP="00AA4FB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8609"/>
              </w:tblGrid>
              <w:tr w:rsidR="007A4287" w14:paraId="73F99223" w14:textId="77777777">
                <w:trPr>
                  <w:divId w:val="326596195"/>
                  <w:tblCellSpacing w:w="15" w:type="dxa"/>
                </w:trPr>
                <w:tc>
                  <w:tcPr>
                    <w:tcW w:w="50" w:type="pct"/>
                    <w:hideMark/>
                  </w:tcPr>
                  <w:p w14:paraId="5DA5BA9A" w14:textId="71403CF6" w:rsidR="007A4287" w:rsidRDefault="007A4287">
                    <w:pPr>
                      <w:pStyle w:val="Bibliography"/>
                      <w:rPr>
                        <w:noProof/>
                        <w:sz w:val="24"/>
                        <w:szCs w:val="24"/>
                      </w:rPr>
                    </w:pPr>
                    <w:r>
                      <w:rPr>
                        <w:noProof/>
                      </w:rPr>
                      <w:lastRenderedPageBreak/>
                      <w:t xml:space="preserve">[1] </w:t>
                    </w:r>
                  </w:p>
                </w:tc>
                <w:tc>
                  <w:tcPr>
                    <w:tcW w:w="0" w:type="auto"/>
                    <w:hideMark/>
                  </w:tcPr>
                  <w:p w14:paraId="39F480AF" w14:textId="1A41F962" w:rsidR="007A4287" w:rsidRPr="007A4287" w:rsidRDefault="007A4287">
                    <w:pPr>
                      <w:rPr>
                        <w:noProof/>
                        <w:lang w:val="en-US"/>
                      </w:rPr>
                    </w:pPr>
                    <w:r w:rsidRPr="007A4287">
                      <w:rPr>
                        <w:noProof/>
                        <w:lang w:val="en-US"/>
                      </w:rPr>
                      <w:t xml:space="preserve">H. Taherdoost, “Data Collection Methods and Tools for Research; A Step-by-Step Guide to Choose Data Collection Technique for Academic and Business Research Projects,” </w:t>
                    </w:r>
                    <w:r w:rsidRPr="007A4287">
                      <w:rPr>
                        <w:i/>
                        <w:iCs/>
                        <w:noProof/>
                        <w:lang w:val="en-US"/>
                      </w:rPr>
                      <w:t>International Journal of Academic Research in Management (IJARM)</w:t>
                    </w:r>
                    <w:r w:rsidRPr="007A4287">
                      <w:rPr>
                        <w:noProof/>
                        <w:lang w:val="en-US"/>
                      </w:rPr>
                      <w:t>, vol. 10, no. 1, 2021.</w:t>
                    </w:r>
                  </w:p>
                </w:tc>
              </w:tr>
              <w:tr w:rsidR="007A4287" w14:paraId="55877918" w14:textId="77777777">
                <w:trPr>
                  <w:divId w:val="326596195"/>
                  <w:tblCellSpacing w:w="15" w:type="dxa"/>
                </w:trPr>
                <w:tc>
                  <w:tcPr>
                    <w:tcW w:w="50" w:type="pct"/>
                    <w:hideMark/>
                  </w:tcPr>
                  <w:p w14:paraId="48683D61" w14:textId="77777777" w:rsidR="007A4287" w:rsidRDefault="007A4287">
                    <w:pPr>
                      <w:pStyle w:val="Bibliography"/>
                      <w:rPr>
                        <w:noProof/>
                        <w:sz w:val="24"/>
                        <w:szCs w:val="24"/>
                      </w:rPr>
                    </w:pPr>
                    <w:r>
                      <w:rPr>
                        <w:noProof/>
                      </w:rPr>
                      <w:t xml:space="preserve">[2] </w:t>
                    </w:r>
                  </w:p>
                </w:tc>
                <w:tc>
                  <w:tcPr>
                    <w:tcW w:w="0" w:type="auto"/>
                    <w:hideMark/>
                  </w:tcPr>
                  <w:p w14:paraId="62078508" w14:textId="0D44A17E" w:rsidR="007A4287" w:rsidRDefault="007A4287">
                    <w:pPr>
                      <w:rPr>
                        <w:noProof/>
                      </w:rPr>
                    </w:pPr>
                    <w:r w:rsidRPr="007A4287">
                      <w:rPr>
                        <w:noProof/>
                      </w:rPr>
                      <w:t xml:space="preserve">P. W. Cooper, </w:t>
                    </w:r>
                    <w:r w:rsidRPr="007A4287">
                      <w:rPr>
                        <w:i/>
                        <w:iCs/>
                        <w:noProof/>
                      </w:rPr>
                      <w:t>Explosives engineering.</w:t>
                    </w:r>
                    <w:r w:rsidRPr="007A4287">
                      <w:rPr>
                        <w:noProof/>
                      </w:rPr>
                      <w:t xml:space="preserve"> John Wiley, 2010.</w:t>
                    </w:r>
                  </w:p>
                </w:tc>
              </w:tr>
              <w:tr w:rsidR="007A4287" w14:paraId="2F4AA257" w14:textId="77777777">
                <w:trPr>
                  <w:divId w:val="326596195"/>
                  <w:tblCellSpacing w:w="15" w:type="dxa"/>
                </w:trPr>
                <w:tc>
                  <w:tcPr>
                    <w:tcW w:w="50" w:type="pct"/>
                    <w:hideMark/>
                  </w:tcPr>
                  <w:p w14:paraId="493D6ADB" w14:textId="77777777" w:rsidR="007A4287" w:rsidRDefault="007A4287">
                    <w:pPr>
                      <w:pStyle w:val="Bibliography"/>
                      <w:rPr>
                        <w:noProof/>
                        <w:sz w:val="24"/>
                        <w:szCs w:val="24"/>
                      </w:rPr>
                    </w:pPr>
                    <w:r>
                      <w:rPr>
                        <w:noProof/>
                      </w:rPr>
                      <w:t xml:space="preserve">[3] </w:t>
                    </w:r>
                  </w:p>
                </w:tc>
                <w:tc>
                  <w:tcPr>
                    <w:tcW w:w="0" w:type="auto"/>
                    <w:hideMark/>
                  </w:tcPr>
                  <w:p w14:paraId="543924EE" w14:textId="7008DE5E" w:rsidR="007A4287" w:rsidRPr="007A4287" w:rsidRDefault="007A4287">
                    <w:pPr>
                      <w:rPr>
                        <w:noProof/>
                        <w:lang w:val="en-US"/>
                      </w:rPr>
                    </w:pPr>
                    <w:r w:rsidRPr="007A4287">
                      <w:rPr>
                        <w:noProof/>
                        <w:lang w:val="en-US"/>
                      </w:rPr>
                      <w:t xml:space="preserve">A. Beveridge, Ed., </w:t>
                    </w:r>
                    <w:r w:rsidRPr="007A4287">
                      <w:rPr>
                        <w:i/>
                        <w:iCs/>
                        <w:noProof/>
                        <w:lang w:val="en-US"/>
                      </w:rPr>
                      <w:t>Forensic Investigation Of Explosions.</w:t>
                    </w:r>
                    <w:r w:rsidRPr="007A4287">
                      <w:rPr>
                        <w:noProof/>
                        <w:lang w:val="en-US"/>
                      </w:rPr>
                      <w:t xml:space="preserve"> S.L.: Crc Press, 2021.</w:t>
                    </w:r>
                  </w:p>
                </w:tc>
              </w:tr>
              <w:tr w:rsidR="007A4287" w14:paraId="67075846" w14:textId="77777777">
                <w:trPr>
                  <w:divId w:val="326596195"/>
                  <w:tblCellSpacing w:w="15" w:type="dxa"/>
                </w:trPr>
                <w:tc>
                  <w:tcPr>
                    <w:tcW w:w="50" w:type="pct"/>
                    <w:hideMark/>
                  </w:tcPr>
                  <w:p w14:paraId="5D42C250" w14:textId="77777777" w:rsidR="007A4287" w:rsidRDefault="007A4287">
                    <w:pPr>
                      <w:pStyle w:val="Bibliography"/>
                      <w:rPr>
                        <w:noProof/>
                        <w:sz w:val="24"/>
                        <w:szCs w:val="24"/>
                      </w:rPr>
                    </w:pPr>
                    <w:r>
                      <w:rPr>
                        <w:noProof/>
                      </w:rPr>
                      <w:t xml:space="preserve">[4] </w:t>
                    </w:r>
                  </w:p>
                </w:tc>
                <w:tc>
                  <w:tcPr>
                    <w:tcW w:w="0" w:type="auto"/>
                    <w:hideMark/>
                  </w:tcPr>
                  <w:p w14:paraId="652567AE" w14:textId="6F303EE4" w:rsidR="007A4287" w:rsidRDefault="007A4287">
                    <w:pPr>
                      <w:rPr>
                        <w:noProof/>
                      </w:rPr>
                    </w:pPr>
                    <w:r w:rsidRPr="007A4287">
                      <w:rPr>
                        <w:noProof/>
                      </w:rPr>
                      <w:t xml:space="preserve">S. Ferreira </w:t>
                    </w:r>
                    <w:r w:rsidRPr="007A4287">
                      <w:rPr>
                        <w:i/>
                        <w:iCs/>
                        <w:noProof/>
                      </w:rPr>
                      <w:t>et al.</w:t>
                    </w:r>
                    <w:r w:rsidRPr="007A4287">
                      <w:rPr>
                        <w:noProof/>
                      </w:rPr>
                      <w:t xml:space="preserve">, “From Controlled to Chaotic: Disparities in Laboratory vs Real-World Stress Detection,” </w:t>
                    </w:r>
                    <w:r w:rsidRPr="007A4287">
                      <w:rPr>
                        <w:i/>
                        <w:iCs/>
                        <w:noProof/>
                      </w:rPr>
                      <w:t>2024 International Conference on Content-Based Multimedia Indexing (CBMI)</w:t>
                    </w:r>
                    <w:r w:rsidRPr="007A4287">
                      <w:rPr>
                        <w:noProof/>
                      </w:rPr>
                      <w:t xml:space="preserve">, pp. 1–7, Sep. 2024, doi: </w:t>
                    </w:r>
                    <w:hyperlink r:id="rId13" w:history="1">
                      <w:r w:rsidRPr="007A4287">
                        <w:rPr>
                          <w:rStyle w:val="Hyperlink"/>
                          <w:noProof/>
                        </w:rPr>
                        <w:t>https://doi.org/10.1109/cbmi62980.2024.10859254</w:t>
                      </w:r>
                    </w:hyperlink>
                    <w:r w:rsidRPr="007A4287">
                      <w:rPr>
                        <w:noProof/>
                      </w:rPr>
                      <w:t>.</w:t>
                    </w:r>
                  </w:p>
                </w:tc>
              </w:tr>
              <w:tr w:rsidR="007A4287" w14:paraId="4EB80C76" w14:textId="77777777">
                <w:trPr>
                  <w:divId w:val="326596195"/>
                  <w:tblCellSpacing w:w="15" w:type="dxa"/>
                </w:trPr>
                <w:tc>
                  <w:tcPr>
                    <w:tcW w:w="50" w:type="pct"/>
                    <w:hideMark/>
                  </w:tcPr>
                  <w:p w14:paraId="1FD25C02" w14:textId="77777777" w:rsidR="007A4287" w:rsidRDefault="007A4287">
                    <w:pPr>
                      <w:pStyle w:val="Bibliography"/>
                      <w:rPr>
                        <w:noProof/>
                        <w:sz w:val="24"/>
                        <w:szCs w:val="24"/>
                      </w:rPr>
                    </w:pPr>
                    <w:r>
                      <w:rPr>
                        <w:noProof/>
                      </w:rPr>
                      <w:t xml:space="preserve">[5] </w:t>
                    </w:r>
                  </w:p>
                </w:tc>
                <w:tc>
                  <w:tcPr>
                    <w:tcW w:w="0" w:type="auto"/>
                    <w:hideMark/>
                  </w:tcPr>
                  <w:p w14:paraId="642085C0" w14:textId="54578121" w:rsidR="007A4287" w:rsidRPr="007A4287" w:rsidRDefault="007A4287">
                    <w:pPr>
                      <w:rPr>
                        <w:noProof/>
                        <w:lang w:val="en-US"/>
                      </w:rPr>
                    </w:pPr>
                    <w:r w:rsidRPr="007A4287">
                      <w:rPr>
                        <w:noProof/>
                        <w:lang w:val="en-US"/>
                      </w:rPr>
                      <w:t xml:space="preserve">M. Lavayssière </w:t>
                    </w:r>
                    <w:r w:rsidRPr="007A4287">
                      <w:rPr>
                        <w:i/>
                        <w:iCs/>
                        <w:noProof/>
                        <w:lang w:val="en-US"/>
                      </w:rPr>
                      <w:t>et al.</w:t>
                    </w:r>
                    <w:r w:rsidRPr="007A4287">
                      <w:rPr>
                        <w:noProof/>
                        <w:lang w:val="en-US"/>
                      </w:rPr>
                      <w:t xml:space="preserve">, “Toward Improvements in Pressure Measurements for Near Free-Field Blast Experiments,” </w:t>
                    </w:r>
                    <w:r w:rsidRPr="007A4287">
                      <w:rPr>
                        <w:i/>
                        <w:iCs/>
                        <w:noProof/>
                        <w:lang w:val="en-US"/>
                      </w:rPr>
                      <w:t>Sensors</w:t>
                    </w:r>
                    <w:r w:rsidRPr="007A4287">
                      <w:rPr>
                        <w:noProof/>
                        <w:lang w:val="en-US"/>
                      </w:rPr>
                      <w:t xml:space="preserve">, vol. 23, no. 12, p. 5635, Jun. 2023, doi: </w:t>
                    </w:r>
                    <w:hyperlink r:id="rId14" w:history="1">
                      <w:r w:rsidRPr="007A4287">
                        <w:rPr>
                          <w:rStyle w:val="Hyperlink"/>
                          <w:noProof/>
                          <w:lang w:val="en-US"/>
                        </w:rPr>
                        <w:t>https://doi.org/10.3390/s23125635</w:t>
                      </w:r>
                    </w:hyperlink>
                    <w:r w:rsidRPr="007A4287">
                      <w:rPr>
                        <w:noProof/>
                        <w:lang w:val="en-US"/>
                      </w:rPr>
                      <w:t>.</w:t>
                    </w:r>
                  </w:p>
                </w:tc>
              </w:tr>
              <w:tr w:rsidR="007A4287" w14:paraId="3F1471FB" w14:textId="77777777">
                <w:trPr>
                  <w:divId w:val="326596195"/>
                  <w:tblCellSpacing w:w="15" w:type="dxa"/>
                </w:trPr>
                <w:tc>
                  <w:tcPr>
                    <w:tcW w:w="50" w:type="pct"/>
                    <w:hideMark/>
                  </w:tcPr>
                  <w:p w14:paraId="05C2F26C" w14:textId="77777777" w:rsidR="007A4287" w:rsidRDefault="007A4287">
                    <w:pPr>
                      <w:pStyle w:val="Bibliography"/>
                      <w:rPr>
                        <w:noProof/>
                        <w:sz w:val="24"/>
                        <w:szCs w:val="24"/>
                      </w:rPr>
                    </w:pPr>
                    <w:r>
                      <w:rPr>
                        <w:noProof/>
                      </w:rPr>
                      <w:t xml:space="preserve">[6] </w:t>
                    </w:r>
                  </w:p>
                </w:tc>
                <w:tc>
                  <w:tcPr>
                    <w:tcW w:w="0" w:type="auto"/>
                    <w:hideMark/>
                  </w:tcPr>
                  <w:p w14:paraId="22DACDC3" w14:textId="73CC6B17" w:rsidR="007A4287" w:rsidRDefault="007A4287">
                    <w:pPr>
                      <w:rPr>
                        <w:noProof/>
                      </w:rPr>
                    </w:pPr>
                    <w:r w:rsidRPr="007A4287">
                      <w:rPr>
                        <w:noProof/>
                      </w:rPr>
                      <w:t xml:space="preserve">F. Yang, D. Kong, and L. Kong, “Accurate measurement of high-frequency blast waves through dynamic compensation of miniature piezoelectric pressure sensors,” </w:t>
                    </w:r>
                    <w:r w:rsidRPr="007A4287">
                      <w:rPr>
                        <w:i/>
                        <w:iCs/>
                        <w:noProof/>
                      </w:rPr>
                      <w:t>Sensors and Actuators A: Physical</w:t>
                    </w:r>
                    <w:r w:rsidRPr="007A4287">
                      <w:rPr>
                        <w:noProof/>
                      </w:rPr>
                      <w:t xml:space="preserve">, vol. 280, pp. 14–23, Sep. 2018, doi: </w:t>
                    </w:r>
                    <w:hyperlink r:id="rId15" w:history="1">
                      <w:r w:rsidRPr="007A4287">
                        <w:rPr>
                          <w:rStyle w:val="Hyperlink"/>
                          <w:noProof/>
                        </w:rPr>
                        <w:t>https://doi.org/10.1016/j.sna.2018.07.029</w:t>
                      </w:r>
                    </w:hyperlink>
                    <w:r w:rsidRPr="007A4287">
                      <w:rPr>
                        <w:noProof/>
                      </w:rPr>
                      <w:t>.</w:t>
                    </w:r>
                  </w:p>
                </w:tc>
              </w:tr>
              <w:tr w:rsidR="007A4287" w14:paraId="7BDE7072" w14:textId="77777777">
                <w:trPr>
                  <w:divId w:val="326596195"/>
                  <w:tblCellSpacing w:w="15" w:type="dxa"/>
                </w:trPr>
                <w:tc>
                  <w:tcPr>
                    <w:tcW w:w="50" w:type="pct"/>
                    <w:hideMark/>
                  </w:tcPr>
                  <w:p w14:paraId="0E65703F" w14:textId="77777777" w:rsidR="007A4287" w:rsidRDefault="007A4287">
                    <w:pPr>
                      <w:pStyle w:val="Bibliography"/>
                      <w:rPr>
                        <w:noProof/>
                        <w:sz w:val="24"/>
                        <w:szCs w:val="24"/>
                      </w:rPr>
                    </w:pPr>
                    <w:r>
                      <w:rPr>
                        <w:noProof/>
                      </w:rPr>
                      <w:t xml:space="preserve">[7] </w:t>
                    </w:r>
                  </w:p>
                </w:tc>
                <w:tc>
                  <w:tcPr>
                    <w:tcW w:w="0" w:type="auto"/>
                    <w:hideMark/>
                  </w:tcPr>
                  <w:p w14:paraId="648FCDFE" w14:textId="1AB45BC6" w:rsidR="007A4287" w:rsidRPr="007A4287" w:rsidRDefault="007A4287">
                    <w:pPr>
                      <w:rPr>
                        <w:noProof/>
                        <w:lang w:val="en-US"/>
                      </w:rPr>
                    </w:pPr>
                    <w:r w:rsidRPr="007A4287">
                      <w:rPr>
                        <w:noProof/>
                        <w:lang w:val="en-US"/>
                      </w:rPr>
                      <w:t xml:space="preserve">A. Misistia, Maciej Skotak, A. Cardenas, E. Alay, N. Chandra, and G. H. Kamimori, “Sensor orientation and other factors which increase the blast overpressure reporting errors,” </w:t>
                    </w:r>
                    <w:r w:rsidRPr="007A4287">
                      <w:rPr>
                        <w:i/>
                        <w:iCs/>
                        <w:noProof/>
                        <w:lang w:val="en-US"/>
                      </w:rPr>
                      <w:t>PLOS ONE</w:t>
                    </w:r>
                    <w:r w:rsidRPr="007A4287">
                      <w:rPr>
                        <w:noProof/>
                        <w:lang w:val="en-US"/>
                      </w:rPr>
                      <w:t xml:space="preserve">, vol. 15, no. 10, pp. e0240262–e0240262, Oct. 2020, doi: </w:t>
                    </w:r>
                    <w:hyperlink r:id="rId16" w:history="1">
                      <w:r w:rsidRPr="007A4287">
                        <w:rPr>
                          <w:rStyle w:val="Hyperlink"/>
                          <w:noProof/>
                          <w:lang w:val="en-US"/>
                        </w:rPr>
                        <w:t>https://doi.org/10.1371/journal.pone.0240262</w:t>
                      </w:r>
                    </w:hyperlink>
                  </w:p>
                </w:tc>
              </w:tr>
              <w:tr w:rsidR="007A4287" w14:paraId="56EA9742" w14:textId="77777777">
                <w:trPr>
                  <w:divId w:val="326596195"/>
                  <w:tblCellSpacing w:w="15" w:type="dxa"/>
                </w:trPr>
                <w:tc>
                  <w:tcPr>
                    <w:tcW w:w="50" w:type="pct"/>
                    <w:hideMark/>
                  </w:tcPr>
                  <w:p w14:paraId="1F8CCA30" w14:textId="77777777" w:rsidR="007A4287" w:rsidRDefault="007A4287">
                    <w:pPr>
                      <w:pStyle w:val="Bibliography"/>
                      <w:rPr>
                        <w:noProof/>
                        <w:sz w:val="24"/>
                        <w:szCs w:val="24"/>
                      </w:rPr>
                    </w:pPr>
                    <w:r>
                      <w:rPr>
                        <w:noProof/>
                      </w:rPr>
                      <w:t xml:space="preserve">[8] </w:t>
                    </w:r>
                  </w:p>
                </w:tc>
                <w:tc>
                  <w:tcPr>
                    <w:tcW w:w="0" w:type="auto"/>
                    <w:hideMark/>
                  </w:tcPr>
                  <w:p w14:paraId="7735682E" w14:textId="41BA5153" w:rsidR="007A4287" w:rsidRPr="007A4287" w:rsidRDefault="007A4287">
                    <w:pPr>
                      <w:rPr>
                        <w:noProof/>
                        <w:lang w:val="en-US"/>
                      </w:rPr>
                    </w:pPr>
                    <w:r w:rsidRPr="007A4287">
                      <w:rPr>
                        <w:noProof/>
                        <w:lang w:val="en-US"/>
                      </w:rPr>
                      <w:t xml:space="preserve">J. Riondet </w:t>
                    </w:r>
                    <w:r w:rsidRPr="007A4287">
                      <w:rPr>
                        <w:i/>
                        <w:iCs/>
                        <w:noProof/>
                        <w:lang w:val="en-US"/>
                      </w:rPr>
                      <w:t>et al.</w:t>
                    </w:r>
                    <w:r w:rsidRPr="007A4287">
                      <w:rPr>
                        <w:noProof/>
                        <w:lang w:val="en-US"/>
                      </w:rPr>
                      <w:t xml:space="preserve">, “Design of air blast pressure sensors based on miniature silicon membrane and piezoresistive gauges,” </w:t>
                    </w:r>
                    <w:r w:rsidRPr="007A4287">
                      <w:rPr>
                        <w:i/>
                        <w:iCs/>
                        <w:noProof/>
                        <w:lang w:val="en-US"/>
                      </w:rPr>
                      <w:t>Journal of Physics: Conference Series</w:t>
                    </w:r>
                    <w:r w:rsidRPr="007A4287">
                      <w:rPr>
                        <w:noProof/>
                        <w:lang w:val="en-US"/>
                      </w:rPr>
                      <w:t xml:space="preserve">, vol. 922, p. 012019, Nov. 2017, doi: </w:t>
                    </w:r>
                    <w:hyperlink r:id="rId17" w:history="1">
                      <w:r w:rsidRPr="007A4287">
                        <w:rPr>
                          <w:rStyle w:val="Hyperlink"/>
                          <w:noProof/>
                          <w:lang w:val="en-US"/>
                        </w:rPr>
                        <w:t>https://doi.org/10.1088/1742-6596/922/1/012019</w:t>
                      </w:r>
                    </w:hyperlink>
                    <w:r w:rsidRPr="007A4287">
                      <w:rPr>
                        <w:noProof/>
                        <w:lang w:val="en-US"/>
                      </w:rPr>
                      <w:t>.</w:t>
                    </w:r>
                  </w:p>
                </w:tc>
              </w:tr>
              <w:tr w:rsidR="007A4287" w14:paraId="001DB55C" w14:textId="77777777">
                <w:trPr>
                  <w:divId w:val="326596195"/>
                  <w:tblCellSpacing w:w="15" w:type="dxa"/>
                </w:trPr>
                <w:tc>
                  <w:tcPr>
                    <w:tcW w:w="50" w:type="pct"/>
                    <w:hideMark/>
                  </w:tcPr>
                  <w:p w14:paraId="00B9A435" w14:textId="77777777" w:rsidR="007A4287" w:rsidRDefault="007A4287">
                    <w:pPr>
                      <w:pStyle w:val="Bibliography"/>
                      <w:rPr>
                        <w:noProof/>
                        <w:sz w:val="24"/>
                        <w:szCs w:val="24"/>
                      </w:rPr>
                    </w:pPr>
                    <w:r>
                      <w:rPr>
                        <w:noProof/>
                      </w:rPr>
                      <w:t xml:space="preserve">[9] </w:t>
                    </w:r>
                  </w:p>
                </w:tc>
                <w:tc>
                  <w:tcPr>
                    <w:tcW w:w="0" w:type="auto"/>
                    <w:hideMark/>
                  </w:tcPr>
                  <w:p w14:paraId="6CDD47F0" w14:textId="0F1761C0" w:rsidR="007A4287" w:rsidRDefault="007A4287">
                    <w:pPr>
                      <w:rPr>
                        <w:noProof/>
                      </w:rPr>
                    </w:pPr>
                    <w:r w:rsidRPr="007A4287">
                      <w:rPr>
                        <w:noProof/>
                        <w:lang w:val="en-US"/>
                      </w:rPr>
                      <w:t xml:space="preserve">. Fourmann </w:t>
                    </w:r>
                    <w:r w:rsidRPr="007A4287">
                      <w:rPr>
                        <w:i/>
                        <w:iCs/>
                        <w:noProof/>
                        <w:lang w:val="en-US"/>
                      </w:rPr>
                      <w:t>et al.</w:t>
                    </w:r>
                    <w:r w:rsidRPr="007A4287">
                      <w:rPr>
                        <w:noProof/>
                        <w:lang w:val="en-US"/>
                      </w:rPr>
                      <w:t xml:space="preserve">, “Wireless pressure measurement in air blast using PVDF sensors,” pp. 1–3, Oct. 2016, doi: </w:t>
                    </w:r>
                    <w:hyperlink r:id="rId18" w:history="1">
                      <w:r w:rsidRPr="007A4287">
                        <w:rPr>
                          <w:rStyle w:val="Hyperlink"/>
                          <w:noProof/>
                          <w:lang w:val="en-US"/>
                        </w:rPr>
                        <w:t>https://doi.org/10.1109/icsens.2016.7808922</w:t>
                      </w:r>
                    </w:hyperlink>
                  </w:p>
                </w:tc>
              </w:tr>
              <w:tr w:rsidR="007A4287" w14:paraId="05CFCFB2" w14:textId="77777777">
                <w:trPr>
                  <w:divId w:val="326596195"/>
                  <w:tblCellSpacing w:w="15" w:type="dxa"/>
                </w:trPr>
                <w:tc>
                  <w:tcPr>
                    <w:tcW w:w="50" w:type="pct"/>
                    <w:hideMark/>
                  </w:tcPr>
                  <w:p w14:paraId="0EC32A1F" w14:textId="77777777" w:rsidR="007A4287" w:rsidRDefault="007A4287">
                    <w:pPr>
                      <w:pStyle w:val="Bibliography"/>
                      <w:rPr>
                        <w:noProof/>
                        <w:sz w:val="24"/>
                        <w:szCs w:val="24"/>
                      </w:rPr>
                    </w:pPr>
                    <w:r>
                      <w:rPr>
                        <w:noProof/>
                      </w:rPr>
                      <w:t xml:space="preserve">[10] </w:t>
                    </w:r>
                  </w:p>
                </w:tc>
                <w:tc>
                  <w:tcPr>
                    <w:tcW w:w="0" w:type="auto"/>
                    <w:hideMark/>
                  </w:tcPr>
                  <w:p w14:paraId="7033945E" w14:textId="1838B3AB" w:rsidR="007A4287" w:rsidRPr="007A4287" w:rsidRDefault="007A4287">
                    <w:pPr>
                      <w:rPr>
                        <w:noProof/>
                        <w:lang w:val="en-US"/>
                      </w:rPr>
                    </w:pPr>
                    <w:r w:rsidRPr="007A4287">
                      <w:rPr>
                        <w:noProof/>
                        <w:lang w:val="en-US"/>
                      </w:rPr>
                      <w:t xml:space="preserve">M. K. Quinn </w:t>
                    </w:r>
                    <w:r w:rsidRPr="007A4287">
                      <w:rPr>
                        <w:i/>
                        <w:iCs/>
                        <w:noProof/>
                        <w:lang w:val="en-US"/>
                      </w:rPr>
                      <w:t>et al.</w:t>
                    </w:r>
                    <w:r w:rsidRPr="007A4287">
                      <w:rPr>
                        <w:noProof/>
                        <w:lang w:val="en-US"/>
                      </w:rPr>
                      <w:t xml:space="preserve">, “Application of pressure-sensitive paint for explosive blast measurements,” </w:t>
                    </w:r>
                    <w:r w:rsidRPr="007A4287">
                      <w:rPr>
                        <w:i/>
                        <w:iCs/>
                        <w:noProof/>
                        <w:lang w:val="en-US"/>
                      </w:rPr>
                      <w:t>Measurement Science and Technology</w:t>
                    </w:r>
                    <w:r w:rsidRPr="007A4287">
                      <w:rPr>
                        <w:noProof/>
                        <w:lang w:val="en-US"/>
                      </w:rPr>
                      <w:t xml:space="preserve">, vol. 35, no. 3, pp. 035201–035201, Nov. 2023, doi: </w:t>
                    </w:r>
                    <w:hyperlink r:id="rId19" w:history="1">
                      <w:r w:rsidRPr="007A4287">
                        <w:rPr>
                          <w:rStyle w:val="Hyperlink"/>
                          <w:noProof/>
                          <w:lang w:val="en-US"/>
                        </w:rPr>
                        <w:t>https://doi.org/10.1088/1361-6501/ad0fd4</w:t>
                      </w:r>
                    </w:hyperlink>
                  </w:p>
                </w:tc>
              </w:tr>
              <w:tr w:rsidR="007A4287" w14:paraId="2C6AD8FD" w14:textId="77777777">
                <w:trPr>
                  <w:divId w:val="326596195"/>
                  <w:tblCellSpacing w:w="15" w:type="dxa"/>
                </w:trPr>
                <w:tc>
                  <w:tcPr>
                    <w:tcW w:w="50" w:type="pct"/>
                    <w:hideMark/>
                  </w:tcPr>
                  <w:p w14:paraId="105F9AC9" w14:textId="77777777" w:rsidR="007A4287" w:rsidRDefault="007A4287">
                    <w:pPr>
                      <w:pStyle w:val="Bibliography"/>
                      <w:rPr>
                        <w:noProof/>
                        <w:sz w:val="24"/>
                        <w:szCs w:val="24"/>
                      </w:rPr>
                    </w:pPr>
                    <w:r>
                      <w:rPr>
                        <w:noProof/>
                      </w:rPr>
                      <w:t xml:space="preserve">[11] </w:t>
                    </w:r>
                  </w:p>
                </w:tc>
                <w:tc>
                  <w:tcPr>
                    <w:tcW w:w="0" w:type="auto"/>
                    <w:hideMark/>
                  </w:tcPr>
                  <w:p w14:paraId="3EC1D08F" w14:textId="421BC75A" w:rsidR="007A4287" w:rsidRPr="007A4287" w:rsidRDefault="007A4287">
                    <w:pPr>
                      <w:rPr>
                        <w:noProof/>
                        <w:lang w:val="en-US"/>
                      </w:rPr>
                    </w:pPr>
                    <w:r w:rsidRPr="007A4287">
                      <w:rPr>
                        <w:noProof/>
                        <w:lang w:val="en-US"/>
                      </w:rPr>
                      <w:t xml:space="preserve">A. M. Nakamura, A. Fujiwara, and T. Kadono, “Velocity of finer fragments from impact,” </w:t>
                    </w:r>
                    <w:r w:rsidRPr="007A4287">
                      <w:rPr>
                        <w:i/>
                        <w:iCs/>
                        <w:noProof/>
                        <w:lang w:val="en-US"/>
                      </w:rPr>
                      <w:t>Planetary and Space Science</w:t>
                    </w:r>
                    <w:r w:rsidRPr="007A4287">
                      <w:rPr>
                        <w:noProof/>
                        <w:lang w:val="en-US"/>
                      </w:rPr>
                      <w:t xml:space="preserve">, vol. 42, no. 12, pp. 1043–1052, Dec. 1994, doi: </w:t>
                    </w:r>
                    <w:hyperlink r:id="rId20" w:history="1">
                      <w:r w:rsidRPr="007A4287">
                        <w:rPr>
                          <w:rStyle w:val="Hyperlink"/>
                          <w:noProof/>
                          <w:lang w:val="en-US"/>
                        </w:rPr>
                        <w:t>https://doi.org/10.1016/0032-0633(94)90005-1</w:t>
                      </w:r>
                    </w:hyperlink>
                  </w:p>
                </w:tc>
              </w:tr>
              <w:tr w:rsidR="007A4287" w14:paraId="351C45CA" w14:textId="77777777">
                <w:trPr>
                  <w:divId w:val="326596195"/>
                  <w:tblCellSpacing w:w="15" w:type="dxa"/>
                </w:trPr>
                <w:tc>
                  <w:tcPr>
                    <w:tcW w:w="50" w:type="pct"/>
                    <w:hideMark/>
                  </w:tcPr>
                  <w:p w14:paraId="1A132FFD" w14:textId="77777777" w:rsidR="007A4287" w:rsidRDefault="007A4287">
                    <w:pPr>
                      <w:pStyle w:val="Bibliography"/>
                      <w:rPr>
                        <w:noProof/>
                        <w:sz w:val="24"/>
                        <w:szCs w:val="24"/>
                      </w:rPr>
                    </w:pPr>
                    <w:r>
                      <w:rPr>
                        <w:noProof/>
                      </w:rPr>
                      <w:t xml:space="preserve">[12] </w:t>
                    </w:r>
                  </w:p>
                </w:tc>
                <w:tc>
                  <w:tcPr>
                    <w:tcW w:w="0" w:type="auto"/>
                    <w:hideMark/>
                  </w:tcPr>
                  <w:p w14:paraId="4FE2BFF5" w14:textId="77777777" w:rsidR="007A4287" w:rsidRPr="007A4287" w:rsidRDefault="007A4287" w:rsidP="007A4287">
                    <w:pPr>
                      <w:rPr>
                        <w:noProof/>
                        <w:lang w:val="en-US"/>
                      </w:rPr>
                    </w:pPr>
                    <w:r w:rsidRPr="007A4287">
                      <w:rPr>
                        <w:noProof/>
                        <w:lang w:val="en-US"/>
                      </w:rPr>
                      <w:t xml:space="preserve">P. Rao </w:t>
                    </w:r>
                    <w:r w:rsidRPr="007A4287">
                      <w:rPr>
                        <w:i/>
                        <w:iCs/>
                        <w:noProof/>
                        <w:lang w:val="en-US"/>
                      </w:rPr>
                      <w:t>et al.</w:t>
                    </w:r>
                    <w:r w:rsidRPr="007A4287">
                      <w:rPr>
                        <w:noProof/>
                        <w:lang w:val="en-US"/>
                      </w:rPr>
                      <w:t xml:space="preserve">, “Fragmentation studies by non-explosive cylinder expansion technique,” </w:t>
                    </w:r>
                    <w:r w:rsidRPr="007A4287">
                      <w:rPr>
                        <w:i/>
                        <w:iCs/>
                        <w:noProof/>
                        <w:lang w:val="en-US"/>
                      </w:rPr>
                      <w:t>International Journal of Impact Engineering</w:t>
                    </w:r>
                    <w:r w:rsidRPr="007A4287">
                      <w:rPr>
                        <w:noProof/>
                        <w:lang w:val="en-US"/>
                      </w:rPr>
                      <w:t xml:space="preserve">, vol. 146, p. 103714, Dec. 2020, doi: </w:t>
                    </w:r>
                    <w:hyperlink r:id="rId21" w:history="1">
                      <w:r w:rsidRPr="007A4287">
                        <w:rPr>
                          <w:rStyle w:val="Hyperlink"/>
                          <w:noProof/>
                          <w:lang w:val="en-US"/>
                        </w:rPr>
                        <w:t>https://doi.org/10.1016/j.ijimpeng.2020.103714</w:t>
                      </w:r>
                    </w:hyperlink>
                    <w:r w:rsidRPr="007A4287">
                      <w:rPr>
                        <w:noProof/>
                        <w:lang w:val="en-US"/>
                      </w:rPr>
                      <w:t>.</w:t>
                    </w:r>
                  </w:p>
                  <w:p w14:paraId="6D24BAB9" w14:textId="77777777" w:rsidR="007A4287" w:rsidRDefault="007A4287">
                    <w:pPr>
                      <w:rPr>
                        <w:noProof/>
                      </w:rPr>
                    </w:pPr>
                  </w:p>
                </w:tc>
              </w:tr>
              <w:tr w:rsidR="007A4287" w14:paraId="16D43D72" w14:textId="77777777">
                <w:trPr>
                  <w:divId w:val="326596195"/>
                  <w:tblCellSpacing w:w="15" w:type="dxa"/>
                </w:trPr>
                <w:tc>
                  <w:tcPr>
                    <w:tcW w:w="50" w:type="pct"/>
                    <w:hideMark/>
                  </w:tcPr>
                  <w:p w14:paraId="18AE3685" w14:textId="77777777" w:rsidR="007A4287" w:rsidRDefault="007A4287">
                    <w:pPr>
                      <w:pStyle w:val="Bibliography"/>
                      <w:rPr>
                        <w:noProof/>
                        <w:sz w:val="24"/>
                        <w:szCs w:val="24"/>
                      </w:rPr>
                    </w:pPr>
                    <w:r>
                      <w:rPr>
                        <w:noProof/>
                      </w:rPr>
                      <w:t xml:space="preserve">[13] </w:t>
                    </w:r>
                  </w:p>
                </w:tc>
                <w:tc>
                  <w:tcPr>
                    <w:tcW w:w="0" w:type="auto"/>
                    <w:hideMark/>
                  </w:tcPr>
                  <w:p w14:paraId="6E6E4183" w14:textId="28E630D2" w:rsidR="007A4287" w:rsidRDefault="007A4287">
                    <w:pPr>
                      <w:rPr>
                        <w:noProof/>
                      </w:rPr>
                    </w:pPr>
                    <w:r w:rsidRPr="007A4287">
                      <w:rPr>
                        <w:noProof/>
                      </w:rPr>
                      <w:t xml:space="preserve">P. Sweklej, A. Wasilewski, and M. Magier, “Radar Method of Measuring the Velocity of the Fragments,” </w:t>
                    </w:r>
                    <w:r w:rsidRPr="007A4287">
                      <w:rPr>
                        <w:i/>
                        <w:iCs/>
                        <w:noProof/>
                      </w:rPr>
                      <w:t>Sustainability</w:t>
                    </w:r>
                    <w:r w:rsidRPr="007A4287">
                      <w:rPr>
                        <w:noProof/>
                      </w:rPr>
                      <w:t xml:space="preserve">, vol. 15, no. 2, p. 951, Jan. 2023, doi: </w:t>
                    </w:r>
                    <w:hyperlink r:id="rId22" w:history="1">
                      <w:r w:rsidRPr="007A4287">
                        <w:rPr>
                          <w:rStyle w:val="Hyperlink"/>
                          <w:noProof/>
                        </w:rPr>
                        <w:t>https://doi.org/10.3390/su15020951</w:t>
                      </w:r>
                    </w:hyperlink>
                  </w:p>
                </w:tc>
              </w:tr>
              <w:tr w:rsidR="007A4287" w14:paraId="119AD3CF" w14:textId="77777777">
                <w:trPr>
                  <w:divId w:val="326596195"/>
                  <w:tblCellSpacing w:w="15" w:type="dxa"/>
                </w:trPr>
                <w:tc>
                  <w:tcPr>
                    <w:tcW w:w="50" w:type="pct"/>
                    <w:hideMark/>
                  </w:tcPr>
                  <w:p w14:paraId="674605D2" w14:textId="77777777" w:rsidR="007A4287" w:rsidRDefault="007A4287">
                    <w:pPr>
                      <w:pStyle w:val="Bibliography"/>
                      <w:rPr>
                        <w:noProof/>
                        <w:sz w:val="24"/>
                        <w:szCs w:val="24"/>
                      </w:rPr>
                    </w:pPr>
                    <w:r>
                      <w:rPr>
                        <w:noProof/>
                      </w:rPr>
                      <w:lastRenderedPageBreak/>
                      <w:t xml:space="preserve">[14] </w:t>
                    </w:r>
                  </w:p>
                </w:tc>
                <w:tc>
                  <w:tcPr>
                    <w:tcW w:w="0" w:type="auto"/>
                    <w:hideMark/>
                  </w:tcPr>
                  <w:p w14:paraId="045A271A" w14:textId="4EA974B0" w:rsidR="007A4287" w:rsidRDefault="007A4287">
                    <w:pPr>
                      <w:rPr>
                        <w:noProof/>
                      </w:rPr>
                    </w:pPr>
                    <w:r w:rsidRPr="007A4287">
                      <w:rPr>
                        <w:noProof/>
                      </w:rPr>
                      <w:t xml:space="preserve">I. G. Cullis, P. Dunsmore, A. Harrison, I. Lewtas, and R. Townsley, “Numerical simulation of the natural fragmentation of explosively loaded thick walled cylinders,” </w:t>
                    </w:r>
                    <w:r w:rsidRPr="007A4287">
                      <w:rPr>
                        <w:i/>
                        <w:iCs/>
                        <w:noProof/>
                      </w:rPr>
                      <w:t>Defence Technology</w:t>
                    </w:r>
                    <w:r w:rsidRPr="007A4287">
                      <w:rPr>
                        <w:noProof/>
                      </w:rPr>
                      <w:t xml:space="preserve">, vol. 10, no. 2, pp. 198–210, Jun. 2014, doi: </w:t>
                    </w:r>
                    <w:hyperlink r:id="rId23" w:history="1">
                      <w:r w:rsidRPr="007A4287">
                        <w:rPr>
                          <w:rStyle w:val="Hyperlink"/>
                          <w:noProof/>
                        </w:rPr>
                        <w:t>https://doi.org/10.1016/j.dt.2014.06.003</w:t>
                      </w:r>
                    </w:hyperlink>
                  </w:p>
                </w:tc>
              </w:tr>
              <w:tr w:rsidR="007A4287" w14:paraId="5DF9DA45" w14:textId="77777777">
                <w:trPr>
                  <w:divId w:val="326596195"/>
                  <w:tblCellSpacing w:w="15" w:type="dxa"/>
                </w:trPr>
                <w:tc>
                  <w:tcPr>
                    <w:tcW w:w="50" w:type="pct"/>
                    <w:hideMark/>
                  </w:tcPr>
                  <w:p w14:paraId="7BBC6AFC" w14:textId="77777777" w:rsidR="007A4287" w:rsidRDefault="007A4287">
                    <w:pPr>
                      <w:pStyle w:val="Bibliography"/>
                      <w:rPr>
                        <w:noProof/>
                        <w:sz w:val="24"/>
                        <w:szCs w:val="24"/>
                      </w:rPr>
                    </w:pPr>
                    <w:r>
                      <w:rPr>
                        <w:noProof/>
                      </w:rPr>
                      <w:t xml:space="preserve">[15] </w:t>
                    </w:r>
                  </w:p>
                </w:tc>
                <w:tc>
                  <w:tcPr>
                    <w:tcW w:w="0" w:type="auto"/>
                    <w:hideMark/>
                  </w:tcPr>
                  <w:p w14:paraId="06614DFF" w14:textId="12CA1BFE" w:rsidR="007A4287" w:rsidRDefault="007A4287">
                    <w:pPr>
                      <w:rPr>
                        <w:noProof/>
                      </w:rPr>
                    </w:pPr>
                    <w:r w:rsidRPr="007A4287">
                      <w:rPr>
                        <w:noProof/>
                      </w:rPr>
                      <w:t>J. Read, P. Quinlan, S. Bloodworth-Race, R. Hazael, and R. Critchley, “Sustainable and economical alternatives to fragment capture materials in explosive and ballistic trials,” Forensic Science Medicine and Pathology, Mar. 2024, doi: https://doi.org/10.1007/s12024-024-00797-5</w:t>
                    </w:r>
                  </w:p>
                </w:tc>
              </w:tr>
              <w:tr w:rsidR="007A4287" w14:paraId="6D375B3D" w14:textId="77777777">
                <w:trPr>
                  <w:divId w:val="326596195"/>
                  <w:tblCellSpacing w:w="15" w:type="dxa"/>
                </w:trPr>
                <w:tc>
                  <w:tcPr>
                    <w:tcW w:w="50" w:type="pct"/>
                    <w:hideMark/>
                  </w:tcPr>
                  <w:p w14:paraId="55377077" w14:textId="77777777" w:rsidR="007A4287" w:rsidRDefault="007A4287">
                    <w:pPr>
                      <w:pStyle w:val="Bibliography"/>
                      <w:rPr>
                        <w:noProof/>
                        <w:sz w:val="24"/>
                        <w:szCs w:val="24"/>
                      </w:rPr>
                    </w:pPr>
                    <w:r>
                      <w:rPr>
                        <w:noProof/>
                      </w:rPr>
                      <w:t xml:space="preserve">[16] </w:t>
                    </w:r>
                  </w:p>
                </w:tc>
                <w:tc>
                  <w:tcPr>
                    <w:tcW w:w="0" w:type="auto"/>
                    <w:hideMark/>
                  </w:tcPr>
                  <w:p w14:paraId="4AE2788B" w14:textId="2680BA06" w:rsidR="007A4287" w:rsidRDefault="007A4287">
                    <w:pPr>
                      <w:rPr>
                        <w:noProof/>
                      </w:rPr>
                    </w:pPr>
                    <w:r w:rsidRPr="007A4287">
                      <w:rPr>
                        <w:noProof/>
                      </w:rPr>
                      <w:t>A. J. Piekutowski and K. L. Poormon, “Impact of thin aluminum sheets with aluminum spheres up to 9 km/s,” International Journal of Impact Engineering, vol. 35, no. 12, pp. 1716–1722, Dec. 2008, doi: https://doi.org/10.1016/j.ijimpeng.2008.07.023</w:t>
                    </w:r>
                  </w:p>
                </w:tc>
              </w:tr>
              <w:tr w:rsidR="007A4287" w14:paraId="404513CC" w14:textId="77777777">
                <w:trPr>
                  <w:divId w:val="326596195"/>
                  <w:tblCellSpacing w:w="15" w:type="dxa"/>
                </w:trPr>
                <w:tc>
                  <w:tcPr>
                    <w:tcW w:w="50" w:type="pct"/>
                    <w:hideMark/>
                  </w:tcPr>
                  <w:p w14:paraId="7FB41ED4" w14:textId="77777777" w:rsidR="007A4287" w:rsidRDefault="007A4287">
                    <w:pPr>
                      <w:pStyle w:val="Bibliography"/>
                      <w:rPr>
                        <w:noProof/>
                        <w:sz w:val="24"/>
                        <w:szCs w:val="24"/>
                      </w:rPr>
                    </w:pPr>
                    <w:r>
                      <w:rPr>
                        <w:noProof/>
                      </w:rPr>
                      <w:t xml:space="preserve">[17] </w:t>
                    </w:r>
                  </w:p>
                </w:tc>
                <w:tc>
                  <w:tcPr>
                    <w:tcW w:w="0" w:type="auto"/>
                    <w:hideMark/>
                  </w:tcPr>
                  <w:p w14:paraId="3C0FABF8" w14:textId="44452117" w:rsidR="007A4287" w:rsidRDefault="007A4287">
                    <w:pPr>
                      <w:rPr>
                        <w:noProof/>
                      </w:rPr>
                    </w:pPr>
                    <w:r w:rsidRPr="007A4287">
                      <w:rPr>
                        <w:noProof/>
                      </w:rPr>
                      <w:t>L. M. Shillito, M. J. Almond, K. Wicks, L.-J. R. Marshall, and W. Matthews, “The use of FT-IR as a screening technique for organic residue analysis of archaeological samples,” Spectrochimica Acta Part A: Molecular and Biomolecular Spectroscopy, vol. 72, no. 1, pp. 120–125, Feb. 2009, doi: https://doi.org/10.1016/j.saa.2008.08.016.</w:t>
                    </w:r>
                  </w:p>
                </w:tc>
              </w:tr>
              <w:tr w:rsidR="007A4287" w14:paraId="7F97594E" w14:textId="77777777">
                <w:trPr>
                  <w:divId w:val="326596195"/>
                  <w:tblCellSpacing w:w="15" w:type="dxa"/>
                </w:trPr>
                <w:tc>
                  <w:tcPr>
                    <w:tcW w:w="50" w:type="pct"/>
                    <w:hideMark/>
                  </w:tcPr>
                  <w:p w14:paraId="3515569F" w14:textId="77777777" w:rsidR="007A4287" w:rsidRDefault="007A4287">
                    <w:pPr>
                      <w:pStyle w:val="Bibliography"/>
                      <w:rPr>
                        <w:noProof/>
                        <w:sz w:val="24"/>
                        <w:szCs w:val="24"/>
                      </w:rPr>
                    </w:pPr>
                    <w:r>
                      <w:rPr>
                        <w:noProof/>
                      </w:rPr>
                      <w:t xml:space="preserve">[18] </w:t>
                    </w:r>
                  </w:p>
                </w:tc>
                <w:tc>
                  <w:tcPr>
                    <w:tcW w:w="0" w:type="auto"/>
                    <w:hideMark/>
                  </w:tcPr>
                  <w:p w14:paraId="0EA8DF9E" w14:textId="4822731A" w:rsidR="007A4287" w:rsidRPr="007A4287" w:rsidRDefault="007A4287">
                    <w:pPr>
                      <w:rPr>
                        <w:noProof/>
                        <w:lang w:val="en-US"/>
                      </w:rPr>
                    </w:pPr>
                    <w:r w:rsidRPr="007A4287">
                      <w:rPr>
                        <w:noProof/>
                        <w:lang w:val="en-US"/>
                      </w:rPr>
                      <w:t xml:space="preserve">J. D. Blando, R. J. Porcja, and B. J. Turpin, “Issues in the Quantitation of Functional Groups by FTIR Spectroscopic Analysis of Impactor-Collected Aerosol Samples,” </w:t>
                    </w:r>
                    <w:r w:rsidRPr="007A4287">
                      <w:rPr>
                        <w:i/>
                        <w:iCs/>
                        <w:noProof/>
                        <w:lang w:val="en-US"/>
                      </w:rPr>
                      <w:t>Aerosol Science and Technology</w:t>
                    </w:r>
                    <w:r w:rsidRPr="007A4287">
                      <w:rPr>
                        <w:noProof/>
                        <w:lang w:val="en-US"/>
                      </w:rPr>
                      <w:t xml:space="preserve">, vol. 35, no. 5, pp. 899–908, Jan. 2001, doi: </w:t>
                    </w:r>
                    <w:hyperlink r:id="rId24" w:history="1">
                      <w:r w:rsidRPr="007A4287">
                        <w:rPr>
                          <w:rStyle w:val="Hyperlink"/>
                          <w:noProof/>
                          <w:lang w:val="en-US"/>
                        </w:rPr>
                        <w:t>https://doi.org/10.1080/02786820126852</w:t>
                      </w:r>
                    </w:hyperlink>
                    <w:r w:rsidRPr="007A4287">
                      <w:rPr>
                        <w:noProof/>
                        <w:lang w:val="en-US"/>
                      </w:rPr>
                      <w:t>.</w:t>
                    </w:r>
                  </w:p>
                </w:tc>
              </w:tr>
              <w:tr w:rsidR="007A4287" w14:paraId="1AC3E255" w14:textId="77777777">
                <w:trPr>
                  <w:divId w:val="326596195"/>
                  <w:tblCellSpacing w:w="15" w:type="dxa"/>
                </w:trPr>
                <w:tc>
                  <w:tcPr>
                    <w:tcW w:w="50" w:type="pct"/>
                    <w:hideMark/>
                  </w:tcPr>
                  <w:p w14:paraId="6C4A0C48" w14:textId="77777777" w:rsidR="007A4287" w:rsidRDefault="007A4287">
                    <w:pPr>
                      <w:pStyle w:val="Bibliography"/>
                      <w:rPr>
                        <w:noProof/>
                        <w:sz w:val="24"/>
                        <w:szCs w:val="24"/>
                      </w:rPr>
                    </w:pPr>
                    <w:r>
                      <w:rPr>
                        <w:noProof/>
                      </w:rPr>
                      <w:t xml:space="preserve">[19] </w:t>
                    </w:r>
                  </w:p>
                </w:tc>
                <w:tc>
                  <w:tcPr>
                    <w:tcW w:w="0" w:type="auto"/>
                    <w:hideMark/>
                  </w:tcPr>
                  <w:p w14:paraId="6FC6053D" w14:textId="0AB9C2A8" w:rsidR="007A4287" w:rsidRDefault="007A4287">
                    <w:pPr>
                      <w:rPr>
                        <w:noProof/>
                      </w:rPr>
                    </w:pPr>
                    <w:r w:rsidRPr="007A4287">
                      <w:rPr>
                        <w:noProof/>
                      </w:rPr>
                      <w:t>J. Workman, Raman spectroscopy. New Jersey London Singapore Beijing Shanghai Hong Kong Taipei Chennai Tokyo World Scientific, 2016.</w:t>
                    </w:r>
                  </w:p>
                </w:tc>
              </w:tr>
              <w:tr w:rsidR="007A4287" w14:paraId="33E784CE" w14:textId="77777777">
                <w:trPr>
                  <w:divId w:val="326596195"/>
                  <w:tblCellSpacing w:w="15" w:type="dxa"/>
                </w:trPr>
                <w:tc>
                  <w:tcPr>
                    <w:tcW w:w="50" w:type="pct"/>
                    <w:hideMark/>
                  </w:tcPr>
                  <w:p w14:paraId="67CEA361" w14:textId="77777777" w:rsidR="007A4287" w:rsidRDefault="007A4287">
                    <w:pPr>
                      <w:pStyle w:val="Bibliography"/>
                      <w:rPr>
                        <w:noProof/>
                        <w:sz w:val="24"/>
                        <w:szCs w:val="24"/>
                      </w:rPr>
                    </w:pPr>
                    <w:r>
                      <w:rPr>
                        <w:noProof/>
                      </w:rPr>
                      <w:t xml:space="preserve">[20] </w:t>
                    </w:r>
                  </w:p>
                </w:tc>
                <w:tc>
                  <w:tcPr>
                    <w:tcW w:w="0" w:type="auto"/>
                    <w:hideMark/>
                  </w:tcPr>
                  <w:p w14:paraId="7D5EAB88" w14:textId="1DCACDDA" w:rsidR="007A4287" w:rsidRDefault="007A4287">
                    <w:pPr>
                      <w:rPr>
                        <w:noProof/>
                      </w:rPr>
                    </w:pPr>
                    <w:r w:rsidRPr="007A4287">
                      <w:rPr>
                        <w:noProof/>
                      </w:rPr>
                      <w:t>. Cropek, P. Kemme, and J. Day, “Pyrolysis/Gas Chromatography/Mass Spectrometry of Energetic Materials,” 1998.</w:t>
                    </w:r>
                  </w:p>
                </w:tc>
              </w:tr>
              <w:tr w:rsidR="007A4287" w14:paraId="2DB893E5" w14:textId="77777777">
                <w:trPr>
                  <w:divId w:val="326596195"/>
                  <w:tblCellSpacing w:w="15" w:type="dxa"/>
                </w:trPr>
                <w:tc>
                  <w:tcPr>
                    <w:tcW w:w="50" w:type="pct"/>
                    <w:hideMark/>
                  </w:tcPr>
                  <w:p w14:paraId="53DEAB2D" w14:textId="77777777" w:rsidR="007A4287" w:rsidRDefault="007A4287">
                    <w:pPr>
                      <w:pStyle w:val="Bibliography"/>
                      <w:rPr>
                        <w:noProof/>
                        <w:sz w:val="24"/>
                        <w:szCs w:val="24"/>
                      </w:rPr>
                    </w:pPr>
                    <w:r>
                      <w:rPr>
                        <w:noProof/>
                      </w:rPr>
                      <w:t xml:space="preserve">[21] </w:t>
                    </w:r>
                  </w:p>
                </w:tc>
                <w:tc>
                  <w:tcPr>
                    <w:tcW w:w="0" w:type="auto"/>
                    <w:hideMark/>
                  </w:tcPr>
                  <w:p w14:paraId="2059BD1C" w14:textId="7E211E08" w:rsidR="007A4287" w:rsidRPr="007A4287" w:rsidRDefault="007A4287">
                    <w:pPr>
                      <w:rPr>
                        <w:noProof/>
                        <w:lang w:val="en-US"/>
                      </w:rPr>
                    </w:pPr>
                    <w:r w:rsidRPr="007A4287">
                      <w:rPr>
                        <w:noProof/>
                        <w:lang w:val="en-US"/>
                      </w:rPr>
                      <w:t xml:space="preserve">Y. Nagura, J. Kasahara, and A. Matsuo, “Multi-frame visualization for detonation wave diffraction,” </w:t>
                    </w:r>
                    <w:r w:rsidRPr="007A4287">
                      <w:rPr>
                        <w:i/>
                        <w:iCs/>
                        <w:noProof/>
                        <w:lang w:val="en-US"/>
                      </w:rPr>
                      <w:t>Shock waves</w:t>
                    </w:r>
                    <w:r w:rsidRPr="007A4287">
                      <w:rPr>
                        <w:noProof/>
                        <w:lang w:val="en-US"/>
                      </w:rPr>
                      <w:t xml:space="preserve">, vol. 26, no. 5, pp. 645–656, May 2016, doi: </w:t>
                    </w:r>
                    <w:hyperlink r:id="rId25" w:history="1">
                      <w:r w:rsidRPr="007A4287">
                        <w:rPr>
                          <w:rStyle w:val="Hyperlink"/>
                          <w:noProof/>
                          <w:lang w:val="en-US"/>
                        </w:rPr>
                        <w:t>https://doi.org/10.1007/s00193-016-0663-y</w:t>
                      </w:r>
                    </w:hyperlink>
                    <w:r w:rsidRPr="007A4287">
                      <w:rPr>
                        <w:noProof/>
                        <w:lang w:val="en-US"/>
                      </w:rPr>
                      <w:t>.</w:t>
                    </w:r>
                  </w:p>
                </w:tc>
              </w:tr>
              <w:tr w:rsidR="007A4287" w14:paraId="2BE9A30A" w14:textId="77777777">
                <w:trPr>
                  <w:divId w:val="326596195"/>
                  <w:tblCellSpacing w:w="15" w:type="dxa"/>
                </w:trPr>
                <w:tc>
                  <w:tcPr>
                    <w:tcW w:w="50" w:type="pct"/>
                    <w:hideMark/>
                  </w:tcPr>
                  <w:p w14:paraId="1D0E7EED" w14:textId="77777777" w:rsidR="007A4287" w:rsidRDefault="007A4287">
                    <w:pPr>
                      <w:pStyle w:val="Bibliography"/>
                      <w:rPr>
                        <w:noProof/>
                        <w:sz w:val="24"/>
                        <w:szCs w:val="24"/>
                      </w:rPr>
                    </w:pPr>
                    <w:r>
                      <w:rPr>
                        <w:noProof/>
                      </w:rPr>
                      <w:t xml:space="preserve">[22] </w:t>
                    </w:r>
                  </w:p>
                </w:tc>
                <w:tc>
                  <w:tcPr>
                    <w:tcW w:w="0" w:type="auto"/>
                    <w:hideMark/>
                  </w:tcPr>
                  <w:p w14:paraId="50280F8E" w14:textId="4C625002" w:rsidR="007A4287" w:rsidRDefault="007A4287">
                    <w:pPr>
                      <w:rPr>
                        <w:noProof/>
                      </w:rPr>
                    </w:pPr>
                    <w:r w:rsidRPr="007A4287">
                      <w:rPr>
                        <w:noProof/>
                      </w:rPr>
                      <w:t>Y. Ni, F. Liu, Y. Wu, and X. Wang, “Continuous-Time Fast Motion of Explosion Fragments Estimated by Bundle Adjustment and Spline Representation Using HFR Cameras,” Applied Sciences, vol. 11, no. 6, p. 2676, Mar. 2021, doi: https://doi.org/10.3390/app11062676</w:t>
                    </w:r>
                  </w:p>
                </w:tc>
              </w:tr>
              <w:tr w:rsidR="007A4287" w14:paraId="22AA6145" w14:textId="77777777">
                <w:trPr>
                  <w:divId w:val="326596195"/>
                  <w:tblCellSpacing w:w="15" w:type="dxa"/>
                </w:trPr>
                <w:tc>
                  <w:tcPr>
                    <w:tcW w:w="50" w:type="pct"/>
                    <w:hideMark/>
                  </w:tcPr>
                  <w:p w14:paraId="3D20720D" w14:textId="77777777" w:rsidR="007A4287" w:rsidRDefault="007A4287">
                    <w:pPr>
                      <w:pStyle w:val="Bibliography"/>
                      <w:rPr>
                        <w:noProof/>
                        <w:sz w:val="24"/>
                        <w:szCs w:val="24"/>
                      </w:rPr>
                    </w:pPr>
                    <w:r>
                      <w:rPr>
                        <w:noProof/>
                      </w:rPr>
                      <w:t xml:space="preserve">[23] </w:t>
                    </w:r>
                  </w:p>
                </w:tc>
                <w:tc>
                  <w:tcPr>
                    <w:tcW w:w="0" w:type="auto"/>
                    <w:hideMark/>
                  </w:tcPr>
                  <w:p w14:paraId="20C43823" w14:textId="56E87742" w:rsidR="007A4287" w:rsidRDefault="007A4287">
                    <w:pPr>
                      <w:rPr>
                        <w:noProof/>
                      </w:rPr>
                    </w:pPr>
                    <w:r w:rsidRPr="007A4287">
                      <w:rPr>
                        <w:noProof/>
                      </w:rPr>
                      <w:t>G. Chu et al., “Recent progress in research on the dynamic process of high-energy explosives through pump-probe experiments at high-intensity laser facilities,” Energetic Materials Frontiers, vol. 4, no. 3, pp. 169–177, Sep. 2023, doi: https://doi.org/10.1016/j.enmf.2023.06.003</w:t>
                    </w:r>
                  </w:p>
                </w:tc>
              </w:tr>
              <w:tr w:rsidR="007A4287" w14:paraId="77AA7515" w14:textId="77777777">
                <w:trPr>
                  <w:divId w:val="326596195"/>
                  <w:tblCellSpacing w:w="15" w:type="dxa"/>
                </w:trPr>
                <w:tc>
                  <w:tcPr>
                    <w:tcW w:w="50" w:type="pct"/>
                    <w:hideMark/>
                  </w:tcPr>
                  <w:p w14:paraId="7D6263A3" w14:textId="77777777" w:rsidR="007A4287" w:rsidRDefault="007A4287">
                    <w:pPr>
                      <w:pStyle w:val="Bibliography"/>
                      <w:rPr>
                        <w:noProof/>
                        <w:sz w:val="24"/>
                        <w:szCs w:val="24"/>
                      </w:rPr>
                    </w:pPr>
                    <w:r>
                      <w:rPr>
                        <w:noProof/>
                      </w:rPr>
                      <w:t xml:space="preserve">[24] </w:t>
                    </w:r>
                  </w:p>
                </w:tc>
                <w:tc>
                  <w:tcPr>
                    <w:tcW w:w="0" w:type="auto"/>
                    <w:hideMark/>
                  </w:tcPr>
                  <w:p w14:paraId="429560AC" w14:textId="43B9934B" w:rsidR="007A4287" w:rsidRDefault="007A4287">
                    <w:pPr>
                      <w:rPr>
                        <w:noProof/>
                      </w:rPr>
                    </w:pPr>
                    <w:r w:rsidRPr="007A4287">
                      <w:rPr>
                        <w:noProof/>
                      </w:rPr>
                      <w:t>J. P. Chesick and G. B. Kistiakowsky, “Gaseous Detonations. X. Study of Reaction Zones,” The Journal of Chemical Physics, vol. 28, no. 5, pp. 956–961, May 1958, doi: https://doi.org/10.1063/1.1744304.</w:t>
                    </w:r>
                  </w:p>
                </w:tc>
              </w:tr>
              <w:tr w:rsidR="007A4287" w14:paraId="1A7496CF" w14:textId="77777777">
                <w:trPr>
                  <w:divId w:val="326596195"/>
                  <w:tblCellSpacing w:w="15" w:type="dxa"/>
                </w:trPr>
                <w:tc>
                  <w:tcPr>
                    <w:tcW w:w="50" w:type="pct"/>
                    <w:hideMark/>
                  </w:tcPr>
                  <w:p w14:paraId="615A9539" w14:textId="77777777" w:rsidR="007A4287" w:rsidRDefault="007A4287">
                    <w:pPr>
                      <w:pStyle w:val="Bibliography"/>
                      <w:rPr>
                        <w:noProof/>
                        <w:sz w:val="24"/>
                        <w:szCs w:val="24"/>
                      </w:rPr>
                    </w:pPr>
                    <w:r>
                      <w:rPr>
                        <w:noProof/>
                      </w:rPr>
                      <w:t xml:space="preserve">[25] </w:t>
                    </w:r>
                  </w:p>
                </w:tc>
                <w:tc>
                  <w:tcPr>
                    <w:tcW w:w="0" w:type="auto"/>
                    <w:hideMark/>
                  </w:tcPr>
                  <w:p w14:paraId="6B1B8971" w14:textId="78C1DC48" w:rsidR="007A4287" w:rsidRDefault="007A4287">
                    <w:pPr>
                      <w:pStyle w:val="Bibliography"/>
                      <w:rPr>
                        <w:noProof/>
                      </w:rPr>
                    </w:pPr>
                    <w:r w:rsidRPr="007A4287">
                      <w:rPr>
                        <w:noProof/>
                      </w:rPr>
                      <w:t>J. Quaresma, L. Deimling, J. Campos, and R. Mendes, “Active and Passive Optical Fiber Metrology for Detonation Velocity Measurements,” Propellants, Explosives, Pyrotechnics, vol. 45, no. 6, pp. 921–931, Mar. 2020, doi: https://doi.org/10.1002/prep.201900197</w:t>
                    </w:r>
                  </w:p>
                </w:tc>
              </w:tr>
            </w:tbl>
            <w:p w14:paraId="05CA4644" w14:textId="77777777" w:rsidR="007A4287" w:rsidRDefault="007A4287">
              <w:pPr>
                <w:divId w:val="326596195"/>
                <w:rPr>
                  <w:rFonts w:eastAsia="Times New Roman"/>
                  <w:noProof/>
                </w:rPr>
              </w:pPr>
            </w:p>
            <w:p w14:paraId="4098A33E" w14:textId="3BF6419F" w:rsidR="003E0475" w:rsidRPr="00AA4FB2" w:rsidRDefault="00E64BB0" w:rsidP="00AA4FB2">
              <w:pPr>
                <w:rPr>
                  <w:noProof/>
                </w:rPr>
              </w:pPr>
              <w:r>
                <w:rPr>
                  <w:b/>
                  <w:bCs/>
                  <w:noProof/>
                </w:rPr>
                <w:fldChar w:fldCharType="end"/>
              </w:r>
            </w:p>
          </w:sdtContent>
        </w:sdt>
      </w:sdtContent>
    </w:sdt>
    <w:p w14:paraId="70B6F231" w14:textId="669A2873" w:rsidR="00E64BB0" w:rsidRPr="00AA4FB2" w:rsidRDefault="00E64BB0" w:rsidP="00801232">
      <w:pPr>
        <w:pStyle w:val="Heading1"/>
        <w:rPr>
          <w:rFonts w:cstheme="majorHAnsi"/>
        </w:rPr>
      </w:pPr>
      <w:bookmarkStart w:id="13" w:name="_Ref220027335"/>
      <w:bookmarkStart w:id="14" w:name="_Toc220064224"/>
      <w:r w:rsidRPr="00AA4FB2">
        <w:rPr>
          <w:rFonts w:cstheme="majorHAnsi"/>
        </w:rPr>
        <w:lastRenderedPageBreak/>
        <w:t>Appendix</w:t>
      </w:r>
      <w:bookmarkEnd w:id="13"/>
      <w:bookmarkEnd w:id="14"/>
      <w:r w:rsidRPr="00AA4FB2">
        <w:rPr>
          <w:rFonts w:cstheme="majorHAnsi"/>
        </w:rPr>
        <w:t xml:space="preserve"> </w:t>
      </w:r>
    </w:p>
    <w:p w14:paraId="43FB52F2" w14:textId="4EAECEDA" w:rsidR="00545B3C" w:rsidRPr="00AA4FB2" w:rsidRDefault="00545B3C" w:rsidP="00545B3C">
      <w:pPr>
        <w:tabs>
          <w:tab w:val="num" w:pos="720"/>
        </w:tabs>
        <w:rPr>
          <w:rFonts w:asciiTheme="majorHAnsi" w:hAnsiTheme="majorHAnsi" w:cstheme="majorHAnsi"/>
          <w:noProof/>
          <w:lang w:val="en-US"/>
        </w:rPr>
      </w:pPr>
      <w:r w:rsidRPr="00AA4FB2">
        <w:rPr>
          <w:rFonts w:asciiTheme="majorHAnsi" w:hAnsiTheme="majorHAnsi" w:cstheme="majorHAnsi"/>
          <w:noProof/>
          <w:lang w:val="en-US"/>
        </w:rPr>
        <w:t>A simplified aerial drawing of the arena below in all distance on this diagram. This outlines the layout of the arena and the directions. The arc angle of the strawboard was 113 degrees around the point of destination.</w:t>
      </w:r>
    </w:p>
    <w:p w14:paraId="1BA9F0D2" w14:textId="77777777" w:rsidR="00545B3C" w:rsidRPr="00AA4FB2" w:rsidRDefault="00545B3C" w:rsidP="00545B3C">
      <w:pPr>
        <w:keepNext/>
        <w:jc w:val="center"/>
        <w:rPr>
          <w:rFonts w:asciiTheme="majorHAnsi" w:hAnsiTheme="majorHAnsi" w:cstheme="majorHAnsi"/>
        </w:rPr>
      </w:pPr>
      <w:r w:rsidRPr="00AA4FB2">
        <w:rPr>
          <w:rFonts w:asciiTheme="majorHAnsi" w:hAnsiTheme="majorHAnsi" w:cstheme="majorHAnsi"/>
          <w:noProof/>
        </w:rPr>
        <w:drawing>
          <wp:inline distT="0" distB="0" distL="0" distR="0" wp14:anchorId="4BCB4CC8" wp14:editId="514D7B15">
            <wp:extent cx="2612106" cy="2298277"/>
            <wp:effectExtent l="0" t="0" r="0" b="6985"/>
            <wp:docPr id="5770513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6">
                      <a:extLst>
                        <a:ext uri="{28A0092B-C50C-407E-A947-70E740481C1C}">
                          <a14:useLocalDpi xmlns:a14="http://schemas.microsoft.com/office/drawing/2010/main" val="0"/>
                        </a:ext>
                      </a:extLst>
                    </a:blip>
                    <a:srcRect l="205" t="374" r="68588" b="-374"/>
                    <a:stretch>
                      <a:fillRect/>
                    </a:stretch>
                  </pic:blipFill>
                  <pic:spPr bwMode="auto">
                    <a:xfrm>
                      <a:off x="0" y="0"/>
                      <a:ext cx="2639704" cy="2322559"/>
                    </a:xfrm>
                    <a:prstGeom prst="rect">
                      <a:avLst/>
                    </a:prstGeom>
                    <a:noFill/>
                    <a:ln>
                      <a:noFill/>
                    </a:ln>
                    <a:extLst>
                      <a:ext uri="{53640926-AAD7-44D8-BBD7-CCE9431645EC}">
                        <a14:shadowObscured xmlns:a14="http://schemas.microsoft.com/office/drawing/2010/main"/>
                      </a:ext>
                    </a:extLst>
                  </pic:spPr>
                </pic:pic>
              </a:graphicData>
            </a:graphic>
          </wp:inline>
        </w:drawing>
      </w:r>
    </w:p>
    <w:p w14:paraId="4B9C0D2E" w14:textId="5B545E34" w:rsidR="00545B3C" w:rsidRPr="00AA4FB2" w:rsidRDefault="00545B3C" w:rsidP="00545B3C">
      <w:pPr>
        <w:rPr>
          <w:rFonts w:asciiTheme="majorHAnsi" w:hAnsiTheme="majorHAnsi" w:cstheme="majorHAnsi"/>
        </w:rPr>
      </w:pPr>
      <w:r w:rsidRPr="00AA4FB2">
        <w:rPr>
          <w:rFonts w:asciiTheme="majorHAnsi" w:hAnsiTheme="majorHAnsi" w:cstheme="majorHAnsi"/>
        </w:rPr>
        <w:t>The article was placed on a table 0.397m tall. The top of the article was 0.5m off the ground, meaning the centre of the OME item was roughly 0.45m from the ground. The table was placed on cardboard to potentially limit ground effect on the article. The article was detonated from the bottom.</w:t>
      </w:r>
    </w:p>
    <w:p w14:paraId="3CB272E8" w14:textId="77777777" w:rsidR="00545B3C" w:rsidRPr="00AA4FB2" w:rsidRDefault="00545B3C" w:rsidP="00545B3C">
      <w:pPr>
        <w:keepNext/>
        <w:ind w:left="360"/>
        <w:jc w:val="center"/>
        <w:rPr>
          <w:rFonts w:asciiTheme="majorHAnsi" w:hAnsiTheme="majorHAnsi" w:cstheme="majorHAnsi"/>
        </w:rPr>
      </w:pPr>
      <w:r w:rsidRPr="00AA4FB2">
        <w:rPr>
          <w:rFonts w:asciiTheme="majorHAnsi" w:hAnsiTheme="majorHAnsi" w:cstheme="majorHAnsi"/>
          <w:b/>
          <w:bCs/>
          <w:noProof/>
          <w:lang w:val="en-US"/>
        </w:rPr>
        <w:drawing>
          <wp:inline distT="0" distB="0" distL="0" distR="0" wp14:anchorId="2477BA15" wp14:editId="202A8F39">
            <wp:extent cx="2751349" cy="2063512"/>
            <wp:effectExtent l="0" t="0" r="0" b="0"/>
            <wp:docPr id="609019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61383" cy="2071037"/>
                    </a:xfrm>
                    <a:prstGeom prst="rect">
                      <a:avLst/>
                    </a:prstGeom>
                    <a:noFill/>
                  </pic:spPr>
                </pic:pic>
              </a:graphicData>
            </a:graphic>
          </wp:inline>
        </w:drawing>
      </w:r>
    </w:p>
    <w:p w14:paraId="24EEF5EA" w14:textId="77777777" w:rsidR="00545B3C" w:rsidRPr="00AA4FB2" w:rsidRDefault="00545B3C" w:rsidP="00545B3C">
      <w:pPr>
        <w:pStyle w:val="Caption"/>
        <w:jc w:val="center"/>
        <w:rPr>
          <w:rFonts w:asciiTheme="majorHAnsi" w:hAnsiTheme="majorHAnsi" w:cstheme="majorHAnsi"/>
        </w:rPr>
      </w:pPr>
      <w:bookmarkStart w:id="15" w:name="_Ref218460436"/>
      <w:r w:rsidRPr="00AA4FB2">
        <w:rPr>
          <w:rFonts w:asciiTheme="majorHAnsi" w:hAnsiTheme="majorHAnsi" w:cstheme="majorHAnsi"/>
        </w:rPr>
        <w:t xml:space="preserve">Figure </w:t>
      </w:r>
      <w:r w:rsidRPr="00AA4FB2">
        <w:rPr>
          <w:rFonts w:asciiTheme="majorHAnsi" w:hAnsiTheme="majorHAnsi" w:cstheme="majorHAnsi"/>
        </w:rPr>
        <w:fldChar w:fldCharType="begin"/>
      </w:r>
      <w:r w:rsidRPr="00AA4FB2">
        <w:rPr>
          <w:rFonts w:asciiTheme="majorHAnsi" w:hAnsiTheme="majorHAnsi" w:cstheme="majorHAnsi"/>
        </w:rPr>
        <w:instrText xml:space="preserve"> SEQ Figure \* ARABIC </w:instrText>
      </w:r>
      <w:r w:rsidRPr="00AA4FB2">
        <w:rPr>
          <w:rFonts w:asciiTheme="majorHAnsi" w:hAnsiTheme="majorHAnsi" w:cstheme="majorHAnsi"/>
        </w:rPr>
        <w:fldChar w:fldCharType="separate"/>
      </w:r>
      <w:r w:rsidRPr="00AA4FB2">
        <w:rPr>
          <w:rFonts w:asciiTheme="majorHAnsi" w:hAnsiTheme="majorHAnsi" w:cstheme="majorHAnsi"/>
          <w:noProof/>
        </w:rPr>
        <w:t>2</w:t>
      </w:r>
      <w:r w:rsidRPr="00AA4FB2">
        <w:rPr>
          <w:rFonts w:asciiTheme="majorHAnsi" w:hAnsiTheme="majorHAnsi" w:cstheme="majorHAnsi"/>
          <w:noProof/>
        </w:rPr>
        <w:fldChar w:fldCharType="end"/>
      </w:r>
      <w:bookmarkEnd w:id="15"/>
      <w:r w:rsidRPr="00AA4FB2">
        <w:rPr>
          <w:rFonts w:asciiTheme="majorHAnsi" w:hAnsiTheme="majorHAnsi" w:cstheme="majorHAnsi"/>
        </w:rPr>
        <w:t xml:space="preserve"> - Trial set up</w:t>
      </w:r>
    </w:p>
    <w:p w14:paraId="7E5CDE5B" w14:textId="4D450385" w:rsidR="00545B3C" w:rsidRPr="00AA4FB2" w:rsidRDefault="00545B3C" w:rsidP="00545B3C">
      <w:pPr>
        <w:rPr>
          <w:rFonts w:asciiTheme="majorHAnsi" w:hAnsiTheme="majorHAnsi" w:cstheme="majorHAnsi"/>
        </w:rPr>
      </w:pPr>
      <w:r w:rsidRPr="00AA4FB2">
        <w:rPr>
          <w:rFonts w:asciiTheme="majorHAnsi" w:hAnsiTheme="majorHAnsi" w:cstheme="majorHAnsi"/>
        </w:rPr>
        <w:t>Cables were placed under steel beams with sandbags to cover any gaps where two beams would meet or at bends in the cable. This protects them from any fragmentation from the trial</w:t>
      </w:r>
      <w:r w:rsidRPr="00AA4FB2">
        <w:rPr>
          <w:rFonts w:asciiTheme="majorHAnsi" w:hAnsiTheme="majorHAnsi" w:cstheme="majorHAnsi"/>
        </w:rPr>
        <w:t>.</w:t>
      </w:r>
    </w:p>
    <w:p w14:paraId="4D458A83" w14:textId="29712383" w:rsidR="00E64BB0" w:rsidRDefault="00E64BB0"/>
    <w:p w14:paraId="696ACF65" w14:textId="5442EBF6" w:rsidR="00E64BB0" w:rsidRDefault="00E64BB0"/>
    <w:p w14:paraId="4340E346" w14:textId="2645A5F9" w:rsidR="00E64BB0" w:rsidRDefault="00E64BB0"/>
    <w:p w14:paraId="12B3C9A4" w14:textId="266328CA" w:rsidR="00E64BB0" w:rsidRDefault="00E64BB0"/>
    <w:p w14:paraId="3F12DC40" w14:textId="4830E51E" w:rsidR="00E64BB0" w:rsidRDefault="00E64BB0"/>
    <w:p w14:paraId="7952566E" w14:textId="16D28BB0" w:rsidR="00E64BB0" w:rsidRDefault="00E64BB0"/>
    <w:p w14:paraId="5F3712FB" w14:textId="58FCFC6D" w:rsidR="00E64BB0" w:rsidRDefault="00E64BB0">
      <w:r>
        <w:br w:type="page"/>
      </w:r>
    </w:p>
    <w:p w14:paraId="1D28B0A9" w14:textId="77777777" w:rsidR="00E64BB0" w:rsidRPr="00E64BB0" w:rsidRDefault="00E64BB0" w:rsidP="00E64BB0"/>
    <w:p w14:paraId="6B226359" w14:textId="38992905" w:rsidR="00BC68C6" w:rsidRPr="00910414" w:rsidRDefault="00BC68C6" w:rsidP="00910414"/>
    <w:sectPr w:rsidR="00BC68C6" w:rsidRPr="00910414">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3D1AA" w14:textId="77777777" w:rsidR="00705945" w:rsidRDefault="00705945" w:rsidP="008273C5">
      <w:pPr>
        <w:spacing w:after="0" w:line="240" w:lineRule="auto"/>
      </w:pPr>
      <w:r>
        <w:separator/>
      </w:r>
    </w:p>
  </w:endnote>
  <w:endnote w:type="continuationSeparator" w:id="0">
    <w:p w14:paraId="03F2229B" w14:textId="77777777" w:rsidR="00705945" w:rsidRDefault="00705945" w:rsidP="008273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E23345" w14:textId="083CFA16" w:rsidR="002A50BE" w:rsidRDefault="002A50BE" w:rsidP="00435B8B">
    <w:pPr>
      <w:pStyle w:val="Footer"/>
    </w:pPr>
  </w:p>
  <w:p w14:paraId="1ED59FEE" w14:textId="77777777" w:rsidR="009D6435" w:rsidRDefault="00705945">
    <w:pPr>
      <w:pStyle w:val="Footer"/>
    </w:pPr>
    <w:sdt>
      <w:sdtPr>
        <w:id w:val="1589808311"/>
        <w:docPartObj>
          <w:docPartGallery w:val="Page Numbers (Bottom of Page)"/>
          <w:docPartUnique/>
        </w:docPartObj>
      </w:sdtPr>
      <w:sdtEndPr/>
      <w:sdtContent>
        <w:sdt>
          <w:sdtPr>
            <w:id w:val="-1705238520"/>
            <w:docPartObj>
              <w:docPartGallery w:val="Page Numbers (Top of Page)"/>
              <w:docPartUnique/>
            </w:docPartObj>
          </w:sdtPr>
          <w:sdtEndPr/>
          <w:sdtContent>
            <w:r w:rsidR="009D6435">
              <w:t xml:space="preserve">Page </w:t>
            </w:r>
            <w:r w:rsidR="009D6435">
              <w:rPr>
                <w:b/>
                <w:bCs/>
                <w:sz w:val="24"/>
                <w:szCs w:val="24"/>
              </w:rPr>
              <w:fldChar w:fldCharType="begin"/>
            </w:r>
            <w:r w:rsidR="009D6435">
              <w:rPr>
                <w:b/>
                <w:bCs/>
              </w:rPr>
              <w:instrText xml:space="preserve"> PAGE </w:instrText>
            </w:r>
            <w:r w:rsidR="009D6435">
              <w:rPr>
                <w:b/>
                <w:bCs/>
                <w:sz w:val="24"/>
                <w:szCs w:val="24"/>
              </w:rPr>
              <w:fldChar w:fldCharType="separate"/>
            </w:r>
            <w:r w:rsidR="002A50BE">
              <w:rPr>
                <w:b/>
                <w:bCs/>
                <w:noProof/>
              </w:rPr>
              <w:t>4</w:t>
            </w:r>
            <w:r w:rsidR="009D6435">
              <w:rPr>
                <w:b/>
                <w:bCs/>
                <w:sz w:val="24"/>
                <w:szCs w:val="24"/>
              </w:rPr>
              <w:fldChar w:fldCharType="end"/>
            </w:r>
            <w:r w:rsidR="009D6435">
              <w:t xml:space="preserve"> of </w:t>
            </w:r>
            <w:r w:rsidR="009D6435">
              <w:rPr>
                <w:b/>
                <w:bCs/>
                <w:sz w:val="24"/>
                <w:szCs w:val="24"/>
              </w:rPr>
              <w:fldChar w:fldCharType="begin"/>
            </w:r>
            <w:r w:rsidR="009D6435">
              <w:rPr>
                <w:b/>
                <w:bCs/>
              </w:rPr>
              <w:instrText xml:space="preserve"> NUMPAGES  </w:instrText>
            </w:r>
            <w:r w:rsidR="009D6435">
              <w:rPr>
                <w:b/>
                <w:bCs/>
                <w:sz w:val="24"/>
                <w:szCs w:val="24"/>
              </w:rPr>
              <w:fldChar w:fldCharType="separate"/>
            </w:r>
            <w:r w:rsidR="002A50BE">
              <w:rPr>
                <w:b/>
                <w:bCs/>
                <w:noProof/>
              </w:rPr>
              <w:t>12</w:t>
            </w:r>
            <w:r w:rsidR="009D6435">
              <w:rPr>
                <w:b/>
                <w:bCs/>
                <w:sz w:val="24"/>
                <w:szCs w:val="24"/>
              </w:rPr>
              <w:fldChar w:fldCharType="end"/>
            </w:r>
            <w:r w:rsidR="009D6435">
              <w:rPr>
                <w:b/>
                <w:bCs/>
                <w:sz w:val="24"/>
                <w:szCs w:val="24"/>
              </w:rPr>
              <w:t xml:space="preserve"> </w:t>
            </w:r>
          </w:sdtContent>
        </w:sdt>
      </w:sdtContent>
    </w:sdt>
  </w:p>
  <w:p w14:paraId="04653A57" w14:textId="385BD1FF" w:rsidR="009D6435" w:rsidRPr="00545B3C" w:rsidRDefault="00545B3C" w:rsidP="00545B3C">
    <w:pPr>
      <w:jc w:val="right"/>
      <w:rPr>
        <w:rFonts w:ascii="Segoe UI Light" w:hAnsi="Segoe UI Light" w:cs="Segoe UI Light"/>
        <w:b/>
        <w:bCs/>
        <w:lang w:val="en-US"/>
      </w:rPr>
    </w:pPr>
    <w:r w:rsidRPr="001012D5">
      <w:rPr>
        <w:rFonts w:ascii="Segoe UI Light" w:hAnsi="Segoe UI Light" w:cs="Segoe UI Light"/>
        <w:b/>
        <w:bCs/>
        <w:lang w:val="en-US"/>
      </w:rPr>
      <w:t>L6 - Data Capture and Evaluation (ACDA6021)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E840D" w14:textId="77777777" w:rsidR="00705945" w:rsidRDefault="00705945" w:rsidP="008273C5">
      <w:pPr>
        <w:spacing w:after="0" w:line="240" w:lineRule="auto"/>
      </w:pPr>
      <w:r>
        <w:separator/>
      </w:r>
    </w:p>
  </w:footnote>
  <w:footnote w:type="continuationSeparator" w:id="0">
    <w:p w14:paraId="1BEE8BAE" w14:textId="77777777" w:rsidR="00705945" w:rsidRDefault="00705945" w:rsidP="008273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D80107" w14:textId="2E7AFBA5" w:rsidR="00FC0C08" w:rsidRDefault="00385E10" w:rsidP="00E55324">
    <w:pPr>
      <w:pStyle w:val="Title"/>
      <w:rPr>
        <w:b/>
        <w:bCs/>
        <w:sz w:val="18"/>
        <w:szCs w:val="18"/>
      </w:rPr>
    </w:pPr>
    <w:r w:rsidRPr="008273C5">
      <w:rPr>
        <w:noProof/>
      </w:rPr>
      <w:drawing>
        <wp:anchor distT="0" distB="0" distL="114300" distR="114300" simplePos="0" relativeHeight="251660800" behindDoc="1" locked="0" layoutInCell="1" allowOverlap="1" wp14:anchorId="3927EE07" wp14:editId="1CE7974D">
          <wp:simplePos x="0" y="0"/>
          <wp:positionH relativeFrom="column">
            <wp:posOffset>-799465</wp:posOffset>
          </wp:positionH>
          <wp:positionV relativeFrom="paragraph">
            <wp:posOffset>-252730</wp:posOffset>
          </wp:positionV>
          <wp:extent cx="1393112" cy="562274"/>
          <wp:effectExtent l="0" t="0" r="0" b="9525"/>
          <wp:wrapSquare wrapText="bothSides"/>
          <wp:docPr id="1" name="Picture 1" descr="UWTSD - Living Life to the Full 6 Week Course - West Wales Action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 Living Life to the Full 6 Week Course - West Wales Action for ..."/>
                  <pic:cNvPicPr>
                    <a:picLocks noChangeAspect="1" noChangeArrowheads="1"/>
                  </pic:cNvPicPr>
                </pic:nvPicPr>
                <pic:blipFill rotWithShape="1">
                  <a:blip r:embed="rId1" cstate="print">
                    <a:extLst>
                      <a:ext uri="{28A0092B-C50C-407E-A947-70E740481C1C}">
                        <a14:useLocalDpi xmlns:a14="http://schemas.microsoft.com/office/drawing/2010/main" val="0"/>
                      </a:ext>
                    </a:extLst>
                  </a:blip>
                  <a:srcRect l="11363" t="23662" r="13352" b="26866"/>
                  <a:stretch/>
                </pic:blipFill>
                <pic:spPr bwMode="auto">
                  <a:xfrm>
                    <a:off x="0" y="0"/>
                    <a:ext cx="1393112" cy="56227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892729" w14:textId="56A5FEE5" w:rsidR="003013A0" w:rsidRPr="007B3E4F" w:rsidRDefault="007B3E4F" w:rsidP="007B3E4F">
    <w:pPr>
      <w:jc w:val="right"/>
      <w:rPr>
        <w:rFonts w:asciiTheme="majorHAnsi" w:eastAsiaTheme="majorEastAsia" w:hAnsiTheme="majorHAnsi" w:cstheme="majorBidi"/>
        <w:b/>
        <w:bCs/>
        <w:color w:val="262626" w:themeColor="text1" w:themeTint="D9"/>
        <w:sz w:val="18"/>
        <w:szCs w:val="18"/>
        <w:lang w:val="en-US"/>
      </w:rPr>
    </w:pPr>
    <w:r w:rsidRPr="007B3E4F">
      <w:rPr>
        <w:rFonts w:asciiTheme="majorHAnsi" w:eastAsiaTheme="majorEastAsia" w:hAnsiTheme="majorHAnsi" w:cstheme="majorBidi"/>
        <w:b/>
        <w:bCs/>
        <w:color w:val="262626" w:themeColor="text1" w:themeTint="D9"/>
        <w:sz w:val="18"/>
        <w:szCs w:val="18"/>
        <w:lang w:val="en-US"/>
      </w:rPr>
      <w:t>A critique of the methods used in ordnance identification</w:t>
    </w:r>
  </w:p>
  <w:p w14:paraId="51EC1061" w14:textId="2746F69F" w:rsidR="009D6435" w:rsidRDefault="009D6435" w:rsidP="002619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23C65"/>
    <w:multiLevelType w:val="multilevel"/>
    <w:tmpl w:val="490A6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556BB"/>
    <w:multiLevelType w:val="multilevel"/>
    <w:tmpl w:val="2D28D5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9F7E36"/>
    <w:multiLevelType w:val="multilevel"/>
    <w:tmpl w:val="64F0E3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370C75"/>
    <w:multiLevelType w:val="multilevel"/>
    <w:tmpl w:val="0CF0CF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744C8C"/>
    <w:multiLevelType w:val="multilevel"/>
    <w:tmpl w:val="938A8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105B67"/>
    <w:multiLevelType w:val="multilevel"/>
    <w:tmpl w:val="9D6CE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163EA1"/>
    <w:multiLevelType w:val="hybridMultilevel"/>
    <w:tmpl w:val="F66E62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D2B3A2B"/>
    <w:multiLevelType w:val="hybridMultilevel"/>
    <w:tmpl w:val="C6763A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4C5A4B"/>
    <w:multiLevelType w:val="multilevel"/>
    <w:tmpl w:val="695C6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600527"/>
    <w:multiLevelType w:val="multilevel"/>
    <w:tmpl w:val="A2D08D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873115"/>
    <w:multiLevelType w:val="multilevel"/>
    <w:tmpl w:val="55642F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AC2A46"/>
    <w:multiLevelType w:val="multilevel"/>
    <w:tmpl w:val="DDE8B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FF56F7"/>
    <w:multiLevelType w:val="hybridMultilevel"/>
    <w:tmpl w:val="5A1C3E42"/>
    <w:lvl w:ilvl="0" w:tplc="2BC0DF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C71B17"/>
    <w:multiLevelType w:val="hybridMultilevel"/>
    <w:tmpl w:val="03807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110A3D"/>
    <w:multiLevelType w:val="multilevel"/>
    <w:tmpl w:val="D86673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E80567"/>
    <w:multiLevelType w:val="multilevel"/>
    <w:tmpl w:val="E0DABB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383167"/>
    <w:multiLevelType w:val="multilevel"/>
    <w:tmpl w:val="F1D4FE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725A40"/>
    <w:multiLevelType w:val="multilevel"/>
    <w:tmpl w:val="3AFE7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B55FB6"/>
    <w:multiLevelType w:val="multilevel"/>
    <w:tmpl w:val="13782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E03003"/>
    <w:multiLevelType w:val="multilevel"/>
    <w:tmpl w:val="2292B3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2107DF"/>
    <w:multiLevelType w:val="multilevel"/>
    <w:tmpl w:val="3A7E76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4A60EE"/>
    <w:multiLevelType w:val="multilevel"/>
    <w:tmpl w:val="A216C3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AD0E03"/>
    <w:multiLevelType w:val="multilevel"/>
    <w:tmpl w:val="730605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9C5B73"/>
    <w:multiLevelType w:val="multilevel"/>
    <w:tmpl w:val="447EF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F87A41"/>
    <w:multiLevelType w:val="multilevel"/>
    <w:tmpl w:val="D6D89F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C94182"/>
    <w:multiLevelType w:val="hybridMultilevel"/>
    <w:tmpl w:val="B1DE48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32F6AFD"/>
    <w:multiLevelType w:val="multilevel"/>
    <w:tmpl w:val="652E2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BC283D"/>
    <w:multiLevelType w:val="multilevel"/>
    <w:tmpl w:val="F2C2B7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990B0F"/>
    <w:multiLevelType w:val="hybridMultilevel"/>
    <w:tmpl w:val="0146114E"/>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59A25C72"/>
    <w:multiLevelType w:val="multilevel"/>
    <w:tmpl w:val="B8E6C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4F5ABF"/>
    <w:multiLevelType w:val="multilevel"/>
    <w:tmpl w:val="3668B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F81386"/>
    <w:multiLevelType w:val="multilevel"/>
    <w:tmpl w:val="658E7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B04B6C"/>
    <w:multiLevelType w:val="multilevel"/>
    <w:tmpl w:val="4698A0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C524801"/>
    <w:multiLevelType w:val="multilevel"/>
    <w:tmpl w:val="07E88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3501E8"/>
    <w:multiLevelType w:val="multilevel"/>
    <w:tmpl w:val="9274E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866D08"/>
    <w:multiLevelType w:val="hybridMultilevel"/>
    <w:tmpl w:val="12A83100"/>
    <w:lvl w:ilvl="0" w:tplc="1A66FA28">
      <w:start w:val="1"/>
      <w:numFmt w:val="bullet"/>
      <w:lvlText w:val="•"/>
      <w:lvlJc w:val="left"/>
      <w:pPr>
        <w:tabs>
          <w:tab w:val="num" w:pos="720"/>
        </w:tabs>
        <w:ind w:left="720" w:hanging="360"/>
      </w:pPr>
      <w:rPr>
        <w:rFonts w:ascii="Arial" w:hAnsi="Arial" w:cs="Times New Roman" w:hint="default"/>
      </w:rPr>
    </w:lvl>
    <w:lvl w:ilvl="1" w:tplc="95E05EEA">
      <w:numFmt w:val="bullet"/>
      <w:lvlText w:val="•"/>
      <w:lvlJc w:val="left"/>
      <w:pPr>
        <w:tabs>
          <w:tab w:val="num" w:pos="1440"/>
        </w:tabs>
        <w:ind w:left="1440" w:hanging="360"/>
      </w:pPr>
      <w:rPr>
        <w:rFonts w:ascii="Arial" w:hAnsi="Arial" w:cs="Times New Roman" w:hint="default"/>
      </w:rPr>
    </w:lvl>
    <w:lvl w:ilvl="2" w:tplc="B5FCFE7E">
      <w:start w:val="1"/>
      <w:numFmt w:val="bullet"/>
      <w:lvlText w:val="•"/>
      <w:lvlJc w:val="left"/>
      <w:pPr>
        <w:tabs>
          <w:tab w:val="num" w:pos="2160"/>
        </w:tabs>
        <w:ind w:left="2160" w:hanging="360"/>
      </w:pPr>
      <w:rPr>
        <w:rFonts w:ascii="Arial" w:hAnsi="Arial" w:cs="Times New Roman" w:hint="default"/>
      </w:rPr>
    </w:lvl>
    <w:lvl w:ilvl="3" w:tplc="DAB6FBCA">
      <w:start w:val="1"/>
      <w:numFmt w:val="bullet"/>
      <w:lvlText w:val="•"/>
      <w:lvlJc w:val="left"/>
      <w:pPr>
        <w:tabs>
          <w:tab w:val="num" w:pos="2880"/>
        </w:tabs>
        <w:ind w:left="2880" w:hanging="360"/>
      </w:pPr>
      <w:rPr>
        <w:rFonts w:ascii="Arial" w:hAnsi="Arial" w:cs="Times New Roman" w:hint="default"/>
      </w:rPr>
    </w:lvl>
    <w:lvl w:ilvl="4" w:tplc="2270A60E">
      <w:start w:val="1"/>
      <w:numFmt w:val="bullet"/>
      <w:lvlText w:val="•"/>
      <w:lvlJc w:val="left"/>
      <w:pPr>
        <w:tabs>
          <w:tab w:val="num" w:pos="3600"/>
        </w:tabs>
        <w:ind w:left="3600" w:hanging="360"/>
      </w:pPr>
      <w:rPr>
        <w:rFonts w:ascii="Arial" w:hAnsi="Arial" w:cs="Times New Roman" w:hint="default"/>
      </w:rPr>
    </w:lvl>
    <w:lvl w:ilvl="5" w:tplc="E58499D8">
      <w:start w:val="1"/>
      <w:numFmt w:val="bullet"/>
      <w:lvlText w:val="•"/>
      <w:lvlJc w:val="left"/>
      <w:pPr>
        <w:tabs>
          <w:tab w:val="num" w:pos="4320"/>
        </w:tabs>
        <w:ind w:left="4320" w:hanging="360"/>
      </w:pPr>
      <w:rPr>
        <w:rFonts w:ascii="Arial" w:hAnsi="Arial" w:cs="Times New Roman" w:hint="default"/>
      </w:rPr>
    </w:lvl>
    <w:lvl w:ilvl="6" w:tplc="7BB8E234">
      <w:start w:val="1"/>
      <w:numFmt w:val="bullet"/>
      <w:lvlText w:val="•"/>
      <w:lvlJc w:val="left"/>
      <w:pPr>
        <w:tabs>
          <w:tab w:val="num" w:pos="5040"/>
        </w:tabs>
        <w:ind w:left="5040" w:hanging="360"/>
      </w:pPr>
      <w:rPr>
        <w:rFonts w:ascii="Arial" w:hAnsi="Arial" w:cs="Times New Roman" w:hint="default"/>
      </w:rPr>
    </w:lvl>
    <w:lvl w:ilvl="7" w:tplc="71D0A9EC">
      <w:start w:val="1"/>
      <w:numFmt w:val="bullet"/>
      <w:lvlText w:val="•"/>
      <w:lvlJc w:val="left"/>
      <w:pPr>
        <w:tabs>
          <w:tab w:val="num" w:pos="5760"/>
        </w:tabs>
        <w:ind w:left="5760" w:hanging="360"/>
      </w:pPr>
      <w:rPr>
        <w:rFonts w:ascii="Arial" w:hAnsi="Arial" w:cs="Times New Roman" w:hint="default"/>
      </w:rPr>
    </w:lvl>
    <w:lvl w:ilvl="8" w:tplc="35C2B524">
      <w:start w:val="1"/>
      <w:numFmt w:val="bullet"/>
      <w:lvlText w:val="•"/>
      <w:lvlJc w:val="left"/>
      <w:pPr>
        <w:tabs>
          <w:tab w:val="num" w:pos="6480"/>
        </w:tabs>
        <w:ind w:left="6480" w:hanging="360"/>
      </w:pPr>
      <w:rPr>
        <w:rFonts w:ascii="Arial" w:hAnsi="Arial" w:cs="Times New Roman" w:hint="default"/>
      </w:rPr>
    </w:lvl>
  </w:abstractNum>
  <w:abstractNum w:abstractNumId="36" w15:restartNumberingAfterBreak="0">
    <w:nsid w:val="7305465D"/>
    <w:multiLevelType w:val="multilevel"/>
    <w:tmpl w:val="3A6C8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956C7C"/>
    <w:multiLevelType w:val="multilevel"/>
    <w:tmpl w:val="4FFE16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49A7F94"/>
    <w:multiLevelType w:val="multilevel"/>
    <w:tmpl w:val="3AE84D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B94970"/>
    <w:multiLevelType w:val="multilevel"/>
    <w:tmpl w:val="25602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416760"/>
    <w:multiLevelType w:val="multilevel"/>
    <w:tmpl w:val="232A7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E6D7006"/>
    <w:multiLevelType w:val="multilevel"/>
    <w:tmpl w:val="CFAEB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F455EE8"/>
    <w:multiLevelType w:val="multilevel"/>
    <w:tmpl w:val="8B5CCE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0528398">
    <w:abstractNumId w:val="35"/>
  </w:num>
  <w:num w:numId="2" w16cid:durableId="742218328">
    <w:abstractNumId w:val="28"/>
  </w:num>
  <w:num w:numId="3" w16cid:durableId="1603881515">
    <w:abstractNumId w:val="12"/>
  </w:num>
  <w:num w:numId="4" w16cid:durableId="16322285">
    <w:abstractNumId w:val="28"/>
  </w:num>
  <w:num w:numId="5" w16cid:durableId="1952056146">
    <w:abstractNumId w:val="7"/>
  </w:num>
  <w:num w:numId="6" w16cid:durableId="1061369553">
    <w:abstractNumId w:val="13"/>
  </w:num>
  <w:num w:numId="7" w16cid:durableId="1337423814">
    <w:abstractNumId w:val="35"/>
  </w:num>
  <w:num w:numId="8" w16cid:durableId="92434136">
    <w:abstractNumId w:val="28"/>
  </w:num>
  <w:num w:numId="9" w16cid:durableId="2098136744">
    <w:abstractNumId w:val="6"/>
  </w:num>
  <w:num w:numId="10" w16cid:durableId="1930698106">
    <w:abstractNumId w:val="22"/>
  </w:num>
  <w:num w:numId="11" w16cid:durableId="1354695128">
    <w:abstractNumId w:val="42"/>
  </w:num>
  <w:num w:numId="12" w16cid:durableId="1175267764">
    <w:abstractNumId w:val="34"/>
  </w:num>
  <w:num w:numId="13" w16cid:durableId="38210158">
    <w:abstractNumId w:val="10"/>
  </w:num>
  <w:num w:numId="14" w16cid:durableId="2058508505">
    <w:abstractNumId w:val="30"/>
  </w:num>
  <w:num w:numId="15" w16cid:durableId="1087119405">
    <w:abstractNumId w:val="27"/>
  </w:num>
  <w:num w:numId="16" w16cid:durableId="1076049646">
    <w:abstractNumId w:val="3"/>
  </w:num>
  <w:num w:numId="17" w16cid:durableId="280846241">
    <w:abstractNumId w:val="41"/>
  </w:num>
  <w:num w:numId="18" w16cid:durableId="416829044">
    <w:abstractNumId w:val="32"/>
  </w:num>
  <w:num w:numId="19" w16cid:durableId="815343266">
    <w:abstractNumId w:val="38"/>
  </w:num>
  <w:num w:numId="20" w16cid:durableId="1749618219">
    <w:abstractNumId w:val="20"/>
  </w:num>
  <w:num w:numId="21" w16cid:durableId="1372413332">
    <w:abstractNumId w:val="14"/>
  </w:num>
  <w:num w:numId="22" w16cid:durableId="1699622876">
    <w:abstractNumId w:val="16"/>
  </w:num>
  <w:num w:numId="23" w16cid:durableId="1718428921">
    <w:abstractNumId w:val="15"/>
  </w:num>
  <w:num w:numId="24" w16cid:durableId="1010835820">
    <w:abstractNumId w:val="9"/>
  </w:num>
  <w:num w:numId="25" w16cid:durableId="1964536005">
    <w:abstractNumId w:val="26"/>
  </w:num>
  <w:num w:numId="26" w16cid:durableId="1477917953">
    <w:abstractNumId w:val="2"/>
  </w:num>
  <w:num w:numId="27" w16cid:durableId="1794252796">
    <w:abstractNumId w:val="8"/>
  </w:num>
  <w:num w:numId="28" w16cid:durableId="541138236">
    <w:abstractNumId w:val="21"/>
  </w:num>
  <w:num w:numId="29" w16cid:durableId="1816676530">
    <w:abstractNumId w:val="17"/>
  </w:num>
  <w:num w:numId="30" w16cid:durableId="850072573">
    <w:abstractNumId w:val="11"/>
  </w:num>
  <w:num w:numId="31" w16cid:durableId="1636328522">
    <w:abstractNumId w:val="40"/>
  </w:num>
  <w:num w:numId="32" w16cid:durableId="745416523">
    <w:abstractNumId w:val="19"/>
  </w:num>
  <w:num w:numId="33" w16cid:durableId="728920234">
    <w:abstractNumId w:val="5"/>
  </w:num>
  <w:num w:numId="34" w16cid:durableId="1744831796">
    <w:abstractNumId w:val="0"/>
  </w:num>
  <w:num w:numId="35" w16cid:durableId="1902014061">
    <w:abstractNumId w:val="31"/>
  </w:num>
  <w:num w:numId="36" w16cid:durableId="845903444">
    <w:abstractNumId w:val="4"/>
  </w:num>
  <w:num w:numId="37" w16cid:durableId="529072738">
    <w:abstractNumId w:val="24"/>
  </w:num>
  <w:num w:numId="38" w16cid:durableId="1232690288">
    <w:abstractNumId w:val="1"/>
  </w:num>
  <w:num w:numId="39" w16cid:durableId="1219786285">
    <w:abstractNumId w:val="37"/>
  </w:num>
  <w:num w:numId="40" w16cid:durableId="1016494753">
    <w:abstractNumId w:val="33"/>
  </w:num>
  <w:num w:numId="41" w16cid:durableId="684864698">
    <w:abstractNumId w:val="23"/>
  </w:num>
  <w:num w:numId="42" w16cid:durableId="335377110">
    <w:abstractNumId w:val="36"/>
  </w:num>
  <w:num w:numId="43" w16cid:durableId="1103570314">
    <w:abstractNumId w:val="29"/>
  </w:num>
  <w:num w:numId="44" w16cid:durableId="700858654">
    <w:abstractNumId w:val="18"/>
  </w:num>
  <w:num w:numId="45" w16cid:durableId="392853618">
    <w:abstractNumId w:val="39"/>
  </w:num>
  <w:num w:numId="46" w16cid:durableId="88082509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73C5"/>
    <w:rsid w:val="0000096A"/>
    <w:rsid w:val="00002A57"/>
    <w:rsid w:val="0000315A"/>
    <w:rsid w:val="0000388E"/>
    <w:rsid w:val="00011395"/>
    <w:rsid w:val="00014E80"/>
    <w:rsid w:val="00016303"/>
    <w:rsid w:val="00020585"/>
    <w:rsid w:val="0002179A"/>
    <w:rsid w:val="00027EB3"/>
    <w:rsid w:val="0003481F"/>
    <w:rsid w:val="000358C1"/>
    <w:rsid w:val="000362E6"/>
    <w:rsid w:val="00037B93"/>
    <w:rsid w:val="00041835"/>
    <w:rsid w:val="00042641"/>
    <w:rsid w:val="00047B1C"/>
    <w:rsid w:val="0005043C"/>
    <w:rsid w:val="00051403"/>
    <w:rsid w:val="0005258E"/>
    <w:rsid w:val="0005303B"/>
    <w:rsid w:val="00053C6B"/>
    <w:rsid w:val="0005497F"/>
    <w:rsid w:val="00056300"/>
    <w:rsid w:val="0005655F"/>
    <w:rsid w:val="000600E9"/>
    <w:rsid w:val="00062EA6"/>
    <w:rsid w:val="0006309E"/>
    <w:rsid w:val="00064075"/>
    <w:rsid w:val="00073A0E"/>
    <w:rsid w:val="000755E8"/>
    <w:rsid w:val="00081F47"/>
    <w:rsid w:val="00083329"/>
    <w:rsid w:val="00085A92"/>
    <w:rsid w:val="00095D5F"/>
    <w:rsid w:val="000A07BE"/>
    <w:rsid w:val="000A46CE"/>
    <w:rsid w:val="000B0D22"/>
    <w:rsid w:val="000B1143"/>
    <w:rsid w:val="000B115E"/>
    <w:rsid w:val="000B22B9"/>
    <w:rsid w:val="000B281D"/>
    <w:rsid w:val="000B2A29"/>
    <w:rsid w:val="000B51BE"/>
    <w:rsid w:val="000B7ED3"/>
    <w:rsid w:val="000C263C"/>
    <w:rsid w:val="000C4C15"/>
    <w:rsid w:val="000C579D"/>
    <w:rsid w:val="000C5DC2"/>
    <w:rsid w:val="000D1EFE"/>
    <w:rsid w:val="000D41B3"/>
    <w:rsid w:val="000D4494"/>
    <w:rsid w:val="000F0EDA"/>
    <w:rsid w:val="000F155F"/>
    <w:rsid w:val="000F1E61"/>
    <w:rsid w:val="000F6B45"/>
    <w:rsid w:val="000F7A68"/>
    <w:rsid w:val="00100497"/>
    <w:rsid w:val="00101483"/>
    <w:rsid w:val="00101AAA"/>
    <w:rsid w:val="00107D45"/>
    <w:rsid w:val="00112DCB"/>
    <w:rsid w:val="001160D7"/>
    <w:rsid w:val="00121662"/>
    <w:rsid w:val="0012505B"/>
    <w:rsid w:val="001259D3"/>
    <w:rsid w:val="0012695F"/>
    <w:rsid w:val="001330CD"/>
    <w:rsid w:val="001340F0"/>
    <w:rsid w:val="0013702E"/>
    <w:rsid w:val="001375B1"/>
    <w:rsid w:val="0013761D"/>
    <w:rsid w:val="001433B5"/>
    <w:rsid w:val="0015010C"/>
    <w:rsid w:val="00155CDF"/>
    <w:rsid w:val="001651B7"/>
    <w:rsid w:val="00170968"/>
    <w:rsid w:val="00170E5F"/>
    <w:rsid w:val="00180954"/>
    <w:rsid w:val="001850D9"/>
    <w:rsid w:val="001861B9"/>
    <w:rsid w:val="00187F22"/>
    <w:rsid w:val="0019530A"/>
    <w:rsid w:val="00196C32"/>
    <w:rsid w:val="001973B8"/>
    <w:rsid w:val="001A471F"/>
    <w:rsid w:val="001B053F"/>
    <w:rsid w:val="001B1B9B"/>
    <w:rsid w:val="001B43DA"/>
    <w:rsid w:val="001B5E7A"/>
    <w:rsid w:val="001B73E6"/>
    <w:rsid w:val="001D3082"/>
    <w:rsid w:val="001E137F"/>
    <w:rsid w:val="001E7A24"/>
    <w:rsid w:val="00200599"/>
    <w:rsid w:val="00204B55"/>
    <w:rsid w:val="00205349"/>
    <w:rsid w:val="0021025F"/>
    <w:rsid w:val="0021204E"/>
    <w:rsid w:val="00213891"/>
    <w:rsid w:val="00213EBB"/>
    <w:rsid w:val="00213FC8"/>
    <w:rsid w:val="0021453A"/>
    <w:rsid w:val="00217453"/>
    <w:rsid w:val="00221655"/>
    <w:rsid w:val="00240C5B"/>
    <w:rsid w:val="00243305"/>
    <w:rsid w:val="00244FB1"/>
    <w:rsid w:val="00246C84"/>
    <w:rsid w:val="00246FAC"/>
    <w:rsid w:val="00251F6F"/>
    <w:rsid w:val="00260D20"/>
    <w:rsid w:val="002619F7"/>
    <w:rsid w:val="002637CA"/>
    <w:rsid w:val="0026696D"/>
    <w:rsid w:val="00272519"/>
    <w:rsid w:val="0027405B"/>
    <w:rsid w:val="002740A8"/>
    <w:rsid w:val="0027640E"/>
    <w:rsid w:val="00277AFF"/>
    <w:rsid w:val="00277EC9"/>
    <w:rsid w:val="00281BF6"/>
    <w:rsid w:val="00282816"/>
    <w:rsid w:val="002835FF"/>
    <w:rsid w:val="00290EC6"/>
    <w:rsid w:val="0029399F"/>
    <w:rsid w:val="00293D08"/>
    <w:rsid w:val="002A1F57"/>
    <w:rsid w:val="002A333A"/>
    <w:rsid w:val="002A3534"/>
    <w:rsid w:val="002A41DC"/>
    <w:rsid w:val="002A50BE"/>
    <w:rsid w:val="002B358F"/>
    <w:rsid w:val="002C1CD6"/>
    <w:rsid w:val="002C359D"/>
    <w:rsid w:val="002C41FF"/>
    <w:rsid w:val="002C56E0"/>
    <w:rsid w:val="002C5FDD"/>
    <w:rsid w:val="002D21AC"/>
    <w:rsid w:val="002D3172"/>
    <w:rsid w:val="002D481D"/>
    <w:rsid w:val="002D75AA"/>
    <w:rsid w:val="002E032F"/>
    <w:rsid w:val="002E0E87"/>
    <w:rsid w:val="002E3A41"/>
    <w:rsid w:val="002E4373"/>
    <w:rsid w:val="002E67E0"/>
    <w:rsid w:val="003013A0"/>
    <w:rsid w:val="003032DC"/>
    <w:rsid w:val="003038AD"/>
    <w:rsid w:val="003041F9"/>
    <w:rsid w:val="00304599"/>
    <w:rsid w:val="00304E29"/>
    <w:rsid w:val="00306194"/>
    <w:rsid w:val="00306766"/>
    <w:rsid w:val="003128A8"/>
    <w:rsid w:val="00314170"/>
    <w:rsid w:val="00314E78"/>
    <w:rsid w:val="00327553"/>
    <w:rsid w:val="00330786"/>
    <w:rsid w:val="00335052"/>
    <w:rsid w:val="0034039A"/>
    <w:rsid w:val="003448CC"/>
    <w:rsid w:val="00344A33"/>
    <w:rsid w:val="00345553"/>
    <w:rsid w:val="00346CF6"/>
    <w:rsid w:val="00354ADD"/>
    <w:rsid w:val="00357A0B"/>
    <w:rsid w:val="003623B9"/>
    <w:rsid w:val="00364892"/>
    <w:rsid w:val="003660D0"/>
    <w:rsid w:val="003731D3"/>
    <w:rsid w:val="00374D55"/>
    <w:rsid w:val="003813A3"/>
    <w:rsid w:val="00385E10"/>
    <w:rsid w:val="0038736D"/>
    <w:rsid w:val="00391CC6"/>
    <w:rsid w:val="00393374"/>
    <w:rsid w:val="00395894"/>
    <w:rsid w:val="00395C84"/>
    <w:rsid w:val="003A0524"/>
    <w:rsid w:val="003A1383"/>
    <w:rsid w:val="003A13A7"/>
    <w:rsid w:val="003C192C"/>
    <w:rsid w:val="003C3DD3"/>
    <w:rsid w:val="003C7E5D"/>
    <w:rsid w:val="003D6679"/>
    <w:rsid w:val="003E02BC"/>
    <w:rsid w:val="003E0475"/>
    <w:rsid w:val="003E635F"/>
    <w:rsid w:val="003E7545"/>
    <w:rsid w:val="003F58B9"/>
    <w:rsid w:val="003F6D02"/>
    <w:rsid w:val="003F7092"/>
    <w:rsid w:val="00402BC6"/>
    <w:rsid w:val="004051FF"/>
    <w:rsid w:val="0041054D"/>
    <w:rsid w:val="00410CF4"/>
    <w:rsid w:val="004115C0"/>
    <w:rsid w:val="00420FC0"/>
    <w:rsid w:val="004239EF"/>
    <w:rsid w:val="00426590"/>
    <w:rsid w:val="00430562"/>
    <w:rsid w:val="00430A38"/>
    <w:rsid w:val="00430FD2"/>
    <w:rsid w:val="004319F7"/>
    <w:rsid w:val="00431A30"/>
    <w:rsid w:val="00431AD8"/>
    <w:rsid w:val="00432155"/>
    <w:rsid w:val="00435B8B"/>
    <w:rsid w:val="00436A8A"/>
    <w:rsid w:val="00436ADB"/>
    <w:rsid w:val="00436E6A"/>
    <w:rsid w:val="004429A8"/>
    <w:rsid w:val="00450566"/>
    <w:rsid w:val="00452FBE"/>
    <w:rsid w:val="00455E2D"/>
    <w:rsid w:val="00464001"/>
    <w:rsid w:val="00464DC2"/>
    <w:rsid w:val="00467D94"/>
    <w:rsid w:val="00470EC7"/>
    <w:rsid w:val="00471048"/>
    <w:rsid w:val="00472D12"/>
    <w:rsid w:val="00476247"/>
    <w:rsid w:val="004877FD"/>
    <w:rsid w:val="004908F3"/>
    <w:rsid w:val="0049777C"/>
    <w:rsid w:val="004A0014"/>
    <w:rsid w:val="004A2EE5"/>
    <w:rsid w:val="004B1954"/>
    <w:rsid w:val="004B30F0"/>
    <w:rsid w:val="004B498B"/>
    <w:rsid w:val="004B7EA7"/>
    <w:rsid w:val="004D0FBA"/>
    <w:rsid w:val="004D3AF9"/>
    <w:rsid w:val="004D422A"/>
    <w:rsid w:val="004D42C7"/>
    <w:rsid w:val="004D60AF"/>
    <w:rsid w:val="004D7A30"/>
    <w:rsid w:val="004E1503"/>
    <w:rsid w:val="004E2B38"/>
    <w:rsid w:val="004E60C6"/>
    <w:rsid w:val="004F4A17"/>
    <w:rsid w:val="004F7ED3"/>
    <w:rsid w:val="00501A44"/>
    <w:rsid w:val="00502376"/>
    <w:rsid w:val="00506E99"/>
    <w:rsid w:val="005074A0"/>
    <w:rsid w:val="005211D0"/>
    <w:rsid w:val="00523033"/>
    <w:rsid w:val="00527C03"/>
    <w:rsid w:val="00530091"/>
    <w:rsid w:val="005303D0"/>
    <w:rsid w:val="00531584"/>
    <w:rsid w:val="0053166B"/>
    <w:rsid w:val="00531801"/>
    <w:rsid w:val="00531DD7"/>
    <w:rsid w:val="00532C8F"/>
    <w:rsid w:val="00532F45"/>
    <w:rsid w:val="005337ED"/>
    <w:rsid w:val="00534822"/>
    <w:rsid w:val="00536C36"/>
    <w:rsid w:val="00540EB5"/>
    <w:rsid w:val="00542D6F"/>
    <w:rsid w:val="005444AC"/>
    <w:rsid w:val="00544A11"/>
    <w:rsid w:val="00545B3C"/>
    <w:rsid w:val="005464F8"/>
    <w:rsid w:val="00546801"/>
    <w:rsid w:val="005468EC"/>
    <w:rsid w:val="00553A56"/>
    <w:rsid w:val="00555F35"/>
    <w:rsid w:val="005611B4"/>
    <w:rsid w:val="00562933"/>
    <w:rsid w:val="00563BA8"/>
    <w:rsid w:val="00565862"/>
    <w:rsid w:val="005730E3"/>
    <w:rsid w:val="00581D8E"/>
    <w:rsid w:val="00581E1F"/>
    <w:rsid w:val="00591316"/>
    <w:rsid w:val="00593EAD"/>
    <w:rsid w:val="00595DD2"/>
    <w:rsid w:val="0059684D"/>
    <w:rsid w:val="005A0493"/>
    <w:rsid w:val="005A2540"/>
    <w:rsid w:val="005A62C0"/>
    <w:rsid w:val="005B662D"/>
    <w:rsid w:val="005B7CB6"/>
    <w:rsid w:val="005C030B"/>
    <w:rsid w:val="005C6097"/>
    <w:rsid w:val="005C6C51"/>
    <w:rsid w:val="005D0E59"/>
    <w:rsid w:val="005D2020"/>
    <w:rsid w:val="005E17A3"/>
    <w:rsid w:val="005E2F21"/>
    <w:rsid w:val="005E34A2"/>
    <w:rsid w:val="005E52BC"/>
    <w:rsid w:val="005E5613"/>
    <w:rsid w:val="005E5DB2"/>
    <w:rsid w:val="005F2696"/>
    <w:rsid w:val="005F3937"/>
    <w:rsid w:val="005F3DFE"/>
    <w:rsid w:val="005F6C23"/>
    <w:rsid w:val="005F7926"/>
    <w:rsid w:val="00610DDE"/>
    <w:rsid w:val="00611F99"/>
    <w:rsid w:val="0062015E"/>
    <w:rsid w:val="00622806"/>
    <w:rsid w:val="006278EF"/>
    <w:rsid w:val="006337E7"/>
    <w:rsid w:val="00633CB1"/>
    <w:rsid w:val="00635652"/>
    <w:rsid w:val="0064031D"/>
    <w:rsid w:val="00640599"/>
    <w:rsid w:val="0065131D"/>
    <w:rsid w:val="00661889"/>
    <w:rsid w:val="006804D9"/>
    <w:rsid w:val="00682121"/>
    <w:rsid w:val="00682EA0"/>
    <w:rsid w:val="00683477"/>
    <w:rsid w:val="006A545F"/>
    <w:rsid w:val="006B2455"/>
    <w:rsid w:val="006B4140"/>
    <w:rsid w:val="006B4195"/>
    <w:rsid w:val="006C1FC7"/>
    <w:rsid w:val="006C436D"/>
    <w:rsid w:val="006C443B"/>
    <w:rsid w:val="006D0563"/>
    <w:rsid w:val="006E177B"/>
    <w:rsid w:val="006E3CA5"/>
    <w:rsid w:val="006E3FBA"/>
    <w:rsid w:val="006E5939"/>
    <w:rsid w:val="006E5ED7"/>
    <w:rsid w:val="006F013B"/>
    <w:rsid w:val="006F073F"/>
    <w:rsid w:val="006F3CE5"/>
    <w:rsid w:val="00701557"/>
    <w:rsid w:val="00701D1B"/>
    <w:rsid w:val="00702D86"/>
    <w:rsid w:val="007047D2"/>
    <w:rsid w:val="0070519C"/>
    <w:rsid w:val="00705945"/>
    <w:rsid w:val="00705DF9"/>
    <w:rsid w:val="00710F83"/>
    <w:rsid w:val="00713E64"/>
    <w:rsid w:val="00715801"/>
    <w:rsid w:val="007158F1"/>
    <w:rsid w:val="00715EFA"/>
    <w:rsid w:val="007222C0"/>
    <w:rsid w:val="00722B3D"/>
    <w:rsid w:val="00723F73"/>
    <w:rsid w:val="00727522"/>
    <w:rsid w:val="00733F16"/>
    <w:rsid w:val="0073551D"/>
    <w:rsid w:val="00735CE0"/>
    <w:rsid w:val="007422D6"/>
    <w:rsid w:val="007462BD"/>
    <w:rsid w:val="0075359F"/>
    <w:rsid w:val="0075625F"/>
    <w:rsid w:val="00756C52"/>
    <w:rsid w:val="0076600A"/>
    <w:rsid w:val="00767166"/>
    <w:rsid w:val="0077103B"/>
    <w:rsid w:val="00771838"/>
    <w:rsid w:val="00772605"/>
    <w:rsid w:val="00774536"/>
    <w:rsid w:val="00775AE2"/>
    <w:rsid w:val="00780FD9"/>
    <w:rsid w:val="0078211E"/>
    <w:rsid w:val="00786929"/>
    <w:rsid w:val="00792D34"/>
    <w:rsid w:val="00793E09"/>
    <w:rsid w:val="00794516"/>
    <w:rsid w:val="00796F0D"/>
    <w:rsid w:val="007973A3"/>
    <w:rsid w:val="007A14C0"/>
    <w:rsid w:val="007A1CD5"/>
    <w:rsid w:val="007A3086"/>
    <w:rsid w:val="007A4287"/>
    <w:rsid w:val="007A5FEA"/>
    <w:rsid w:val="007B06A4"/>
    <w:rsid w:val="007B29DF"/>
    <w:rsid w:val="007B3E4F"/>
    <w:rsid w:val="007B6B52"/>
    <w:rsid w:val="007D2BA5"/>
    <w:rsid w:val="007E1092"/>
    <w:rsid w:val="007F13D8"/>
    <w:rsid w:val="007F79FD"/>
    <w:rsid w:val="00801232"/>
    <w:rsid w:val="0080495F"/>
    <w:rsid w:val="008066DB"/>
    <w:rsid w:val="00806F74"/>
    <w:rsid w:val="00807DE2"/>
    <w:rsid w:val="00812AC5"/>
    <w:rsid w:val="008135AB"/>
    <w:rsid w:val="008152E4"/>
    <w:rsid w:val="00822F50"/>
    <w:rsid w:val="00823998"/>
    <w:rsid w:val="008273C5"/>
    <w:rsid w:val="00832C20"/>
    <w:rsid w:val="00837747"/>
    <w:rsid w:val="00841F84"/>
    <w:rsid w:val="008426FC"/>
    <w:rsid w:val="008453A9"/>
    <w:rsid w:val="00845B2E"/>
    <w:rsid w:val="00846BDD"/>
    <w:rsid w:val="0084776A"/>
    <w:rsid w:val="00853374"/>
    <w:rsid w:val="00862048"/>
    <w:rsid w:val="008649FF"/>
    <w:rsid w:val="00871A4D"/>
    <w:rsid w:val="0087220C"/>
    <w:rsid w:val="0088055C"/>
    <w:rsid w:val="00880C9C"/>
    <w:rsid w:val="00881E4E"/>
    <w:rsid w:val="008826BF"/>
    <w:rsid w:val="00882CEB"/>
    <w:rsid w:val="00883363"/>
    <w:rsid w:val="00885FF3"/>
    <w:rsid w:val="0088697F"/>
    <w:rsid w:val="008946D3"/>
    <w:rsid w:val="00895513"/>
    <w:rsid w:val="008962C9"/>
    <w:rsid w:val="008A016F"/>
    <w:rsid w:val="008A25ED"/>
    <w:rsid w:val="008A36F6"/>
    <w:rsid w:val="008B17CE"/>
    <w:rsid w:val="008B272F"/>
    <w:rsid w:val="008B5452"/>
    <w:rsid w:val="008B6625"/>
    <w:rsid w:val="008C161A"/>
    <w:rsid w:val="008C1C2F"/>
    <w:rsid w:val="008C2F66"/>
    <w:rsid w:val="008C3FCA"/>
    <w:rsid w:val="008C66C3"/>
    <w:rsid w:val="008D1B32"/>
    <w:rsid w:val="008D2190"/>
    <w:rsid w:val="008F2E23"/>
    <w:rsid w:val="008F345D"/>
    <w:rsid w:val="008F6EEB"/>
    <w:rsid w:val="00900F5C"/>
    <w:rsid w:val="00905108"/>
    <w:rsid w:val="00910414"/>
    <w:rsid w:val="00910704"/>
    <w:rsid w:val="00911B3A"/>
    <w:rsid w:val="00912C73"/>
    <w:rsid w:val="009155F5"/>
    <w:rsid w:val="009166F7"/>
    <w:rsid w:val="00917AF9"/>
    <w:rsid w:val="0092139D"/>
    <w:rsid w:val="00933047"/>
    <w:rsid w:val="00935CD4"/>
    <w:rsid w:val="00937754"/>
    <w:rsid w:val="00941B4E"/>
    <w:rsid w:val="00942E6E"/>
    <w:rsid w:val="009449AF"/>
    <w:rsid w:val="00946CD5"/>
    <w:rsid w:val="009501F6"/>
    <w:rsid w:val="009535AF"/>
    <w:rsid w:val="00953BF2"/>
    <w:rsid w:val="00954874"/>
    <w:rsid w:val="00954F46"/>
    <w:rsid w:val="00955E00"/>
    <w:rsid w:val="00957D88"/>
    <w:rsid w:val="00961BC3"/>
    <w:rsid w:val="009630F0"/>
    <w:rsid w:val="00965E8B"/>
    <w:rsid w:val="009709FA"/>
    <w:rsid w:val="00971669"/>
    <w:rsid w:val="00981E50"/>
    <w:rsid w:val="00983DB7"/>
    <w:rsid w:val="009847B9"/>
    <w:rsid w:val="0099633F"/>
    <w:rsid w:val="009A0030"/>
    <w:rsid w:val="009A3812"/>
    <w:rsid w:val="009A6427"/>
    <w:rsid w:val="009A6986"/>
    <w:rsid w:val="009B2908"/>
    <w:rsid w:val="009B5901"/>
    <w:rsid w:val="009C4E51"/>
    <w:rsid w:val="009C6FF2"/>
    <w:rsid w:val="009D0E5F"/>
    <w:rsid w:val="009D6435"/>
    <w:rsid w:val="009D7F5B"/>
    <w:rsid w:val="009E1FE5"/>
    <w:rsid w:val="009E45D3"/>
    <w:rsid w:val="009F1C36"/>
    <w:rsid w:val="009F26B9"/>
    <w:rsid w:val="009F5006"/>
    <w:rsid w:val="00A0040F"/>
    <w:rsid w:val="00A00A48"/>
    <w:rsid w:val="00A0151E"/>
    <w:rsid w:val="00A02A4C"/>
    <w:rsid w:val="00A051FC"/>
    <w:rsid w:val="00A11914"/>
    <w:rsid w:val="00A1244F"/>
    <w:rsid w:val="00A1378A"/>
    <w:rsid w:val="00A27607"/>
    <w:rsid w:val="00A27A8A"/>
    <w:rsid w:val="00A37231"/>
    <w:rsid w:val="00A3776C"/>
    <w:rsid w:val="00A41E1C"/>
    <w:rsid w:val="00A452D1"/>
    <w:rsid w:val="00A50C01"/>
    <w:rsid w:val="00A5355D"/>
    <w:rsid w:val="00A56041"/>
    <w:rsid w:val="00A648BA"/>
    <w:rsid w:val="00A666C2"/>
    <w:rsid w:val="00A67605"/>
    <w:rsid w:val="00A716AB"/>
    <w:rsid w:val="00A71B6B"/>
    <w:rsid w:val="00A814A5"/>
    <w:rsid w:val="00A81E36"/>
    <w:rsid w:val="00A83116"/>
    <w:rsid w:val="00A837CB"/>
    <w:rsid w:val="00A8424B"/>
    <w:rsid w:val="00A85B14"/>
    <w:rsid w:val="00A86F03"/>
    <w:rsid w:val="00A9281B"/>
    <w:rsid w:val="00A92BA7"/>
    <w:rsid w:val="00A97626"/>
    <w:rsid w:val="00A976F1"/>
    <w:rsid w:val="00A97DD0"/>
    <w:rsid w:val="00AA0BF9"/>
    <w:rsid w:val="00AA1F69"/>
    <w:rsid w:val="00AA4FB2"/>
    <w:rsid w:val="00AA6B6F"/>
    <w:rsid w:val="00AA700B"/>
    <w:rsid w:val="00AA71C7"/>
    <w:rsid w:val="00AB3811"/>
    <w:rsid w:val="00AB48AF"/>
    <w:rsid w:val="00AB4F28"/>
    <w:rsid w:val="00AB6487"/>
    <w:rsid w:val="00AC1D84"/>
    <w:rsid w:val="00AC6AC9"/>
    <w:rsid w:val="00AD586A"/>
    <w:rsid w:val="00AE00DF"/>
    <w:rsid w:val="00AE1058"/>
    <w:rsid w:val="00AE1A6C"/>
    <w:rsid w:val="00AE206D"/>
    <w:rsid w:val="00AE72DC"/>
    <w:rsid w:val="00AE74E9"/>
    <w:rsid w:val="00AF27DC"/>
    <w:rsid w:val="00AF4FF4"/>
    <w:rsid w:val="00B03326"/>
    <w:rsid w:val="00B0519B"/>
    <w:rsid w:val="00B102F5"/>
    <w:rsid w:val="00B152D8"/>
    <w:rsid w:val="00B265F3"/>
    <w:rsid w:val="00B27993"/>
    <w:rsid w:val="00B27C21"/>
    <w:rsid w:val="00B407B9"/>
    <w:rsid w:val="00B52BC2"/>
    <w:rsid w:val="00B5367B"/>
    <w:rsid w:val="00B54A67"/>
    <w:rsid w:val="00B56454"/>
    <w:rsid w:val="00B5713D"/>
    <w:rsid w:val="00B629AD"/>
    <w:rsid w:val="00B63AFD"/>
    <w:rsid w:val="00B66F9A"/>
    <w:rsid w:val="00B709C5"/>
    <w:rsid w:val="00B75580"/>
    <w:rsid w:val="00B76E16"/>
    <w:rsid w:val="00B806BE"/>
    <w:rsid w:val="00B86B91"/>
    <w:rsid w:val="00B87359"/>
    <w:rsid w:val="00B90EE2"/>
    <w:rsid w:val="00B9125D"/>
    <w:rsid w:val="00B93409"/>
    <w:rsid w:val="00B94E46"/>
    <w:rsid w:val="00B95804"/>
    <w:rsid w:val="00B959EB"/>
    <w:rsid w:val="00B97BC9"/>
    <w:rsid w:val="00BA65CD"/>
    <w:rsid w:val="00BA7C5E"/>
    <w:rsid w:val="00BB07EF"/>
    <w:rsid w:val="00BB1F98"/>
    <w:rsid w:val="00BB4767"/>
    <w:rsid w:val="00BB59DE"/>
    <w:rsid w:val="00BB79CB"/>
    <w:rsid w:val="00BC18D6"/>
    <w:rsid w:val="00BC371F"/>
    <w:rsid w:val="00BC3F54"/>
    <w:rsid w:val="00BC4AD7"/>
    <w:rsid w:val="00BC5603"/>
    <w:rsid w:val="00BC68C6"/>
    <w:rsid w:val="00BD16A7"/>
    <w:rsid w:val="00BE0155"/>
    <w:rsid w:val="00BE0440"/>
    <w:rsid w:val="00BE1324"/>
    <w:rsid w:val="00BE3AA7"/>
    <w:rsid w:val="00BE55D8"/>
    <w:rsid w:val="00BF5A47"/>
    <w:rsid w:val="00BF6AFE"/>
    <w:rsid w:val="00C02670"/>
    <w:rsid w:val="00C05A50"/>
    <w:rsid w:val="00C06225"/>
    <w:rsid w:val="00C0781F"/>
    <w:rsid w:val="00C1310E"/>
    <w:rsid w:val="00C1538E"/>
    <w:rsid w:val="00C162A4"/>
    <w:rsid w:val="00C163B3"/>
    <w:rsid w:val="00C20704"/>
    <w:rsid w:val="00C220C3"/>
    <w:rsid w:val="00C222A2"/>
    <w:rsid w:val="00C2368E"/>
    <w:rsid w:val="00C245B4"/>
    <w:rsid w:val="00C25655"/>
    <w:rsid w:val="00C25A78"/>
    <w:rsid w:val="00C2674C"/>
    <w:rsid w:val="00C27717"/>
    <w:rsid w:val="00C336EE"/>
    <w:rsid w:val="00C42814"/>
    <w:rsid w:val="00C4509B"/>
    <w:rsid w:val="00C45783"/>
    <w:rsid w:val="00C4771F"/>
    <w:rsid w:val="00C50207"/>
    <w:rsid w:val="00C503C8"/>
    <w:rsid w:val="00C50789"/>
    <w:rsid w:val="00C50DF6"/>
    <w:rsid w:val="00C54FA7"/>
    <w:rsid w:val="00C556E4"/>
    <w:rsid w:val="00C5599F"/>
    <w:rsid w:val="00C55D25"/>
    <w:rsid w:val="00C565D6"/>
    <w:rsid w:val="00C625E4"/>
    <w:rsid w:val="00C63B03"/>
    <w:rsid w:val="00C67E07"/>
    <w:rsid w:val="00C71247"/>
    <w:rsid w:val="00C726BE"/>
    <w:rsid w:val="00C774F0"/>
    <w:rsid w:val="00C819E8"/>
    <w:rsid w:val="00C838BB"/>
    <w:rsid w:val="00C855D7"/>
    <w:rsid w:val="00C86A70"/>
    <w:rsid w:val="00CA461E"/>
    <w:rsid w:val="00CB647F"/>
    <w:rsid w:val="00CC1233"/>
    <w:rsid w:val="00CC5DCB"/>
    <w:rsid w:val="00CC6A1F"/>
    <w:rsid w:val="00CD01FF"/>
    <w:rsid w:val="00CD3FC3"/>
    <w:rsid w:val="00CE1E6F"/>
    <w:rsid w:val="00CE20B9"/>
    <w:rsid w:val="00CE6A11"/>
    <w:rsid w:val="00CE7D41"/>
    <w:rsid w:val="00CF04AA"/>
    <w:rsid w:val="00CF1025"/>
    <w:rsid w:val="00D02659"/>
    <w:rsid w:val="00D04991"/>
    <w:rsid w:val="00D06BB6"/>
    <w:rsid w:val="00D07F2D"/>
    <w:rsid w:val="00D2083E"/>
    <w:rsid w:val="00D2174B"/>
    <w:rsid w:val="00D22940"/>
    <w:rsid w:val="00D26BA1"/>
    <w:rsid w:val="00D274C2"/>
    <w:rsid w:val="00D3250B"/>
    <w:rsid w:val="00D336BB"/>
    <w:rsid w:val="00D351CD"/>
    <w:rsid w:val="00D3711F"/>
    <w:rsid w:val="00D409A7"/>
    <w:rsid w:val="00D40DC9"/>
    <w:rsid w:val="00D42804"/>
    <w:rsid w:val="00D454CA"/>
    <w:rsid w:val="00D55CB1"/>
    <w:rsid w:val="00D56D66"/>
    <w:rsid w:val="00D60FFC"/>
    <w:rsid w:val="00D616C6"/>
    <w:rsid w:val="00D625F4"/>
    <w:rsid w:val="00D70EAA"/>
    <w:rsid w:val="00D70F14"/>
    <w:rsid w:val="00D71468"/>
    <w:rsid w:val="00D75C65"/>
    <w:rsid w:val="00D80D4A"/>
    <w:rsid w:val="00D84EF4"/>
    <w:rsid w:val="00D90219"/>
    <w:rsid w:val="00DA3DAD"/>
    <w:rsid w:val="00DA4B7F"/>
    <w:rsid w:val="00DA54D2"/>
    <w:rsid w:val="00DA5562"/>
    <w:rsid w:val="00DB34F9"/>
    <w:rsid w:val="00DB79B9"/>
    <w:rsid w:val="00DC15E0"/>
    <w:rsid w:val="00DC3A5E"/>
    <w:rsid w:val="00DD0272"/>
    <w:rsid w:val="00DD237D"/>
    <w:rsid w:val="00DD263A"/>
    <w:rsid w:val="00DD2B28"/>
    <w:rsid w:val="00DD510D"/>
    <w:rsid w:val="00DE2EBD"/>
    <w:rsid w:val="00DE4CDC"/>
    <w:rsid w:val="00DE5AFC"/>
    <w:rsid w:val="00DE5FEF"/>
    <w:rsid w:val="00DE6896"/>
    <w:rsid w:val="00DF023D"/>
    <w:rsid w:val="00E06280"/>
    <w:rsid w:val="00E165BC"/>
    <w:rsid w:val="00E17B0B"/>
    <w:rsid w:val="00E34386"/>
    <w:rsid w:val="00E366FF"/>
    <w:rsid w:val="00E436C4"/>
    <w:rsid w:val="00E43757"/>
    <w:rsid w:val="00E55324"/>
    <w:rsid w:val="00E5595D"/>
    <w:rsid w:val="00E57230"/>
    <w:rsid w:val="00E60FC2"/>
    <w:rsid w:val="00E61EFF"/>
    <w:rsid w:val="00E64AB8"/>
    <w:rsid w:val="00E64BB0"/>
    <w:rsid w:val="00E670C4"/>
    <w:rsid w:val="00E71B35"/>
    <w:rsid w:val="00E72065"/>
    <w:rsid w:val="00E76817"/>
    <w:rsid w:val="00E814CF"/>
    <w:rsid w:val="00E820DE"/>
    <w:rsid w:val="00E828F5"/>
    <w:rsid w:val="00E83A9A"/>
    <w:rsid w:val="00E905E4"/>
    <w:rsid w:val="00E919FD"/>
    <w:rsid w:val="00E9272E"/>
    <w:rsid w:val="00E97B82"/>
    <w:rsid w:val="00E97C43"/>
    <w:rsid w:val="00EB27B3"/>
    <w:rsid w:val="00EB75DF"/>
    <w:rsid w:val="00EC087D"/>
    <w:rsid w:val="00EC1F3C"/>
    <w:rsid w:val="00ED5ED3"/>
    <w:rsid w:val="00ED7DA9"/>
    <w:rsid w:val="00EE2697"/>
    <w:rsid w:val="00EE4A98"/>
    <w:rsid w:val="00EE76FB"/>
    <w:rsid w:val="00EF01B1"/>
    <w:rsid w:val="00EF0FFD"/>
    <w:rsid w:val="00EF20D1"/>
    <w:rsid w:val="00EF2D58"/>
    <w:rsid w:val="00F0221A"/>
    <w:rsid w:val="00F04E2E"/>
    <w:rsid w:val="00F06F2E"/>
    <w:rsid w:val="00F0797E"/>
    <w:rsid w:val="00F13644"/>
    <w:rsid w:val="00F16688"/>
    <w:rsid w:val="00F2304B"/>
    <w:rsid w:val="00F268EF"/>
    <w:rsid w:val="00F302D5"/>
    <w:rsid w:val="00F30C9A"/>
    <w:rsid w:val="00F31BCF"/>
    <w:rsid w:val="00F31F79"/>
    <w:rsid w:val="00F337D7"/>
    <w:rsid w:val="00F4014C"/>
    <w:rsid w:val="00F418F8"/>
    <w:rsid w:val="00F51232"/>
    <w:rsid w:val="00F56581"/>
    <w:rsid w:val="00F57DA9"/>
    <w:rsid w:val="00F6034F"/>
    <w:rsid w:val="00F63088"/>
    <w:rsid w:val="00F6479F"/>
    <w:rsid w:val="00F71767"/>
    <w:rsid w:val="00F72D91"/>
    <w:rsid w:val="00F801F4"/>
    <w:rsid w:val="00F84E8A"/>
    <w:rsid w:val="00F929E7"/>
    <w:rsid w:val="00FA2058"/>
    <w:rsid w:val="00FA5C98"/>
    <w:rsid w:val="00FC0C08"/>
    <w:rsid w:val="00FC1714"/>
    <w:rsid w:val="00FC1911"/>
    <w:rsid w:val="00FC60C0"/>
    <w:rsid w:val="00FD5240"/>
    <w:rsid w:val="00FE0CBA"/>
    <w:rsid w:val="00FE20F9"/>
    <w:rsid w:val="00FE3EFA"/>
    <w:rsid w:val="00FF00BF"/>
    <w:rsid w:val="00FF1440"/>
    <w:rsid w:val="00FF2A5E"/>
    <w:rsid w:val="00FF357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C2D497"/>
  <w15:chartTrackingRefBased/>
  <w15:docId w15:val="{F615322F-539A-4293-B6BD-96CC4FD63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3C5"/>
  </w:style>
  <w:style w:type="paragraph" w:styleId="Heading1">
    <w:name w:val="heading 1"/>
    <w:basedOn w:val="Normal"/>
    <w:next w:val="Normal"/>
    <w:link w:val="Heading1Char"/>
    <w:uiPriority w:val="9"/>
    <w:qFormat/>
    <w:rsid w:val="008273C5"/>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8273C5"/>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8273C5"/>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8273C5"/>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8273C5"/>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8273C5"/>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8273C5"/>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8273C5"/>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8273C5"/>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3C5"/>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8273C5"/>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8273C5"/>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8273C5"/>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8273C5"/>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8273C5"/>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8273C5"/>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8273C5"/>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8273C5"/>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8273C5"/>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8273C5"/>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8273C5"/>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8273C5"/>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8273C5"/>
    <w:rPr>
      <w:caps/>
      <w:color w:val="404040" w:themeColor="text1" w:themeTint="BF"/>
      <w:spacing w:val="20"/>
      <w:sz w:val="28"/>
      <w:szCs w:val="28"/>
    </w:rPr>
  </w:style>
  <w:style w:type="character" w:styleId="Strong">
    <w:name w:val="Strong"/>
    <w:basedOn w:val="DefaultParagraphFont"/>
    <w:uiPriority w:val="22"/>
    <w:qFormat/>
    <w:rsid w:val="008273C5"/>
    <w:rPr>
      <w:b/>
      <w:bCs/>
    </w:rPr>
  </w:style>
  <w:style w:type="character" w:styleId="Emphasis">
    <w:name w:val="Emphasis"/>
    <w:basedOn w:val="DefaultParagraphFont"/>
    <w:uiPriority w:val="20"/>
    <w:qFormat/>
    <w:rsid w:val="008273C5"/>
    <w:rPr>
      <w:i/>
      <w:iCs/>
      <w:color w:val="000000" w:themeColor="text1"/>
    </w:rPr>
  </w:style>
  <w:style w:type="paragraph" w:styleId="NoSpacing">
    <w:name w:val="No Spacing"/>
    <w:uiPriority w:val="1"/>
    <w:qFormat/>
    <w:rsid w:val="008273C5"/>
    <w:pPr>
      <w:spacing w:after="0" w:line="240" w:lineRule="auto"/>
    </w:pPr>
  </w:style>
  <w:style w:type="paragraph" w:styleId="Quote">
    <w:name w:val="Quote"/>
    <w:basedOn w:val="Normal"/>
    <w:next w:val="Normal"/>
    <w:link w:val="QuoteChar"/>
    <w:uiPriority w:val="29"/>
    <w:qFormat/>
    <w:rsid w:val="008273C5"/>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8273C5"/>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8273C5"/>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8273C5"/>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8273C5"/>
    <w:rPr>
      <w:i/>
      <w:iCs/>
      <w:color w:val="595959" w:themeColor="text1" w:themeTint="A6"/>
    </w:rPr>
  </w:style>
  <w:style w:type="character" w:styleId="IntenseEmphasis">
    <w:name w:val="Intense Emphasis"/>
    <w:basedOn w:val="DefaultParagraphFont"/>
    <w:uiPriority w:val="21"/>
    <w:qFormat/>
    <w:rsid w:val="008273C5"/>
    <w:rPr>
      <w:b/>
      <w:bCs/>
      <w:i/>
      <w:iCs/>
      <w:caps w:val="0"/>
      <w:smallCaps w:val="0"/>
      <w:strike w:val="0"/>
      <w:dstrike w:val="0"/>
      <w:color w:val="ED7D31" w:themeColor="accent2"/>
    </w:rPr>
  </w:style>
  <w:style w:type="character" w:styleId="SubtleReference">
    <w:name w:val="Subtle Reference"/>
    <w:basedOn w:val="DefaultParagraphFont"/>
    <w:uiPriority w:val="31"/>
    <w:qFormat/>
    <w:rsid w:val="008273C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273C5"/>
    <w:rPr>
      <w:b/>
      <w:bCs/>
      <w:caps w:val="0"/>
      <w:smallCaps/>
      <w:color w:val="auto"/>
      <w:spacing w:val="0"/>
      <w:u w:val="single"/>
    </w:rPr>
  </w:style>
  <w:style w:type="character" w:styleId="BookTitle">
    <w:name w:val="Book Title"/>
    <w:basedOn w:val="DefaultParagraphFont"/>
    <w:uiPriority w:val="33"/>
    <w:qFormat/>
    <w:rsid w:val="008273C5"/>
    <w:rPr>
      <w:b/>
      <w:bCs/>
      <w:caps w:val="0"/>
      <w:smallCaps/>
      <w:spacing w:val="0"/>
    </w:rPr>
  </w:style>
  <w:style w:type="paragraph" w:styleId="TOCHeading">
    <w:name w:val="TOC Heading"/>
    <w:basedOn w:val="Heading1"/>
    <w:next w:val="Normal"/>
    <w:uiPriority w:val="39"/>
    <w:unhideWhenUsed/>
    <w:qFormat/>
    <w:rsid w:val="008273C5"/>
    <w:pPr>
      <w:outlineLvl w:val="9"/>
    </w:pPr>
  </w:style>
  <w:style w:type="paragraph" w:styleId="Header">
    <w:name w:val="header"/>
    <w:basedOn w:val="Normal"/>
    <w:link w:val="HeaderChar"/>
    <w:uiPriority w:val="99"/>
    <w:unhideWhenUsed/>
    <w:rsid w:val="008273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3C5"/>
  </w:style>
  <w:style w:type="paragraph" w:styleId="Footer">
    <w:name w:val="footer"/>
    <w:basedOn w:val="Normal"/>
    <w:link w:val="FooterChar"/>
    <w:uiPriority w:val="99"/>
    <w:unhideWhenUsed/>
    <w:rsid w:val="008273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3C5"/>
  </w:style>
  <w:style w:type="paragraph" w:styleId="TableofFigures">
    <w:name w:val="table of figures"/>
    <w:basedOn w:val="Normal"/>
    <w:next w:val="Normal"/>
    <w:uiPriority w:val="99"/>
    <w:unhideWhenUsed/>
    <w:rsid w:val="006278EF"/>
    <w:pPr>
      <w:spacing w:after="0"/>
    </w:pPr>
  </w:style>
  <w:style w:type="character" w:styleId="Hyperlink">
    <w:name w:val="Hyperlink"/>
    <w:basedOn w:val="DefaultParagraphFont"/>
    <w:uiPriority w:val="99"/>
    <w:unhideWhenUsed/>
    <w:rsid w:val="006278EF"/>
    <w:rPr>
      <w:color w:val="0563C1" w:themeColor="hyperlink"/>
      <w:u w:val="single"/>
    </w:rPr>
  </w:style>
  <w:style w:type="paragraph" w:styleId="TOC1">
    <w:name w:val="toc 1"/>
    <w:basedOn w:val="Normal"/>
    <w:next w:val="Normal"/>
    <w:autoRedefine/>
    <w:uiPriority w:val="39"/>
    <w:unhideWhenUsed/>
    <w:rsid w:val="006278EF"/>
    <w:pPr>
      <w:spacing w:after="100"/>
    </w:pPr>
  </w:style>
  <w:style w:type="paragraph" w:styleId="TOC2">
    <w:name w:val="toc 2"/>
    <w:basedOn w:val="Normal"/>
    <w:next w:val="Normal"/>
    <w:autoRedefine/>
    <w:uiPriority w:val="39"/>
    <w:unhideWhenUsed/>
    <w:rsid w:val="006278EF"/>
    <w:pPr>
      <w:spacing w:after="100"/>
      <w:ind w:left="210"/>
    </w:pPr>
  </w:style>
  <w:style w:type="paragraph" w:styleId="ListParagraph">
    <w:name w:val="List Paragraph"/>
    <w:basedOn w:val="Normal"/>
    <w:uiPriority w:val="34"/>
    <w:qFormat/>
    <w:rsid w:val="00A837CB"/>
    <w:pPr>
      <w:ind w:left="720"/>
      <w:contextualSpacing/>
    </w:pPr>
  </w:style>
  <w:style w:type="paragraph" w:styleId="Bibliography">
    <w:name w:val="Bibliography"/>
    <w:basedOn w:val="Normal"/>
    <w:next w:val="Normal"/>
    <w:uiPriority w:val="37"/>
    <w:unhideWhenUsed/>
    <w:rsid w:val="00AE74E9"/>
  </w:style>
  <w:style w:type="character" w:styleId="PlaceholderText">
    <w:name w:val="Placeholder Text"/>
    <w:basedOn w:val="DefaultParagraphFont"/>
    <w:uiPriority w:val="99"/>
    <w:semiHidden/>
    <w:rsid w:val="00713E64"/>
    <w:rPr>
      <w:color w:val="666666"/>
    </w:rPr>
  </w:style>
  <w:style w:type="table" w:styleId="TableGrid">
    <w:name w:val="Table Grid"/>
    <w:basedOn w:val="TableNormal"/>
    <w:uiPriority w:val="39"/>
    <w:rsid w:val="005A25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01557"/>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E64B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3583">
      <w:bodyDiv w:val="1"/>
      <w:marLeft w:val="0"/>
      <w:marRight w:val="0"/>
      <w:marTop w:val="0"/>
      <w:marBottom w:val="0"/>
      <w:divBdr>
        <w:top w:val="none" w:sz="0" w:space="0" w:color="auto"/>
        <w:left w:val="none" w:sz="0" w:space="0" w:color="auto"/>
        <w:bottom w:val="none" w:sz="0" w:space="0" w:color="auto"/>
        <w:right w:val="none" w:sz="0" w:space="0" w:color="auto"/>
      </w:divBdr>
    </w:div>
    <w:div w:id="36124801">
      <w:bodyDiv w:val="1"/>
      <w:marLeft w:val="0"/>
      <w:marRight w:val="0"/>
      <w:marTop w:val="0"/>
      <w:marBottom w:val="0"/>
      <w:divBdr>
        <w:top w:val="none" w:sz="0" w:space="0" w:color="auto"/>
        <w:left w:val="none" w:sz="0" w:space="0" w:color="auto"/>
        <w:bottom w:val="none" w:sz="0" w:space="0" w:color="auto"/>
        <w:right w:val="none" w:sz="0" w:space="0" w:color="auto"/>
      </w:divBdr>
    </w:div>
    <w:div w:id="42759874">
      <w:bodyDiv w:val="1"/>
      <w:marLeft w:val="0"/>
      <w:marRight w:val="0"/>
      <w:marTop w:val="0"/>
      <w:marBottom w:val="0"/>
      <w:divBdr>
        <w:top w:val="none" w:sz="0" w:space="0" w:color="auto"/>
        <w:left w:val="none" w:sz="0" w:space="0" w:color="auto"/>
        <w:bottom w:val="none" w:sz="0" w:space="0" w:color="auto"/>
        <w:right w:val="none" w:sz="0" w:space="0" w:color="auto"/>
      </w:divBdr>
    </w:div>
    <w:div w:id="56517797">
      <w:bodyDiv w:val="1"/>
      <w:marLeft w:val="0"/>
      <w:marRight w:val="0"/>
      <w:marTop w:val="0"/>
      <w:marBottom w:val="0"/>
      <w:divBdr>
        <w:top w:val="none" w:sz="0" w:space="0" w:color="auto"/>
        <w:left w:val="none" w:sz="0" w:space="0" w:color="auto"/>
        <w:bottom w:val="none" w:sz="0" w:space="0" w:color="auto"/>
        <w:right w:val="none" w:sz="0" w:space="0" w:color="auto"/>
      </w:divBdr>
    </w:div>
    <w:div w:id="65881328">
      <w:bodyDiv w:val="1"/>
      <w:marLeft w:val="0"/>
      <w:marRight w:val="0"/>
      <w:marTop w:val="0"/>
      <w:marBottom w:val="0"/>
      <w:divBdr>
        <w:top w:val="none" w:sz="0" w:space="0" w:color="auto"/>
        <w:left w:val="none" w:sz="0" w:space="0" w:color="auto"/>
        <w:bottom w:val="none" w:sz="0" w:space="0" w:color="auto"/>
        <w:right w:val="none" w:sz="0" w:space="0" w:color="auto"/>
      </w:divBdr>
    </w:div>
    <w:div w:id="78913896">
      <w:bodyDiv w:val="1"/>
      <w:marLeft w:val="0"/>
      <w:marRight w:val="0"/>
      <w:marTop w:val="0"/>
      <w:marBottom w:val="0"/>
      <w:divBdr>
        <w:top w:val="none" w:sz="0" w:space="0" w:color="auto"/>
        <w:left w:val="none" w:sz="0" w:space="0" w:color="auto"/>
        <w:bottom w:val="none" w:sz="0" w:space="0" w:color="auto"/>
        <w:right w:val="none" w:sz="0" w:space="0" w:color="auto"/>
      </w:divBdr>
    </w:div>
    <w:div w:id="88503620">
      <w:bodyDiv w:val="1"/>
      <w:marLeft w:val="0"/>
      <w:marRight w:val="0"/>
      <w:marTop w:val="0"/>
      <w:marBottom w:val="0"/>
      <w:divBdr>
        <w:top w:val="none" w:sz="0" w:space="0" w:color="auto"/>
        <w:left w:val="none" w:sz="0" w:space="0" w:color="auto"/>
        <w:bottom w:val="none" w:sz="0" w:space="0" w:color="auto"/>
        <w:right w:val="none" w:sz="0" w:space="0" w:color="auto"/>
      </w:divBdr>
    </w:div>
    <w:div w:id="119691152">
      <w:bodyDiv w:val="1"/>
      <w:marLeft w:val="0"/>
      <w:marRight w:val="0"/>
      <w:marTop w:val="0"/>
      <w:marBottom w:val="0"/>
      <w:divBdr>
        <w:top w:val="none" w:sz="0" w:space="0" w:color="auto"/>
        <w:left w:val="none" w:sz="0" w:space="0" w:color="auto"/>
        <w:bottom w:val="none" w:sz="0" w:space="0" w:color="auto"/>
        <w:right w:val="none" w:sz="0" w:space="0" w:color="auto"/>
      </w:divBdr>
    </w:div>
    <w:div w:id="130827570">
      <w:bodyDiv w:val="1"/>
      <w:marLeft w:val="0"/>
      <w:marRight w:val="0"/>
      <w:marTop w:val="0"/>
      <w:marBottom w:val="0"/>
      <w:divBdr>
        <w:top w:val="none" w:sz="0" w:space="0" w:color="auto"/>
        <w:left w:val="none" w:sz="0" w:space="0" w:color="auto"/>
        <w:bottom w:val="none" w:sz="0" w:space="0" w:color="auto"/>
        <w:right w:val="none" w:sz="0" w:space="0" w:color="auto"/>
      </w:divBdr>
    </w:div>
    <w:div w:id="148861493">
      <w:bodyDiv w:val="1"/>
      <w:marLeft w:val="0"/>
      <w:marRight w:val="0"/>
      <w:marTop w:val="0"/>
      <w:marBottom w:val="0"/>
      <w:divBdr>
        <w:top w:val="none" w:sz="0" w:space="0" w:color="auto"/>
        <w:left w:val="none" w:sz="0" w:space="0" w:color="auto"/>
        <w:bottom w:val="none" w:sz="0" w:space="0" w:color="auto"/>
        <w:right w:val="none" w:sz="0" w:space="0" w:color="auto"/>
      </w:divBdr>
    </w:div>
    <w:div w:id="155876977">
      <w:bodyDiv w:val="1"/>
      <w:marLeft w:val="0"/>
      <w:marRight w:val="0"/>
      <w:marTop w:val="0"/>
      <w:marBottom w:val="0"/>
      <w:divBdr>
        <w:top w:val="none" w:sz="0" w:space="0" w:color="auto"/>
        <w:left w:val="none" w:sz="0" w:space="0" w:color="auto"/>
        <w:bottom w:val="none" w:sz="0" w:space="0" w:color="auto"/>
        <w:right w:val="none" w:sz="0" w:space="0" w:color="auto"/>
      </w:divBdr>
    </w:div>
    <w:div w:id="160438902">
      <w:bodyDiv w:val="1"/>
      <w:marLeft w:val="0"/>
      <w:marRight w:val="0"/>
      <w:marTop w:val="0"/>
      <w:marBottom w:val="0"/>
      <w:divBdr>
        <w:top w:val="none" w:sz="0" w:space="0" w:color="auto"/>
        <w:left w:val="none" w:sz="0" w:space="0" w:color="auto"/>
        <w:bottom w:val="none" w:sz="0" w:space="0" w:color="auto"/>
        <w:right w:val="none" w:sz="0" w:space="0" w:color="auto"/>
      </w:divBdr>
    </w:div>
    <w:div w:id="184944599">
      <w:bodyDiv w:val="1"/>
      <w:marLeft w:val="0"/>
      <w:marRight w:val="0"/>
      <w:marTop w:val="0"/>
      <w:marBottom w:val="0"/>
      <w:divBdr>
        <w:top w:val="none" w:sz="0" w:space="0" w:color="auto"/>
        <w:left w:val="none" w:sz="0" w:space="0" w:color="auto"/>
        <w:bottom w:val="none" w:sz="0" w:space="0" w:color="auto"/>
        <w:right w:val="none" w:sz="0" w:space="0" w:color="auto"/>
      </w:divBdr>
    </w:div>
    <w:div w:id="195120305">
      <w:bodyDiv w:val="1"/>
      <w:marLeft w:val="0"/>
      <w:marRight w:val="0"/>
      <w:marTop w:val="0"/>
      <w:marBottom w:val="0"/>
      <w:divBdr>
        <w:top w:val="none" w:sz="0" w:space="0" w:color="auto"/>
        <w:left w:val="none" w:sz="0" w:space="0" w:color="auto"/>
        <w:bottom w:val="none" w:sz="0" w:space="0" w:color="auto"/>
        <w:right w:val="none" w:sz="0" w:space="0" w:color="auto"/>
      </w:divBdr>
    </w:div>
    <w:div w:id="215550824">
      <w:bodyDiv w:val="1"/>
      <w:marLeft w:val="0"/>
      <w:marRight w:val="0"/>
      <w:marTop w:val="0"/>
      <w:marBottom w:val="0"/>
      <w:divBdr>
        <w:top w:val="none" w:sz="0" w:space="0" w:color="auto"/>
        <w:left w:val="none" w:sz="0" w:space="0" w:color="auto"/>
        <w:bottom w:val="none" w:sz="0" w:space="0" w:color="auto"/>
        <w:right w:val="none" w:sz="0" w:space="0" w:color="auto"/>
      </w:divBdr>
    </w:div>
    <w:div w:id="215825307">
      <w:bodyDiv w:val="1"/>
      <w:marLeft w:val="0"/>
      <w:marRight w:val="0"/>
      <w:marTop w:val="0"/>
      <w:marBottom w:val="0"/>
      <w:divBdr>
        <w:top w:val="none" w:sz="0" w:space="0" w:color="auto"/>
        <w:left w:val="none" w:sz="0" w:space="0" w:color="auto"/>
        <w:bottom w:val="none" w:sz="0" w:space="0" w:color="auto"/>
        <w:right w:val="none" w:sz="0" w:space="0" w:color="auto"/>
      </w:divBdr>
    </w:div>
    <w:div w:id="217009689">
      <w:bodyDiv w:val="1"/>
      <w:marLeft w:val="0"/>
      <w:marRight w:val="0"/>
      <w:marTop w:val="0"/>
      <w:marBottom w:val="0"/>
      <w:divBdr>
        <w:top w:val="none" w:sz="0" w:space="0" w:color="auto"/>
        <w:left w:val="none" w:sz="0" w:space="0" w:color="auto"/>
        <w:bottom w:val="none" w:sz="0" w:space="0" w:color="auto"/>
        <w:right w:val="none" w:sz="0" w:space="0" w:color="auto"/>
      </w:divBdr>
    </w:div>
    <w:div w:id="217783178">
      <w:bodyDiv w:val="1"/>
      <w:marLeft w:val="0"/>
      <w:marRight w:val="0"/>
      <w:marTop w:val="0"/>
      <w:marBottom w:val="0"/>
      <w:divBdr>
        <w:top w:val="none" w:sz="0" w:space="0" w:color="auto"/>
        <w:left w:val="none" w:sz="0" w:space="0" w:color="auto"/>
        <w:bottom w:val="none" w:sz="0" w:space="0" w:color="auto"/>
        <w:right w:val="none" w:sz="0" w:space="0" w:color="auto"/>
      </w:divBdr>
    </w:div>
    <w:div w:id="220754535">
      <w:bodyDiv w:val="1"/>
      <w:marLeft w:val="0"/>
      <w:marRight w:val="0"/>
      <w:marTop w:val="0"/>
      <w:marBottom w:val="0"/>
      <w:divBdr>
        <w:top w:val="none" w:sz="0" w:space="0" w:color="auto"/>
        <w:left w:val="none" w:sz="0" w:space="0" w:color="auto"/>
        <w:bottom w:val="none" w:sz="0" w:space="0" w:color="auto"/>
        <w:right w:val="none" w:sz="0" w:space="0" w:color="auto"/>
      </w:divBdr>
    </w:div>
    <w:div w:id="238751802">
      <w:bodyDiv w:val="1"/>
      <w:marLeft w:val="0"/>
      <w:marRight w:val="0"/>
      <w:marTop w:val="0"/>
      <w:marBottom w:val="0"/>
      <w:divBdr>
        <w:top w:val="none" w:sz="0" w:space="0" w:color="auto"/>
        <w:left w:val="none" w:sz="0" w:space="0" w:color="auto"/>
        <w:bottom w:val="none" w:sz="0" w:space="0" w:color="auto"/>
        <w:right w:val="none" w:sz="0" w:space="0" w:color="auto"/>
      </w:divBdr>
    </w:div>
    <w:div w:id="239754618">
      <w:bodyDiv w:val="1"/>
      <w:marLeft w:val="0"/>
      <w:marRight w:val="0"/>
      <w:marTop w:val="0"/>
      <w:marBottom w:val="0"/>
      <w:divBdr>
        <w:top w:val="none" w:sz="0" w:space="0" w:color="auto"/>
        <w:left w:val="none" w:sz="0" w:space="0" w:color="auto"/>
        <w:bottom w:val="none" w:sz="0" w:space="0" w:color="auto"/>
        <w:right w:val="none" w:sz="0" w:space="0" w:color="auto"/>
      </w:divBdr>
    </w:div>
    <w:div w:id="267785729">
      <w:bodyDiv w:val="1"/>
      <w:marLeft w:val="0"/>
      <w:marRight w:val="0"/>
      <w:marTop w:val="0"/>
      <w:marBottom w:val="0"/>
      <w:divBdr>
        <w:top w:val="none" w:sz="0" w:space="0" w:color="auto"/>
        <w:left w:val="none" w:sz="0" w:space="0" w:color="auto"/>
        <w:bottom w:val="none" w:sz="0" w:space="0" w:color="auto"/>
        <w:right w:val="none" w:sz="0" w:space="0" w:color="auto"/>
      </w:divBdr>
    </w:div>
    <w:div w:id="270015861">
      <w:bodyDiv w:val="1"/>
      <w:marLeft w:val="0"/>
      <w:marRight w:val="0"/>
      <w:marTop w:val="0"/>
      <w:marBottom w:val="0"/>
      <w:divBdr>
        <w:top w:val="none" w:sz="0" w:space="0" w:color="auto"/>
        <w:left w:val="none" w:sz="0" w:space="0" w:color="auto"/>
        <w:bottom w:val="none" w:sz="0" w:space="0" w:color="auto"/>
        <w:right w:val="none" w:sz="0" w:space="0" w:color="auto"/>
      </w:divBdr>
    </w:div>
    <w:div w:id="272058043">
      <w:bodyDiv w:val="1"/>
      <w:marLeft w:val="0"/>
      <w:marRight w:val="0"/>
      <w:marTop w:val="0"/>
      <w:marBottom w:val="0"/>
      <w:divBdr>
        <w:top w:val="none" w:sz="0" w:space="0" w:color="auto"/>
        <w:left w:val="none" w:sz="0" w:space="0" w:color="auto"/>
        <w:bottom w:val="none" w:sz="0" w:space="0" w:color="auto"/>
        <w:right w:val="none" w:sz="0" w:space="0" w:color="auto"/>
      </w:divBdr>
    </w:div>
    <w:div w:id="297999706">
      <w:bodyDiv w:val="1"/>
      <w:marLeft w:val="0"/>
      <w:marRight w:val="0"/>
      <w:marTop w:val="0"/>
      <w:marBottom w:val="0"/>
      <w:divBdr>
        <w:top w:val="none" w:sz="0" w:space="0" w:color="auto"/>
        <w:left w:val="none" w:sz="0" w:space="0" w:color="auto"/>
        <w:bottom w:val="none" w:sz="0" w:space="0" w:color="auto"/>
        <w:right w:val="none" w:sz="0" w:space="0" w:color="auto"/>
      </w:divBdr>
    </w:div>
    <w:div w:id="326596195">
      <w:bodyDiv w:val="1"/>
      <w:marLeft w:val="0"/>
      <w:marRight w:val="0"/>
      <w:marTop w:val="0"/>
      <w:marBottom w:val="0"/>
      <w:divBdr>
        <w:top w:val="none" w:sz="0" w:space="0" w:color="auto"/>
        <w:left w:val="none" w:sz="0" w:space="0" w:color="auto"/>
        <w:bottom w:val="none" w:sz="0" w:space="0" w:color="auto"/>
        <w:right w:val="none" w:sz="0" w:space="0" w:color="auto"/>
      </w:divBdr>
    </w:div>
    <w:div w:id="327100217">
      <w:bodyDiv w:val="1"/>
      <w:marLeft w:val="0"/>
      <w:marRight w:val="0"/>
      <w:marTop w:val="0"/>
      <w:marBottom w:val="0"/>
      <w:divBdr>
        <w:top w:val="none" w:sz="0" w:space="0" w:color="auto"/>
        <w:left w:val="none" w:sz="0" w:space="0" w:color="auto"/>
        <w:bottom w:val="none" w:sz="0" w:space="0" w:color="auto"/>
        <w:right w:val="none" w:sz="0" w:space="0" w:color="auto"/>
      </w:divBdr>
    </w:div>
    <w:div w:id="346179002">
      <w:bodyDiv w:val="1"/>
      <w:marLeft w:val="0"/>
      <w:marRight w:val="0"/>
      <w:marTop w:val="0"/>
      <w:marBottom w:val="0"/>
      <w:divBdr>
        <w:top w:val="none" w:sz="0" w:space="0" w:color="auto"/>
        <w:left w:val="none" w:sz="0" w:space="0" w:color="auto"/>
        <w:bottom w:val="none" w:sz="0" w:space="0" w:color="auto"/>
        <w:right w:val="none" w:sz="0" w:space="0" w:color="auto"/>
      </w:divBdr>
    </w:div>
    <w:div w:id="412360854">
      <w:bodyDiv w:val="1"/>
      <w:marLeft w:val="0"/>
      <w:marRight w:val="0"/>
      <w:marTop w:val="0"/>
      <w:marBottom w:val="0"/>
      <w:divBdr>
        <w:top w:val="none" w:sz="0" w:space="0" w:color="auto"/>
        <w:left w:val="none" w:sz="0" w:space="0" w:color="auto"/>
        <w:bottom w:val="none" w:sz="0" w:space="0" w:color="auto"/>
        <w:right w:val="none" w:sz="0" w:space="0" w:color="auto"/>
      </w:divBdr>
    </w:div>
    <w:div w:id="443693854">
      <w:bodyDiv w:val="1"/>
      <w:marLeft w:val="0"/>
      <w:marRight w:val="0"/>
      <w:marTop w:val="0"/>
      <w:marBottom w:val="0"/>
      <w:divBdr>
        <w:top w:val="none" w:sz="0" w:space="0" w:color="auto"/>
        <w:left w:val="none" w:sz="0" w:space="0" w:color="auto"/>
        <w:bottom w:val="none" w:sz="0" w:space="0" w:color="auto"/>
        <w:right w:val="none" w:sz="0" w:space="0" w:color="auto"/>
      </w:divBdr>
    </w:div>
    <w:div w:id="457533861">
      <w:bodyDiv w:val="1"/>
      <w:marLeft w:val="0"/>
      <w:marRight w:val="0"/>
      <w:marTop w:val="0"/>
      <w:marBottom w:val="0"/>
      <w:divBdr>
        <w:top w:val="none" w:sz="0" w:space="0" w:color="auto"/>
        <w:left w:val="none" w:sz="0" w:space="0" w:color="auto"/>
        <w:bottom w:val="none" w:sz="0" w:space="0" w:color="auto"/>
        <w:right w:val="none" w:sz="0" w:space="0" w:color="auto"/>
      </w:divBdr>
    </w:div>
    <w:div w:id="477844685">
      <w:bodyDiv w:val="1"/>
      <w:marLeft w:val="0"/>
      <w:marRight w:val="0"/>
      <w:marTop w:val="0"/>
      <w:marBottom w:val="0"/>
      <w:divBdr>
        <w:top w:val="none" w:sz="0" w:space="0" w:color="auto"/>
        <w:left w:val="none" w:sz="0" w:space="0" w:color="auto"/>
        <w:bottom w:val="none" w:sz="0" w:space="0" w:color="auto"/>
        <w:right w:val="none" w:sz="0" w:space="0" w:color="auto"/>
      </w:divBdr>
    </w:div>
    <w:div w:id="492645246">
      <w:bodyDiv w:val="1"/>
      <w:marLeft w:val="0"/>
      <w:marRight w:val="0"/>
      <w:marTop w:val="0"/>
      <w:marBottom w:val="0"/>
      <w:divBdr>
        <w:top w:val="none" w:sz="0" w:space="0" w:color="auto"/>
        <w:left w:val="none" w:sz="0" w:space="0" w:color="auto"/>
        <w:bottom w:val="none" w:sz="0" w:space="0" w:color="auto"/>
        <w:right w:val="none" w:sz="0" w:space="0" w:color="auto"/>
      </w:divBdr>
    </w:div>
    <w:div w:id="502740018">
      <w:bodyDiv w:val="1"/>
      <w:marLeft w:val="0"/>
      <w:marRight w:val="0"/>
      <w:marTop w:val="0"/>
      <w:marBottom w:val="0"/>
      <w:divBdr>
        <w:top w:val="none" w:sz="0" w:space="0" w:color="auto"/>
        <w:left w:val="none" w:sz="0" w:space="0" w:color="auto"/>
        <w:bottom w:val="none" w:sz="0" w:space="0" w:color="auto"/>
        <w:right w:val="none" w:sz="0" w:space="0" w:color="auto"/>
      </w:divBdr>
    </w:div>
    <w:div w:id="544411455">
      <w:bodyDiv w:val="1"/>
      <w:marLeft w:val="0"/>
      <w:marRight w:val="0"/>
      <w:marTop w:val="0"/>
      <w:marBottom w:val="0"/>
      <w:divBdr>
        <w:top w:val="none" w:sz="0" w:space="0" w:color="auto"/>
        <w:left w:val="none" w:sz="0" w:space="0" w:color="auto"/>
        <w:bottom w:val="none" w:sz="0" w:space="0" w:color="auto"/>
        <w:right w:val="none" w:sz="0" w:space="0" w:color="auto"/>
      </w:divBdr>
    </w:div>
    <w:div w:id="559561322">
      <w:bodyDiv w:val="1"/>
      <w:marLeft w:val="0"/>
      <w:marRight w:val="0"/>
      <w:marTop w:val="0"/>
      <w:marBottom w:val="0"/>
      <w:divBdr>
        <w:top w:val="none" w:sz="0" w:space="0" w:color="auto"/>
        <w:left w:val="none" w:sz="0" w:space="0" w:color="auto"/>
        <w:bottom w:val="none" w:sz="0" w:space="0" w:color="auto"/>
        <w:right w:val="none" w:sz="0" w:space="0" w:color="auto"/>
      </w:divBdr>
    </w:div>
    <w:div w:id="560671601">
      <w:bodyDiv w:val="1"/>
      <w:marLeft w:val="0"/>
      <w:marRight w:val="0"/>
      <w:marTop w:val="0"/>
      <w:marBottom w:val="0"/>
      <w:divBdr>
        <w:top w:val="none" w:sz="0" w:space="0" w:color="auto"/>
        <w:left w:val="none" w:sz="0" w:space="0" w:color="auto"/>
        <w:bottom w:val="none" w:sz="0" w:space="0" w:color="auto"/>
        <w:right w:val="none" w:sz="0" w:space="0" w:color="auto"/>
      </w:divBdr>
    </w:div>
    <w:div w:id="578294233">
      <w:bodyDiv w:val="1"/>
      <w:marLeft w:val="0"/>
      <w:marRight w:val="0"/>
      <w:marTop w:val="0"/>
      <w:marBottom w:val="0"/>
      <w:divBdr>
        <w:top w:val="none" w:sz="0" w:space="0" w:color="auto"/>
        <w:left w:val="none" w:sz="0" w:space="0" w:color="auto"/>
        <w:bottom w:val="none" w:sz="0" w:space="0" w:color="auto"/>
        <w:right w:val="none" w:sz="0" w:space="0" w:color="auto"/>
      </w:divBdr>
    </w:div>
    <w:div w:id="592664749">
      <w:bodyDiv w:val="1"/>
      <w:marLeft w:val="0"/>
      <w:marRight w:val="0"/>
      <w:marTop w:val="0"/>
      <w:marBottom w:val="0"/>
      <w:divBdr>
        <w:top w:val="none" w:sz="0" w:space="0" w:color="auto"/>
        <w:left w:val="none" w:sz="0" w:space="0" w:color="auto"/>
        <w:bottom w:val="none" w:sz="0" w:space="0" w:color="auto"/>
        <w:right w:val="none" w:sz="0" w:space="0" w:color="auto"/>
      </w:divBdr>
    </w:div>
    <w:div w:id="594241186">
      <w:bodyDiv w:val="1"/>
      <w:marLeft w:val="0"/>
      <w:marRight w:val="0"/>
      <w:marTop w:val="0"/>
      <w:marBottom w:val="0"/>
      <w:divBdr>
        <w:top w:val="none" w:sz="0" w:space="0" w:color="auto"/>
        <w:left w:val="none" w:sz="0" w:space="0" w:color="auto"/>
        <w:bottom w:val="none" w:sz="0" w:space="0" w:color="auto"/>
        <w:right w:val="none" w:sz="0" w:space="0" w:color="auto"/>
      </w:divBdr>
    </w:div>
    <w:div w:id="601374962">
      <w:bodyDiv w:val="1"/>
      <w:marLeft w:val="0"/>
      <w:marRight w:val="0"/>
      <w:marTop w:val="0"/>
      <w:marBottom w:val="0"/>
      <w:divBdr>
        <w:top w:val="none" w:sz="0" w:space="0" w:color="auto"/>
        <w:left w:val="none" w:sz="0" w:space="0" w:color="auto"/>
        <w:bottom w:val="none" w:sz="0" w:space="0" w:color="auto"/>
        <w:right w:val="none" w:sz="0" w:space="0" w:color="auto"/>
      </w:divBdr>
    </w:div>
    <w:div w:id="606273982">
      <w:bodyDiv w:val="1"/>
      <w:marLeft w:val="0"/>
      <w:marRight w:val="0"/>
      <w:marTop w:val="0"/>
      <w:marBottom w:val="0"/>
      <w:divBdr>
        <w:top w:val="none" w:sz="0" w:space="0" w:color="auto"/>
        <w:left w:val="none" w:sz="0" w:space="0" w:color="auto"/>
        <w:bottom w:val="none" w:sz="0" w:space="0" w:color="auto"/>
        <w:right w:val="none" w:sz="0" w:space="0" w:color="auto"/>
      </w:divBdr>
    </w:div>
    <w:div w:id="639501346">
      <w:bodyDiv w:val="1"/>
      <w:marLeft w:val="0"/>
      <w:marRight w:val="0"/>
      <w:marTop w:val="0"/>
      <w:marBottom w:val="0"/>
      <w:divBdr>
        <w:top w:val="none" w:sz="0" w:space="0" w:color="auto"/>
        <w:left w:val="none" w:sz="0" w:space="0" w:color="auto"/>
        <w:bottom w:val="none" w:sz="0" w:space="0" w:color="auto"/>
        <w:right w:val="none" w:sz="0" w:space="0" w:color="auto"/>
      </w:divBdr>
    </w:div>
    <w:div w:id="641007695">
      <w:bodyDiv w:val="1"/>
      <w:marLeft w:val="0"/>
      <w:marRight w:val="0"/>
      <w:marTop w:val="0"/>
      <w:marBottom w:val="0"/>
      <w:divBdr>
        <w:top w:val="none" w:sz="0" w:space="0" w:color="auto"/>
        <w:left w:val="none" w:sz="0" w:space="0" w:color="auto"/>
        <w:bottom w:val="none" w:sz="0" w:space="0" w:color="auto"/>
        <w:right w:val="none" w:sz="0" w:space="0" w:color="auto"/>
      </w:divBdr>
    </w:div>
    <w:div w:id="644772737">
      <w:bodyDiv w:val="1"/>
      <w:marLeft w:val="0"/>
      <w:marRight w:val="0"/>
      <w:marTop w:val="0"/>
      <w:marBottom w:val="0"/>
      <w:divBdr>
        <w:top w:val="none" w:sz="0" w:space="0" w:color="auto"/>
        <w:left w:val="none" w:sz="0" w:space="0" w:color="auto"/>
        <w:bottom w:val="none" w:sz="0" w:space="0" w:color="auto"/>
        <w:right w:val="none" w:sz="0" w:space="0" w:color="auto"/>
      </w:divBdr>
    </w:div>
    <w:div w:id="647324625">
      <w:bodyDiv w:val="1"/>
      <w:marLeft w:val="0"/>
      <w:marRight w:val="0"/>
      <w:marTop w:val="0"/>
      <w:marBottom w:val="0"/>
      <w:divBdr>
        <w:top w:val="none" w:sz="0" w:space="0" w:color="auto"/>
        <w:left w:val="none" w:sz="0" w:space="0" w:color="auto"/>
        <w:bottom w:val="none" w:sz="0" w:space="0" w:color="auto"/>
        <w:right w:val="none" w:sz="0" w:space="0" w:color="auto"/>
      </w:divBdr>
    </w:div>
    <w:div w:id="657927894">
      <w:bodyDiv w:val="1"/>
      <w:marLeft w:val="0"/>
      <w:marRight w:val="0"/>
      <w:marTop w:val="0"/>
      <w:marBottom w:val="0"/>
      <w:divBdr>
        <w:top w:val="none" w:sz="0" w:space="0" w:color="auto"/>
        <w:left w:val="none" w:sz="0" w:space="0" w:color="auto"/>
        <w:bottom w:val="none" w:sz="0" w:space="0" w:color="auto"/>
        <w:right w:val="none" w:sz="0" w:space="0" w:color="auto"/>
      </w:divBdr>
    </w:div>
    <w:div w:id="663507291">
      <w:bodyDiv w:val="1"/>
      <w:marLeft w:val="0"/>
      <w:marRight w:val="0"/>
      <w:marTop w:val="0"/>
      <w:marBottom w:val="0"/>
      <w:divBdr>
        <w:top w:val="none" w:sz="0" w:space="0" w:color="auto"/>
        <w:left w:val="none" w:sz="0" w:space="0" w:color="auto"/>
        <w:bottom w:val="none" w:sz="0" w:space="0" w:color="auto"/>
        <w:right w:val="none" w:sz="0" w:space="0" w:color="auto"/>
      </w:divBdr>
    </w:div>
    <w:div w:id="674453256">
      <w:bodyDiv w:val="1"/>
      <w:marLeft w:val="0"/>
      <w:marRight w:val="0"/>
      <w:marTop w:val="0"/>
      <w:marBottom w:val="0"/>
      <w:divBdr>
        <w:top w:val="none" w:sz="0" w:space="0" w:color="auto"/>
        <w:left w:val="none" w:sz="0" w:space="0" w:color="auto"/>
        <w:bottom w:val="none" w:sz="0" w:space="0" w:color="auto"/>
        <w:right w:val="none" w:sz="0" w:space="0" w:color="auto"/>
      </w:divBdr>
    </w:div>
    <w:div w:id="688215707">
      <w:bodyDiv w:val="1"/>
      <w:marLeft w:val="0"/>
      <w:marRight w:val="0"/>
      <w:marTop w:val="0"/>
      <w:marBottom w:val="0"/>
      <w:divBdr>
        <w:top w:val="none" w:sz="0" w:space="0" w:color="auto"/>
        <w:left w:val="none" w:sz="0" w:space="0" w:color="auto"/>
        <w:bottom w:val="none" w:sz="0" w:space="0" w:color="auto"/>
        <w:right w:val="none" w:sz="0" w:space="0" w:color="auto"/>
      </w:divBdr>
    </w:div>
    <w:div w:id="696345865">
      <w:bodyDiv w:val="1"/>
      <w:marLeft w:val="0"/>
      <w:marRight w:val="0"/>
      <w:marTop w:val="0"/>
      <w:marBottom w:val="0"/>
      <w:divBdr>
        <w:top w:val="none" w:sz="0" w:space="0" w:color="auto"/>
        <w:left w:val="none" w:sz="0" w:space="0" w:color="auto"/>
        <w:bottom w:val="none" w:sz="0" w:space="0" w:color="auto"/>
        <w:right w:val="none" w:sz="0" w:space="0" w:color="auto"/>
      </w:divBdr>
    </w:div>
    <w:div w:id="699013141">
      <w:bodyDiv w:val="1"/>
      <w:marLeft w:val="0"/>
      <w:marRight w:val="0"/>
      <w:marTop w:val="0"/>
      <w:marBottom w:val="0"/>
      <w:divBdr>
        <w:top w:val="none" w:sz="0" w:space="0" w:color="auto"/>
        <w:left w:val="none" w:sz="0" w:space="0" w:color="auto"/>
        <w:bottom w:val="none" w:sz="0" w:space="0" w:color="auto"/>
        <w:right w:val="none" w:sz="0" w:space="0" w:color="auto"/>
      </w:divBdr>
    </w:div>
    <w:div w:id="710958944">
      <w:bodyDiv w:val="1"/>
      <w:marLeft w:val="0"/>
      <w:marRight w:val="0"/>
      <w:marTop w:val="0"/>
      <w:marBottom w:val="0"/>
      <w:divBdr>
        <w:top w:val="none" w:sz="0" w:space="0" w:color="auto"/>
        <w:left w:val="none" w:sz="0" w:space="0" w:color="auto"/>
        <w:bottom w:val="none" w:sz="0" w:space="0" w:color="auto"/>
        <w:right w:val="none" w:sz="0" w:space="0" w:color="auto"/>
      </w:divBdr>
    </w:div>
    <w:div w:id="711148480">
      <w:bodyDiv w:val="1"/>
      <w:marLeft w:val="0"/>
      <w:marRight w:val="0"/>
      <w:marTop w:val="0"/>
      <w:marBottom w:val="0"/>
      <w:divBdr>
        <w:top w:val="none" w:sz="0" w:space="0" w:color="auto"/>
        <w:left w:val="none" w:sz="0" w:space="0" w:color="auto"/>
        <w:bottom w:val="none" w:sz="0" w:space="0" w:color="auto"/>
        <w:right w:val="none" w:sz="0" w:space="0" w:color="auto"/>
      </w:divBdr>
    </w:div>
    <w:div w:id="714158724">
      <w:bodyDiv w:val="1"/>
      <w:marLeft w:val="0"/>
      <w:marRight w:val="0"/>
      <w:marTop w:val="0"/>
      <w:marBottom w:val="0"/>
      <w:divBdr>
        <w:top w:val="none" w:sz="0" w:space="0" w:color="auto"/>
        <w:left w:val="none" w:sz="0" w:space="0" w:color="auto"/>
        <w:bottom w:val="none" w:sz="0" w:space="0" w:color="auto"/>
        <w:right w:val="none" w:sz="0" w:space="0" w:color="auto"/>
      </w:divBdr>
    </w:div>
    <w:div w:id="728655928">
      <w:bodyDiv w:val="1"/>
      <w:marLeft w:val="0"/>
      <w:marRight w:val="0"/>
      <w:marTop w:val="0"/>
      <w:marBottom w:val="0"/>
      <w:divBdr>
        <w:top w:val="none" w:sz="0" w:space="0" w:color="auto"/>
        <w:left w:val="none" w:sz="0" w:space="0" w:color="auto"/>
        <w:bottom w:val="none" w:sz="0" w:space="0" w:color="auto"/>
        <w:right w:val="none" w:sz="0" w:space="0" w:color="auto"/>
      </w:divBdr>
    </w:div>
    <w:div w:id="748309777">
      <w:bodyDiv w:val="1"/>
      <w:marLeft w:val="0"/>
      <w:marRight w:val="0"/>
      <w:marTop w:val="0"/>
      <w:marBottom w:val="0"/>
      <w:divBdr>
        <w:top w:val="none" w:sz="0" w:space="0" w:color="auto"/>
        <w:left w:val="none" w:sz="0" w:space="0" w:color="auto"/>
        <w:bottom w:val="none" w:sz="0" w:space="0" w:color="auto"/>
        <w:right w:val="none" w:sz="0" w:space="0" w:color="auto"/>
      </w:divBdr>
    </w:div>
    <w:div w:id="751202525">
      <w:bodyDiv w:val="1"/>
      <w:marLeft w:val="0"/>
      <w:marRight w:val="0"/>
      <w:marTop w:val="0"/>
      <w:marBottom w:val="0"/>
      <w:divBdr>
        <w:top w:val="none" w:sz="0" w:space="0" w:color="auto"/>
        <w:left w:val="none" w:sz="0" w:space="0" w:color="auto"/>
        <w:bottom w:val="none" w:sz="0" w:space="0" w:color="auto"/>
        <w:right w:val="none" w:sz="0" w:space="0" w:color="auto"/>
      </w:divBdr>
    </w:div>
    <w:div w:id="757334036">
      <w:bodyDiv w:val="1"/>
      <w:marLeft w:val="0"/>
      <w:marRight w:val="0"/>
      <w:marTop w:val="0"/>
      <w:marBottom w:val="0"/>
      <w:divBdr>
        <w:top w:val="none" w:sz="0" w:space="0" w:color="auto"/>
        <w:left w:val="none" w:sz="0" w:space="0" w:color="auto"/>
        <w:bottom w:val="none" w:sz="0" w:space="0" w:color="auto"/>
        <w:right w:val="none" w:sz="0" w:space="0" w:color="auto"/>
      </w:divBdr>
    </w:div>
    <w:div w:id="766462181">
      <w:bodyDiv w:val="1"/>
      <w:marLeft w:val="0"/>
      <w:marRight w:val="0"/>
      <w:marTop w:val="0"/>
      <w:marBottom w:val="0"/>
      <w:divBdr>
        <w:top w:val="none" w:sz="0" w:space="0" w:color="auto"/>
        <w:left w:val="none" w:sz="0" w:space="0" w:color="auto"/>
        <w:bottom w:val="none" w:sz="0" w:space="0" w:color="auto"/>
        <w:right w:val="none" w:sz="0" w:space="0" w:color="auto"/>
      </w:divBdr>
    </w:div>
    <w:div w:id="774593528">
      <w:bodyDiv w:val="1"/>
      <w:marLeft w:val="0"/>
      <w:marRight w:val="0"/>
      <w:marTop w:val="0"/>
      <w:marBottom w:val="0"/>
      <w:divBdr>
        <w:top w:val="none" w:sz="0" w:space="0" w:color="auto"/>
        <w:left w:val="none" w:sz="0" w:space="0" w:color="auto"/>
        <w:bottom w:val="none" w:sz="0" w:space="0" w:color="auto"/>
        <w:right w:val="none" w:sz="0" w:space="0" w:color="auto"/>
      </w:divBdr>
    </w:div>
    <w:div w:id="785196117">
      <w:bodyDiv w:val="1"/>
      <w:marLeft w:val="0"/>
      <w:marRight w:val="0"/>
      <w:marTop w:val="0"/>
      <w:marBottom w:val="0"/>
      <w:divBdr>
        <w:top w:val="none" w:sz="0" w:space="0" w:color="auto"/>
        <w:left w:val="none" w:sz="0" w:space="0" w:color="auto"/>
        <w:bottom w:val="none" w:sz="0" w:space="0" w:color="auto"/>
        <w:right w:val="none" w:sz="0" w:space="0" w:color="auto"/>
      </w:divBdr>
    </w:div>
    <w:div w:id="797341174">
      <w:bodyDiv w:val="1"/>
      <w:marLeft w:val="0"/>
      <w:marRight w:val="0"/>
      <w:marTop w:val="0"/>
      <w:marBottom w:val="0"/>
      <w:divBdr>
        <w:top w:val="none" w:sz="0" w:space="0" w:color="auto"/>
        <w:left w:val="none" w:sz="0" w:space="0" w:color="auto"/>
        <w:bottom w:val="none" w:sz="0" w:space="0" w:color="auto"/>
        <w:right w:val="none" w:sz="0" w:space="0" w:color="auto"/>
      </w:divBdr>
    </w:div>
    <w:div w:id="799687892">
      <w:bodyDiv w:val="1"/>
      <w:marLeft w:val="0"/>
      <w:marRight w:val="0"/>
      <w:marTop w:val="0"/>
      <w:marBottom w:val="0"/>
      <w:divBdr>
        <w:top w:val="none" w:sz="0" w:space="0" w:color="auto"/>
        <w:left w:val="none" w:sz="0" w:space="0" w:color="auto"/>
        <w:bottom w:val="none" w:sz="0" w:space="0" w:color="auto"/>
        <w:right w:val="none" w:sz="0" w:space="0" w:color="auto"/>
      </w:divBdr>
    </w:div>
    <w:div w:id="814831508">
      <w:bodyDiv w:val="1"/>
      <w:marLeft w:val="0"/>
      <w:marRight w:val="0"/>
      <w:marTop w:val="0"/>
      <w:marBottom w:val="0"/>
      <w:divBdr>
        <w:top w:val="none" w:sz="0" w:space="0" w:color="auto"/>
        <w:left w:val="none" w:sz="0" w:space="0" w:color="auto"/>
        <w:bottom w:val="none" w:sz="0" w:space="0" w:color="auto"/>
        <w:right w:val="none" w:sz="0" w:space="0" w:color="auto"/>
      </w:divBdr>
    </w:div>
    <w:div w:id="832719694">
      <w:bodyDiv w:val="1"/>
      <w:marLeft w:val="0"/>
      <w:marRight w:val="0"/>
      <w:marTop w:val="0"/>
      <w:marBottom w:val="0"/>
      <w:divBdr>
        <w:top w:val="none" w:sz="0" w:space="0" w:color="auto"/>
        <w:left w:val="none" w:sz="0" w:space="0" w:color="auto"/>
        <w:bottom w:val="none" w:sz="0" w:space="0" w:color="auto"/>
        <w:right w:val="none" w:sz="0" w:space="0" w:color="auto"/>
      </w:divBdr>
    </w:div>
    <w:div w:id="835805568">
      <w:bodyDiv w:val="1"/>
      <w:marLeft w:val="0"/>
      <w:marRight w:val="0"/>
      <w:marTop w:val="0"/>
      <w:marBottom w:val="0"/>
      <w:divBdr>
        <w:top w:val="none" w:sz="0" w:space="0" w:color="auto"/>
        <w:left w:val="none" w:sz="0" w:space="0" w:color="auto"/>
        <w:bottom w:val="none" w:sz="0" w:space="0" w:color="auto"/>
        <w:right w:val="none" w:sz="0" w:space="0" w:color="auto"/>
      </w:divBdr>
    </w:div>
    <w:div w:id="836266089">
      <w:bodyDiv w:val="1"/>
      <w:marLeft w:val="0"/>
      <w:marRight w:val="0"/>
      <w:marTop w:val="0"/>
      <w:marBottom w:val="0"/>
      <w:divBdr>
        <w:top w:val="none" w:sz="0" w:space="0" w:color="auto"/>
        <w:left w:val="none" w:sz="0" w:space="0" w:color="auto"/>
        <w:bottom w:val="none" w:sz="0" w:space="0" w:color="auto"/>
        <w:right w:val="none" w:sz="0" w:space="0" w:color="auto"/>
      </w:divBdr>
    </w:div>
    <w:div w:id="849369833">
      <w:bodyDiv w:val="1"/>
      <w:marLeft w:val="0"/>
      <w:marRight w:val="0"/>
      <w:marTop w:val="0"/>
      <w:marBottom w:val="0"/>
      <w:divBdr>
        <w:top w:val="none" w:sz="0" w:space="0" w:color="auto"/>
        <w:left w:val="none" w:sz="0" w:space="0" w:color="auto"/>
        <w:bottom w:val="none" w:sz="0" w:space="0" w:color="auto"/>
        <w:right w:val="none" w:sz="0" w:space="0" w:color="auto"/>
      </w:divBdr>
    </w:div>
    <w:div w:id="857505417">
      <w:bodyDiv w:val="1"/>
      <w:marLeft w:val="0"/>
      <w:marRight w:val="0"/>
      <w:marTop w:val="0"/>
      <w:marBottom w:val="0"/>
      <w:divBdr>
        <w:top w:val="none" w:sz="0" w:space="0" w:color="auto"/>
        <w:left w:val="none" w:sz="0" w:space="0" w:color="auto"/>
        <w:bottom w:val="none" w:sz="0" w:space="0" w:color="auto"/>
        <w:right w:val="none" w:sz="0" w:space="0" w:color="auto"/>
      </w:divBdr>
    </w:div>
    <w:div w:id="867766326">
      <w:bodyDiv w:val="1"/>
      <w:marLeft w:val="0"/>
      <w:marRight w:val="0"/>
      <w:marTop w:val="0"/>
      <w:marBottom w:val="0"/>
      <w:divBdr>
        <w:top w:val="none" w:sz="0" w:space="0" w:color="auto"/>
        <w:left w:val="none" w:sz="0" w:space="0" w:color="auto"/>
        <w:bottom w:val="none" w:sz="0" w:space="0" w:color="auto"/>
        <w:right w:val="none" w:sz="0" w:space="0" w:color="auto"/>
      </w:divBdr>
    </w:div>
    <w:div w:id="879705584">
      <w:bodyDiv w:val="1"/>
      <w:marLeft w:val="0"/>
      <w:marRight w:val="0"/>
      <w:marTop w:val="0"/>
      <w:marBottom w:val="0"/>
      <w:divBdr>
        <w:top w:val="none" w:sz="0" w:space="0" w:color="auto"/>
        <w:left w:val="none" w:sz="0" w:space="0" w:color="auto"/>
        <w:bottom w:val="none" w:sz="0" w:space="0" w:color="auto"/>
        <w:right w:val="none" w:sz="0" w:space="0" w:color="auto"/>
      </w:divBdr>
    </w:div>
    <w:div w:id="927348093">
      <w:bodyDiv w:val="1"/>
      <w:marLeft w:val="0"/>
      <w:marRight w:val="0"/>
      <w:marTop w:val="0"/>
      <w:marBottom w:val="0"/>
      <w:divBdr>
        <w:top w:val="none" w:sz="0" w:space="0" w:color="auto"/>
        <w:left w:val="none" w:sz="0" w:space="0" w:color="auto"/>
        <w:bottom w:val="none" w:sz="0" w:space="0" w:color="auto"/>
        <w:right w:val="none" w:sz="0" w:space="0" w:color="auto"/>
      </w:divBdr>
    </w:div>
    <w:div w:id="937105103">
      <w:bodyDiv w:val="1"/>
      <w:marLeft w:val="0"/>
      <w:marRight w:val="0"/>
      <w:marTop w:val="0"/>
      <w:marBottom w:val="0"/>
      <w:divBdr>
        <w:top w:val="none" w:sz="0" w:space="0" w:color="auto"/>
        <w:left w:val="none" w:sz="0" w:space="0" w:color="auto"/>
        <w:bottom w:val="none" w:sz="0" w:space="0" w:color="auto"/>
        <w:right w:val="none" w:sz="0" w:space="0" w:color="auto"/>
      </w:divBdr>
    </w:div>
    <w:div w:id="941298580">
      <w:bodyDiv w:val="1"/>
      <w:marLeft w:val="0"/>
      <w:marRight w:val="0"/>
      <w:marTop w:val="0"/>
      <w:marBottom w:val="0"/>
      <w:divBdr>
        <w:top w:val="none" w:sz="0" w:space="0" w:color="auto"/>
        <w:left w:val="none" w:sz="0" w:space="0" w:color="auto"/>
        <w:bottom w:val="none" w:sz="0" w:space="0" w:color="auto"/>
        <w:right w:val="none" w:sz="0" w:space="0" w:color="auto"/>
      </w:divBdr>
    </w:div>
    <w:div w:id="943532464">
      <w:bodyDiv w:val="1"/>
      <w:marLeft w:val="0"/>
      <w:marRight w:val="0"/>
      <w:marTop w:val="0"/>
      <w:marBottom w:val="0"/>
      <w:divBdr>
        <w:top w:val="none" w:sz="0" w:space="0" w:color="auto"/>
        <w:left w:val="none" w:sz="0" w:space="0" w:color="auto"/>
        <w:bottom w:val="none" w:sz="0" w:space="0" w:color="auto"/>
        <w:right w:val="none" w:sz="0" w:space="0" w:color="auto"/>
      </w:divBdr>
    </w:div>
    <w:div w:id="952712539">
      <w:bodyDiv w:val="1"/>
      <w:marLeft w:val="0"/>
      <w:marRight w:val="0"/>
      <w:marTop w:val="0"/>
      <w:marBottom w:val="0"/>
      <w:divBdr>
        <w:top w:val="none" w:sz="0" w:space="0" w:color="auto"/>
        <w:left w:val="none" w:sz="0" w:space="0" w:color="auto"/>
        <w:bottom w:val="none" w:sz="0" w:space="0" w:color="auto"/>
        <w:right w:val="none" w:sz="0" w:space="0" w:color="auto"/>
      </w:divBdr>
    </w:div>
    <w:div w:id="971517373">
      <w:bodyDiv w:val="1"/>
      <w:marLeft w:val="0"/>
      <w:marRight w:val="0"/>
      <w:marTop w:val="0"/>
      <w:marBottom w:val="0"/>
      <w:divBdr>
        <w:top w:val="none" w:sz="0" w:space="0" w:color="auto"/>
        <w:left w:val="none" w:sz="0" w:space="0" w:color="auto"/>
        <w:bottom w:val="none" w:sz="0" w:space="0" w:color="auto"/>
        <w:right w:val="none" w:sz="0" w:space="0" w:color="auto"/>
      </w:divBdr>
    </w:div>
    <w:div w:id="981931939">
      <w:bodyDiv w:val="1"/>
      <w:marLeft w:val="0"/>
      <w:marRight w:val="0"/>
      <w:marTop w:val="0"/>
      <w:marBottom w:val="0"/>
      <w:divBdr>
        <w:top w:val="none" w:sz="0" w:space="0" w:color="auto"/>
        <w:left w:val="none" w:sz="0" w:space="0" w:color="auto"/>
        <w:bottom w:val="none" w:sz="0" w:space="0" w:color="auto"/>
        <w:right w:val="none" w:sz="0" w:space="0" w:color="auto"/>
      </w:divBdr>
    </w:div>
    <w:div w:id="990477912">
      <w:bodyDiv w:val="1"/>
      <w:marLeft w:val="0"/>
      <w:marRight w:val="0"/>
      <w:marTop w:val="0"/>
      <w:marBottom w:val="0"/>
      <w:divBdr>
        <w:top w:val="none" w:sz="0" w:space="0" w:color="auto"/>
        <w:left w:val="none" w:sz="0" w:space="0" w:color="auto"/>
        <w:bottom w:val="none" w:sz="0" w:space="0" w:color="auto"/>
        <w:right w:val="none" w:sz="0" w:space="0" w:color="auto"/>
      </w:divBdr>
    </w:div>
    <w:div w:id="995303285">
      <w:bodyDiv w:val="1"/>
      <w:marLeft w:val="0"/>
      <w:marRight w:val="0"/>
      <w:marTop w:val="0"/>
      <w:marBottom w:val="0"/>
      <w:divBdr>
        <w:top w:val="none" w:sz="0" w:space="0" w:color="auto"/>
        <w:left w:val="none" w:sz="0" w:space="0" w:color="auto"/>
        <w:bottom w:val="none" w:sz="0" w:space="0" w:color="auto"/>
        <w:right w:val="none" w:sz="0" w:space="0" w:color="auto"/>
      </w:divBdr>
    </w:div>
    <w:div w:id="997077590">
      <w:bodyDiv w:val="1"/>
      <w:marLeft w:val="0"/>
      <w:marRight w:val="0"/>
      <w:marTop w:val="0"/>
      <w:marBottom w:val="0"/>
      <w:divBdr>
        <w:top w:val="none" w:sz="0" w:space="0" w:color="auto"/>
        <w:left w:val="none" w:sz="0" w:space="0" w:color="auto"/>
        <w:bottom w:val="none" w:sz="0" w:space="0" w:color="auto"/>
        <w:right w:val="none" w:sz="0" w:space="0" w:color="auto"/>
      </w:divBdr>
    </w:div>
    <w:div w:id="1005935951">
      <w:bodyDiv w:val="1"/>
      <w:marLeft w:val="0"/>
      <w:marRight w:val="0"/>
      <w:marTop w:val="0"/>
      <w:marBottom w:val="0"/>
      <w:divBdr>
        <w:top w:val="none" w:sz="0" w:space="0" w:color="auto"/>
        <w:left w:val="none" w:sz="0" w:space="0" w:color="auto"/>
        <w:bottom w:val="none" w:sz="0" w:space="0" w:color="auto"/>
        <w:right w:val="none" w:sz="0" w:space="0" w:color="auto"/>
      </w:divBdr>
    </w:div>
    <w:div w:id="1016738065">
      <w:bodyDiv w:val="1"/>
      <w:marLeft w:val="0"/>
      <w:marRight w:val="0"/>
      <w:marTop w:val="0"/>
      <w:marBottom w:val="0"/>
      <w:divBdr>
        <w:top w:val="none" w:sz="0" w:space="0" w:color="auto"/>
        <w:left w:val="none" w:sz="0" w:space="0" w:color="auto"/>
        <w:bottom w:val="none" w:sz="0" w:space="0" w:color="auto"/>
        <w:right w:val="none" w:sz="0" w:space="0" w:color="auto"/>
      </w:divBdr>
    </w:div>
    <w:div w:id="1019235720">
      <w:bodyDiv w:val="1"/>
      <w:marLeft w:val="0"/>
      <w:marRight w:val="0"/>
      <w:marTop w:val="0"/>
      <w:marBottom w:val="0"/>
      <w:divBdr>
        <w:top w:val="none" w:sz="0" w:space="0" w:color="auto"/>
        <w:left w:val="none" w:sz="0" w:space="0" w:color="auto"/>
        <w:bottom w:val="none" w:sz="0" w:space="0" w:color="auto"/>
        <w:right w:val="none" w:sz="0" w:space="0" w:color="auto"/>
      </w:divBdr>
    </w:div>
    <w:div w:id="1024986686">
      <w:bodyDiv w:val="1"/>
      <w:marLeft w:val="0"/>
      <w:marRight w:val="0"/>
      <w:marTop w:val="0"/>
      <w:marBottom w:val="0"/>
      <w:divBdr>
        <w:top w:val="none" w:sz="0" w:space="0" w:color="auto"/>
        <w:left w:val="none" w:sz="0" w:space="0" w:color="auto"/>
        <w:bottom w:val="none" w:sz="0" w:space="0" w:color="auto"/>
        <w:right w:val="none" w:sz="0" w:space="0" w:color="auto"/>
      </w:divBdr>
    </w:div>
    <w:div w:id="1107190015">
      <w:bodyDiv w:val="1"/>
      <w:marLeft w:val="0"/>
      <w:marRight w:val="0"/>
      <w:marTop w:val="0"/>
      <w:marBottom w:val="0"/>
      <w:divBdr>
        <w:top w:val="none" w:sz="0" w:space="0" w:color="auto"/>
        <w:left w:val="none" w:sz="0" w:space="0" w:color="auto"/>
        <w:bottom w:val="none" w:sz="0" w:space="0" w:color="auto"/>
        <w:right w:val="none" w:sz="0" w:space="0" w:color="auto"/>
      </w:divBdr>
    </w:div>
    <w:div w:id="1108693777">
      <w:bodyDiv w:val="1"/>
      <w:marLeft w:val="0"/>
      <w:marRight w:val="0"/>
      <w:marTop w:val="0"/>
      <w:marBottom w:val="0"/>
      <w:divBdr>
        <w:top w:val="none" w:sz="0" w:space="0" w:color="auto"/>
        <w:left w:val="none" w:sz="0" w:space="0" w:color="auto"/>
        <w:bottom w:val="none" w:sz="0" w:space="0" w:color="auto"/>
        <w:right w:val="none" w:sz="0" w:space="0" w:color="auto"/>
      </w:divBdr>
    </w:div>
    <w:div w:id="1119835656">
      <w:bodyDiv w:val="1"/>
      <w:marLeft w:val="0"/>
      <w:marRight w:val="0"/>
      <w:marTop w:val="0"/>
      <w:marBottom w:val="0"/>
      <w:divBdr>
        <w:top w:val="none" w:sz="0" w:space="0" w:color="auto"/>
        <w:left w:val="none" w:sz="0" w:space="0" w:color="auto"/>
        <w:bottom w:val="none" w:sz="0" w:space="0" w:color="auto"/>
        <w:right w:val="none" w:sz="0" w:space="0" w:color="auto"/>
      </w:divBdr>
    </w:div>
    <w:div w:id="1134056131">
      <w:bodyDiv w:val="1"/>
      <w:marLeft w:val="0"/>
      <w:marRight w:val="0"/>
      <w:marTop w:val="0"/>
      <w:marBottom w:val="0"/>
      <w:divBdr>
        <w:top w:val="none" w:sz="0" w:space="0" w:color="auto"/>
        <w:left w:val="none" w:sz="0" w:space="0" w:color="auto"/>
        <w:bottom w:val="none" w:sz="0" w:space="0" w:color="auto"/>
        <w:right w:val="none" w:sz="0" w:space="0" w:color="auto"/>
      </w:divBdr>
    </w:div>
    <w:div w:id="1136415684">
      <w:bodyDiv w:val="1"/>
      <w:marLeft w:val="0"/>
      <w:marRight w:val="0"/>
      <w:marTop w:val="0"/>
      <w:marBottom w:val="0"/>
      <w:divBdr>
        <w:top w:val="none" w:sz="0" w:space="0" w:color="auto"/>
        <w:left w:val="none" w:sz="0" w:space="0" w:color="auto"/>
        <w:bottom w:val="none" w:sz="0" w:space="0" w:color="auto"/>
        <w:right w:val="none" w:sz="0" w:space="0" w:color="auto"/>
      </w:divBdr>
    </w:div>
    <w:div w:id="1143040546">
      <w:bodyDiv w:val="1"/>
      <w:marLeft w:val="0"/>
      <w:marRight w:val="0"/>
      <w:marTop w:val="0"/>
      <w:marBottom w:val="0"/>
      <w:divBdr>
        <w:top w:val="none" w:sz="0" w:space="0" w:color="auto"/>
        <w:left w:val="none" w:sz="0" w:space="0" w:color="auto"/>
        <w:bottom w:val="none" w:sz="0" w:space="0" w:color="auto"/>
        <w:right w:val="none" w:sz="0" w:space="0" w:color="auto"/>
      </w:divBdr>
    </w:div>
    <w:div w:id="1168911682">
      <w:bodyDiv w:val="1"/>
      <w:marLeft w:val="0"/>
      <w:marRight w:val="0"/>
      <w:marTop w:val="0"/>
      <w:marBottom w:val="0"/>
      <w:divBdr>
        <w:top w:val="none" w:sz="0" w:space="0" w:color="auto"/>
        <w:left w:val="none" w:sz="0" w:space="0" w:color="auto"/>
        <w:bottom w:val="none" w:sz="0" w:space="0" w:color="auto"/>
        <w:right w:val="none" w:sz="0" w:space="0" w:color="auto"/>
      </w:divBdr>
    </w:div>
    <w:div w:id="1186089779">
      <w:bodyDiv w:val="1"/>
      <w:marLeft w:val="0"/>
      <w:marRight w:val="0"/>
      <w:marTop w:val="0"/>
      <w:marBottom w:val="0"/>
      <w:divBdr>
        <w:top w:val="none" w:sz="0" w:space="0" w:color="auto"/>
        <w:left w:val="none" w:sz="0" w:space="0" w:color="auto"/>
        <w:bottom w:val="none" w:sz="0" w:space="0" w:color="auto"/>
        <w:right w:val="none" w:sz="0" w:space="0" w:color="auto"/>
      </w:divBdr>
    </w:div>
    <w:div w:id="1188521010">
      <w:bodyDiv w:val="1"/>
      <w:marLeft w:val="0"/>
      <w:marRight w:val="0"/>
      <w:marTop w:val="0"/>
      <w:marBottom w:val="0"/>
      <w:divBdr>
        <w:top w:val="none" w:sz="0" w:space="0" w:color="auto"/>
        <w:left w:val="none" w:sz="0" w:space="0" w:color="auto"/>
        <w:bottom w:val="none" w:sz="0" w:space="0" w:color="auto"/>
        <w:right w:val="none" w:sz="0" w:space="0" w:color="auto"/>
      </w:divBdr>
    </w:div>
    <w:div w:id="1200239373">
      <w:bodyDiv w:val="1"/>
      <w:marLeft w:val="0"/>
      <w:marRight w:val="0"/>
      <w:marTop w:val="0"/>
      <w:marBottom w:val="0"/>
      <w:divBdr>
        <w:top w:val="none" w:sz="0" w:space="0" w:color="auto"/>
        <w:left w:val="none" w:sz="0" w:space="0" w:color="auto"/>
        <w:bottom w:val="none" w:sz="0" w:space="0" w:color="auto"/>
        <w:right w:val="none" w:sz="0" w:space="0" w:color="auto"/>
      </w:divBdr>
    </w:div>
    <w:div w:id="1219317501">
      <w:bodyDiv w:val="1"/>
      <w:marLeft w:val="0"/>
      <w:marRight w:val="0"/>
      <w:marTop w:val="0"/>
      <w:marBottom w:val="0"/>
      <w:divBdr>
        <w:top w:val="none" w:sz="0" w:space="0" w:color="auto"/>
        <w:left w:val="none" w:sz="0" w:space="0" w:color="auto"/>
        <w:bottom w:val="none" w:sz="0" w:space="0" w:color="auto"/>
        <w:right w:val="none" w:sz="0" w:space="0" w:color="auto"/>
      </w:divBdr>
    </w:div>
    <w:div w:id="1228225021">
      <w:bodyDiv w:val="1"/>
      <w:marLeft w:val="0"/>
      <w:marRight w:val="0"/>
      <w:marTop w:val="0"/>
      <w:marBottom w:val="0"/>
      <w:divBdr>
        <w:top w:val="none" w:sz="0" w:space="0" w:color="auto"/>
        <w:left w:val="none" w:sz="0" w:space="0" w:color="auto"/>
        <w:bottom w:val="none" w:sz="0" w:space="0" w:color="auto"/>
        <w:right w:val="none" w:sz="0" w:space="0" w:color="auto"/>
      </w:divBdr>
    </w:div>
    <w:div w:id="1267343780">
      <w:bodyDiv w:val="1"/>
      <w:marLeft w:val="0"/>
      <w:marRight w:val="0"/>
      <w:marTop w:val="0"/>
      <w:marBottom w:val="0"/>
      <w:divBdr>
        <w:top w:val="none" w:sz="0" w:space="0" w:color="auto"/>
        <w:left w:val="none" w:sz="0" w:space="0" w:color="auto"/>
        <w:bottom w:val="none" w:sz="0" w:space="0" w:color="auto"/>
        <w:right w:val="none" w:sz="0" w:space="0" w:color="auto"/>
      </w:divBdr>
    </w:div>
    <w:div w:id="1274944384">
      <w:bodyDiv w:val="1"/>
      <w:marLeft w:val="0"/>
      <w:marRight w:val="0"/>
      <w:marTop w:val="0"/>
      <w:marBottom w:val="0"/>
      <w:divBdr>
        <w:top w:val="none" w:sz="0" w:space="0" w:color="auto"/>
        <w:left w:val="none" w:sz="0" w:space="0" w:color="auto"/>
        <w:bottom w:val="none" w:sz="0" w:space="0" w:color="auto"/>
        <w:right w:val="none" w:sz="0" w:space="0" w:color="auto"/>
      </w:divBdr>
    </w:div>
    <w:div w:id="1284271723">
      <w:bodyDiv w:val="1"/>
      <w:marLeft w:val="0"/>
      <w:marRight w:val="0"/>
      <w:marTop w:val="0"/>
      <w:marBottom w:val="0"/>
      <w:divBdr>
        <w:top w:val="none" w:sz="0" w:space="0" w:color="auto"/>
        <w:left w:val="none" w:sz="0" w:space="0" w:color="auto"/>
        <w:bottom w:val="none" w:sz="0" w:space="0" w:color="auto"/>
        <w:right w:val="none" w:sz="0" w:space="0" w:color="auto"/>
      </w:divBdr>
    </w:div>
    <w:div w:id="1293288018">
      <w:bodyDiv w:val="1"/>
      <w:marLeft w:val="0"/>
      <w:marRight w:val="0"/>
      <w:marTop w:val="0"/>
      <w:marBottom w:val="0"/>
      <w:divBdr>
        <w:top w:val="none" w:sz="0" w:space="0" w:color="auto"/>
        <w:left w:val="none" w:sz="0" w:space="0" w:color="auto"/>
        <w:bottom w:val="none" w:sz="0" w:space="0" w:color="auto"/>
        <w:right w:val="none" w:sz="0" w:space="0" w:color="auto"/>
      </w:divBdr>
    </w:div>
    <w:div w:id="1308509908">
      <w:bodyDiv w:val="1"/>
      <w:marLeft w:val="0"/>
      <w:marRight w:val="0"/>
      <w:marTop w:val="0"/>
      <w:marBottom w:val="0"/>
      <w:divBdr>
        <w:top w:val="none" w:sz="0" w:space="0" w:color="auto"/>
        <w:left w:val="none" w:sz="0" w:space="0" w:color="auto"/>
        <w:bottom w:val="none" w:sz="0" w:space="0" w:color="auto"/>
        <w:right w:val="none" w:sz="0" w:space="0" w:color="auto"/>
      </w:divBdr>
    </w:div>
    <w:div w:id="1333679835">
      <w:bodyDiv w:val="1"/>
      <w:marLeft w:val="0"/>
      <w:marRight w:val="0"/>
      <w:marTop w:val="0"/>
      <w:marBottom w:val="0"/>
      <w:divBdr>
        <w:top w:val="none" w:sz="0" w:space="0" w:color="auto"/>
        <w:left w:val="none" w:sz="0" w:space="0" w:color="auto"/>
        <w:bottom w:val="none" w:sz="0" w:space="0" w:color="auto"/>
        <w:right w:val="none" w:sz="0" w:space="0" w:color="auto"/>
      </w:divBdr>
    </w:div>
    <w:div w:id="1339578869">
      <w:bodyDiv w:val="1"/>
      <w:marLeft w:val="0"/>
      <w:marRight w:val="0"/>
      <w:marTop w:val="0"/>
      <w:marBottom w:val="0"/>
      <w:divBdr>
        <w:top w:val="none" w:sz="0" w:space="0" w:color="auto"/>
        <w:left w:val="none" w:sz="0" w:space="0" w:color="auto"/>
        <w:bottom w:val="none" w:sz="0" w:space="0" w:color="auto"/>
        <w:right w:val="none" w:sz="0" w:space="0" w:color="auto"/>
      </w:divBdr>
    </w:div>
    <w:div w:id="1354577316">
      <w:bodyDiv w:val="1"/>
      <w:marLeft w:val="0"/>
      <w:marRight w:val="0"/>
      <w:marTop w:val="0"/>
      <w:marBottom w:val="0"/>
      <w:divBdr>
        <w:top w:val="none" w:sz="0" w:space="0" w:color="auto"/>
        <w:left w:val="none" w:sz="0" w:space="0" w:color="auto"/>
        <w:bottom w:val="none" w:sz="0" w:space="0" w:color="auto"/>
        <w:right w:val="none" w:sz="0" w:space="0" w:color="auto"/>
      </w:divBdr>
    </w:div>
    <w:div w:id="1366252224">
      <w:bodyDiv w:val="1"/>
      <w:marLeft w:val="0"/>
      <w:marRight w:val="0"/>
      <w:marTop w:val="0"/>
      <w:marBottom w:val="0"/>
      <w:divBdr>
        <w:top w:val="none" w:sz="0" w:space="0" w:color="auto"/>
        <w:left w:val="none" w:sz="0" w:space="0" w:color="auto"/>
        <w:bottom w:val="none" w:sz="0" w:space="0" w:color="auto"/>
        <w:right w:val="none" w:sz="0" w:space="0" w:color="auto"/>
      </w:divBdr>
    </w:div>
    <w:div w:id="1369141356">
      <w:bodyDiv w:val="1"/>
      <w:marLeft w:val="0"/>
      <w:marRight w:val="0"/>
      <w:marTop w:val="0"/>
      <w:marBottom w:val="0"/>
      <w:divBdr>
        <w:top w:val="none" w:sz="0" w:space="0" w:color="auto"/>
        <w:left w:val="none" w:sz="0" w:space="0" w:color="auto"/>
        <w:bottom w:val="none" w:sz="0" w:space="0" w:color="auto"/>
        <w:right w:val="none" w:sz="0" w:space="0" w:color="auto"/>
      </w:divBdr>
    </w:div>
    <w:div w:id="1371491211">
      <w:bodyDiv w:val="1"/>
      <w:marLeft w:val="0"/>
      <w:marRight w:val="0"/>
      <w:marTop w:val="0"/>
      <w:marBottom w:val="0"/>
      <w:divBdr>
        <w:top w:val="none" w:sz="0" w:space="0" w:color="auto"/>
        <w:left w:val="none" w:sz="0" w:space="0" w:color="auto"/>
        <w:bottom w:val="none" w:sz="0" w:space="0" w:color="auto"/>
        <w:right w:val="none" w:sz="0" w:space="0" w:color="auto"/>
      </w:divBdr>
    </w:div>
    <w:div w:id="1396078491">
      <w:bodyDiv w:val="1"/>
      <w:marLeft w:val="0"/>
      <w:marRight w:val="0"/>
      <w:marTop w:val="0"/>
      <w:marBottom w:val="0"/>
      <w:divBdr>
        <w:top w:val="none" w:sz="0" w:space="0" w:color="auto"/>
        <w:left w:val="none" w:sz="0" w:space="0" w:color="auto"/>
        <w:bottom w:val="none" w:sz="0" w:space="0" w:color="auto"/>
        <w:right w:val="none" w:sz="0" w:space="0" w:color="auto"/>
      </w:divBdr>
    </w:div>
    <w:div w:id="1396322188">
      <w:bodyDiv w:val="1"/>
      <w:marLeft w:val="0"/>
      <w:marRight w:val="0"/>
      <w:marTop w:val="0"/>
      <w:marBottom w:val="0"/>
      <w:divBdr>
        <w:top w:val="none" w:sz="0" w:space="0" w:color="auto"/>
        <w:left w:val="none" w:sz="0" w:space="0" w:color="auto"/>
        <w:bottom w:val="none" w:sz="0" w:space="0" w:color="auto"/>
        <w:right w:val="none" w:sz="0" w:space="0" w:color="auto"/>
      </w:divBdr>
    </w:div>
    <w:div w:id="1400711053">
      <w:bodyDiv w:val="1"/>
      <w:marLeft w:val="0"/>
      <w:marRight w:val="0"/>
      <w:marTop w:val="0"/>
      <w:marBottom w:val="0"/>
      <w:divBdr>
        <w:top w:val="none" w:sz="0" w:space="0" w:color="auto"/>
        <w:left w:val="none" w:sz="0" w:space="0" w:color="auto"/>
        <w:bottom w:val="none" w:sz="0" w:space="0" w:color="auto"/>
        <w:right w:val="none" w:sz="0" w:space="0" w:color="auto"/>
      </w:divBdr>
    </w:div>
    <w:div w:id="1410426117">
      <w:bodyDiv w:val="1"/>
      <w:marLeft w:val="0"/>
      <w:marRight w:val="0"/>
      <w:marTop w:val="0"/>
      <w:marBottom w:val="0"/>
      <w:divBdr>
        <w:top w:val="none" w:sz="0" w:space="0" w:color="auto"/>
        <w:left w:val="none" w:sz="0" w:space="0" w:color="auto"/>
        <w:bottom w:val="none" w:sz="0" w:space="0" w:color="auto"/>
        <w:right w:val="none" w:sz="0" w:space="0" w:color="auto"/>
      </w:divBdr>
    </w:div>
    <w:div w:id="1426269906">
      <w:bodyDiv w:val="1"/>
      <w:marLeft w:val="0"/>
      <w:marRight w:val="0"/>
      <w:marTop w:val="0"/>
      <w:marBottom w:val="0"/>
      <w:divBdr>
        <w:top w:val="none" w:sz="0" w:space="0" w:color="auto"/>
        <w:left w:val="none" w:sz="0" w:space="0" w:color="auto"/>
        <w:bottom w:val="none" w:sz="0" w:space="0" w:color="auto"/>
        <w:right w:val="none" w:sz="0" w:space="0" w:color="auto"/>
      </w:divBdr>
    </w:div>
    <w:div w:id="1463645724">
      <w:bodyDiv w:val="1"/>
      <w:marLeft w:val="0"/>
      <w:marRight w:val="0"/>
      <w:marTop w:val="0"/>
      <w:marBottom w:val="0"/>
      <w:divBdr>
        <w:top w:val="none" w:sz="0" w:space="0" w:color="auto"/>
        <w:left w:val="none" w:sz="0" w:space="0" w:color="auto"/>
        <w:bottom w:val="none" w:sz="0" w:space="0" w:color="auto"/>
        <w:right w:val="none" w:sz="0" w:space="0" w:color="auto"/>
      </w:divBdr>
    </w:div>
    <w:div w:id="1476993440">
      <w:bodyDiv w:val="1"/>
      <w:marLeft w:val="0"/>
      <w:marRight w:val="0"/>
      <w:marTop w:val="0"/>
      <w:marBottom w:val="0"/>
      <w:divBdr>
        <w:top w:val="none" w:sz="0" w:space="0" w:color="auto"/>
        <w:left w:val="none" w:sz="0" w:space="0" w:color="auto"/>
        <w:bottom w:val="none" w:sz="0" w:space="0" w:color="auto"/>
        <w:right w:val="none" w:sz="0" w:space="0" w:color="auto"/>
      </w:divBdr>
    </w:div>
    <w:div w:id="1480801997">
      <w:bodyDiv w:val="1"/>
      <w:marLeft w:val="0"/>
      <w:marRight w:val="0"/>
      <w:marTop w:val="0"/>
      <w:marBottom w:val="0"/>
      <w:divBdr>
        <w:top w:val="none" w:sz="0" w:space="0" w:color="auto"/>
        <w:left w:val="none" w:sz="0" w:space="0" w:color="auto"/>
        <w:bottom w:val="none" w:sz="0" w:space="0" w:color="auto"/>
        <w:right w:val="none" w:sz="0" w:space="0" w:color="auto"/>
      </w:divBdr>
    </w:div>
    <w:div w:id="1482386704">
      <w:bodyDiv w:val="1"/>
      <w:marLeft w:val="0"/>
      <w:marRight w:val="0"/>
      <w:marTop w:val="0"/>
      <w:marBottom w:val="0"/>
      <w:divBdr>
        <w:top w:val="none" w:sz="0" w:space="0" w:color="auto"/>
        <w:left w:val="none" w:sz="0" w:space="0" w:color="auto"/>
        <w:bottom w:val="none" w:sz="0" w:space="0" w:color="auto"/>
        <w:right w:val="none" w:sz="0" w:space="0" w:color="auto"/>
      </w:divBdr>
    </w:div>
    <w:div w:id="1488084606">
      <w:bodyDiv w:val="1"/>
      <w:marLeft w:val="0"/>
      <w:marRight w:val="0"/>
      <w:marTop w:val="0"/>
      <w:marBottom w:val="0"/>
      <w:divBdr>
        <w:top w:val="none" w:sz="0" w:space="0" w:color="auto"/>
        <w:left w:val="none" w:sz="0" w:space="0" w:color="auto"/>
        <w:bottom w:val="none" w:sz="0" w:space="0" w:color="auto"/>
        <w:right w:val="none" w:sz="0" w:space="0" w:color="auto"/>
      </w:divBdr>
    </w:div>
    <w:div w:id="1508792887">
      <w:bodyDiv w:val="1"/>
      <w:marLeft w:val="0"/>
      <w:marRight w:val="0"/>
      <w:marTop w:val="0"/>
      <w:marBottom w:val="0"/>
      <w:divBdr>
        <w:top w:val="none" w:sz="0" w:space="0" w:color="auto"/>
        <w:left w:val="none" w:sz="0" w:space="0" w:color="auto"/>
        <w:bottom w:val="none" w:sz="0" w:space="0" w:color="auto"/>
        <w:right w:val="none" w:sz="0" w:space="0" w:color="auto"/>
      </w:divBdr>
    </w:div>
    <w:div w:id="1517158401">
      <w:bodyDiv w:val="1"/>
      <w:marLeft w:val="0"/>
      <w:marRight w:val="0"/>
      <w:marTop w:val="0"/>
      <w:marBottom w:val="0"/>
      <w:divBdr>
        <w:top w:val="none" w:sz="0" w:space="0" w:color="auto"/>
        <w:left w:val="none" w:sz="0" w:space="0" w:color="auto"/>
        <w:bottom w:val="none" w:sz="0" w:space="0" w:color="auto"/>
        <w:right w:val="none" w:sz="0" w:space="0" w:color="auto"/>
      </w:divBdr>
    </w:div>
    <w:div w:id="1527670841">
      <w:bodyDiv w:val="1"/>
      <w:marLeft w:val="0"/>
      <w:marRight w:val="0"/>
      <w:marTop w:val="0"/>
      <w:marBottom w:val="0"/>
      <w:divBdr>
        <w:top w:val="none" w:sz="0" w:space="0" w:color="auto"/>
        <w:left w:val="none" w:sz="0" w:space="0" w:color="auto"/>
        <w:bottom w:val="none" w:sz="0" w:space="0" w:color="auto"/>
        <w:right w:val="none" w:sz="0" w:space="0" w:color="auto"/>
      </w:divBdr>
    </w:div>
    <w:div w:id="1542401251">
      <w:bodyDiv w:val="1"/>
      <w:marLeft w:val="0"/>
      <w:marRight w:val="0"/>
      <w:marTop w:val="0"/>
      <w:marBottom w:val="0"/>
      <w:divBdr>
        <w:top w:val="none" w:sz="0" w:space="0" w:color="auto"/>
        <w:left w:val="none" w:sz="0" w:space="0" w:color="auto"/>
        <w:bottom w:val="none" w:sz="0" w:space="0" w:color="auto"/>
        <w:right w:val="none" w:sz="0" w:space="0" w:color="auto"/>
      </w:divBdr>
    </w:div>
    <w:div w:id="1555847334">
      <w:bodyDiv w:val="1"/>
      <w:marLeft w:val="0"/>
      <w:marRight w:val="0"/>
      <w:marTop w:val="0"/>
      <w:marBottom w:val="0"/>
      <w:divBdr>
        <w:top w:val="none" w:sz="0" w:space="0" w:color="auto"/>
        <w:left w:val="none" w:sz="0" w:space="0" w:color="auto"/>
        <w:bottom w:val="none" w:sz="0" w:space="0" w:color="auto"/>
        <w:right w:val="none" w:sz="0" w:space="0" w:color="auto"/>
      </w:divBdr>
    </w:div>
    <w:div w:id="1570192275">
      <w:bodyDiv w:val="1"/>
      <w:marLeft w:val="0"/>
      <w:marRight w:val="0"/>
      <w:marTop w:val="0"/>
      <w:marBottom w:val="0"/>
      <w:divBdr>
        <w:top w:val="none" w:sz="0" w:space="0" w:color="auto"/>
        <w:left w:val="none" w:sz="0" w:space="0" w:color="auto"/>
        <w:bottom w:val="none" w:sz="0" w:space="0" w:color="auto"/>
        <w:right w:val="none" w:sz="0" w:space="0" w:color="auto"/>
      </w:divBdr>
    </w:div>
    <w:div w:id="1591231095">
      <w:bodyDiv w:val="1"/>
      <w:marLeft w:val="0"/>
      <w:marRight w:val="0"/>
      <w:marTop w:val="0"/>
      <w:marBottom w:val="0"/>
      <w:divBdr>
        <w:top w:val="none" w:sz="0" w:space="0" w:color="auto"/>
        <w:left w:val="none" w:sz="0" w:space="0" w:color="auto"/>
        <w:bottom w:val="none" w:sz="0" w:space="0" w:color="auto"/>
        <w:right w:val="none" w:sz="0" w:space="0" w:color="auto"/>
      </w:divBdr>
    </w:div>
    <w:div w:id="1622571971">
      <w:bodyDiv w:val="1"/>
      <w:marLeft w:val="0"/>
      <w:marRight w:val="0"/>
      <w:marTop w:val="0"/>
      <w:marBottom w:val="0"/>
      <w:divBdr>
        <w:top w:val="none" w:sz="0" w:space="0" w:color="auto"/>
        <w:left w:val="none" w:sz="0" w:space="0" w:color="auto"/>
        <w:bottom w:val="none" w:sz="0" w:space="0" w:color="auto"/>
        <w:right w:val="none" w:sz="0" w:space="0" w:color="auto"/>
      </w:divBdr>
    </w:div>
    <w:div w:id="1643776943">
      <w:bodyDiv w:val="1"/>
      <w:marLeft w:val="0"/>
      <w:marRight w:val="0"/>
      <w:marTop w:val="0"/>
      <w:marBottom w:val="0"/>
      <w:divBdr>
        <w:top w:val="none" w:sz="0" w:space="0" w:color="auto"/>
        <w:left w:val="none" w:sz="0" w:space="0" w:color="auto"/>
        <w:bottom w:val="none" w:sz="0" w:space="0" w:color="auto"/>
        <w:right w:val="none" w:sz="0" w:space="0" w:color="auto"/>
      </w:divBdr>
    </w:div>
    <w:div w:id="1670982452">
      <w:bodyDiv w:val="1"/>
      <w:marLeft w:val="0"/>
      <w:marRight w:val="0"/>
      <w:marTop w:val="0"/>
      <w:marBottom w:val="0"/>
      <w:divBdr>
        <w:top w:val="none" w:sz="0" w:space="0" w:color="auto"/>
        <w:left w:val="none" w:sz="0" w:space="0" w:color="auto"/>
        <w:bottom w:val="none" w:sz="0" w:space="0" w:color="auto"/>
        <w:right w:val="none" w:sz="0" w:space="0" w:color="auto"/>
      </w:divBdr>
    </w:div>
    <w:div w:id="1712652497">
      <w:bodyDiv w:val="1"/>
      <w:marLeft w:val="0"/>
      <w:marRight w:val="0"/>
      <w:marTop w:val="0"/>
      <w:marBottom w:val="0"/>
      <w:divBdr>
        <w:top w:val="none" w:sz="0" w:space="0" w:color="auto"/>
        <w:left w:val="none" w:sz="0" w:space="0" w:color="auto"/>
        <w:bottom w:val="none" w:sz="0" w:space="0" w:color="auto"/>
        <w:right w:val="none" w:sz="0" w:space="0" w:color="auto"/>
      </w:divBdr>
    </w:div>
    <w:div w:id="1725566462">
      <w:bodyDiv w:val="1"/>
      <w:marLeft w:val="0"/>
      <w:marRight w:val="0"/>
      <w:marTop w:val="0"/>
      <w:marBottom w:val="0"/>
      <w:divBdr>
        <w:top w:val="none" w:sz="0" w:space="0" w:color="auto"/>
        <w:left w:val="none" w:sz="0" w:space="0" w:color="auto"/>
        <w:bottom w:val="none" w:sz="0" w:space="0" w:color="auto"/>
        <w:right w:val="none" w:sz="0" w:space="0" w:color="auto"/>
      </w:divBdr>
    </w:div>
    <w:div w:id="1739549854">
      <w:bodyDiv w:val="1"/>
      <w:marLeft w:val="0"/>
      <w:marRight w:val="0"/>
      <w:marTop w:val="0"/>
      <w:marBottom w:val="0"/>
      <w:divBdr>
        <w:top w:val="none" w:sz="0" w:space="0" w:color="auto"/>
        <w:left w:val="none" w:sz="0" w:space="0" w:color="auto"/>
        <w:bottom w:val="none" w:sz="0" w:space="0" w:color="auto"/>
        <w:right w:val="none" w:sz="0" w:space="0" w:color="auto"/>
      </w:divBdr>
    </w:div>
    <w:div w:id="1766882948">
      <w:bodyDiv w:val="1"/>
      <w:marLeft w:val="0"/>
      <w:marRight w:val="0"/>
      <w:marTop w:val="0"/>
      <w:marBottom w:val="0"/>
      <w:divBdr>
        <w:top w:val="none" w:sz="0" w:space="0" w:color="auto"/>
        <w:left w:val="none" w:sz="0" w:space="0" w:color="auto"/>
        <w:bottom w:val="none" w:sz="0" w:space="0" w:color="auto"/>
        <w:right w:val="none" w:sz="0" w:space="0" w:color="auto"/>
      </w:divBdr>
    </w:div>
    <w:div w:id="1804300694">
      <w:bodyDiv w:val="1"/>
      <w:marLeft w:val="0"/>
      <w:marRight w:val="0"/>
      <w:marTop w:val="0"/>
      <w:marBottom w:val="0"/>
      <w:divBdr>
        <w:top w:val="none" w:sz="0" w:space="0" w:color="auto"/>
        <w:left w:val="none" w:sz="0" w:space="0" w:color="auto"/>
        <w:bottom w:val="none" w:sz="0" w:space="0" w:color="auto"/>
        <w:right w:val="none" w:sz="0" w:space="0" w:color="auto"/>
      </w:divBdr>
    </w:div>
    <w:div w:id="1807817395">
      <w:bodyDiv w:val="1"/>
      <w:marLeft w:val="0"/>
      <w:marRight w:val="0"/>
      <w:marTop w:val="0"/>
      <w:marBottom w:val="0"/>
      <w:divBdr>
        <w:top w:val="none" w:sz="0" w:space="0" w:color="auto"/>
        <w:left w:val="none" w:sz="0" w:space="0" w:color="auto"/>
        <w:bottom w:val="none" w:sz="0" w:space="0" w:color="auto"/>
        <w:right w:val="none" w:sz="0" w:space="0" w:color="auto"/>
      </w:divBdr>
    </w:div>
    <w:div w:id="1810131122">
      <w:bodyDiv w:val="1"/>
      <w:marLeft w:val="0"/>
      <w:marRight w:val="0"/>
      <w:marTop w:val="0"/>
      <w:marBottom w:val="0"/>
      <w:divBdr>
        <w:top w:val="none" w:sz="0" w:space="0" w:color="auto"/>
        <w:left w:val="none" w:sz="0" w:space="0" w:color="auto"/>
        <w:bottom w:val="none" w:sz="0" w:space="0" w:color="auto"/>
        <w:right w:val="none" w:sz="0" w:space="0" w:color="auto"/>
      </w:divBdr>
    </w:div>
    <w:div w:id="1810201997">
      <w:bodyDiv w:val="1"/>
      <w:marLeft w:val="0"/>
      <w:marRight w:val="0"/>
      <w:marTop w:val="0"/>
      <w:marBottom w:val="0"/>
      <w:divBdr>
        <w:top w:val="none" w:sz="0" w:space="0" w:color="auto"/>
        <w:left w:val="none" w:sz="0" w:space="0" w:color="auto"/>
        <w:bottom w:val="none" w:sz="0" w:space="0" w:color="auto"/>
        <w:right w:val="none" w:sz="0" w:space="0" w:color="auto"/>
      </w:divBdr>
    </w:div>
    <w:div w:id="1847480317">
      <w:bodyDiv w:val="1"/>
      <w:marLeft w:val="0"/>
      <w:marRight w:val="0"/>
      <w:marTop w:val="0"/>
      <w:marBottom w:val="0"/>
      <w:divBdr>
        <w:top w:val="none" w:sz="0" w:space="0" w:color="auto"/>
        <w:left w:val="none" w:sz="0" w:space="0" w:color="auto"/>
        <w:bottom w:val="none" w:sz="0" w:space="0" w:color="auto"/>
        <w:right w:val="none" w:sz="0" w:space="0" w:color="auto"/>
      </w:divBdr>
    </w:div>
    <w:div w:id="1848790001">
      <w:bodyDiv w:val="1"/>
      <w:marLeft w:val="0"/>
      <w:marRight w:val="0"/>
      <w:marTop w:val="0"/>
      <w:marBottom w:val="0"/>
      <w:divBdr>
        <w:top w:val="none" w:sz="0" w:space="0" w:color="auto"/>
        <w:left w:val="none" w:sz="0" w:space="0" w:color="auto"/>
        <w:bottom w:val="none" w:sz="0" w:space="0" w:color="auto"/>
        <w:right w:val="none" w:sz="0" w:space="0" w:color="auto"/>
      </w:divBdr>
    </w:div>
    <w:div w:id="1856069169">
      <w:bodyDiv w:val="1"/>
      <w:marLeft w:val="0"/>
      <w:marRight w:val="0"/>
      <w:marTop w:val="0"/>
      <w:marBottom w:val="0"/>
      <w:divBdr>
        <w:top w:val="none" w:sz="0" w:space="0" w:color="auto"/>
        <w:left w:val="none" w:sz="0" w:space="0" w:color="auto"/>
        <w:bottom w:val="none" w:sz="0" w:space="0" w:color="auto"/>
        <w:right w:val="none" w:sz="0" w:space="0" w:color="auto"/>
      </w:divBdr>
    </w:div>
    <w:div w:id="1859999744">
      <w:bodyDiv w:val="1"/>
      <w:marLeft w:val="0"/>
      <w:marRight w:val="0"/>
      <w:marTop w:val="0"/>
      <w:marBottom w:val="0"/>
      <w:divBdr>
        <w:top w:val="none" w:sz="0" w:space="0" w:color="auto"/>
        <w:left w:val="none" w:sz="0" w:space="0" w:color="auto"/>
        <w:bottom w:val="none" w:sz="0" w:space="0" w:color="auto"/>
        <w:right w:val="none" w:sz="0" w:space="0" w:color="auto"/>
      </w:divBdr>
    </w:div>
    <w:div w:id="1869873563">
      <w:bodyDiv w:val="1"/>
      <w:marLeft w:val="0"/>
      <w:marRight w:val="0"/>
      <w:marTop w:val="0"/>
      <w:marBottom w:val="0"/>
      <w:divBdr>
        <w:top w:val="none" w:sz="0" w:space="0" w:color="auto"/>
        <w:left w:val="none" w:sz="0" w:space="0" w:color="auto"/>
        <w:bottom w:val="none" w:sz="0" w:space="0" w:color="auto"/>
        <w:right w:val="none" w:sz="0" w:space="0" w:color="auto"/>
      </w:divBdr>
    </w:div>
    <w:div w:id="1874997854">
      <w:bodyDiv w:val="1"/>
      <w:marLeft w:val="0"/>
      <w:marRight w:val="0"/>
      <w:marTop w:val="0"/>
      <w:marBottom w:val="0"/>
      <w:divBdr>
        <w:top w:val="none" w:sz="0" w:space="0" w:color="auto"/>
        <w:left w:val="none" w:sz="0" w:space="0" w:color="auto"/>
        <w:bottom w:val="none" w:sz="0" w:space="0" w:color="auto"/>
        <w:right w:val="none" w:sz="0" w:space="0" w:color="auto"/>
      </w:divBdr>
    </w:div>
    <w:div w:id="1894463031">
      <w:bodyDiv w:val="1"/>
      <w:marLeft w:val="0"/>
      <w:marRight w:val="0"/>
      <w:marTop w:val="0"/>
      <w:marBottom w:val="0"/>
      <w:divBdr>
        <w:top w:val="none" w:sz="0" w:space="0" w:color="auto"/>
        <w:left w:val="none" w:sz="0" w:space="0" w:color="auto"/>
        <w:bottom w:val="none" w:sz="0" w:space="0" w:color="auto"/>
        <w:right w:val="none" w:sz="0" w:space="0" w:color="auto"/>
      </w:divBdr>
    </w:div>
    <w:div w:id="1898858091">
      <w:bodyDiv w:val="1"/>
      <w:marLeft w:val="0"/>
      <w:marRight w:val="0"/>
      <w:marTop w:val="0"/>
      <w:marBottom w:val="0"/>
      <w:divBdr>
        <w:top w:val="none" w:sz="0" w:space="0" w:color="auto"/>
        <w:left w:val="none" w:sz="0" w:space="0" w:color="auto"/>
        <w:bottom w:val="none" w:sz="0" w:space="0" w:color="auto"/>
        <w:right w:val="none" w:sz="0" w:space="0" w:color="auto"/>
      </w:divBdr>
    </w:div>
    <w:div w:id="1935363413">
      <w:bodyDiv w:val="1"/>
      <w:marLeft w:val="0"/>
      <w:marRight w:val="0"/>
      <w:marTop w:val="0"/>
      <w:marBottom w:val="0"/>
      <w:divBdr>
        <w:top w:val="none" w:sz="0" w:space="0" w:color="auto"/>
        <w:left w:val="none" w:sz="0" w:space="0" w:color="auto"/>
        <w:bottom w:val="none" w:sz="0" w:space="0" w:color="auto"/>
        <w:right w:val="none" w:sz="0" w:space="0" w:color="auto"/>
      </w:divBdr>
    </w:div>
    <w:div w:id="1948268093">
      <w:bodyDiv w:val="1"/>
      <w:marLeft w:val="0"/>
      <w:marRight w:val="0"/>
      <w:marTop w:val="0"/>
      <w:marBottom w:val="0"/>
      <w:divBdr>
        <w:top w:val="none" w:sz="0" w:space="0" w:color="auto"/>
        <w:left w:val="none" w:sz="0" w:space="0" w:color="auto"/>
        <w:bottom w:val="none" w:sz="0" w:space="0" w:color="auto"/>
        <w:right w:val="none" w:sz="0" w:space="0" w:color="auto"/>
      </w:divBdr>
    </w:div>
    <w:div w:id="1957978623">
      <w:bodyDiv w:val="1"/>
      <w:marLeft w:val="0"/>
      <w:marRight w:val="0"/>
      <w:marTop w:val="0"/>
      <w:marBottom w:val="0"/>
      <w:divBdr>
        <w:top w:val="none" w:sz="0" w:space="0" w:color="auto"/>
        <w:left w:val="none" w:sz="0" w:space="0" w:color="auto"/>
        <w:bottom w:val="none" w:sz="0" w:space="0" w:color="auto"/>
        <w:right w:val="none" w:sz="0" w:space="0" w:color="auto"/>
      </w:divBdr>
    </w:div>
    <w:div w:id="1968392174">
      <w:bodyDiv w:val="1"/>
      <w:marLeft w:val="0"/>
      <w:marRight w:val="0"/>
      <w:marTop w:val="0"/>
      <w:marBottom w:val="0"/>
      <w:divBdr>
        <w:top w:val="none" w:sz="0" w:space="0" w:color="auto"/>
        <w:left w:val="none" w:sz="0" w:space="0" w:color="auto"/>
        <w:bottom w:val="none" w:sz="0" w:space="0" w:color="auto"/>
        <w:right w:val="none" w:sz="0" w:space="0" w:color="auto"/>
      </w:divBdr>
    </w:div>
    <w:div w:id="1981225632">
      <w:bodyDiv w:val="1"/>
      <w:marLeft w:val="0"/>
      <w:marRight w:val="0"/>
      <w:marTop w:val="0"/>
      <w:marBottom w:val="0"/>
      <w:divBdr>
        <w:top w:val="none" w:sz="0" w:space="0" w:color="auto"/>
        <w:left w:val="none" w:sz="0" w:space="0" w:color="auto"/>
        <w:bottom w:val="none" w:sz="0" w:space="0" w:color="auto"/>
        <w:right w:val="none" w:sz="0" w:space="0" w:color="auto"/>
      </w:divBdr>
    </w:div>
    <w:div w:id="1999577932">
      <w:bodyDiv w:val="1"/>
      <w:marLeft w:val="0"/>
      <w:marRight w:val="0"/>
      <w:marTop w:val="0"/>
      <w:marBottom w:val="0"/>
      <w:divBdr>
        <w:top w:val="none" w:sz="0" w:space="0" w:color="auto"/>
        <w:left w:val="none" w:sz="0" w:space="0" w:color="auto"/>
        <w:bottom w:val="none" w:sz="0" w:space="0" w:color="auto"/>
        <w:right w:val="none" w:sz="0" w:space="0" w:color="auto"/>
      </w:divBdr>
    </w:div>
    <w:div w:id="2004695792">
      <w:bodyDiv w:val="1"/>
      <w:marLeft w:val="0"/>
      <w:marRight w:val="0"/>
      <w:marTop w:val="0"/>
      <w:marBottom w:val="0"/>
      <w:divBdr>
        <w:top w:val="none" w:sz="0" w:space="0" w:color="auto"/>
        <w:left w:val="none" w:sz="0" w:space="0" w:color="auto"/>
        <w:bottom w:val="none" w:sz="0" w:space="0" w:color="auto"/>
        <w:right w:val="none" w:sz="0" w:space="0" w:color="auto"/>
      </w:divBdr>
    </w:div>
    <w:div w:id="2017220889">
      <w:bodyDiv w:val="1"/>
      <w:marLeft w:val="0"/>
      <w:marRight w:val="0"/>
      <w:marTop w:val="0"/>
      <w:marBottom w:val="0"/>
      <w:divBdr>
        <w:top w:val="none" w:sz="0" w:space="0" w:color="auto"/>
        <w:left w:val="none" w:sz="0" w:space="0" w:color="auto"/>
        <w:bottom w:val="none" w:sz="0" w:space="0" w:color="auto"/>
        <w:right w:val="none" w:sz="0" w:space="0" w:color="auto"/>
      </w:divBdr>
    </w:div>
    <w:div w:id="2023044181">
      <w:bodyDiv w:val="1"/>
      <w:marLeft w:val="0"/>
      <w:marRight w:val="0"/>
      <w:marTop w:val="0"/>
      <w:marBottom w:val="0"/>
      <w:divBdr>
        <w:top w:val="none" w:sz="0" w:space="0" w:color="auto"/>
        <w:left w:val="none" w:sz="0" w:space="0" w:color="auto"/>
        <w:bottom w:val="none" w:sz="0" w:space="0" w:color="auto"/>
        <w:right w:val="none" w:sz="0" w:space="0" w:color="auto"/>
      </w:divBdr>
    </w:div>
    <w:div w:id="2063290810">
      <w:bodyDiv w:val="1"/>
      <w:marLeft w:val="0"/>
      <w:marRight w:val="0"/>
      <w:marTop w:val="0"/>
      <w:marBottom w:val="0"/>
      <w:divBdr>
        <w:top w:val="none" w:sz="0" w:space="0" w:color="auto"/>
        <w:left w:val="none" w:sz="0" w:space="0" w:color="auto"/>
        <w:bottom w:val="none" w:sz="0" w:space="0" w:color="auto"/>
        <w:right w:val="none" w:sz="0" w:space="0" w:color="auto"/>
      </w:divBdr>
    </w:div>
    <w:div w:id="2070494949">
      <w:bodyDiv w:val="1"/>
      <w:marLeft w:val="0"/>
      <w:marRight w:val="0"/>
      <w:marTop w:val="0"/>
      <w:marBottom w:val="0"/>
      <w:divBdr>
        <w:top w:val="none" w:sz="0" w:space="0" w:color="auto"/>
        <w:left w:val="none" w:sz="0" w:space="0" w:color="auto"/>
        <w:bottom w:val="none" w:sz="0" w:space="0" w:color="auto"/>
        <w:right w:val="none" w:sz="0" w:space="0" w:color="auto"/>
      </w:divBdr>
    </w:div>
    <w:div w:id="2071925284">
      <w:bodyDiv w:val="1"/>
      <w:marLeft w:val="0"/>
      <w:marRight w:val="0"/>
      <w:marTop w:val="0"/>
      <w:marBottom w:val="0"/>
      <w:divBdr>
        <w:top w:val="none" w:sz="0" w:space="0" w:color="auto"/>
        <w:left w:val="none" w:sz="0" w:space="0" w:color="auto"/>
        <w:bottom w:val="none" w:sz="0" w:space="0" w:color="auto"/>
        <w:right w:val="none" w:sz="0" w:space="0" w:color="auto"/>
      </w:divBdr>
    </w:div>
    <w:div w:id="2101830230">
      <w:bodyDiv w:val="1"/>
      <w:marLeft w:val="0"/>
      <w:marRight w:val="0"/>
      <w:marTop w:val="0"/>
      <w:marBottom w:val="0"/>
      <w:divBdr>
        <w:top w:val="none" w:sz="0" w:space="0" w:color="auto"/>
        <w:left w:val="none" w:sz="0" w:space="0" w:color="auto"/>
        <w:bottom w:val="none" w:sz="0" w:space="0" w:color="auto"/>
        <w:right w:val="none" w:sz="0" w:space="0" w:color="auto"/>
      </w:divBdr>
    </w:div>
    <w:div w:id="2117171255">
      <w:bodyDiv w:val="1"/>
      <w:marLeft w:val="0"/>
      <w:marRight w:val="0"/>
      <w:marTop w:val="0"/>
      <w:marBottom w:val="0"/>
      <w:divBdr>
        <w:top w:val="none" w:sz="0" w:space="0" w:color="auto"/>
        <w:left w:val="none" w:sz="0" w:space="0" w:color="auto"/>
        <w:bottom w:val="none" w:sz="0" w:space="0" w:color="auto"/>
        <w:right w:val="none" w:sz="0" w:space="0" w:color="auto"/>
      </w:divBdr>
    </w:div>
    <w:div w:id="2133555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doi.org/10.1109/cbmi62980.2024.10859254" TargetMode="External"/><Relationship Id="rId18" Type="http://schemas.openxmlformats.org/officeDocument/2006/relationships/hyperlink" Target="https://doi.org/10.1109/icsens.2016.7808922" TargetMode="External"/><Relationship Id="rId26"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yperlink" Target="https://doi.org/10.1016/j.ijimpeng.2020.103714" TargetMode="Externa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doi.org/10.1088/1742-6596/922/1/012019" TargetMode="External"/><Relationship Id="rId25" Type="http://schemas.openxmlformats.org/officeDocument/2006/relationships/hyperlink" Target="https://doi.org/10.1007/s00193-016-0663-y" TargetMode="External"/><Relationship Id="rId2" Type="http://schemas.openxmlformats.org/officeDocument/2006/relationships/customXml" Target="../customXml/item2.xml"/><Relationship Id="rId16" Type="http://schemas.openxmlformats.org/officeDocument/2006/relationships/hyperlink" Target="https://doi.org/10.1371/journal.pone.0240262" TargetMode="External"/><Relationship Id="rId20" Type="http://schemas.openxmlformats.org/officeDocument/2006/relationships/hyperlink" Target="https://doi.org/10.1016/0032-0633(94)90005-1"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oi.org/10.1080/02786820126852" TargetMode="External"/><Relationship Id="rId5" Type="http://schemas.openxmlformats.org/officeDocument/2006/relationships/customXml" Target="../customXml/item5.xml"/><Relationship Id="rId15" Type="http://schemas.openxmlformats.org/officeDocument/2006/relationships/hyperlink" Target="https://doi.org/10.1016/j.sna.2018.07.029" TargetMode="External"/><Relationship Id="rId23" Type="http://schemas.openxmlformats.org/officeDocument/2006/relationships/hyperlink" Target="https://doi.org/10.1016/j.dt.2014.06.003" TargetMode="External"/><Relationship Id="rId28"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hyperlink" Target="https://doi.org/10.1088/1361-6501/ad0fd4"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3390/s23125635" TargetMode="External"/><Relationship Id="rId22" Type="http://schemas.openxmlformats.org/officeDocument/2006/relationships/hyperlink" Target="https://doi.org/10.3390/su15020951" TargetMode="External"/><Relationship Id="rId27" Type="http://schemas.openxmlformats.org/officeDocument/2006/relationships/image" Target="media/image3.jpe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D47A98B-5236-4DB8-8B30-C57812109274}">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titus xmlns="http://schemas.titus.com/TitusProperties/">
  <TitusGUID xmlns="">4247def6-38e5-43c1-9dee-a57c011fd0e5</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281490268b6cb28e00d2308656876143">
  <xsd:schema xmlns:xsd="http://www.w3.org/2001/XMLSchema" xmlns:xs="http://www.w3.org/2001/XMLSchema" xmlns:p="http://schemas.microsoft.com/office/2006/metadata/properties" xmlns:ns3="da3f2772-8f1e-4acb-bd98-3a0ee892f48a" targetNamespace="http://schemas.microsoft.com/office/2006/metadata/properties" ma:root="true" ma:fieldsID="6470ac0792510a7f970fcb62dc53ff03"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1</b:Tag>
    <b:SourceType>JournalArticle</b:SourceType>
    <b:Guid>{397918A6-8302-49F8-89A4-CEABD34EA39A}</b:Guid>
    <b:RefOrder>1</b:RefOrder>
  </b:Source>
  <b:Source>
    <b:Tag>2</b:Tag>
    <b:SourceType>JournalArticle</b:SourceType>
    <b:Guid>{8176AA0B-1E00-4E43-B33B-318B7658DE71}</b:Guid>
    <b:RefOrder>2</b:RefOrder>
  </b:Source>
  <b:Source>
    <b:Tag>3</b:Tag>
    <b:SourceType>JournalArticle</b:SourceType>
    <b:Guid>{7269A9C9-1885-4445-AAF5-0EEEF0891AE0}</b:Guid>
    <b:RefOrder>3</b:RefOrder>
  </b:Source>
  <b:Source>
    <b:Tag>4</b:Tag>
    <b:SourceType>JournalArticle</b:SourceType>
    <b:Guid>{A9E4F29E-7567-4B10-BF67-3A954C83A044}</b:Guid>
    <b:RefOrder>4</b:RefOrder>
  </b:Source>
  <b:Source>
    <b:Tag>5</b:Tag>
    <b:SourceType>JournalArticle</b:SourceType>
    <b:Guid>{86E9511F-92A8-494D-88FC-EE323524D0FB}</b:Guid>
    <b:RefOrder>5</b:RefOrder>
  </b:Source>
  <b:Source>
    <b:Tag>6</b:Tag>
    <b:SourceType>JournalArticle</b:SourceType>
    <b:Guid>{C56A1550-A9E8-44DE-8460-10EF0475FBD8}</b:Guid>
    <b:RefOrder>6</b:RefOrder>
  </b:Source>
  <b:Source>
    <b:Tag>8</b:Tag>
    <b:SourceType>JournalArticle</b:SourceType>
    <b:Guid>{475EF96F-FA3B-49D0-B9CC-18E366DBC2AB}</b:Guid>
    <b:RefOrder>8</b:RefOrder>
  </b:Source>
  <b:Source>
    <b:Tag>7</b:Tag>
    <b:SourceType>JournalArticle</b:SourceType>
    <b:Guid>{3D2C4546-CBF1-4016-B3B6-9A2221527F2E}</b:Guid>
    <b:RefOrder>7</b:RefOrder>
  </b:Source>
  <b:Source>
    <b:Tag>9</b:Tag>
    <b:SourceType>JournalArticle</b:SourceType>
    <b:Guid>{0F39D023-23B1-46E4-87DF-472C6CF232AC}</b:Guid>
    <b:RefOrder>9</b:RefOrder>
  </b:Source>
  <b:Source>
    <b:Tag>10</b:Tag>
    <b:SourceType>JournalArticle</b:SourceType>
    <b:Guid>{EF946CA8-3E43-4BE3-9C91-569DE96C8709}</b:Guid>
    <b:RefOrder>10</b:RefOrder>
  </b:Source>
  <b:Source>
    <b:Tag>11</b:Tag>
    <b:SourceType>JournalArticle</b:SourceType>
    <b:Guid>{AD8C2ED0-3EAF-4EC9-8AA6-0903FB06BB4C}</b:Guid>
    <b:RefOrder>11</b:RefOrder>
  </b:Source>
  <b:Source>
    <b:Tag>12</b:Tag>
    <b:SourceType>JournalArticle</b:SourceType>
    <b:Guid>{DB90AAB7-5A9E-459B-AD96-C322FCA2B90C}</b:Guid>
    <b:RefOrder>13</b:RefOrder>
  </b:Source>
  <b:Source>
    <b:Tag>13</b:Tag>
    <b:SourceType>JournalArticle</b:SourceType>
    <b:Guid>{0EF43A7C-8641-425A-9E94-3756A1195467}</b:Guid>
    <b:RefOrder>14</b:RefOrder>
  </b:Source>
  <b:Source>
    <b:Tag>14</b:Tag>
    <b:SourceType>JournalArticle</b:SourceType>
    <b:Guid>{A7B52E38-8AA5-4EAC-9029-AE86BD21A14E}</b:Guid>
    <b:RefOrder>12</b:RefOrder>
  </b:Source>
  <b:Source>
    <b:Tag>16</b:Tag>
    <b:SourceType>JournalArticle</b:SourceType>
    <b:Guid>{212FB5B0-CD77-474C-8582-4751F21AFAC2}</b:Guid>
    <b:RefOrder>15</b:RefOrder>
  </b:Source>
  <b:Source>
    <b:Tag>15</b:Tag>
    <b:SourceType>JournalArticle</b:SourceType>
    <b:Guid>{85F8F3AD-68FA-4810-A98C-3D627AC9F988}</b:Guid>
    <b:RefOrder>16</b:RefOrder>
  </b:Source>
  <b:Source>
    <b:Tag>17</b:Tag>
    <b:SourceType>JournalArticle</b:SourceType>
    <b:Guid>{BF26B441-4429-43D0-BAEB-9BF431463AC2}</b:Guid>
    <b:RefOrder>17</b:RefOrder>
  </b:Source>
  <b:Source>
    <b:Tag>18</b:Tag>
    <b:SourceType>JournalArticle</b:SourceType>
    <b:Guid>{AB24141F-B25B-4D5B-845E-48DBEEFF0BAB}</b:Guid>
    <b:RefOrder>18</b:RefOrder>
  </b:Source>
  <b:Source>
    <b:Tag>19</b:Tag>
    <b:SourceType>JournalArticle</b:SourceType>
    <b:Guid>{E6F84026-3A82-4D0C-AB20-38F9AEAF2F22}</b:Guid>
    <b:RefOrder>19</b:RefOrder>
  </b:Source>
  <b:Source>
    <b:Tag>20</b:Tag>
    <b:SourceType>JournalArticle</b:SourceType>
    <b:Guid>{3557F1B5-0B06-48ED-BBF5-A1797B851E0E}</b:Guid>
    <b:RefOrder>20</b:RefOrder>
  </b:Source>
  <b:Source>
    <b:Tag>21</b:Tag>
    <b:SourceType>JournalArticle</b:SourceType>
    <b:Guid>{DEA9CE21-E620-4924-90C6-69AAE7162466}</b:Guid>
    <b:RefOrder>21</b:RefOrder>
  </b:Source>
  <b:Source>
    <b:Tag>22</b:Tag>
    <b:SourceType>JournalArticle</b:SourceType>
    <b:Guid>{7E6A60DC-A104-4D09-A535-5A02AB6E78A0}</b:Guid>
    <b:RefOrder>22</b:RefOrder>
  </b:Source>
  <b:Source>
    <b:Tag>23</b:Tag>
    <b:SourceType>JournalArticle</b:SourceType>
    <b:Guid>{EE8C0F9E-C6D3-4CCB-96FB-F3A78F71454D}</b:Guid>
    <b:RefOrder>23</b:RefOrder>
  </b:Source>
  <b:Source>
    <b:Tag>24</b:Tag>
    <b:SourceType>JournalArticle</b:SourceType>
    <b:Guid>{82609416-441D-4E1D-8505-797D60A99615}</b:Guid>
    <b:RefOrder>24</b:RefOrder>
  </b:Source>
  <b:Source>
    <b:Tag>25</b:Tag>
    <b:SourceType>JournalArticle</b:SourceType>
    <b:Guid>{1D3083D3-5B8C-4D94-B70C-7210A4E7C6D8}</b:Guid>
    <b:Author>
      <b:Author>
        <b:NameList>
          <b:Person>
            <b:Last>25</b:Last>
          </b:Person>
        </b:NameList>
      </b:Author>
    </b:Author>
    <b:RefOrder>25</b:RefOrder>
  </b:Source>
</b:Sources>
</file>

<file path=customXml/itemProps1.xml><?xml version="1.0" encoding="utf-8"?>
<ds:datastoreItem xmlns:ds="http://schemas.openxmlformats.org/officeDocument/2006/customXml" ds:itemID="{2491C9EE-5957-41DE-B6D1-034FE645FFF6}">
  <ds:schemaRefs>
    <ds:schemaRef ds:uri="http://schemas.titus.com/TitusProperties/"/>
    <ds:schemaRef ds:uri=""/>
  </ds:schemaRefs>
</ds:datastoreItem>
</file>

<file path=customXml/itemProps2.xml><?xml version="1.0" encoding="utf-8"?>
<ds:datastoreItem xmlns:ds="http://schemas.openxmlformats.org/officeDocument/2006/customXml" ds:itemID="{6C98C225-02B2-4DA3-BAA4-94612F318C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B49F14-55B7-47CC-8DB9-A7B73CBF0349}">
  <ds:schemaRefs>
    <ds:schemaRef ds:uri="http://schemas.microsoft.com/sharepoint/v3/contenttype/forms"/>
  </ds:schemaRefs>
</ds:datastoreItem>
</file>

<file path=customXml/itemProps4.xml><?xml version="1.0" encoding="utf-8"?>
<ds:datastoreItem xmlns:ds="http://schemas.openxmlformats.org/officeDocument/2006/customXml" ds:itemID="{EF3D2E9C-8685-436F-9125-03EC6B78357E}">
  <ds:schemaRefs>
    <ds:schemaRef ds:uri="http://schemas.microsoft.com/office/2006/metadata/properties"/>
    <ds:schemaRef ds:uri="http://schemas.microsoft.com/office/infopath/2007/PartnerControls"/>
    <ds:schemaRef ds:uri="da3f2772-8f1e-4acb-bd98-3a0ee892f48a"/>
  </ds:schemaRefs>
</ds:datastoreItem>
</file>

<file path=customXml/itemProps5.xml><?xml version="1.0" encoding="utf-8"?>
<ds:datastoreItem xmlns:ds="http://schemas.openxmlformats.org/officeDocument/2006/customXml" ds:itemID="{E774BC48-34CC-40F2-A857-EDA8BF916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4543</Words>
  <Characters>27901</Characters>
  <Application>Microsoft Office Word</Application>
  <DocSecurity>0</DocSecurity>
  <Lines>664</Lines>
  <Paragraphs>331</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32113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Bush, Libbie (UK)</dc:creator>
  <cp:keywords/>
  <dc:description/>
  <cp:lastModifiedBy>Libbie Bush (2223155)</cp:lastModifiedBy>
  <cp:revision>2</cp:revision>
  <dcterms:created xsi:type="dcterms:W3CDTF">2026-01-23T13:44:00Z</dcterms:created>
  <dcterms:modified xsi:type="dcterms:W3CDTF">2026-01-23T13:44:00Z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4247def6-38e5-43c1-9dee-a57c011fd0e5</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y fmtid="{D5CDD505-2E9C-101B-9397-08002B2CF9AE}" pid="10" name="GrammarlyDocumentId">
    <vt:lpwstr>70b24539-82f1-46ac-aef5-be3e43ee9c6e</vt:lpwstr>
  </property>
  <property fmtid="{D5CDD505-2E9C-101B-9397-08002B2CF9AE}" pid="11" name="ContentTypeId">
    <vt:lpwstr>0x01010060EEA2F366178047808FA03462A57F61</vt:lpwstr>
  </property>
</Properties>
</file>