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FE4D95D" w:rsidR="007801F9" w:rsidRDefault="00B81502" w:rsidP="00BF6F6C">
            <w:pPr>
              <w:pStyle w:val="fixed"/>
              <w:ind w:left="0" w:firstLine="0"/>
              <w:rPr>
                <w:rFonts w:ascii="Arial" w:hAnsi="Arial" w:cs="Arial"/>
                <w:sz w:val="22"/>
                <w:szCs w:val="22"/>
              </w:rPr>
            </w:pPr>
            <w:r>
              <w:rPr>
                <w:rFonts w:ascii="Arial" w:hAnsi="Arial" w:cs="Arial"/>
                <w:sz w:val="22"/>
                <w:szCs w:val="22"/>
              </w:rPr>
              <w:t>Error and Sweet Violence: Shakespeare and Renaissance Comedy and Tragedy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33B331F2" w:rsidR="007801F9" w:rsidRDefault="00FB66CE" w:rsidP="00BF6F6C">
                <w:pPr>
                  <w:pStyle w:val="fixed"/>
                  <w:ind w:left="0" w:firstLine="0"/>
                  <w:rPr>
                    <w:rFonts w:ascii="Arial" w:hAnsi="Arial" w:cs="Arial"/>
                    <w:sz w:val="22"/>
                    <w:szCs w:val="22"/>
                  </w:rPr>
                </w:pPr>
                <w:r>
                  <w:rPr>
                    <w:rFonts w:ascii="Arial" w:hAnsi="Arial" w:cs="Arial"/>
                    <w:sz w:val="22"/>
                    <w:szCs w:val="22"/>
                  </w:rPr>
                  <w:t>5</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234CB5C" w14:textId="3816768E" w:rsidR="00900C5C" w:rsidRPr="009F7E6D" w:rsidRDefault="00AC3AC6" w:rsidP="00900C5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0243D0">
        <w:rPr>
          <w:rFonts w:ascii="Arial" w:hAnsi="Arial" w:cs="Arial"/>
          <w:sz w:val="22"/>
          <w:szCs w:val="22"/>
        </w:rPr>
        <w:t>To provide students with the opportunity to study a range of the dramatic comedy and tragedy of the Tudor (Elizabethan) and Stuart (Jacobean and Caroline) periods, with a special focus on the drama of Shakespeare whose own output straddles the succession between these dynastic reigns; and to examine dramatic texts, and the contemporary reception of them and their performance, as participati</w:t>
      </w:r>
      <w:r w:rsidRPr="000243D0">
        <w:rPr>
          <w:rFonts w:ascii="Arial" w:hAnsi="Arial" w:cs="Arial"/>
          <w:spacing w:val="-3"/>
          <w:sz w:val="22"/>
          <w:szCs w:val="22"/>
        </w:rPr>
        <w:t>ng in major social, political, intellectual, and religious shifts.</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686FCDD1" w14:textId="3F11FB5F" w:rsidR="00AC3AC6" w:rsidRPr="000243D0" w:rsidRDefault="00AC3AC6" w:rsidP="00AC3AC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critical</w:t>
      </w:r>
      <w:r w:rsidRPr="000243D0">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0243D0">
        <w:rPr>
          <w:rFonts w:ascii="Arial" w:hAnsi="Arial" w:cs="Arial"/>
          <w:sz w:val="22"/>
          <w:szCs w:val="22"/>
        </w:rPr>
        <w:t>subject</w:t>
      </w:r>
      <w:r>
        <w:rPr>
          <w:rFonts w:ascii="Arial" w:hAnsi="Arial" w:cs="Arial"/>
          <w:sz w:val="22"/>
          <w:szCs w:val="22"/>
        </w:rPr>
        <w:t>;</w:t>
      </w:r>
      <w:proofErr w:type="gramEnd"/>
    </w:p>
    <w:p w14:paraId="20D1DEBE" w14:textId="77777777" w:rsidR="00AC3AC6" w:rsidRDefault="00AC3AC6" w:rsidP="00AC3AC6">
      <w:pPr>
        <w:pStyle w:val="bullet"/>
        <w:overflowPunct/>
        <w:autoSpaceDE/>
        <w:autoSpaceDN/>
        <w:adjustRightInd/>
        <w:spacing w:before="0"/>
        <w:ind w:left="851" w:firstLine="0"/>
        <w:textAlignment w:val="auto"/>
        <w:rPr>
          <w:rFonts w:ascii="Arial" w:hAnsi="Arial" w:cs="Arial"/>
          <w:sz w:val="22"/>
          <w:szCs w:val="22"/>
        </w:rPr>
      </w:pPr>
    </w:p>
    <w:p w14:paraId="2437C8A8" w14:textId="4EE47E51" w:rsidR="00AC3AC6" w:rsidRPr="000243D0" w:rsidRDefault="00AC3AC6" w:rsidP="00AC3AC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secure</w:t>
      </w:r>
      <w:r w:rsidRPr="000243D0">
        <w:rPr>
          <w:rFonts w:ascii="Arial" w:hAnsi="Arial" w:cs="Arial"/>
          <w:sz w:val="22"/>
          <w:szCs w:val="22"/>
        </w:rPr>
        <w:t xml:space="preserve"> knowledge of a range of Shakespearean drama and of traditions of Shakespeare criticism, and a critical understanding of the role of the canon of English literature and the central place of Shakespeare within </w:t>
      </w:r>
      <w:proofErr w:type="gramStart"/>
      <w:r w:rsidRPr="000243D0">
        <w:rPr>
          <w:rFonts w:ascii="Arial" w:hAnsi="Arial" w:cs="Arial"/>
          <w:sz w:val="22"/>
          <w:szCs w:val="22"/>
        </w:rPr>
        <w:t>it</w:t>
      </w:r>
      <w:r>
        <w:rPr>
          <w:rFonts w:ascii="Arial" w:hAnsi="Arial" w:cs="Arial"/>
          <w:sz w:val="22"/>
          <w:szCs w:val="22"/>
        </w:rPr>
        <w:t>;</w:t>
      </w:r>
      <w:proofErr w:type="gramEnd"/>
    </w:p>
    <w:p w14:paraId="70A003C2" w14:textId="77777777" w:rsidR="00AC3AC6" w:rsidRDefault="00AC3AC6" w:rsidP="00AC3AC6">
      <w:pPr>
        <w:pStyle w:val="bullet"/>
        <w:overflowPunct/>
        <w:autoSpaceDE/>
        <w:autoSpaceDN/>
        <w:adjustRightInd/>
        <w:spacing w:before="0"/>
        <w:ind w:left="851" w:firstLine="0"/>
        <w:textAlignment w:val="auto"/>
        <w:rPr>
          <w:rFonts w:ascii="Arial" w:hAnsi="Arial" w:cs="Arial"/>
          <w:sz w:val="22"/>
          <w:szCs w:val="22"/>
        </w:rPr>
      </w:pPr>
    </w:p>
    <w:p w14:paraId="0B19A6EE" w14:textId="2E5AE8C1" w:rsidR="00AC3AC6" w:rsidRPr="000243D0" w:rsidRDefault="00AC3AC6" w:rsidP="00AC3AC6">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interrelate the theatre with other aspects of English Renaissance culture and with social, political, intellectual, and religious history.</w:t>
      </w:r>
    </w:p>
    <w:p w14:paraId="7225C064" w14:textId="77777777" w:rsidR="00AC3AC6" w:rsidRPr="000243D0" w:rsidRDefault="00AC3AC6" w:rsidP="00AC3AC6">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61E35547" w14:textId="77777777"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 xml:space="preserve">A selection of the comedies (including romances) and tragedies of Shakespeare and of his contemporary playwrights. Those from whose representative works texts may be drawn include Marlowe, Kyd, </w:t>
      </w:r>
      <w:proofErr w:type="spellStart"/>
      <w:r w:rsidRPr="00D16AB8">
        <w:rPr>
          <w:rFonts w:ascii="Arial" w:hAnsi="Arial" w:cs="Arial"/>
          <w:sz w:val="22"/>
          <w:szCs w:val="22"/>
        </w:rPr>
        <w:t>Greville</w:t>
      </w:r>
      <w:proofErr w:type="spellEnd"/>
      <w:r w:rsidRPr="00D16AB8">
        <w:rPr>
          <w:rFonts w:ascii="Arial" w:hAnsi="Arial" w:cs="Arial"/>
          <w:sz w:val="22"/>
          <w:szCs w:val="22"/>
        </w:rPr>
        <w:t>, Jonson, Middleton, Rowley, Chapman, Marston, Massinger, Webster, Dekker, and Ford.</w:t>
      </w:r>
    </w:p>
    <w:p w14:paraId="20F31443" w14:textId="77777777" w:rsidR="00F624E2" w:rsidRDefault="00F624E2" w:rsidP="00F624E2">
      <w:pPr>
        <w:pStyle w:val="ListParagraph"/>
        <w:ind w:left="851"/>
        <w:rPr>
          <w:rFonts w:ascii="Arial" w:hAnsi="Arial" w:cs="Arial"/>
          <w:sz w:val="22"/>
          <w:szCs w:val="22"/>
        </w:rPr>
      </w:pPr>
    </w:p>
    <w:p w14:paraId="694B7855" w14:textId="2156FB4A"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In the study of plays the module seeks to consider not only the dramatic texts but their early production and publication, to interrelate the theatre with other aspects of culture, and to examine dramatic texts, and the contemporary reception of them and their performance, as participati</w:t>
      </w:r>
      <w:r w:rsidRPr="00D16AB8">
        <w:rPr>
          <w:rFonts w:ascii="Arial" w:hAnsi="Arial" w:cs="Arial"/>
          <w:spacing w:val="-3"/>
          <w:sz w:val="22"/>
          <w:szCs w:val="22"/>
        </w:rPr>
        <w:t xml:space="preserve">ng in </w:t>
      </w:r>
      <w:r w:rsidRPr="00D16AB8">
        <w:rPr>
          <w:rFonts w:ascii="Arial" w:hAnsi="Arial" w:cs="Arial"/>
          <w:sz w:val="22"/>
          <w:szCs w:val="22"/>
        </w:rPr>
        <w:t xml:space="preserve">the emergence of </w:t>
      </w:r>
      <w:r w:rsidRPr="00D16AB8">
        <w:rPr>
          <w:rFonts w:ascii="Arial" w:hAnsi="Arial" w:cs="Arial"/>
          <w:spacing w:val="-3"/>
          <w:sz w:val="22"/>
          <w:szCs w:val="22"/>
        </w:rPr>
        <w:t>fault-lines or conflicts in ideologies such as those of sexual and racial difference, social and ecclesiastical integration, and the individual subject</w:t>
      </w:r>
      <w:r w:rsidRPr="00D16AB8">
        <w:rPr>
          <w:rFonts w:ascii="Arial" w:hAnsi="Arial" w:cs="Arial"/>
          <w:sz w:val="22"/>
          <w:szCs w:val="22"/>
        </w:rPr>
        <w:t>.</w:t>
      </w:r>
    </w:p>
    <w:p w14:paraId="1315C0DC" w14:textId="77777777" w:rsidR="00F624E2" w:rsidRDefault="00F624E2" w:rsidP="00F624E2">
      <w:pPr>
        <w:pStyle w:val="ListParagraph"/>
        <w:ind w:left="851"/>
        <w:rPr>
          <w:rFonts w:ascii="Arial" w:hAnsi="Arial" w:cs="Arial"/>
          <w:sz w:val="22"/>
          <w:szCs w:val="22"/>
        </w:rPr>
      </w:pPr>
    </w:p>
    <w:p w14:paraId="0F54322B" w14:textId="285D01AB"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t>‘Shakespeare’ is not only central to the canon of English literature, but a powerful cultural institution, so attention is given to traditions of criticism: changing interpretations of the Shakespearean canon will be related to the cultural formations which produce(d) them, and which those interpretations in turn reproduce, or help to change. This approach also seeks to contextualise Shakespeare in the collaborative practices of the Renaissance theatre.</w:t>
      </w:r>
    </w:p>
    <w:p w14:paraId="0E13EC48" w14:textId="77777777" w:rsidR="00F624E2" w:rsidRDefault="00F624E2" w:rsidP="00F624E2">
      <w:pPr>
        <w:pStyle w:val="ListParagraph"/>
        <w:ind w:left="851"/>
        <w:rPr>
          <w:rFonts w:ascii="Arial" w:hAnsi="Arial" w:cs="Arial"/>
          <w:sz w:val="22"/>
          <w:szCs w:val="22"/>
        </w:rPr>
      </w:pPr>
    </w:p>
    <w:p w14:paraId="2C155491" w14:textId="44947331" w:rsidR="00F624E2" w:rsidRPr="00D16AB8" w:rsidRDefault="00F624E2" w:rsidP="00F624E2">
      <w:pPr>
        <w:pStyle w:val="ListParagraph"/>
        <w:numPr>
          <w:ilvl w:val="0"/>
          <w:numId w:val="2"/>
        </w:numPr>
        <w:ind w:left="851" w:hanging="567"/>
        <w:rPr>
          <w:rFonts w:ascii="Arial" w:hAnsi="Arial" w:cs="Arial"/>
          <w:sz w:val="22"/>
          <w:szCs w:val="22"/>
        </w:rPr>
      </w:pPr>
      <w:r w:rsidRPr="00D16AB8">
        <w:rPr>
          <w:rFonts w:ascii="Arial" w:hAnsi="Arial" w:cs="Arial"/>
          <w:sz w:val="22"/>
          <w:szCs w:val="22"/>
        </w:rPr>
        <w:lastRenderedPageBreak/>
        <w:t>Tragedy in particular has been described as attracting the fundamental beliefs and tensions of a period, and disagreements about the nature of tragedy are likely to be explored, including its relationship with justice, redemption, the individual, the state, the causes of suffering and conflict (whether contingent or necessary), and radical opposition and conservatism. Both tragedy and comedy may be explored in relation to concepts of containment and subversion and to questions of relevance (an ambiguous term which is open to different and conflicting interpretations) and historical difference. Comedy, which according to Philip Sidney ‘is an imitation of the common errors of our life’, may be examined in relation to debates about frivolous or abusive stage entertainment and the inculcation of virtue through emotion and imagination.</w:t>
      </w:r>
    </w:p>
    <w:p w14:paraId="450D99AE" w14:textId="77777777" w:rsidR="00F624E2" w:rsidRDefault="00F624E2" w:rsidP="00F624E2">
      <w:pPr>
        <w:pStyle w:val="ListParagraph"/>
        <w:ind w:left="851"/>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4EDCC93D" w:rsidR="00B1208A" w:rsidRPr="00B1208A" w:rsidRDefault="00F624E2" w:rsidP="008D7603">
            <w:pPr>
              <w:jc w:val="center"/>
              <w:rPr>
                <w:rFonts w:ascii="Arial" w:hAnsi="Arial" w:cs="Arial"/>
                <w:sz w:val="22"/>
                <w:szCs w:val="22"/>
              </w:rPr>
            </w:pPr>
            <w:r>
              <w:rPr>
                <w:rFonts w:ascii="Arial" w:hAnsi="Arial" w:cs="Arial"/>
                <w:sz w:val="22"/>
                <w:szCs w:val="22"/>
              </w:rPr>
              <w:t>Written exercise on early textual history and performance</w:t>
            </w:r>
          </w:p>
        </w:tc>
        <w:tc>
          <w:tcPr>
            <w:tcW w:w="3969" w:type="dxa"/>
          </w:tcPr>
          <w:p w14:paraId="0BE1ECE5" w14:textId="4F69C929" w:rsidR="00B1208A" w:rsidRPr="00F0221E" w:rsidRDefault="00F624E2" w:rsidP="00F0221E">
            <w:pPr>
              <w:jc w:val="left"/>
              <w:rPr>
                <w:rFonts w:ascii="Arial" w:hAnsi="Arial" w:cs="Arial"/>
                <w:sz w:val="22"/>
                <w:szCs w:val="22"/>
                <w:highlight w:val="yellow"/>
              </w:rPr>
            </w:pPr>
            <w:r>
              <w:rPr>
                <w:rFonts w:ascii="Arial" w:hAnsi="Arial" w:cs="Arial"/>
                <w:sz w:val="22"/>
                <w:szCs w:val="22"/>
              </w:rPr>
              <w:t>1,250 words</w:t>
            </w:r>
          </w:p>
        </w:tc>
        <w:tc>
          <w:tcPr>
            <w:tcW w:w="1559" w:type="dxa"/>
          </w:tcPr>
          <w:p w14:paraId="7549C0D0" w14:textId="7A0633E5" w:rsidR="00B1208A" w:rsidRPr="00B1208A" w:rsidRDefault="00E064AE" w:rsidP="008D7603">
            <w:pPr>
              <w:rPr>
                <w:rFonts w:ascii="Arial" w:hAnsi="Arial" w:cs="Arial"/>
                <w:sz w:val="22"/>
                <w:szCs w:val="22"/>
              </w:rPr>
            </w:pPr>
            <w:r>
              <w:rPr>
                <w:rFonts w:ascii="Arial" w:hAnsi="Arial" w:cs="Arial"/>
                <w:sz w:val="22"/>
                <w:szCs w:val="22"/>
              </w:rPr>
              <w:t>25</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53BBF187" w:rsidR="00F624E2" w:rsidRPr="00B1208A" w:rsidRDefault="00F624E2" w:rsidP="00F14270">
            <w:pPr>
              <w:jc w:val="center"/>
              <w:rPr>
                <w:rFonts w:ascii="Arial" w:hAnsi="Arial" w:cs="Arial"/>
                <w:sz w:val="22"/>
                <w:szCs w:val="22"/>
              </w:rPr>
            </w:pPr>
            <w:r>
              <w:rPr>
                <w:rFonts w:ascii="Arial" w:hAnsi="Arial" w:cs="Arial"/>
                <w:sz w:val="22"/>
                <w:szCs w:val="22"/>
              </w:rPr>
              <w:t>Theatre review</w:t>
            </w:r>
          </w:p>
        </w:tc>
        <w:tc>
          <w:tcPr>
            <w:tcW w:w="3969" w:type="dxa"/>
          </w:tcPr>
          <w:p w14:paraId="7693FA40" w14:textId="77777777" w:rsidR="00F624E2" w:rsidRPr="00F0221E" w:rsidRDefault="00F624E2" w:rsidP="00F14270">
            <w:pPr>
              <w:jc w:val="left"/>
              <w:rPr>
                <w:rFonts w:ascii="Arial" w:hAnsi="Arial" w:cs="Arial"/>
                <w:sz w:val="22"/>
                <w:szCs w:val="22"/>
                <w:highlight w:val="yellow"/>
              </w:rPr>
            </w:pPr>
            <w:r>
              <w:rPr>
                <w:rFonts w:ascii="Arial" w:hAnsi="Arial" w:cs="Arial"/>
                <w:sz w:val="22"/>
                <w:szCs w:val="22"/>
              </w:rPr>
              <w:t>1,250 words</w:t>
            </w:r>
          </w:p>
        </w:tc>
        <w:tc>
          <w:tcPr>
            <w:tcW w:w="1559" w:type="dxa"/>
          </w:tcPr>
          <w:p w14:paraId="25F4682E" w14:textId="77777777" w:rsidR="00F624E2" w:rsidRPr="00B1208A" w:rsidRDefault="00F624E2" w:rsidP="00F14270">
            <w:pPr>
              <w:rPr>
                <w:rFonts w:ascii="Arial" w:hAnsi="Arial" w:cs="Arial"/>
                <w:sz w:val="22"/>
                <w:szCs w:val="22"/>
              </w:rPr>
            </w:pPr>
            <w:r>
              <w:rPr>
                <w:rFonts w:ascii="Arial" w:hAnsi="Arial" w:cs="Arial"/>
                <w:sz w:val="22"/>
                <w:szCs w:val="22"/>
              </w:rPr>
              <w:t>25%</w:t>
            </w:r>
          </w:p>
        </w:tc>
      </w:tr>
    </w:tbl>
    <w:p w14:paraId="337AB48E" w14:textId="77777777" w:rsidR="00F624E2" w:rsidRPr="00B1208A" w:rsidRDefault="00F624E2" w:rsidP="00F624E2">
      <w:pPr>
        <w:rPr>
          <w:rFonts w:ascii="Arial" w:hAnsi="Arial" w:cs="Arial"/>
          <w:b/>
          <w:sz w:val="22"/>
          <w:szCs w:val="22"/>
        </w:rPr>
      </w:pPr>
    </w:p>
    <w:p w14:paraId="33F5F3EB" w14:textId="77777777" w:rsidR="00F624E2" w:rsidRPr="00B1208A" w:rsidRDefault="00F624E2"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30F27259" w:rsidR="00B1208A" w:rsidRPr="00B1208A" w:rsidRDefault="00B1208A" w:rsidP="00B1208A">
      <w:pPr>
        <w:rPr>
          <w:rFonts w:ascii="Arial" w:hAnsi="Arial" w:cs="Arial"/>
          <w:b/>
          <w:sz w:val="22"/>
          <w:szCs w:val="22"/>
        </w:rPr>
      </w:pPr>
      <w:r w:rsidRPr="00B1208A">
        <w:rPr>
          <w:rFonts w:ascii="Arial" w:hAnsi="Arial" w:cs="Arial"/>
          <w:b/>
          <w:sz w:val="22"/>
          <w:szCs w:val="22"/>
        </w:rPr>
        <w:t xml:space="preserve">Assessment Component </w:t>
      </w:r>
      <w:r w:rsidR="00F624E2">
        <w:rPr>
          <w:rFonts w:ascii="Arial" w:hAnsi="Arial" w:cs="Arial"/>
          <w:b/>
          <w:sz w:val="22"/>
          <w:szCs w:val="22"/>
        </w:rPr>
        <w:t>3</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246F7F3B" w:rsidR="00B53530" w:rsidRPr="00B1208A" w:rsidRDefault="00C45737" w:rsidP="00447080">
            <w:pPr>
              <w:jc w:val="center"/>
              <w:rPr>
                <w:rFonts w:ascii="Arial" w:hAnsi="Arial" w:cs="Arial"/>
                <w:sz w:val="22"/>
                <w:szCs w:val="22"/>
              </w:rPr>
            </w:pPr>
            <w:r>
              <w:rPr>
                <w:rFonts w:ascii="Arial" w:hAnsi="Arial" w:cs="Arial"/>
                <w:sz w:val="22"/>
                <w:szCs w:val="22"/>
              </w:rPr>
              <w:t>Essay</w:t>
            </w:r>
          </w:p>
        </w:tc>
        <w:tc>
          <w:tcPr>
            <w:tcW w:w="3969" w:type="dxa"/>
          </w:tcPr>
          <w:p w14:paraId="4D365A28" w14:textId="4D3D09B2" w:rsidR="00B53530" w:rsidRPr="00F0221E" w:rsidRDefault="00F624E2" w:rsidP="00447080">
            <w:pPr>
              <w:jc w:val="left"/>
              <w:rPr>
                <w:rFonts w:ascii="Arial" w:hAnsi="Arial" w:cs="Arial"/>
                <w:sz w:val="22"/>
                <w:szCs w:val="22"/>
                <w:highlight w:val="yellow"/>
              </w:rPr>
            </w:pPr>
            <w:r>
              <w:rPr>
                <w:rFonts w:ascii="Arial" w:hAnsi="Arial" w:cs="Arial"/>
                <w:sz w:val="22"/>
                <w:szCs w:val="22"/>
              </w:rPr>
              <w:t>2</w:t>
            </w:r>
            <w:r w:rsidR="00C45737" w:rsidRPr="00C45737">
              <w:rPr>
                <w:rFonts w:ascii="Arial" w:hAnsi="Arial" w:cs="Arial"/>
                <w:sz w:val="22"/>
                <w:szCs w:val="22"/>
              </w:rPr>
              <w:t>,</w:t>
            </w:r>
            <w:r w:rsidR="00CD2461">
              <w:rPr>
                <w:rFonts w:ascii="Arial" w:hAnsi="Arial" w:cs="Arial"/>
                <w:sz w:val="22"/>
                <w:szCs w:val="22"/>
              </w:rPr>
              <w:t>5</w:t>
            </w:r>
            <w:r w:rsidR="00C45737" w:rsidRPr="00C45737">
              <w:rPr>
                <w:rFonts w:ascii="Arial" w:hAnsi="Arial" w:cs="Arial"/>
                <w:sz w:val="22"/>
                <w:szCs w:val="22"/>
              </w:rPr>
              <w:t>00 words</w:t>
            </w:r>
          </w:p>
        </w:tc>
        <w:tc>
          <w:tcPr>
            <w:tcW w:w="1559" w:type="dxa"/>
          </w:tcPr>
          <w:p w14:paraId="392D9CCE" w14:textId="43441646" w:rsidR="00B53530" w:rsidRPr="00B1208A" w:rsidRDefault="00E064AE" w:rsidP="00447080">
            <w:pPr>
              <w:rPr>
                <w:rFonts w:ascii="Arial" w:hAnsi="Arial" w:cs="Arial"/>
                <w:sz w:val="22"/>
                <w:szCs w:val="22"/>
              </w:rPr>
            </w:pPr>
            <w:r>
              <w:rPr>
                <w:rFonts w:ascii="Arial" w:hAnsi="Arial" w:cs="Arial"/>
                <w:sz w:val="22"/>
                <w:szCs w:val="22"/>
              </w:rPr>
              <w:t>5</w:t>
            </w:r>
            <w:r w:rsidR="00F624E2">
              <w:rPr>
                <w:rFonts w:ascii="Arial" w:hAnsi="Arial" w:cs="Arial"/>
                <w:sz w:val="22"/>
                <w:szCs w:val="22"/>
              </w:rPr>
              <w:t>0</w:t>
            </w:r>
            <w:r w:rsidR="00C45737">
              <w:rPr>
                <w:rFonts w:ascii="Arial" w:hAnsi="Arial" w:cs="Arial"/>
                <w:sz w:val="22"/>
                <w:szCs w:val="22"/>
              </w:rPr>
              <w:t>%</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17D77C2F" w:rsidR="00A74B3E" w:rsidRPr="00A74B3E" w:rsidRDefault="00F624E2" w:rsidP="00DF0678">
            <w:pPr>
              <w:tabs>
                <w:tab w:val="num" w:pos="720"/>
                <w:tab w:val="left" w:pos="1440"/>
              </w:tabs>
              <w:rPr>
                <w:rFonts w:ascii="Arial" w:hAnsi="Arial" w:cs="Arial"/>
                <w:b/>
                <w:sz w:val="22"/>
                <w:szCs w:val="22"/>
              </w:rPr>
            </w:pPr>
            <w:r>
              <w:rPr>
                <w:rFonts w:ascii="Arial" w:hAnsi="Arial" w:cs="Arial"/>
                <w:b/>
                <w:sz w:val="22"/>
                <w:szCs w:val="22"/>
              </w:rPr>
              <w:t>Error and Sweet Violence: Shakespeare and Renaissance Comedy and Tragedy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F624E2" w:rsidRPr="00A74B3E" w14:paraId="7562E93A" w14:textId="77777777" w:rsidTr="00BA343F">
        <w:tc>
          <w:tcPr>
            <w:tcW w:w="1689" w:type="dxa"/>
          </w:tcPr>
          <w:p w14:paraId="54116887" w14:textId="00F3DCC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Essential</w:t>
            </w:r>
          </w:p>
        </w:tc>
        <w:tc>
          <w:tcPr>
            <w:tcW w:w="5605" w:type="dxa"/>
          </w:tcPr>
          <w:p w14:paraId="3AE3E739" w14:textId="2669C08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Wells, S. et al., ed., William Shakespeare: The Complete Works. Oxford: Oxford University press, 2005.</w:t>
            </w:r>
          </w:p>
        </w:tc>
        <w:tc>
          <w:tcPr>
            <w:tcW w:w="1366" w:type="dxa"/>
          </w:tcPr>
          <w:sdt>
            <w:sdtPr>
              <w:rPr>
                <w:rFonts w:ascii="Arial" w:hAnsi="Arial" w:cs="Arial"/>
                <w:sz w:val="22"/>
                <w:szCs w:val="22"/>
              </w:rPr>
              <w:id w:val="-812480840"/>
              <w14:checkbox>
                <w14:checked w14:val="0"/>
                <w14:checkedState w14:val="2612" w14:font="MS Gothic"/>
                <w14:uncheckedState w14:val="2610" w14:font="MS Gothic"/>
              </w14:checkbox>
            </w:sdtPr>
            <w:sdtContent>
              <w:p w14:paraId="542A49ED" w14:textId="420B7C51" w:rsidR="00F624E2" w:rsidRPr="00A74B3E"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1EB48349" w14:textId="77777777" w:rsidTr="00BA343F">
        <w:tc>
          <w:tcPr>
            <w:tcW w:w="1689" w:type="dxa"/>
          </w:tcPr>
          <w:p w14:paraId="6E9A57FE" w14:textId="4DAD1823"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Essential</w:t>
            </w:r>
          </w:p>
        </w:tc>
        <w:tc>
          <w:tcPr>
            <w:tcW w:w="5605" w:type="dxa"/>
          </w:tcPr>
          <w:p w14:paraId="322EAA47" w14:textId="0483DDA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Bevington, David et al. ed. English Renaissance Drama. New York and London: Norton, 2005. </w:t>
            </w:r>
          </w:p>
        </w:tc>
        <w:tc>
          <w:tcPr>
            <w:tcW w:w="1366" w:type="dxa"/>
          </w:tcPr>
          <w:sdt>
            <w:sdtPr>
              <w:rPr>
                <w:rFonts w:ascii="Arial" w:hAnsi="Arial" w:cs="Arial"/>
                <w:sz w:val="22"/>
                <w:szCs w:val="22"/>
              </w:rPr>
              <w:id w:val="-1612038221"/>
              <w14:checkbox>
                <w14:checked w14:val="0"/>
                <w14:checkedState w14:val="2612" w14:font="MS Gothic"/>
                <w14:uncheckedState w14:val="2610" w14:font="MS Gothic"/>
              </w14:checkbox>
            </w:sdtPr>
            <w:sdtContent>
              <w:p w14:paraId="43473B23" w14:textId="51DBB2A0" w:rsidR="00F624E2" w:rsidRPr="00A74B3E"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63312798" w14:textId="77777777" w:rsidTr="00BA343F">
        <w:tc>
          <w:tcPr>
            <w:tcW w:w="1689" w:type="dxa"/>
          </w:tcPr>
          <w:p w14:paraId="0E1D4BA2" w14:textId="7460853B"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4EB3D9A" w14:textId="35E411D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Dutton, Richard, ed., </w:t>
            </w:r>
            <w:r w:rsidRPr="00744B74">
              <w:rPr>
                <w:rFonts w:ascii="Arial" w:hAnsi="Arial" w:cs="Arial"/>
                <w:i/>
                <w:sz w:val="22"/>
                <w:szCs w:val="22"/>
              </w:rPr>
              <w:t>The Oxford Handbook of Early Modern Theatre</w:t>
            </w:r>
            <w:r w:rsidRPr="00744B74">
              <w:rPr>
                <w:rFonts w:ascii="Arial" w:hAnsi="Arial" w:cs="Arial"/>
                <w:sz w:val="22"/>
                <w:szCs w:val="22"/>
              </w:rPr>
              <w:t xml:space="preserve"> (Oxford: Oxford University Press, 2011).</w:t>
            </w:r>
          </w:p>
        </w:tc>
        <w:tc>
          <w:tcPr>
            <w:tcW w:w="1366" w:type="dxa"/>
          </w:tcPr>
          <w:sdt>
            <w:sdtPr>
              <w:rPr>
                <w:rFonts w:ascii="Arial" w:hAnsi="Arial" w:cs="Arial"/>
                <w:sz w:val="22"/>
                <w:szCs w:val="22"/>
              </w:rPr>
              <w:id w:val="1163121915"/>
              <w14:checkbox>
                <w14:checked w14:val="0"/>
                <w14:checkedState w14:val="2612" w14:font="MS Gothic"/>
                <w14:uncheckedState w14:val="2610" w14:font="MS Gothic"/>
              </w14:checkbox>
            </w:sdtPr>
            <w:sdtContent>
              <w:p w14:paraId="098DEE48"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FA6F5D1" w14:textId="2251F953" w:rsidR="00F624E2" w:rsidRPr="00A74B3E" w:rsidRDefault="00F624E2" w:rsidP="00F624E2">
            <w:pPr>
              <w:jc w:val="center"/>
              <w:rPr>
                <w:rFonts w:ascii="Arial" w:hAnsi="Arial" w:cs="Arial"/>
                <w:sz w:val="22"/>
                <w:szCs w:val="22"/>
              </w:rPr>
            </w:pPr>
          </w:p>
        </w:tc>
      </w:tr>
      <w:tr w:rsidR="00F624E2" w:rsidRPr="00A74B3E" w14:paraId="5B082F82" w14:textId="77777777" w:rsidTr="00BA343F">
        <w:tc>
          <w:tcPr>
            <w:tcW w:w="1689" w:type="dxa"/>
          </w:tcPr>
          <w:p w14:paraId="50ECF628" w14:textId="24FAECF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DAC4FB3" w14:textId="49618B08"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Kinney, Arthur F., ed. Renaissance Drama: An Anthology of Plays and Entertainments. Oxford: Wiley-Blackwell, 2005.</w:t>
            </w:r>
          </w:p>
        </w:tc>
        <w:tc>
          <w:tcPr>
            <w:tcW w:w="1366" w:type="dxa"/>
          </w:tcPr>
          <w:sdt>
            <w:sdtPr>
              <w:rPr>
                <w:rFonts w:ascii="Arial" w:hAnsi="Arial" w:cs="Arial"/>
                <w:sz w:val="22"/>
                <w:szCs w:val="22"/>
              </w:rPr>
              <w:id w:val="1610928355"/>
              <w14:checkbox>
                <w14:checked w14:val="0"/>
                <w14:checkedState w14:val="2612" w14:font="MS Gothic"/>
                <w14:uncheckedState w14:val="2610" w14:font="MS Gothic"/>
              </w14:checkbox>
            </w:sdtPr>
            <w:sdtContent>
              <w:p w14:paraId="3E1FA0C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67A4079" w14:textId="24CC89C7" w:rsidR="00F624E2" w:rsidRDefault="00F624E2" w:rsidP="00F624E2">
            <w:pPr>
              <w:jc w:val="center"/>
              <w:rPr>
                <w:rFonts w:ascii="Arial" w:hAnsi="Arial" w:cs="Arial"/>
                <w:sz w:val="22"/>
                <w:szCs w:val="22"/>
              </w:rPr>
            </w:pPr>
          </w:p>
        </w:tc>
      </w:tr>
      <w:tr w:rsidR="00F624E2" w:rsidRPr="00A74B3E" w14:paraId="580658C1" w14:textId="77777777" w:rsidTr="00BA343F">
        <w:tc>
          <w:tcPr>
            <w:tcW w:w="1689" w:type="dxa"/>
          </w:tcPr>
          <w:p w14:paraId="02923BBC" w14:textId="5E68ABB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3F0A4435" w14:textId="7090841D"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Charry, Brinda. The Arden Guide to Renaissance Drama: An Introduction with Primary Sources. London: Bloomsbury, 2017.</w:t>
            </w:r>
          </w:p>
        </w:tc>
        <w:tc>
          <w:tcPr>
            <w:tcW w:w="1366" w:type="dxa"/>
          </w:tcPr>
          <w:sdt>
            <w:sdtPr>
              <w:rPr>
                <w:rFonts w:ascii="Arial" w:hAnsi="Arial" w:cs="Arial"/>
                <w:sz w:val="22"/>
                <w:szCs w:val="22"/>
              </w:rPr>
              <w:id w:val="-146594365"/>
              <w14:checkbox>
                <w14:checked w14:val="1"/>
                <w14:checkedState w14:val="2612" w14:font="MS Gothic"/>
                <w14:uncheckedState w14:val="2610" w14:font="MS Gothic"/>
              </w14:checkbox>
            </w:sdtPr>
            <w:sdtContent>
              <w:p w14:paraId="7329374E"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7E785D8" w14:textId="0DCE9042" w:rsidR="00F624E2" w:rsidRDefault="00F624E2" w:rsidP="00F624E2">
            <w:pPr>
              <w:jc w:val="center"/>
              <w:rPr>
                <w:rFonts w:ascii="Arial" w:hAnsi="Arial" w:cs="Arial"/>
                <w:sz w:val="22"/>
                <w:szCs w:val="22"/>
              </w:rPr>
            </w:pPr>
          </w:p>
        </w:tc>
      </w:tr>
      <w:tr w:rsidR="00F624E2" w:rsidRPr="00A74B3E" w14:paraId="65AB1BB7" w14:textId="77777777" w:rsidTr="00BA343F">
        <w:tc>
          <w:tcPr>
            <w:tcW w:w="1689" w:type="dxa"/>
          </w:tcPr>
          <w:p w14:paraId="11280A17" w14:textId="0F3BA56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817BBC5" w14:textId="7E44E97B"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Shohet, Lauren, Temporality, Genre and Experience in the Age of Shakespeare: Forms of Time. London: Bloomsbury, 2018.</w:t>
            </w:r>
          </w:p>
        </w:tc>
        <w:tc>
          <w:tcPr>
            <w:tcW w:w="1366" w:type="dxa"/>
          </w:tcPr>
          <w:sdt>
            <w:sdtPr>
              <w:rPr>
                <w:rFonts w:ascii="Arial" w:hAnsi="Arial" w:cs="Arial"/>
                <w:sz w:val="22"/>
                <w:szCs w:val="22"/>
              </w:rPr>
              <w:id w:val="-1486931185"/>
              <w14:checkbox>
                <w14:checked w14:val="1"/>
                <w14:checkedState w14:val="2612" w14:font="MS Gothic"/>
                <w14:uncheckedState w14:val="2610" w14:font="MS Gothic"/>
              </w14:checkbox>
            </w:sdtPr>
            <w:sdtContent>
              <w:p w14:paraId="34BE1310"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518B3CDF" w14:textId="7C9A9366" w:rsidR="00F624E2" w:rsidRDefault="00F624E2" w:rsidP="00F624E2">
            <w:pPr>
              <w:jc w:val="center"/>
              <w:rPr>
                <w:rFonts w:ascii="Arial" w:hAnsi="Arial" w:cs="Arial"/>
                <w:sz w:val="22"/>
                <w:szCs w:val="22"/>
              </w:rPr>
            </w:pPr>
          </w:p>
        </w:tc>
      </w:tr>
      <w:tr w:rsidR="00F624E2" w:rsidRPr="00A74B3E" w14:paraId="3FDB49A9" w14:textId="77777777" w:rsidTr="00BA343F">
        <w:tc>
          <w:tcPr>
            <w:tcW w:w="1689" w:type="dxa"/>
          </w:tcPr>
          <w:p w14:paraId="2E2482EC" w14:textId="7AEE1E8E"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9BF6031" w14:textId="1C17344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Kinney, Arthur F., </w:t>
            </w:r>
            <w:r w:rsidRPr="00744B74">
              <w:rPr>
                <w:rFonts w:ascii="Arial" w:hAnsi="Arial" w:cs="Arial"/>
                <w:i/>
                <w:sz w:val="22"/>
                <w:szCs w:val="22"/>
              </w:rPr>
              <w:t>The Oxford Handbook of Shakespeare</w:t>
            </w:r>
            <w:r w:rsidRPr="00744B74">
              <w:rPr>
                <w:rFonts w:ascii="Arial" w:hAnsi="Arial" w:cs="Arial"/>
                <w:sz w:val="22"/>
                <w:szCs w:val="22"/>
              </w:rPr>
              <w:t>. Oxford: Oxford University Press, 2012</w:t>
            </w:r>
          </w:p>
        </w:tc>
        <w:tc>
          <w:tcPr>
            <w:tcW w:w="1366" w:type="dxa"/>
          </w:tcPr>
          <w:sdt>
            <w:sdtPr>
              <w:rPr>
                <w:rFonts w:ascii="Arial" w:hAnsi="Arial" w:cs="Arial"/>
                <w:sz w:val="22"/>
                <w:szCs w:val="22"/>
              </w:rPr>
              <w:id w:val="1343442958"/>
              <w14:checkbox>
                <w14:checked w14:val="0"/>
                <w14:checkedState w14:val="2612" w14:font="MS Gothic"/>
                <w14:uncheckedState w14:val="2610" w14:font="MS Gothic"/>
              </w14:checkbox>
            </w:sdtPr>
            <w:sdtContent>
              <w:p w14:paraId="413E84F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DDA0414" w14:textId="6AF942F8" w:rsidR="00F624E2" w:rsidRDefault="00F624E2" w:rsidP="00F624E2">
            <w:pPr>
              <w:jc w:val="center"/>
              <w:rPr>
                <w:rFonts w:ascii="Arial" w:hAnsi="Arial" w:cs="Arial"/>
                <w:sz w:val="22"/>
                <w:szCs w:val="22"/>
              </w:rPr>
            </w:pPr>
          </w:p>
        </w:tc>
      </w:tr>
      <w:tr w:rsidR="00F624E2" w:rsidRPr="00A74B3E" w14:paraId="2767C329" w14:textId="77777777" w:rsidTr="00BA343F">
        <w:tc>
          <w:tcPr>
            <w:tcW w:w="1689" w:type="dxa"/>
          </w:tcPr>
          <w:p w14:paraId="065D6BC5" w14:textId="167F5EB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8FC254E" w14:textId="2F6105F8"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Belsey</w:t>
            </w:r>
            <w:proofErr w:type="spellEnd"/>
            <w:r w:rsidRPr="00744B74">
              <w:rPr>
                <w:rFonts w:ascii="Arial" w:hAnsi="Arial" w:cs="Arial"/>
                <w:sz w:val="22"/>
                <w:szCs w:val="22"/>
              </w:rPr>
              <w:t>, Catherine, Shakespeare in Theory and Practice. Edinburgh: Edinburgh University Press, 2010</w:t>
            </w:r>
          </w:p>
        </w:tc>
        <w:tc>
          <w:tcPr>
            <w:tcW w:w="1366" w:type="dxa"/>
          </w:tcPr>
          <w:sdt>
            <w:sdtPr>
              <w:rPr>
                <w:rFonts w:ascii="Arial" w:hAnsi="Arial" w:cs="Arial"/>
                <w:sz w:val="22"/>
                <w:szCs w:val="22"/>
              </w:rPr>
              <w:id w:val="-717441373"/>
              <w14:checkbox>
                <w14:checked w14:val="1"/>
                <w14:checkedState w14:val="2612" w14:font="MS Gothic"/>
                <w14:uncheckedState w14:val="2610" w14:font="MS Gothic"/>
              </w14:checkbox>
            </w:sdtPr>
            <w:sdtContent>
              <w:p w14:paraId="382EC81F"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C2FF8C8" w14:textId="7E3FC14B" w:rsidR="00F624E2" w:rsidRDefault="00F624E2" w:rsidP="00F624E2">
            <w:pPr>
              <w:jc w:val="center"/>
              <w:rPr>
                <w:rFonts w:ascii="Arial" w:hAnsi="Arial" w:cs="Arial"/>
                <w:sz w:val="22"/>
                <w:szCs w:val="22"/>
              </w:rPr>
            </w:pPr>
          </w:p>
        </w:tc>
      </w:tr>
      <w:tr w:rsidR="00F624E2" w:rsidRPr="00A74B3E" w14:paraId="4E30DA11" w14:textId="77777777" w:rsidTr="00BA343F">
        <w:tc>
          <w:tcPr>
            <w:tcW w:w="1689" w:type="dxa"/>
          </w:tcPr>
          <w:p w14:paraId="7B0A2CA8" w14:textId="75C01C9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50601AB2" w14:textId="6616743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Bates, Jennifer and Richard Wilson, eds. Shakespeare and Continental Philosophy. Edinburgh: Edinburgh University Press, 2014</w:t>
            </w:r>
          </w:p>
        </w:tc>
        <w:tc>
          <w:tcPr>
            <w:tcW w:w="1366" w:type="dxa"/>
          </w:tcPr>
          <w:sdt>
            <w:sdtPr>
              <w:rPr>
                <w:rFonts w:ascii="Arial" w:hAnsi="Arial" w:cs="Arial"/>
                <w:sz w:val="22"/>
                <w:szCs w:val="22"/>
              </w:rPr>
              <w:id w:val="2013176414"/>
              <w14:checkbox>
                <w14:checked w14:val="1"/>
                <w14:checkedState w14:val="2612" w14:font="MS Gothic"/>
                <w14:uncheckedState w14:val="2610" w14:font="MS Gothic"/>
              </w14:checkbox>
            </w:sdtPr>
            <w:sdtContent>
              <w:p w14:paraId="067589C0"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1ED0DA3" w14:textId="16FDA9D1" w:rsidR="00F624E2" w:rsidRDefault="00F624E2" w:rsidP="00F624E2">
            <w:pPr>
              <w:jc w:val="center"/>
              <w:rPr>
                <w:rFonts w:ascii="Arial" w:hAnsi="Arial" w:cs="Arial"/>
                <w:sz w:val="22"/>
                <w:szCs w:val="22"/>
              </w:rPr>
            </w:pPr>
          </w:p>
        </w:tc>
      </w:tr>
      <w:tr w:rsidR="00F624E2" w:rsidRPr="00A74B3E" w14:paraId="7720A566" w14:textId="77777777" w:rsidTr="00BA343F">
        <w:tc>
          <w:tcPr>
            <w:tcW w:w="1689" w:type="dxa"/>
          </w:tcPr>
          <w:p w14:paraId="7C6A4DE9" w14:textId="6632327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53BDCCE" w14:textId="2EC6BD0C"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Parvini</w:t>
            </w:r>
            <w:proofErr w:type="spellEnd"/>
            <w:r w:rsidRPr="00744B74">
              <w:rPr>
                <w:rFonts w:ascii="Arial" w:hAnsi="Arial" w:cs="Arial"/>
                <w:sz w:val="22"/>
                <w:szCs w:val="22"/>
              </w:rPr>
              <w:t xml:space="preserve">, </w:t>
            </w:r>
            <w:proofErr w:type="spellStart"/>
            <w:r w:rsidRPr="00744B74">
              <w:rPr>
                <w:rFonts w:ascii="Arial" w:hAnsi="Arial" w:cs="Arial"/>
                <w:sz w:val="22"/>
                <w:szCs w:val="22"/>
              </w:rPr>
              <w:t>Neema</w:t>
            </w:r>
            <w:proofErr w:type="spellEnd"/>
            <w:r w:rsidRPr="00744B74">
              <w:rPr>
                <w:rFonts w:ascii="Arial" w:hAnsi="Arial" w:cs="Arial"/>
                <w:sz w:val="22"/>
                <w:szCs w:val="22"/>
              </w:rPr>
              <w:t>. Shakespeare and New Historicist Theory. London: Bloomsbury, 2017</w:t>
            </w:r>
          </w:p>
        </w:tc>
        <w:tc>
          <w:tcPr>
            <w:tcW w:w="1366" w:type="dxa"/>
          </w:tcPr>
          <w:sdt>
            <w:sdtPr>
              <w:rPr>
                <w:rFonts w:ascii="Arial" w:hAnsi="Arial" w:cs="Arial"/>
                <w:sz w:val="22"/>
                <w:szCs w:val="22"/>
              </w:rPr>
              <w:id w:val="-1511598391"/>
              <w14:checkbox>
                <w14:checked w14:val="1"/>
                <w14:checkedState w14:val="2612" w14:font="MS Gothic"/>
                <w14:uncheckedState w14:val="2610" w14:font="MS Gothic"/>
              </w14:checkbox>
            </w:sdtPr>
            <w:sdtContent>
              <w:p w14:paraId="194F4995"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49299BD" w14:textId="3424CC4A" w:rsidR="00F624E2" w:rsidRPr="00A74B3E" w:rsidRDefault="00F624E2" w:rsidP="00F624E2">
            <w:pPr>
              <w:jc w:val="center"/>
              <w:rPr>
                <w:rFonts w:ascii="Arial" w:hAnsi="Arial" w:cs="Arial"/>
                <w:sz w:val="22"/>
                <w:szCs w:val="22"/>
              </w:rPr>
            </w:pPr>
          </w:p>
        </w:tc>
      </w:tr>
      <w:tr w:rsidR="00F624E2" w:rsidRPr="00A74B3E" w14:paraId="3897B6B7" w14:textId="77777777" w:rsidTr="00BA343F">
        <w:tc>
          <w:tcPr>
            <w:tcW w:w="1689" w:type="dxa"/>
          </w:tcPr>
          <w:p w14:paraId="3A762DAB" w14:textId="11C692E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2C2DD73" w14:textId="09FE5D1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Holbrook, Peter. English Renaissance Tragedy: Ideas of Freedom. London: Bloomsbury, 2015.</w:t>
            </w:r>
          </w:p>
        </w:tc>
        <w:tc>
          <w:tcPr>
            <w:tcW w:w="1366" w:type="dxa"/>
          </w:tcPr>
          <w:sdt>
            <w:sdtPr>
              <w:rPr>
                <w:rFonts w:ascii="Arial" w:hAnsi="Arial" w:cs="Arial"/>
                <w:sz w:val="22"/>
                <w:szCs w:val="22"/>
              </w:rPr>
              <w:id w:val="-1883236926"/>
              <w14:checkbox>
                <w14:checked w14:val="1"/>
                <w14:checkedState w14:val="2612" w14:font="MS Gothic"/>
                <w14:uncheckedState w14:val="2610" w14:font="MS Gothic"/>
              </w14:checkbox>
            </w:sdtPr>
            <w:sdtContent>
              <w:p w14:paraId="7E472063"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8B666EE" w14:textId="460E9FF6" w:rsidR="00F624E2" w:rsidRPr="00A74B3E" w:rsidRDefault="00F624E2" w:rsidP="00F624E2">
            <w:pPr>
              <w:jc w:val="center"/>
              <w:rPr>
                <w:rFonts w:ascii="Arial" w:hAnsi="Arial" w:cs="Arial"/>
                <w:sz w:val="22"/>
                <w:szCs w:val="22"/>
              </w:rPr>
            </w:pPr>
          </w:p>
        </w:tc>
      </w:tr>
      <w:tr w:rsidR="00F624E2" w:rsidRPr="00A74B3E" w14:paraId="0D6897E5" w14:textId="77777777" w:rsidTr="00BA343F">
        <w:tc>
          <w:tcPr>
            <w:tcW w:w="1689" w:type="dxa"/>
          </w:tcPr>
          <w:p w14:paraId="2F4966CB" w14:textId="09B263AA"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DF94B32" w14:textId="1BA6213D"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Goossen</w:t>
            </w:r>
            <w:proofErr w:type="spellEnd"/>
            <w:r w:rsidRPr="00744B74">
              <w:rPr>
                <w:rFonts w:ascii="Arial" w:hAnsi="Arial" w:cs="Arial"/>
                <w:sz w:val="22"/>
                <w:szCs w:val="22"/>
              </w:rPr>
              <w:t>, Jonathan. Jonson, Shakespeare and Aristotle on Comedy. London: Routledge, 2018.</w:t>
            </w:r>
          </w:p>
        </w:tc>
        <w:tc>
          <w:tcPr>
            <w:tcW w:w="1366" w:type="dxa"/>
          </w:tcPr>
          <w:sdt>
            <w:sdtPr>
              <w:rPr>
                <w:rFonts w:ascii="Arial" w:hAnsi="Arial" w:cs="Arial"/>
                <w:sz w:val="22"/>
                <w:szCs w:val="22"/>
              </w:rPr>
              <w:id w:val="1591582887"/>
              <w14:checkbox>
                <w14:checked w14:val="1"/>
                <w14:checkedState w14:val="2612" w14:font="MS Gothic"/>
                <w14:uncheckedState w14:val="2610" w14:font="MS Gothic"/>
              </w14:checkbox>
            </w:sdtPr>
            <w:sdtContent>
              <w:p w14:paraId="4F55E8A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FC681A6" w14:textId="198A5B58" w:rsidR="00F624E2" w:rsidRPr="00A74B3E" w:rsidRDefault="00F624E2" w:rsidP="00F624E2">
            <w:pPr>
              <w:jc w:val="center"/>
              <w:rPr>
                <w:rFonts w:ascii="Arial" w:hAnsi="Arial" w:cs="Arial"/>
                <w:sz w:val="22"/>
                <w:szCs w:val="22"/>
              </w:rPr>
            </w:pPr>
          </w:p>
        </w:tc>
      </w:tr>
      <w:tr w:rsidR="00F624E2" w:rsidRPr="00A74B3E" w14:paraId="58F00C0F" w14:textId="77777777" w:rsidTr="00BA343F">
        <w:tc>
          <w:tcPr>
            <w:tcW w:w="1689" w:type="dxa"/>
          </w:tcPr>
          <w:p w14:paraId="0097F6D3" w14:textId="2DCAC05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lastRenderedPageBreak/>
              <w:t>Further</w:t>
            </w:r>
          </w:p>
        </w:tc>
        <w:tc>
          <w:tcPr>
            <w:tcW w:w="5605" w:type="dxa"/>
          </w:tcPr>
          <w:p w14:paraId="60E4ACD4" w14:textId="564248A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Evans, Robert C., ed. Othello: A Critical Reader. London: Bloomsbury, 2015.</w:t>
            </w:r>
          </w:p>
        </w:tc>
        <w:tc>
          <w:tcPr>
            <w:tcW w:w="1366" w:type="dxa"/>
          </w:tcPr>
          <w:sdt>
            <w:sdtPr>
              <w:rPr>
                <w:rFonts w:ascii="Arial" w:hAnsi="Arial" w:cs="Arial"/>
                <w:sz w:val="22"/>
                <w:szCs w:val="22"/>
              </w:rPr>
              <w:id w:val="-2014900102"/>
              <w14:checkbox>
                <w14:checked w14:val="1"/>
                <w14:checkedState w14:val="2612" w14:font="MS Gothic"/>
                <w14:uncheckedState w14:val="2610" w14:font="MS Gothic"/>
              </w14:checkbox>
            </w:sdtPr>
            <w:sdtContent>
              <w:p w14:paraId="47EA60EC"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FC7395A" w14:textId="0AA4DF64" w:rsidR="00F624E2" w:rsidRPr="00A74B3E" w:rsidRDefault="00F624E2" w:rsidP="00F624E2">
            <w:pPr>
              <w:jc w:val="center"/>
              <w:rPr>
                <w:rFonts w:ascii="Arial" w:hAnsi="Arial" w:cs="Arial"/>
                <w:sz w:val="22"/>
                <w:szCs w:val="22"/>
              </w:rPr>
            </w:pPr>
          </w:p>
        </w:tc>
      </w:tr>
      <w:tr w:rsidR="00F624E2" w:rsidRPr="00A74B3E" w14:paraId="0CF7BC22" w14:textId="77777777" w:rsidTr="00BA343F">
        <w:tc>
          <w:tcPr>
            <w:tcW w:w="1689" w:type="dxa"/>
          </w:tcPr>
          <w:p w14:paraId="0C0B778A" w14:textId="05951C4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EF5A5AD" w14:textId="446B4BED"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Rist</w:t>
            </w:r>
            <w:proofErr w:type="spellEnd"/>
            <w:r w:rsidRPr="00744B74">
              <w:rPr>
                <w:rFonts w:ascii="Arial" w:hAnsi="Arial" w:cs="Arial"/>
                <w:sz w:val="22"/>
                <w:szCs w:val="22"/>
              </w:rPr>
              <w:t>, Thomas, ed. The Spanish Tragedy: A Critical Reader. London: Bloomsbury, 2016</w:t>
            </w:r>
          </w:p>
        </w:tc>
        <w:tc>
          <w:tcPr>
            <w:tcW w:w="1366" w:type="dxa"/>
          </w:tcPr>
          <w:sdt>
            <w:sdtPr>
              <w:rPr>
                <w:rFonts w:ascii="Arial" w:hAnsi="Arial" w:cs="Arial"/>
                <w:sz w:val="22"/>
                <w:szCs w:val="22"/>
              </w:rPr>
              <w:id w:val="1976641699"/>
              <w14:checkbox>
                <w14:checked w14:val="1"/>
                <w14:checkedState w14:val="2612" w14:font="MS Gothic"/>
                <w14:uncheckedState w14:val="2610" w14:font="MS Gothic"/>
              </w14:checkbox>
            </w:sdtPr>
            <w:sdtContent>
              <w:p w14:paraId="634CA567"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20E1AEB3" w14:textId="39C67054" w:rsidR="00F624E2" w:rsidRPr="00A74B3E" w:rsidRDefault="00F624E2" w:rsidP="00F624E2">
            <w:pPr>
              <w:jc w:val="center"/>
              <w:rPr>
                <w:rFonts w:ascii="Arial" w:hAnsi="Arial" w:cs="Arial"/>
                <w:sz w:val="22"/>
                <w:szCs w:val="22"/>
              </w:rPr>
            </w:pPr>
          </w:p>
        </w:tc>
      </w:tr>
      <w:tr w:rsidR="00F624E2" w:rsidRPr="00A74B3E" w14:paraId="5AACAA90" w14:textId="77777777" w:rsidTr="00BA343F">
        <w:tc>
          <w:tcPr>
            <w:tcW w:w="1689" w:type="dxa"/>
          </w:tcPr>
          <w:p w14:paraId="17943990" w14:textId="0E724640" w:rsidR="00F624E2" w:rsidRPr="000243D0"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C711358" w14:textId="50FDB2F5" w:rsidR="00F624E2" w:rsidRPr="000243D0"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Melnikoff</w:t>
            </w:r>
            <w:proofErr w:type="spellEnd"/>
            <w:r w:rsidRPr="00744B74">
              <w:rPr>
                <w:rFonts w:ascii="Arial" w:hAnsi="Arial" w:cs="Arial"/>
                <w:sz w:val="22"/>
                <w:szCs w:val="22"/>
              </w:rPr>
              <w:t>, Kirk, ed. Edward II: A Critical Reader. London: Bloomsbury, 2017</w:t>
            </w:r>
          </w:p>
        </w:tc>
        <w:tc>
          <w:tcPr>
            <w:tcW w:w="1366" w:type="dxa"/>
          </w:tcPr>
          <w:sdt>
            <w:sdtPr>
              <w:rPr>
                <w:rFonts w:ascii="Arial" w:hAnsi="Arial" w:cs="Arial"/>
                <w:sz w:val="22"/>
                <w:szCs w:val="22"/>
              </w:rPr>
              <w:id w:val="1868090749"/>
              <w14:checkbox>
                <w14:checked w14:val="1"/>
                <w14:checkedState w14:val="2612" w14:font="MS Gothic"/>
                <w14:uncheckedState w14:val="2610" w14:font="MS Gothic"/>
              </w14:checkbox>
            </w:sdtPr>
            <w:sdtContent>
              <w:p w14:paraId="2FC73334"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08FFDC22" w14:textId="77777777" w:rsidR="00F624E2" w:rsidRDefault="00F624E2" w:rsidP="00F624E2">
            <w:pPr>
              <w:jc w:val="center"/>
              <w:rPr>
                <w:rFonts w:ascii="Arial" w:hAnsi="Arial" w:cs="Arial"/>
                <w:sz w:val="22"/>
                <w:szCs w:val="22"/>
              </w:rPr>
            </w:pPr>
          </w:p>
        </w:tc>
      </w:tr>
      <w:tr w:rsidR="00F624E2" w:rsidRPr="00A74B3E" w14:paraId="2AE8E63F" w14:textId="77777777" w:rsidTr="00BA343F">
        <w:tc>
          <w:tcPr>
            <w:tcW w:w="1689" w:type="dxa"/>
          </w:tcPr>
          <w:p w14:paraId="16F9132F" w14:textId="08040F5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C61B9B4" w14:textId="1ECD079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Walsh, Brian, ed. The Revenger’s Tragedy: A Critical Reader. London: Bloomsbury, 2016</w:t>
            </w:r>
          </w:p>
        </w:tc>
        <w:tc>
          <w:tcPr>
            <w:tcW w:w="1366" w:type="dxa"/>
          </w:tcPr>
          <w:sdt>
            <w:sdtPr>
              <w:rPr>
                <w:rFonts w:ascii="Arial" w:hAnsi="Arial" w:cs="Arial"/>
                <w:sz w:val="22"/>
                <w:szCs w:val="22"/>
              </w:rPr>
              <w:id w:val="374434125"/>
              <w14:checkbox>
                <w14:checked w14:val="1"/>
                <w14:checkedState w14:val="2612" w14:font="MS Gothic"/>
                <w14:uncheckedState w14:val="2610" w14:font="MS Gothic"/>
              </w14:checkbox>
            </w:sdtPr>
            <w:sdtContent>
              <w:p w14:paraId="3AAA2D23"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7C1E211A" w14:textId="488BEAD6" w:rsidR="00F624E2" w:rsidRPr="00A74B3E" w:rsidRDefault="00F624E2" w:rsidP="00F624E2">
            <w:pPr>
              <w:jc w:val="center"/>
              <w:rPr>
                <w:rFonts w:ascii="Arial" w:eastAsia="MS Gothic" w:hAnsi="Arial" w:cs="Arial"/>
                <w:sz w:val="22"/>
                <w:szCs w:val="22"/>
              </w:rPr>
            </w:pPr>
          </w:p>
        </w:tc>
      </w:tr>
      <w:tr w:rsidR="00F624E2" w:rsidRPr="00A74B3E" w14:paraId="4ACFF1E4" w14:textId="77777777" w:rsidTr="00BA343F">
        <w:tc>
          <w:tcPr>
            <w:tcW w:w="1689" w:type="dxa"/>
          </w:tcPr>
          <w:p w14:paraId="4291E650" w14:textId="2D927168"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723D5144" w14:textId="66156684"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Minton, Gretchen, ed. The Revenger’s Tragedy: The State of Play. London: Bloomsbury, 2017.</w:t>
            </w:r>
          </w:p>
        </w:tc>
        <w:tc>
          <w:tcPr>
            <w:tcW w:w="1366" w:type="dxa"/>
          </w:tcPr>
          <w:sdt>
            <w:sdtPr>
              <w:rPr>
                <w:rFonts w:ascii="Arial" w:hAnsi="Arial" w:cs="Arial"/>
                <w:sz w:val="22"/>
                <w:szCs w:val="22"/>
              </w:rPr>
              <w:id w:val="600687649"/>
              <w14:checkbox>
                <w14:checked w14:val="0"/>
                <w14:checkedState w14:val="2612" w14:font="MS Gothic"/>
                <w14:uncheckedState w14:val="2610" w14:font="MS Gothic"/>
              </w14:checkbox>
            </w:sdtPr>
            <w:sdtContent>
              <w:p w14:paraId="5E0AB795"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563A579" w14:textId="3BB5F6B7" w:rsidR="00F624E2" w:rsidRDefault="00F624E2" w:rsidP="00F624E2">
            <w:pPr>
              <w:jc w:val="center"/>
              <w:rPr>
                <w:rFonts w:ascii="Arial" w:hAnsi="Arial" w:cs="Arial"/>
                <w:sz w:val="22"/>
                <w:szCs w:val="22"/>
              </w:rPr>
            </w:pPr>
          </w:p>
        </w:tc>
      </w:tr>
      <w:tr w:rsidR="00F624E2" w:rsidRPr="00A74B3E" w14:paraId="293B7CEA" w14:textId="77777777" w:rsidTr="00BA343F">
        <w:tc>
          <w:tcPr>
            <w:tcW w:w="1689" w:type="dxa"/>
          </w:tcPr>
          <w:p w14:paraId="3E93EA56" w14:textId="5C31C2F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B91C380" w14:textId="7C1176E3"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Womack, Peter. Ben Jonson, Rereading Literature series. Oxford: Basil Blackwell, 1986).</w:t>
            </w:r>
          </w:p>
        </w:tc>
        <w:tc>
          <w:tcPr>
            <w:tcW w:w="1366" w:type="dxa"/>
          </w:tcPr>
          <w:sdt>
            <w:sdtPr>
              <w:rPr>
                <w:rFonts w:ascii="Arial" w:hAnsi="Arial" w:cs="Arial"/>
                <w:sz w:val="22"/>
                <w:szCs w:val="22"/>
              </w:rPr>
              <w:id w:val="1614476428"/>
              <w14:checkbox>
                <w14:checked w14:val="0"/>
                <w14:checkedState w14:val="2612" w14:font="MS Gothic"/>
                <w14:uncheckedState w14:val="2610" w14:font="MS Gothic"/>
              </w14:checkbox>
            </w:sdtPr>
            <w:sdtContent>
              <w:p w14:paraId="450AD7A7"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3205F2AC" w14:textId="77777777" w:rsidR="00F624E2" w:rsidRDefault="00F624E2" w:rsidP="00F624E2">
            <w:pPr>
              <w:jc w:val="center"/>
              <w:rPr>
                <w:rFonts w:ascii="Arial" w:hAnsi="Arial" w:cs="Arial"/>
                <w:sz w:val="22"/>
                <w:szCs w:val="22"/>
              </w:rPr>
            </w:pPr>
          </w:p>
        </w:tc>
      </w:tr>
      <w:tr w:rsidR="00F624E2" w:rsidRPr="00A74B3E" w14:paraId="140C39FB" w14:textId="77777777" w:rsidTr="00BA343F">
        <w:tc>
          <w:tcPr>
            <w:tcW w:w="1689" w:type="dxa"/>
          </w:tcPr>
          <w:p w14:paraId="58010A68" w14:textId="4BFFFECE"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3AF92F98" w14:textId="36DEF63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Dollimore, J.  Radical Tragedy.  Brighton: Harvester, 1984; 2nd </w:t>
            </w:r>
            <w:proofErr w:type="spellStart"/>
            <w:r w:rsidRPr="00744B74">
              <w:rPr>
                <w:rFonts w:ascii="Arial" w:hAnsi="Arial" w:cs="Arial"/>
                <w:sz w:val="22"/>
                <w:szCs w:val="22"/>
              </w:rPr>
              <w:t>edn</w:t>
            </w:r>
            <w:proofErr w:type="spellEnd"/>
            <w:r w:rsidRPr="00744B74">
              <w:rPr>
                <w:rFonts w:ascii="Arial" w:hAnsi="Arial" w:cs="Arial"/>
                <w:sz w:val="22"/>
                <w:szCs w:val="22"/>
              </w:rPr>
              <w:t>. London: Harvester Wheatsheaf, 1989.</w:t>
            </w:r>
          </w:p>
        </w:tc>
        <w:tc>
          <w:tcPr>
            <w:tcW w:w="1366" w:type="dxa"/>
          </w:tcPr>
          <w:sdt>
            <w:sdtPr>
              <w:rPr>
                <w:rFonts w:ascii="Arial" w:hAnsi="Arial" w:cs="Arial"/>
                <w:sz w:val="22"/>
                <w:szCs w:val="22"/>
              </w:rPr>
              <w:id w:val="-715590133"/>
              <w14:checkbox>
                <w14:checked w14:val="0"/>
                <w14:checkedState w14:val="2612" w14:font="MS Gothic"/>
                <w14:uncheckedState w14:val="2610" w14:font="MS Gothic"/>
              </w14:checkbox>
            </w:sdtPr>
            <w:sdtContent>
              <w:p w14:paraId="04A39EB5" w14:textId="22983323"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43B6D57A" w14:textId="77777777" w:rsidTr="00BA343F">
        <w:tc>
          <w:tcPr>
            <w:tcW w:w="1689" w:type="dxa"/>
          </w:tcPr>
          <w:p w14:paraId="787E2E8D" w14:textId="43EE7E10"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BCCE1B1" w14:textId="2F66F61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Greenblatt, Stephen. Shakespearean Negotiations: The Circulations of Social Energy in Renaissance England. Oxford: Clarendon Press, 1988.</w:t>
            </w:r>
          </w:p>
        </w:tc>
        <w:tc>
          <w:tcPr>
            <w:tcW w:w="1366" w:type="dxa"/>
          </w:tcPr>
          <w:sdt>
            <w:sdtPr>
              <w:rPr>
                <w:rFonts w:ascii="Arial" w:hAnsi="Arial" w:cs="Arial"/>
                <w:sz w:val="22"/>
                <w:szCs w:val="22"/>
              </w:rPr>
              <w:id w:val="1431621036"/>
              <w14:checkbox>
                <w14:checked w14:val="0"/>
                <w14:checkedState w14:val="2612" w14:font="MS Gothic"/>
                <w14:uncheckedState w14:val="2610" w14:font="MS Gothic"/>
              </w14:checkbox>
            </w:sdtPr>
            <w:sdtContent>
              <w:p w14:paraId="1BFAC43E"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DFB108E" w14:textId="2AB60DA1" w:rsidR="00F624E2" w:rsidRDefault="00F624E2" w:rsidP="00F624E2">
            <w:pPr>
              <w:jc w:val="center"/>
              <w:rPr>
                <w:rFonts w:ascii="Arial" w:hAnsi="Arial" w:cs="Arial"/>
                <w:sz w:val="22"/>
                <w:szCs w:val="22"/>
              </w:rPr>
            </w:pPr>
          </w:p>
        </w:tc>
      </w:tr>
      <w:tr w:rsidR="00F624E2" w:rsidRPr="00A74B3E" w14:paraId="2A1E89E7" w14:textId="77777777" w:rsidTr="00BA343F">
        <w:tc>
          <w:tcPr>
            <w:tcW w:w="1689" w:type="dxa"/>
          </w:tcPr>
          <w:p w14:paraId="7798770C" w14:textId="7E473EBC"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F1C06D0" w14:textId="0E3EA5B1"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Belsey</w:t>
            </w:r>
            <w:proofErr w:type="spellEnd"/>
            <w:r w:rsidRPr="00744B74">
              <w:rPr>
                <w:rFonts w:ascii="Arial" w:hAnsi="Arial" w:cs="Arial"/>
                <w:sz w:val="22"/>
                <w:szCs w:val="22"/>
              </w:rPr>
              <w:t>, Catherine. The Subject of Tragedy. London: Methuen, 1991.</w:t>
            </w:r>
          </w:p>
        </w:tc>
        <w:tc>
          <w:tcPr>
            <w:tcW w:w="1366" w:type="dxa"/>
          </w:tcPr>
          <w:sdt>
            <w:sdtPr>
              <w:rPr>
                <w:rFonts w:ascii="Arial" w:hAnsi="Arial" w:cs="Arial"/>
                <w:sz w:val="22"/>
                <w:szCs w:val="22"/>
              </w:rPr>
              <w:id w:val="83042232"/>
              <w14:checkbox>
                <w14:checked w14:val="0"/>
                <w14:checkedState w14:val="2612" w14:font="MS Gothic"/>
                <w14:uncheckedState w14:val="2610" w14:font="MS Gothic"/>
              </w14:checkbox>
            </w:sdtPr>
            <w:sdtContent>
              <w:p w14:paraId="1467204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13E325A" w14:textId="7B8FF83B" w:rsidR="00F624E2" w:rsidRDefault="00F624E2" w:rsidP="00F624E2">
            <w:pPr>
              <w:jc w:val="center"/>
              <w:rPr>
                <w:rFonts w:ascii="Arial" w:hAnsi="Arial" w:cs="Arial"/>
                <w:sz w:val="22"/>
                <w:szCs w:val="22"/>
              </w:rPr>
            </w:pPr>
          </w:p>
        </w:tc>
      </w:tr>
      <w:tr w:rsidR="00F624E2" w:rsidRPr="00A74B3E" w14:paraId="7E10F18C" w14:textId="77777777" w:rsidTr="00BA343F">
        <w:tc>
          <w:tcPr>
            <w:tcW w:w="1689" w:type="dxa"/>
          </w:tcPr>
          <w:p w14:paraId="3321466A" w14:textId="534E7812"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1E970F13" w14:textId="0461256E" w:rsidR="00F624E2" w:rsidRPr="00A74B3E" w:rsidRDefault="00F624E2" w:rsidP="00F624E2">
            <w:pPr>
              <w:tabs>
                <w:tab w:val="num" w:pos="720"/>
                <w:tab w:val="left" w:pos="1440"/>
              </w:tabs>
              <w:rPr>
                <w:rFonts w:ascii="Arial" w:hAnsi="Arial" w:cs="Arial"/>
                <w:sz w:val="22"/>
                <w:szCs w:val="22"/>
              </w:rPr>
            </w:pPr>
            <w:proofErr w:type="spellStart"/>
            <w:r w:rsidRPr="00744B74">
              <w:rPr>
                <w:rFonts w:ascii="Arial" w:hAnsi="Arial" w:cs="Arial"/>
                <w:sz w:val="22"/>
                <w:szCs w:val="22"/>
              </w:rPr>
              <w:t>Romanska</w:t>
            </w:r>
            <w:proofErr w:type="spellEnd"/>
            <w:r w:rsidRPr="00744B74">
              <w:rPr>
                <w:rFonts w:ascii="Arial" w:hAnsi="Arial" w:cs="Arial"/>
                <w:sz w:val="22"/>
                <w:szCs w:val="22"/>
              </w:rPr>
              <w:t>, Magda &amp; Alan Ackerman. Reader in Comedy: An Anthology of Theory and Criticism. London: Bloomsbury, 2016.</w:t>
            </w:r>
          </w:p>
        </w:tc>
        <w:tc>
          <w:tcPr>
            <w:tcW w:w="1366" w:type="dxa"/>
          </w:tcPr>
          <w:sdt>
            <w:sdtPr>
              <w:rPr>
                <w:rFonts w:ascii="Arial" w:hAnsi="Arial" w:cs="Arial"/>
                <w:sz w:val="22"/>
                <w:szCs w:val="22"/>
              </w:rPr>
              <w:id w:val="-1608584755"/>
              <w14:checkbox>
                <w14:checked w14:val="1"/>
                <w14:checkedState w14:val="2612" w14:font="MS Gothic"/>
                <w14:uncheckedState w14:val="2610" w14:font="MS Gothic"/>
              </w14:checkbox>
            </w:sdtPr>
            <w:sdtContent>
              <w:p w14:paraId="1DE5AD1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242A1915" w14:textId="77777777" w:rsidR="00F624E2" w:rsidRDefault="00F624E2" w:rsidP="00F624E2">
            <w:pPr>
              <w:jc w:val="center"/>
              <w:rPr>
                <w:rFonts w:ascii="Arial" w:hAnsi="Arial" w:cs="Arial"/>
                <w:sz w:val="22"/>
                <w:szCs w:val="22"/>
              </w:rPr>
            </w:pPr>
          </w:p>
        </w:tc>
      </w:tr>
      <w:tr w:rsidR="00F624E2" w:rsidRPr="00A74B3E" w14:paraId="4EBFF474" w14:textId="77777777" w:rsidTr="00BA343F">
        <w:tc>
          <w:tcPr>
            <w:tcW w:w="1689" w:type="dxa"/>
          </w:tcPr>
          <w:p w14:paraId="65BD2295" w14:textId="0F2E8482"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3E4A797" w14:textId="069E1C5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Maus, Katharine </w:t>
            </w:r>
            <w:proofErr w:type="spellStart"/>
            <w:r w:rsidRPr="00744B74">
              <w:rPr>
                <w:rFonts w:ascii="Arial" w:hAnsi="Arial" w:cs="Arial"/>
                <w:sz w:val="22"/>
                <w:szCs w:val="22"/>
              </w:rPr>
              <w:t>Eisaman</w:t>
            </w:r>
            <w:proofErr w:type="spellEnd"/>
            <w:r w:rsidRPr="00744B74">
              <w:rPr>
                <w:rFonts w:ascii="Arial" w:hAnsi="Arial" w:cs="Arial"/>
                <w:sz w:val="22"/>
                <w:szCs w:val="22"/>
              </w:rPr>
              <w:t xml:space="preserve">. Inwardness and </w:t>
            </w:r>
            <w:proofErr w:type="spellStart"/>
            <w:r w:rsidRPr="00744B74">
              <w:rPr>
                <w:rFonts w:ascii="Arial" w:hAnsi="Arial" w:cs="Arial"/>
                <w:sz w:val="22"/>
                <w:szCs w:val="22"/>
              </w:rPr>
              <w:t>Theater</w:t>
            </w:r>
            <w:proofErr w:type="spellEnd"/>
            <w:r w:rsidRPr="00744B74">
              <w:rPr>
                <w:rFonts w:ascii="Arial" w:hAnsi="Arial" w:cs="Arial"/>
                <w:sz w:val="22"/>
                <w:szCs w:val="22"/>
              </w:rPr>
              <w:t xml:space="preserve"> in the English Renaissance. Chicago &amp; London: University of Chicago Press, 1995.</w:t>
            </w:r>
          </w:p>
        </w:tc>
        <w:tc>
          <w:tcPr>
            <w:tcW w:w="1366" w:type="dxa"/>
          </w:tcPr>
          <w:sdt>
            <w:sdtPr>
              <w:rPr>
                <w:rFonts w:ascii="Arial" w:hAnsi="Arial" w:cs="Arial"/>
                <w:sz w:val="22"/>
                <w:szCs w:val="22"/>
              </w:rPr>
              <w:id w:val="-203493467"/>
              <w14:checkbox>
                <w14:checked w14:val="0"/>
                <w14:checkedState w14:val="2612" w14:font="MS Gothic"/>
                <w14:uncheckedState w14:val="2610" w14:font="MS Gothic"/>
              </w14:checkbox>
            </w:sdtPr>
            <w:sdtContent>
              <w:p w14:paraId="7AB1D00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15FE1031" w14:textId="77777777" w:rsidR="00F624E2" w:rsidRDefault="00F624E2" w:rsidP="00F624E2">
            <w:pPr>
              <w:jc w:val="center"/>
              <w:rPr>
                <w:rFonts w:ascii="Arial" w:hAnsi="Arial" w:cs="Arial"/>
                <w:sz w:val="22"/>
                <w:szCs w:val="22"/>
              </w:rPr>
            </w:pPr>
          </w:p>
        </w:tc>
      </w:tr>
      <w:tr w:rsidR="00F624E2" w:rsidRPr="00A74B3E" w14:paraId="0B6B0965" w14:textId="77777777" w:rsidTr="00BA343F">
        <w:tc>
          <w:tcPr>
            <w:tcW w:w="1689" w:type="dxa"/>
          </w:tcPr>
          <w:p w14:paraId="03AA90A6" w14:textId="12878780"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417BEA4D" w14:textId="7465E7E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Paster, Gail Kern. The Body Embarrassed: Drama and the Disciplines of Shame in Early Modern England. Ithaca, NY: Cornell University Press, 1993.</w:t>
            </w:r>
          </w:p>
        </w:tc>
        <w:tc>
          <w:tcPr>
            <w:tcW w:w="1366" w:type="dxa"/>
          </w:tcPr>
          <w:sdt>
            <w:sdtPr>
              <w:rPr>
                <w:rFonts w:ascii="Arial" w:hAnsi="Arial" w:cs="Arial"/>
                <w:sz w:val="22"/>
                <w:szCs w:val="22"/>
              </w:rPr>
              <w:id w:val="1383975404"/>
              <w14:checkbox>
                <w14:checked w14:val="0"/>
                <w14:checkedState w14:val="2612" w14:font="MS Gothic"/>
                <w14:uncheckedState w14:val="2610" w14:font="MS Gothic"/>
              </w14:checkbox>
            </w:sdtPr>
            <w:sdtContent>
              <w:p w14:paraId="047D8D4A"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49D85614" w14:textId="77777777" w:rsidR="00F624E2" w:rsidRDefault="00F624E2" w:rsidP="00F624E2">
            <w:pPr>
              <w:jc w:val="center"/>
              <w:rPr>
                <w:rFonts w:ascii="Arial" w:hAnsi="Arial" w:cs="Arial"/>
                <w:sz w:val="22"/>
                <w:szCs w:val="22"/>
              </w:rPr>
            </w:pPr>
          </w:p>
        </w:tc>
      </w:tr>
      <w:tr w:rsidR="00F624E2" w:rsidRPr="00A74B3E" w14:paraId="0E25CAB2" w14:textId="77777777" w:rsidTr="00BA343F">
        <w:tc>
          <w:tcPr>
            <w:tcW w:w="1689" w:type="dxa"/>
          </w:tcPr>
          <w:p w14:paraId="44F41437" w14:textId="5FA20EB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2B8591F" w14:textId="671C9E6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Neill, Michael. Issues of Death: Mortality and Identity in English Renaissance Tragedy. Oxford: Clarendon Press, 1997.</w:t>
            </w:r>
          </w:p>
        </w:tc>
        <w:tc>
          <w:tcPr>
            <w:tcW w:w="1366" w:type="dxa"/>
          </w:tcPr>
          <w:sdt>
            <w:sdtPr>
              <w:rPr>
                <w:rFonts w:ascii="Arial" w:hAnsi="Arial" w:cs="Arial"/>
                <w:sz w:val="22"/>
                <w:szCs w:val="22"/>
              </w:rPr>
              <w:id w:val="2120417455"/>
              <w14:checkbox>
                <w14:checked w14:val="0"/>
                <w14:checkedState w14:val="2612" w14:font="MS Gothic"/>
                <w14:uncheckedState w14:val="2610" w14:font="MS Gothic"/>
              </w14:checkbox>
            </w:sdtPr>
            <w:sdtContent>
              <w:p w14:paraId="4FF6FB7D"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553FDD9E" w14:textId="029B7275" w:rsidR="00F624E2" w:rsidRDefault="00F624E2" w:rsidP="00F624E2">
            <w:pPr>
              <w:jc w:val="center"/>
              <w:rPr>
                <w:rFonts w:ascii="Arial" w:hAnsi="Arial" w:cs="Arial"/>
                <w:sz w:val="22"/>
                <w:szCs w:val="22"/>
              </w:rPr>
            </w:pPr>
          </w:p>
        </w:tc>
      </w:tr>
      <w:tr w:rsidR="00F624E2" w:rsidRPr="00A74B3E" w14:paraId="5F451919" w14:textId="77777777" w:rsidTr="00BA343F">
        <w:tc>
          <w:tcPr>
            <w:tcW w:w="1689" w:type="dxa"/>
          </w:tcPr>
          <w:p w14:paraId="579D9A31" w14:textId="511ACB37"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54313266" w14:textId="0BF2F0E6"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Adelman, Janet. Suffocating Mothers: Fantasies of Maternal Origin in Shakespeare’s Plays, ‘Hamlet’ to ‘The Tempest’. London: Routledge, 1992.</w:t>
            </w:r>
          </w:p>
        </w:tc>
        <w:tc>
          <w:tcPr>
            <w:tcW w:w="1366" w:type="dxa"/>
          </w:tcPr>
          <w:sdt>
            <w:sdtPr>
              <w:rPr>
                <w:rFonts w:ascii="Arial" w:hAnsi="Arial" w:cs="Arial"/>
                <w:sz w:val="22"/>
                <w:szCs w:val="22"/>
              </w:rPr>
              <w:id w:val="-1548832771"/>
              <w14:checkbox>
                <w14:checked w14:val="0"/>
                <w14:checkedState w14:val="2612" w14:font="MS Gothic"/>
                <w14:uncheckedState w14:val="2610" w14:font="MS Gothic"/>
              </w14:checkbox>
            </w:sdtPr>
            <w:sdtContent>
              <w:p w14:paraId="02105AF6"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7E6762C5" w14:textId="404E96EC" w:rsidR="00F624E2" w:rsidRDefault="00F624E2" w:rsidP="00F624E2">
            <w:pPr>
              <w:jc w:val="center"/>
              <w:rPr>
                <w:rFonts w:ascii="Arial" w:hAnsi="Arial" w:cs="Arial"/>
                <w:sz w:val="22"/>
                <w:szCs w:val="22"/>
              </w:rPr>
            </w:pPr>
          </w:p>
        </w:tc>
      </w:tr>
      <w:tr w:rsidR="00F624E2" w:rsidRPr="00A74B3E" w14:paraId="59E1A475" w14:textId="77777777" w:rsidTr="00BA343F">
        <w:tc>
          <w:tcPr>
            <w:tcW w:w="1689" w:type="dxa"/>
          </w:tcPr>
          <w:p w14:paraId="435F01D6" w14:textId="487E33B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2ED64A3B" w14:textId="2C928445"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Cavell, Stanley. Disowning Knowledge in Six Plays of Shakespeare. Cambridge: Cambridge University Press, 1987.</w:t>
            </w:r>
          </w:p>
        </w:tc>
        <w:tc>
          <w:tcPr>
            <w:tcW w:w="1366" w:type="dxa"/>
          </w:tcPr>
          <w:sdt>
            <w:sdtPr>
              <w:rPr>
                <w:rFonts w:ascii="Arial" w:hAnsi="Arial" w:cs="Arial"/>
                <w:sz w:val="22"/>
                <w:szCs w:val="22"/>
              </w:rPr>
              <w:id w:val="-2126373044"/>
              <w14:checkbox>
                <w14:checked w14:val="0"/>
                <w14:checkedState w14:val="2612" w14:font="MS Gothic"/>
                <w14:uncheckedState w14:val="2610" w14:font="MS Gothic"/>
              </w14:checkbox>
            </w:sdtPr>
            <w:sdtContent>
              <w:p w14:paraId="0BE9098F" w14:textId="77777777" w:rsidR="00F624E2" w:rsidRPr="00744B74"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p w14:paraId="6DEA8AF4" w14:textId="28C770B7" w:rsidR="00F624E2" w:rsidRDefault="00F624E2" w:rsidP="00F624E2">
            <w:pPr>
              <w:jc w:val="center"/>
              <w:rPr>
                <w:rFonts w:ascii="Arial" w:hAnsi="Arial" w:cs="Arial"/>
                <w:sz w:val="22"/>
                <w:szCs w:val="22"/>
              </w:rPr>
            </w:pPr>
          </w:p>
        </w:tc>
      </w:tr>
      <w:tr w:rsidR="00F624E2" w:rsidRPr="00A74B3E" w14:paraId="1643E053" w14:textId="77777777" w:rsidTr="00BA343F">
        <w:tc>
          <w:tcPr>
            <w:tcW w:w="1689" w:type="dxa"/>
          </w:tcPr>
          <w:p w14:paraId="62370278" w14:textId="06207929"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7366B02C" w14:textId="26D4D4F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Leggatt, Alexander. The Cambridge Companion to Shakespearean Comedy. </w:t>
            </w:r>
            <w:proofErr w:type="gramStart"/>
            <w:r w:rsidRPr="00744B74">
              <w:rPr>
                <w:rFonts w:ascii="Arial" w:hAnsi="Arial" w:cs="Arial"/>
                <w:sz w:val="22"/>
                <w:szCs w:val="22"/>
              </w:rPr>
              <w:t>Cambridge ;</w:t>
            </w:r>
            <w:proofErr w:type="gramEnd"/>
            <w:r w:rsidRPr="00744B74">
              <w:rPr>
                <w:rFonts w:ascii="Arial" w:hAnsi="Arial" w:cs="Arial"/>
                <w:sz w:val="22"/>
                <w:szCs w:val="22"/>
              </w:rPr>
              <w:t xml:space="preserve"> New York, Cambridge ; New York : Cambridge University Press, 2002.</w:t>
            </w:r>
          </w:p>
        </w:tc>
        <w:tc>
          <w:tcPr>
            <w:tcW w:w="1366" w:type="dxa"/>
          </w:tcPr>
          <w:sdt>
            <w:sdtPr>
              <w:rPr>
                <w:rFonts w:ascii="Arial" w:hAnsi="Arial" w:cs="Arial"/>
                <w:sz w:val="22"/>
                <w:szCs w:val="22"/>
              </w:rPr>
              <w:id w:val="-1661616961"/>
              <w14:checkbox>
                <w14:checked w14:val="0"/>
                <w14:checkedState w14:val="2612" w14:font="MS Gothic"/>
                <w14:uncheckedState w14:val="2610" w14:font="MS Gothic"/>
              </w14:checkbox>
            </w:sdtPr>
            <w:sdtContent>
              <w:p w14:paraId="45818E7B" w14:textId="4DF9DA1F"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61A4FE8D" w14:textId="77777777" w:rsidTr="00BA343F">
        <w:tc>
          <w:tcPr>
            <w:tcW w:w="1689" w:type="dxa"/>
          </w:tcPr>
          <w:p w14:paraId="5F1914F3" w14:textId="0531B66D"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6045A4D0" w14:textId="5F301AE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 xml:space="preserve">Loomba, </w:t>
            </w:r>
            <w:proofErr w:type="spellStart"/>
            <w:r w:rsidRPr="00744B74">
              <w:rPr>
                <w:rFonts w:ascii="Arial" w:hAnsi="Arial" w:cs="Arial"/>
                <w:sz w:val="22"/>
                <w:szCs w:val="22"/>
              </w:rPr>
              <w:t>Ania</w:t>
            </w:r>
            <w:proofErr w:type="spellEnd"/>
            <w:r w:rsidRPr="00744B74">
              <w:rPr>
                <w:rFonts w:ascii="Arial" w:hAnsi="Arial" w:cs="Arial"/>
                <w:sz w:val="22"/>
                <w:szCs w:val="22"/>
              </w:rPr>
              <w:t>. Gender, Race, Renaissance Drama. Manchester: Manchester UP, 1989</w:t>
            </w:r>
          </w:p>
        </w:tc>
        <w:tc>
          <w:tcPr>
            <w:tcW w:w="1366" w:type="dxa"/>
          </w:tcPr>
          <w:sdt>
            <w:sdtPr>
              <w:rPr>
                <w:rFonts w:ascii="Arial" w:hAnsi="Arial" w:cs="Arial"/>
                <w:sz w:val="22"/>
                <w:szCs w:val="22"/>
              </w:rPr>
              <w:id w:val="-2044892778"/>
              <w14:checkbox>
                <w14:checked w14:val="0"/>
                <w14:checkedState w14:val="2612" w14:font="MS Gothic"/>
                <w14:uncheckedState w14:val="2610" w14:font="MS Gothic"/>
              </w14:checkbox>
            </w:sdtPr>
            <w:sdtContent>
              <w:p w14:paraId="6AD0A709" w14:textId="53862A86"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r w:rsidR="00F624E2" w:rsidRPr="00A74B3E" w14:paraId="5E5FCAB7" w14:textId="77777777" w:rsidTr="00BA343F">
        <w:tc>
          <w:tcPr>
            <w:tcW w:w="1689" w:type="dxa"/>
          </w:tcPr>
          <w:p w14:paraId="54D72E55" w14:textId="5D1A3F81"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Further</w:t>
            </w:r>
          </w:p>
        </w:tc>
        <w:tc>
          <w:tcPr>
            <w:tcW w:w="5605" w:type="dxa"/>
          </w:tcPr>
          <w:p w14:paraId="5E195DCA" w14:textId="5303161F" w:rsidR="00F624E2" w:rsidRPr="00A74B3E" w:rsidRDefault="00F624E2" w:rsidP="00F624E2">
            <w:pPr>
              <w:tabs>
                <w:tab w:val="num" w:pos="720"/>
                <w:tab w:val="left" w:pos="1440"/>
              </w:tabs>
              <w:rPr>
                <w:rFonts w:ascii="Arial" w:hAnsi="Arial" w:cs="Arial"/>
                <w:sz w:val="22"/>
                <w:szCs w:val="22"/>
              </w:rPr>
            </w:pPr>
            <w:r w:rsidRPr="00744B74">
              <w:rPr>
                <w:rFonts w:ascii="Arial" w:hAnsi="Arial" w:cs="Arial"/>
                <w:sz w:val="22"/>
                <w:szCs w:val="22"/>
              </w:rPr>
              <w:t>McEachern, and McEachern, Claire. The Cambridge Companion to Shakespearean Tragedy. Cambridge: Cambridge UP, 2002.</w:t>
            </w:r>
          </w:p>
        </w:tc>
        <w:tc>
          <w:tcPr>
            <w:tcW w:w="1366" w:type="dxa"/>
          </w:tcPr>
          <w:sdt>
            <w:sdtPr>
              <w:rPr>
                <w:rFonts w:ascii="Arial" w:hAnsi="Arial" w:cs="Arial"/>
                <w:sz w:val="22"/>
                <w:szCs w:val="22"/>
              </w:rPr>
              <w:id w:val="67468033"/>
              <w14:checkbox>
                <w14:checked w14:val="0"/>
                <w14:checkedState w14:val="2612" w14:font="MS Gothic"/>
                <w14:uncheckedState w14:val="2610" w14:font="MS Gothic"/>
              </w14:checkbox>
            </w:sdtPr>
            <w:sdtContent>
              <w:p w14:paraId="0E2FE48E" w14:textId="3874906F" w:rsidR="00F624E2" w:rsidRDefault="00F624E2" w:rsidP="00F624E2">
                <w:pPr>
                  <w:jc w:val="center"/>
                  <w:rPr>
                    <w:rFonts w:ascii="Arial" w:hAnsi="Arial" w:cs="Arial"/>
                    <w:sz w:val="22"/>
                    <w:szCs w:val="22"/>
                  </w:rPr>
                </w:pPr>
                <w:r w:rsidRPr="00744B74">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0241"/>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16B44"/>
    <w:rsid w:val="0012689B"/>
    <w:rsid w:val="001515D9"/>
    <w:rsid w:val="00172EDC"/>
    <w:rsid w:val="00180F13"/>
    <w:rsid w:val="001A15E3"/>
    <w:rsid w:val="001A2624"/>
    <w:rsid w:val="001C765C"/>
    <w:rsid w:val="001D5DF6"/>
    <w:rsid w:val="00203392"/>
    <w:rsid w:val="002411A3"/>
    <w:rsid w:val="00262CFB"/>
    <w:rsid w:val="00302297"/>
    <w:rsid w:val="003146EA"/>
    <w:rsid w:val="00316625"/>
    <w:rsid w:val="00356025"/>
    <w:rsid w:val="00404273"/>
    <w:rsid w:val="00470586"/>
    <w:rsid w:val="004A6539"/>
    <w:rsid w:val="004B6F80"/>
    <w:rsid w:val="004F207C"/>
    <w:rsid w:val="005006B0"/>
    <w:rsid w:val="005259D7"/>
    <w:rsid w:val="00527E61"/>
    <w:rsid w:val="00551363"/>
    <w:rsid w:val="005946A7"/>
    <w:rsid w:val="005E40A7"/>
    <w:rsid w:val="005E41B4"/>
    <w:rsid w:val="0062376E"/>
    <w:rsid w:val="00646A7D"/>
    <w:rsid w:val="0069757B"/>
    <w:rsid w:val="006A0463"/>
    <w:rsid w:val="006A0CE9"/>
    <w:rsid w:val="006D2B8B"/>
    <w:rsid w:val="006E184F"/>
    <w:rsid w:val="006E2228"/>
    <w:rsid w:val="00717684"/>
    <w:rsid w:val="00736A82"/>
    <w:rsid w:val="00743604"/>
    <w:rsid w:val="007801F9"/>
    <w:rsid w:val="007F3042"/>
    <w:rsid w:val="008619BD"/>
    <w:rsid w:val="008761A2"/>
    <w:rsid w:val="0089539D"/>
    <w:rsid w:val="008C188B"/>
    <w:rsid w:val="008E55FA"/>
    <w:rsid w:val="008F44C9"/>
    <w:rsid w:val="00900C5C"/>
    <w:rsid w:val="009139DF"/>
    <w:rsid w:val="00924F30"/>
    <w:rsid w:val="00996935"/>
    <w:rsid w:val="009A077A"/>
    <w:rsid w:val="009B5674"/>
    <w:rsid w:val="009D0293"/>
    <w:rsid w:val="00A13E50"/>
    <w:rsid w:val="00A45F71"/>
    <w:rsid w:val="00A74B3E"/>
    <w:rsid w:val="00A9641E"/>
    <w:rsid w:val="00AA501F"/>
    <w:rsid w:val="00AC3AC6"/>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F6F6C"/>
    <w:rsid w:val="00C13D91"/>
    <w:rsid w:val="00C45737"/>
    <w:rsid w:val="00C86B41"/>
    <w:rsid w:val="00CD2461"/>
    <w:rsid w:val="00D41EBF"/>
    <w:rsid w:val="00DA3486"/>
    <w:rsid w:val="00DB46AD"/>
    <w:rsid w:val="00DC7FD0"/>
    <w:rsid w:val="00DE543B"/>
    <w:rsid w:val="00E064AE"/>
    <w:rsid w:val="00E30887"/>
    <w:rsid w:val="00E91B3E"/>
    <w:rsid w:val="00EA24E6"/>
    <w:rsid w:val="00ED342A"/>
    <w:rsid w:val="00F0221E"/>
    <w:rsid w:val="00F624E2"/>
    <w:rsid w:val="00F64B4A"/>
    <w:rsid w:val="00F74441"/>
    <w:rsid w:val="00FB66CE"/>
    <w:rsid w:val="00FE0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5</TotalTime>
  <Pages>4</Pages>
  <Words>1197</Words>
  <Characters>7234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8415</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4</cp:revision>
  <cp:lastPrinted>1901-01-01T00:00:00Z</cp:lastPrinted>
  <dcterms:created xsi:type="dcterms:W3CDTF">2022-07-03T19:04:00Z</dcterms:created>
  <dcterms:modified xsi:type="dcterms:W3CDTF">2022-07-03T19:08:00Z</dcterms:modified>
</cp:coreProperties>
</file>