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97D8CA" w14:textId="64207322" w:rsidR="006832F1" w:rsidRPr="00F90515" w:rsidRDefault="00C30D16" w:rsidP="00182F08">
      <w:pPr>
        <w:pStyle w:val="Heading1"/>
      </w:pPr>
      <w:r w:rsidRPr="00F90515">
        <w:t>Personal Learning Plan</w:t>
      </w:r>
    </w:p>
    <w:p w14:paraId="4FB2F269" w14:textId="684C3B9D" w:rsidR="003875A5" w:rsidRPr="00F90515" w:rsidRDefault="003875A5" w:rsidP="006832F1">
      <w:pPr>
        <w:rPr>
          <w:rFonts w:asciiTheme="majorHAnsi" w:hAnsiTheme="majorHAnsi" w:cstheme="majorHAnsi"/>
          <w:szCs w:val="24"/>
        </w:rPr>
      </w:pPr>
      <w:r w:rsidRPr="00F90515">
        <w:rPr>
          <w:rFonts w:asciiTheme="majorHAnsi" w:hAnsiTheme="majorHAnsi" w:cstheme="majorHAnsi"/>
          <w:b/>
          <w:szCs w:val="24"/>
        </w:rPr>
        <w:t>Name:</w:t>
      </w:r>
      <w:r w:rsidR="00C24C97" w:rsidRPr="00F90515">
        <w:rPr>
          <w:rFonts w:asciiTheme="majorHAnsi" w:hAnsiTheme="majorHAnsi" w:cstheme="majorHAnsi"/>
          <w:b/>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szCs w:val="24"/>
        </w:rPr>
        <w:tab/>
      </w:r>
      <w:r w:rsidR="00C24C97" w:rsidRPr="00F90515">
        <w:rPr>
          <w:rFonts w:asciiTheme="majorHAnsi" w:hAnsiTheme="majorHAnsi" w:cstheme="majorHAnsi"/>
          <w:b/>
          <w:szCs w:val="24"/>
        </w:rPr>
        <w:t>Date:</w:t>
      </w:r>
    </w:p>
    <w:tbl>
      <w:tblPr>
        <w:tblW w:w="0" w:type="auto"/>
        <w:tblLayout w:type="fixed"/>
        <w:tblLook w:val="0000" w:firstRow="0" w:lastRow="0" w:firstColumn="0" w:lastColumn="0" w:noHBand="0" w:noVBand="0"/>
      </w:tblPr>
      <w:tblGrid>
        <w:gridCol w:w="3456"/>
        <w:gridCol w:w="3744"/>
        <w:gridCol w:w="3744"/>
        <w:gridCol w:w="4320"/>
      </w:tblGrid>
      <w:tr w:rsidR="00B021F7" w:rsidRPr="00F90515" w14:paraId="6049C604" w14:textId="77777777" w:rsidTr="47BA5407">
        <w:trPr>
          <w:cantSplit/>
        </w:trPr>
        <w:tc>
          <w:tcPr>
            <w:tcW w:w="3456" w:type="dxa"/>
            <w:tcBorders>
              <w:top w:val="single" w:sz="12" w:space="0" w:color="auto"/>
              <w:left w:val="single" w:sz="12" w:space="0" w:color="auto"/>
              <w:bottom w:val="single" w:sz="6" w:space="0" w:color="auto"/>
              <w:right w:val="single" w:sz="6" w:space="0" w:color="auto"/>
            </w:tcBorders>
          </w:tcPr>
          <w:p w14:paraId="1F0A7D4A" w14:textId="77777777" w:rsidR="00B021F7" w:rsidRPr="00F90515" w:rsidRDefault="00B021F7" w:rsidP="006832F1">
            <w:pPr>
              <w:spacing w:before="120" w:after="120"/>
              <w:rPr>
                <w:rFonts w:asciiTheme="majorHAnsi" w:hAnsiTheme="majorHAnsi" w:cstheme="majorHAnsi"/>
                <w:b/>
                <w:szCs w:val="24"/>
              </w:rPr>
            </w:pPr>
            <w:r w:rsidRPr="00F90515">
              <w:rPr>
                <w:rFonts w:asciiTheme="majorHAnsi" w:hAnsiTheme="majorHAnsi" w:cstheme="majorHAnsi"/>
                <w:b/>
                <w:szCs w:val="24"/>
              </w:rPr>
              <w:t>Objectives</w:t>
            </w:r>
            <w:r w:rsidRPr="00F90515">
              <w:rPr>
                <w:rFonts w:asciiTheme="majorHAnsi" w:hAnsiTheme="majorHAnsi" w:cstheme="majorHAnsi"/>
                <w:b/>
                <w:szCs w:val="24"/>
              </w:rPr>
              <w:br/>
            </w:r>
            <w:r w:rsidRPr="00F90515">
              <w:rPr>
                <w:rFonts w:asciiTheme="majorHAnsi" w:hAnsiTheme="majorHAnsi" w:cstheme="majorHAnsi"/>
                <w:szCs w:val="24"/>
              </w:rPr>
              <w:t>What do I want to be able to do</w:t>
            </w:r>
            <w:r w:rsidRPr="00F90515">
              <w:rPr>
                <w:rFonts w:asciiTheme="majorHAnsi" w:hAnsiTheme="majorHAnsi" w:cstheme="majorHAnsi"/>
                <w:szCs w:val="24"/>
              </w:rPr>
              <w:br/>
              <w:t>or do better?</w:t>
            </w:r>
          </w:p>
        </w:tc>
        <w:tc>
          <w:tcPr>
            <w:tcW w:w="3744" w:type="dxa"/>
            <w:tcBorders>
              <w:top w:val="single" w:sz="12" w:space="0" w:color="auto"/>
              <w:left w:val="single" w:sz="6" w:space="0" w:color="auto"/>
              <w:bottom w:val="single" w:sz="6" w:space="0" w:color="auto"/>
              <w:right w:val="single" w:sz="6" w:space="0" w:color="auto"/>
            </w:tcBorders>
          </w:tcPr>
          <w:p w14:paraId="70753CDF" w14:textId="77777777" w:rsidR="00B021F7" w:rsidRPr="00F90515" w:rsidRDefault="00B021F7" w:rsidP="006832F1">
            <w:pPr>
              <w:spacing w:before="120" w:after="120"/>
              <w:rPr>
                <w:rFonts w:asciiTheme="majorHAnsi" w:hAnsiTheme="majorHAnsi" w:cstheme="majorHAnsi"/>
                <w:b/>
                <w:szCs w:val="24"/>
              </w:rPr>
            </w:pPr>
            <w:r w:rsidRPr="00F90515">
              <w:rPr>
                <w:rFonts w:asciiTheme="majorHAnsi" w:hAnsiTheme="majorHAnsi" w:cstheme="majorHAnsi"/>
                <w:b/>
                <w:szCs w:val="24"/>
              </w:rPr>
              <w:t>Success criteria</w:t>
            </w:r>
            <w:r w:rsidRPr="00F90515">
              <w:rPr>
                <w:rFonts w:asciiTheme="majorHAnsi" w:hAnsiTheme="majorHAnsi" w:cstheme="majorHAnsi"/>
                <w:b/>
                <w:szCs w:val="24"/>
              </w:rPr>
              <w:br/>
            </w:r>
            <w:r w:rsidRPr="00F90515">
              <w:rPr>
                <w:rFonts w:asciiTheme="majorHAnsi" w:hAnsiTheme="majorHAnsi" w:cstheme="majorHAnsi"/>
                <w:szCs w:val="24"/>
              </w:rPr>
              <w:t>How will I recognise success?</w:t>
            </w:r>
            <w:r w:rsidRPr="00F90515">
              <w:rPr>
                <w:rFonts w:asciiTheme="majorHAnsi" w:hAnsiTheme="majorHAnsi" w:cstheme="majorHAnsi"/>
                <w:szCs w:val="24"/>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CAD31AB" w14:textId="77777777" w:rsidR="00B021F7" w:rsidRPr="00F90515" w:rsidRDefault="00B021F7" w:rsidP="006832F1">
            <w:pPr>
              <w:spacing w:before="120" w:after="120"/>
              <w:rPr>
                <w:rFonts w:asciiTheme="majorHAnsi" w:hAnsiTheme="majorHAnsi" w:cstheme="majorHAnsi"/>
                <w:szCs w:val="24"/>
              </w:rPr>
            </w:pPr>
            <w:r w:rsidRPr="00F90515">
              <w:rPr>
                <w:rFonts w:asciiTheme="majorHAnsi" w:hAnsiTheme="majorHAnsi" w:cstheme="majorHAnsi"/>
                <w:b/>
                <w:szCs w:val="24"/>
              </w:rPr>
              <w:t>Actions</w:t>
            </w:r>
            <w:r w:rsidRPr="00F90515">
              <w:rPr>
                <w:rFonts w:asciiTheme="majorHAnsi" w:hAnsiTheme="majorHAnsi" w:cstheme="majorHAnsi"/>
                <w:b/>
                <w:szCs w:val="24"/>
              </w:rPr>
              <w:br/>
            </w:r>
            <w:r w:rsidRPr="00F90515">
              <w:rPr>
                <w:rFonts w:asciiTheme="majorHAnsi" w:hAnsiTheme="majorHAnsi" w:cstheme="majorHAnsi"/>
                <w:szCs w:val="24"/>
              </w:rPr>
              <w:t>What methods will I use to achieve my learning objectives?</w:t>
            </w:r>
            <w:r w:rsidRPr="00F90515">
              <w:rPr>
                <w:rFonts w:asciiTheme="majorHAnsi" w:hAnsiTheme="majorHAnsi" w:cstheme="majorHAnsi"/>
                <w:szCs w:val="24"/>
              </w:rPr>
              <w:br/>
            </w:r>
          </w:p>
        </w:tc>
        <w:tc>
          <w:tcPr>
            <w:tcW w:w="4320" w:type="dxa"/>
            <w:tcBorders>
              <w:top w:val="single" w:sz="12" w:space="0" w:color="auto"/>
              <w:left w:val="single" w:sz="6" w:space="0" w:color="auto"/>
              <w:bottom w:val="single" w:sz="6" w:space="0" w:color="auto"/>
              <w:right w:val="single" w:sz="12" w:space="0" w:color="auto"/>
            </w:tcBorders>
          </w:tcPr>
          <w:p w14:paraId="41E84F44" w14:textId="77777777" w:rsidR="00B021F7" w:rsidRPr="00F90515" w:rsidRDefault="00B021F7" w:rsidP="006832F1">
            <w:pPr>
              <w:spacing w:before="120" w:after="120"/>
              <w:rPr>
                <w:rFonts w:asciiTheme="majorHAnsi" w:hAnsiTheme="majorHAnsi" w:cstheme="majorHAnsi"/>
                <w:szCs w:val="24"/>
              </w:rPr>
            </w:pPr>
            <w:r w:rsidRPr="00F90515">
              <w:rPr>
                <w:rFonts w:asciiTheme="majorHAnsi" w:hAnsiTheme="majorHAnsi" w:cstheme="majorHAnsi"/>
                <w:b/>
                <w:szCs w:val="24"/>
              </w:rPr>
              <w:t>Implementation</w:t>
            </w:r>
            <w:r w:rsidRPr="00F90515">
              <w:rPr>
                <w:rFonts w:asciiTheme="majorHAnsi" w:hAnsiTheme="majorHAnsi" w:cstheme="majorHAnsi"/>
                <w:b/>
                <w:szCs w:val="24"/>
              </w:rPr>
              <w:br/>
            </w:r>
            <w:r w:rsidRPr="00F90515">
              <w:rPr>
                <w:rFonts w:asciiTheme="majorHAnsi" w:hAnsiTheme="majorHAnsi" w:cstheme="majorHAnsi"/>
                <w:szCs w:val="24"/>
              </w:rPr>
              <w:t>How will I practise and apply what I learn?</w:t>
            </w:r>
          </w:p>
          <w:p w14:paraId="7B57544B" w14:textId="736E5695" w:rsidR="000B79B0" w:rsidRPr="00F90515" w:rsidRDefault="000B79B0" w:rsidP="006832F1">
            <w:pPr>
              <w:spacing w:before="120" w:after="120"/>
              <w:rPr>
                <w:rFonts w:asciiTheme="majorHAnsi" w:hAnsiTheme="majorHAnsi" w:cstheme="majorHAnsi"/>
                <w:b/>
                <w:szCs w:val="24"/>
              </w:rPr>
            </w:pPr>
            <w:r w:rsidRPr="00F90515">
              <w:rPr>
                <w:rFonts w:asciiTheme="majorHAnsi" w:hAnsiTheme="majorHAnsi" w:cstheme="majorHAnsi"/>
                <w:szCs w:val="24"/>
              </w:rPr>
              <w:t>Timescale?</w:t>
            </w:r>
          </w:p>
        </w:tc>
      </w:tr>
      <w:tr w:rsidR="00B021F7" w:rsidRPr="00F90515" w14:paraId="4CFDCC34" w14:textId="77777777" w:rsidTr="47BA5407">
        <w:trPr>
          <w:cantSplit/>
        </w:trPr>
        <w:tc>
          <w:tcPr>
            <w:tcW w:w="3456" w:type="dxa"/>
            <w:tcBorders>
              <w:top w:val="single" w:sz="6" w:space="0" w:color="auto"/>
              <w:left w:val="single" w:sz="12" w:space="0" w:color="auto"/>
              <w:bottom w:val="single" w:sz="6" w:space="0" w:color="auto"/>
              <w:right w:val="single" w:sz="6" w:space="0" w:color="auto"/>
            </w:tcBorders>
          </w:tcPr>
          <w:p w14:paraId="58591961" w14:textId="5C632472" w:rsidR="00B021F7" w:rsidRPr="00F90515" w:rsidRDefault="001A12C8" w:rsidP="006832F1">
            <w:pPr>
              <w:rPr>
                <w:rFonts w:asciiTheme="majorHAnsi" w:hAnsiTheme="majorHAnsi" w:cstheme="majorHAnsi"/>
                <w:color w:val="336699"/>
                <w:szCs w:val="24"/>
              </w:rPr>
            </w:pPr>
            <w:r w:rsidRPr="00F90515">
              <w:rPr>
                <w:rFonts w:asciiTheme="majorHAnsi" w:hAnsiTheme="majorHAnsi" w:cstheme="majorHAnsi"/>
                <w:color w:val="336699"/>
                <w:szCs w:val="24"/>
              </w:rPr>
              <w:t xml:space="preserve">Further explore and integrate AI powered tools in to </w:t>
            </w:r>
            <w:r w:rsidR="0089077C" w:rsidRPr="00F90515">
              <w:rPr>
                <w:rFonts w:asciiTheme="majorHAnsi" w:hAnsiTheme="majorHAnsi" w:cstheme="majorHAnsi"/>
                <w:color w:val="336699"/>
                <w:szCs w:val="24"/>
              </w:rPr>
              <w:t>teaching and learning to further enhance student engagement and learning.</w:t>
            </w:r>
          </w:p>
          <w:p w14:paraId="75B7F736" w14:textId="6DFEF081" w:rsidR="00B021F7" w:rsidRPr="00F90515" w:rsidRDefault="00E90732" w:rsidP="006832F1">
            <w:pPr>
              <w:rPr>
                <w:rFonts w:asciiTheme="majorHAnsi" w:hAnsiTheme="majorHAnsi" w:cstheme="majorHAnsi"/>
                <w:color w:val="336699"/>
                <w:szCs w:val="24"/>
              </w:rPr>
            </w:pPr>
            <w:r w:rsidRPr="00F90515">
              <w:rPr>
                <w:rFonts w:asciiTheme="majorHAnsi" w:hAnsiTheme="majorHAnsi" w:cstheme="majorHAnsi"/>
                <w:color w:val="336699"/>
                <w:szCs w:val="24"/>
              </w:rPr>
              <w:t>Develop my own understanding of AI from the foundation that I currently have.</w:t>
            </w:r>
          </w:p>
          <w:p w14:paraId="2D93D418" w14:textId="77777777" w:rsidR="00B021F7" w:rsidRPr="00F90515" w:rsidRDefault="00B021F7" w:rsidP="006832F1">
            <w:pPr>
              <w:rPr>
                <w:rFonts w:asciiTheme="majorHAnsi" w:hAnsiTheme="majorHAnsi" w:cstheme="majorHAnsi"/>
                <w:color w:val="336699"/>
                <w:szCs w:val="24"/>
              </w:rPr>
            </w:pPr>
          </w:p>
          <w:p w14:paraId="1B3C71C4" w14:textId="77777777" w:rsidR="00B021F7" w:rsidRPr="00F90515" w:rsidRDefault="00B021F7" w:rsidP="006832F1">
            <w:pPr>
              <w:rPr>
                <w:rFonts w:asciiTheme="majorHAnsi" w:hAnsiTheme="majorHAnsi" w:cstheme="majorHAnsi"/>
                <w:color w:val="336699"/>
                <w:szCs w:val="24"/>
              </w:rPr>
            </w:pPr>
          </w:p>
          <w:p w14:paraId="78E525E5" w14:textId="77777777" w:rsidR="00B021F7" w:rsidRPr="00F90515" w:rsidRDefault="00B021F7" w:rsidP="006832F1">
            <w:pPr>
              <w:rPr>
                <w:rFonts w:asciiTheme="majorHAnsi" w:hAnsiTheme="majorHAnsi" w:cstheme="majorHAnsi"/>
                <w:color w:val="336699"/>
                <w:szCs w:val="24"/>
              </w:rPr>
            </w:pPr>
          </w:p>
          <w:p w14:paraId="09EBBD27" w14:textId="77777777" w:rsidR="00B021F7" w:rsidRPr="00F90515" w:rsidRDefault="00B021F7" w:rsidP="006832F1">
            <w:pPr>
              <w:rPr>
                <w:rFonts w:asciiTheme="majorHAnsi" w:hAnsiTheme="majorHAnsi" w:cstheme="majorHAnsi"/>
                <w:color w:val="336699"/>
                <w:szCs w:val="24"/>
              </w:rPr>
            </w:pPr>
          </w:p>
          <w:p w14:paraId="33C4377E" w14:textId="77777777" w:rsidR="00B021F7" w:rsidRPr="00F90515" w:rsidRDefault="00B021F7" w:rsidP="006832F1">
            <w:pPr>
              <w:rPr>
                <w:rFonts w:asciiTheme="majorHAnsi" w:hAnsiTheme="majorHAnsi" w:cstheme="majorHAnsi"/>
                <w:color w:val="336699"/>
                <w:szCs w:val="24"/>
              </w:rPr>
            </w:pPr>
          </w:p>
          <w:p w14:paraId="0991AAB4" w14:textId="77777777" w:rsidR="00B021F7" w:rsidRPr="00F90515" w:rsidRDefault="00B021F7" w:rsidP="006832F1">
            <w:pPr>
              <w:rPr>
                <w:rFonts w:asciiTheme="majorHAnsi" w:hAnsiTheme="majorHAnsi" w:cstheme="majorHAnsi"/>
                <w:color w:val="336699"/>
                <w:szCs w:val="24"/>
              </w:rPr>
            </w:pPr>
          </w:p>
        </w:tc>
        <w:tc>
          <w:tcPr>
            <w:tcW w:w="3744" w:type="dxa"/>
            <w:tcBorders>
              <w:top w:val="single" w:sz="6" w:space="0" w:color="auto"/>
              <w:left w:val="single" w:sz="6" w:space="0" w:color="auto"/>
              <w:bottom w:val="single" w:sz="6" w:space="0" w:color="auto"/>
              <w:right w:val="single" w:sz="6" w:space="0" w:color="auto"/>
            </w:tcBorders>
          </w:tcPr>
          <w:p w14:paraId="6243259E" w14:textId="77777777" w:rsidR="00B021F7" w:rsidRPr="00F90515" w:rsidRDefault="00D366EE" w:rsidP="00D366EE">
            <w:pPr>
              <w:rPr>
                <w:rFonts w:asciiTheme="majorHAnsi" w:hAnsiTheme="majorHAnsi" w:cstheme="majorHAnsi"/>
                <w:color w:val="336699"/>
                <w:szCs w:val="24"/>
              </w:rPr>
            </w:pPr>
            <w:r w:rsidRPr="00F90515">
              <w:rPr>
                <w:rFonts w:asciiTheme="majorHAnsi" w:hAnsiTheme="majorHAnsi" w:cstheme="majorHAnsi"/>
                <w:color w:val="336699"/>
                <w:szCs w:val="24"/>
              </w:rPr>
              <w:t xml:space="preserve">In Semester one of the 24/25 academic year I will </w:t>
            </w:r>
            <w:r w:rsidR="008742E2" w:rsidRPr="00F90515">
              <w:rPr>
                <w:rFonts w:asciiTheme="majorHAnsi" w:hAnsiTheme="majorHAnsi" w:cstheme="majorHAnsi"/>
                <w:color w:val="336699"/>
                <w:szCs w:val="24"/>
              </w:rPr>
              <w:t>pilot one additional AI driven learning activity.</w:t>
            </w:r>
          </w:p>
          <w:p w14:paraId="5F7F21AA" w14:textId="77777777" w:rsidR="008742E2" w:rsidRPr="00F90515" w:rsidRDefault="008742E2" w:rsidP="00D366EE">
            <w:pPr>
              <w:rPr>
                <w:rFonts w:asciiTheme="majorHAnsi" w:hAnsiTheme="majorHAnsi" w:cstheme="majorHAnsi"/>
                <w:color w:val="336699"/>
                <w:szCs w:val="24"/>
              </w:rPr>
            </w:pPr>
            <w:r w:rsidRPr="00F90515">
              <w:rPr>
                <w:rFonts w:asciiTheme="majorHAnsi" w:hAnsiTheme="majorHAnsi" w:cstheme="majorHAnsi"/>
                <w:color w:val="336699"/>
                <w:szCs w:val="24"/>
              </w:rPr>
              <w:t>I will evaluate the impact of the AI tool on student performance by comparing subjective engagement with previous iterations of the module being taught</w:t>
            </w:r>
            <w:r w:rsidR="00A50DC1" w:rsidRPr="00F90515">
              <w:rPr>
                <w:rFonts w:asciiTheme="majorHAnsi" w:hAnsiTheme="majorHAnsi" w:cstheme="majorHAnsi"/>
                <w:color w:val="336699"/>
                <w:szCs w:val="24"/>
              </w:rPr>
              <w:t>.</w:t>
            </w:r>
          </w:p>
          <w:p w14:paraId="344E6B45" w14:textId="051A86C3" w:rsidR="00A50DC1" w:rsidRPr="00F90515" w:rsidRDefault="00A50DC1" w:rsidP="00D366EE">
            <w:pPr>
              <w:rPr>
                <w:rFonts w:asciiTheme="majorHAnsi" w:hAnsiTheme="majorHAnsi" w:cstheme="majorHAnsi"/>
                <w:color w:val="336699"/>
                <w:szCs w:val="24"/>
              </w:rPr>
            </w:pPr>
            <w:r w:rsidRPr="00F90515">
              <w:rPr>
                <w:rFonts w:asciiTheme="majorHAnsi" w:hAnsiTheme="majorHAnsi" w:cstheme="majorHAnsi"/>
                <w:color w:val="336699"/>
                <w:szCs w:val="24"/>
              </w:rPr>
              <w:t xml:space="preserve">I will develop a demonstrable </w:t>
            </w:r>
            <w:r w:rsidR="007F5D85" w:rsidRPr="00F90515">
              <w:rPr>
                <w:rFonts w:asciiTheme="majorHAnsi" w:hAnsiTheme="majorHAnsi" w:cstheme="majorHAnsi"/>
                <w:color w:val="336699"/>
                <w:szCs w:val="24"/>
              </w:rPr>
              <w:t>working knowledge of AI tools that can be readily shared with colleagues.</w:t>
            </w:r>
          </w:p>
        </w:tc>
        <w:tc>
          <w:tcPr>
            <w:tcW w:w="3744" w:type="dxa"/>
            <w:tcBorders>
              <w:top w:val="single" w:sz="6" w:space="0" w:color="auto"/>
              <w:left w:val="single" w:sz="6" w:space="0" w:color="auto"/>
              <w:bottom w:val="single" w:sz="6" w:space="0" w:color="auto"/>
              <w:right w:val="single" w:sz="6" w:space="0" w:color="auto"/>
            </w:tcBorders>
          </w:tcPr>
          <w:p w14:paraId="4346B043" w14:textId="1E72AFF5" w:rsidR="00B021F7" w:rsidRPr="00F90515" w:rsidRDefault="00C82750"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I will dedicate a minimum of 4</w:t>
            </w:r>
            <w:r w:rsidR="003D31C6" w:rsidRPr="00F90515">
              <w:rPr>
                <w:rFonts w:asciiTheme="majorHAnsi" w:hAnsiTheme="majorHAnsi" w:cstheme="majorHAnsi"/>
                <w:color w:val="336699"/>
                <w:szCs w:val="24"/>
              </w:rPr>
              <w:t xml:space="preserve"> </w:t>
            </w:r>
            <w:r w:rsidRPr="00F90515">
              <w:rPr>
                <w:rFonts w:asciiTheme="majorHAnsi" w:hAnsiTheme="majorHAnsi" w:cstheme="majorHAnsi"/>
                <w:color w:val="336699"/>
                <w:szCs w:val="24"/>
              </w:rPr>
              <w:t>hours per month to research and familiarise myself with various AI tools</w:t>
            </w:r>
            <w:r w:rsidR="003D31C6" w:rsidRPr="00F90515">
              <w:rPr>
                <w:rFonts w:asciiTheme="majorHAnsi" w:hAnsiTheme="majorHAnsi" w:cstheme="majorHAnsi"/>
                <w:color w:val="336699"/>
                <w:szCs w:val="24"/>
              </w:rPr>
              <w:t xml:space="preserve"> that are suitable for enhancing student engagement and learning.</w:t>
            </w:r>
          </w:p>
          <w:p w14:paraId="3F761287" w14:textId="66AF595E" w:rsidR="003D31C6" w:rsidRPr="00F90515" w:rsidRDefault="003D31C6"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 xml:space="preserve">I will attend all possible university run workshops and utilise the university </w:t>
            </w:r>
            <w:r w:rsidR="0006591F" w:rsidRPr="00F90515">
              <w:rPr>
                <w:rFonts w:asciiTheme="majorHAnsi" w:hAnsiTheme="majorHAnsi" w:cstheme="majorHAnsi"/>
                <w:color w:val="336699"/>
                <w:szCs w:val="24"/>
              </w:rPr>
              <w:t>LinkedIn</w:t>
            </w:r>
            <w:r w:rsidRPr="00F90515">
              <w:rPr>
                <w:rFonts w:asciiTheme="majorHAnsi" w:hAnsiTheme="majorHAnsi" w:cstheme="majorHAnsi"/>
                <w:color w:val="336699"/>
                <w:szCs w:val="24"/>
              </w:rPr>
              <w:t xml:space="preserve"> Learning opportunities to develop my knowledge.</w:t>
            </w:r>
          </w:p>
        </w:tc>
        <w:tc>
          <w:tcPr>
            <w:tcW w:w="4320" w:type="dxa"/>
            <w:tcBorders>
              <w:top w:val="single" w:sz="6" w:space="0" w:color="auto"/>
              <w:left w:val="single" w:sz="6" w:space="0" w:color="auto"/>
              <w:bottom w:val="single" w:sz="6" w:space="0" w:color="auto"/>
              <w:right w:val="single" w:sz="12" w:space="0" w:color="auto"/>
            </w:tcBorders>
          </w:tcPr>
          <w:p w14:paraId="3C6DB9D0" w14:textId="77777777" w:rsidR="0098220B" w:rsidRPr="00F90515" w:rsidRDefault="00F42B53"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 xml:space="preserve">With colleagues </w:t>
            </w:r>
            <w:r w:rsidR="000766DD" w:rsidRPr="00F90515">
              <w:rPr>
                <w:rFonts w:asciiTheme="majorHAnsi" w:hAnsiTheme="majorHAnsi" w:cstheme="majorHAnsi"/>
                <w:color w:val="336699"/>
                <w:szCs w:val="24"/>
              </w:rPr>
              <w:t xml:space="preserve">in the discipline and </w:t>
            </w:r>
            <w:r w:rsidR="00E1649E" w:rsidRPr="00F90515">
              <w:rPr>
                <w:rFonts w:asciiTheme="majorHAnsi" w:hAnsiTheme="majorHAnsi" w:cstheme="majorHAnsi"/>
                <w:color w:val="336699"/>
                <w:szCs w:val="24"/>
              </w:rPr>
              <w:t>support from the academic office</w:t>
            </w:r>
            <w:r w:rsidR="0098220B" w:rsidRPr="00F90515">
              <w:rPr>
                <w:rFonts w:asciiTheme="majorHAnsi" w:hAnsiTheme="majorHAnsi" w:cstheme="majorHAnsi"/>
                <w:color w:val="336699"/>
                <w:szCs w:val="24"/>
              </w:rPr>
              <w:t>:</w:t>
            </w:r>
          </w:p>
          <w:p w14:paraId="7E59AA2A" w14:textId="77777777" w:rsidR="00B021F7" w:rsidRPr="00F90515" w:rsidRDefault="00E1649E"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 xml:space="preserve"> I will identify suitable AI platforms</w:t>
            </w:r>
            <w:r w:rsidR="00DC70C2" w:rsidRPr="00F90515">
              <w:rPr>
                <w:rFonts w:asciiTheme="majorHAnsi" w:hAnsiTheme="majorHAnsi" w:cstheme="majorHAnsi"/>
                <w:color w:val="336699"/>
                <w:szCs w:val="24"/>
              </w:rPr>
              <w:t>, e.g. adaptive learning platform,</w:t>
            </w:r>
            <w:r w:rsidRPr="00F90515">
              <w:rPr>
                <w:rFonts w:asciiTheme="majorHAnsi" w:hAnsiTheme="majorHAnsi" w:cstheme="majorHAnsi"/>
                <w:color w:val="336699"/>
                <w:szCs w:val="24"/>
              </w:rPr>
              <w:t xml:space="preserve"> </w:t>
            </w:r>
            <w:r w:rsidR="004F4D9D" w:rsidRPr="00F90515">
              <w:rPr>
                <w:rFonts w:asciiTheme="majorHAnsi" w:hAnsiTheme="majorHAnsi" w:cstheme="majorHAnsi"/>
                <w:color w:val="336699"/>
                <w:szCs w:val="24"/>
              </w:rPr>
              <w:t>prior to the start of teaching in September 2024</w:t>
            </w:r>
          </w:p>
          <w:p w14:paraId="2FB1A46E" w14:textId="2391E3B0" w:rsidR="0098220B" w:rsidRPr="00F90515" w:rsidRDefault="0098220B"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I will design and deliver a</w:t>
            </w:r>
            <w:r w:rsidR="00A7427F" w:rsidRPr="00F90515">
              <w:rPr>
                <w:rFonts w:asciiTheme="majorHAnsi" w:hAnsiTheme="majorHAnsi" w:cstheme="majorHAnsi"/>
                <w:color w:val="336699"/>
                <w:szCs w:val="24"/>
              </w:rPr>
              <w:t xml:space="preserve"> formative</w:t>
            </w:r>
            <w:r w:rsidRPr="00F90515">
              <w:rPr>
                <w:rFonts w:asciiTheme="majorHAnsi" w:hAnsiTheme="majorHAnsi" w:cstheme="majorHAnsi"/>
                <w:color w:val="336699"/>
                <w:szCs w:val="24"/>
              </w:rPr>
              <w:t xml:space="preserve"> assessment activity that utilises an AI tool to enhance the student learning experience, this will be designed</w:t>
            </w:r>
            <w:r w:rsidR="00A7427F" w:rsidRPr="00F90515">
              <w:rPr>
                <w:rFonts w:asciiTheme="majorHAnsi" w:hAnsiTheme="majorHAnsi" w:cstheme="majorHAnsi"/>
                <w:color w:val="336699"/>
                <w:szCs w:val="24"/>
              </w:rPr>
              <w:t xml:space="preserve"> and implemented</w:t>
            </w:r>
            <w:r w:rsidRPr="00F90515">
              <w:rPr>
                <w:rFonts w:asciiTheme="majorHAnsi" w:hAnsiTheme="majorHAnsi" w:cstheme="majorHAnsi"/>
                <w:color w:val="336699"/>
                <w:szCs w:val="24"/>
              </w:rPr>
              <w:t xml:space="preserve"> by </w:t>
            </w:r>
            <w:r w:rsidR="00A7427F" w:rsidRPr="00F90515">
              <w:rPr>
                <w:rFonts w:asciiTheme="majorHAnsi" w:hAnsiTheme="majorHAnsi" w:cstheme="majorHAnsi"/>
                <w:color w:val="336699"/>
                <w:szCs w:val="24"/>
              </w:rPr>
              <w:t>December 2024</w:t>
            </w:r>
          </w:p>
        </w:tc>
      </w:tr>
      <w:tr w:rsidR="00B021F7" w:rsidRPr="00F90515" w14:paraId="0B54B99F" w14:textId="77777777" w:rsidTr="47BA5407">
        <w:trPr>
          <w:cantSplit/>
        </w:trPr>
        <w:tc>
          <w:tcPr>
            <w:tcW w:w="3456" w:type="dxa"/>
            <w:tcBorders>
              <w:top w:val="single" w:sz="6" w:space="0" w:color="auto"/>
              <w:left w:val="single" w:sz="12" w:space="0" w:color="auto"/>
              <w:bottom w:val="single" w:sz="6" w:space="0" w:color="auto"/>
              <w:right w:val="single" w:sz="6" w:space="0" w:color="auto"/>
            </w:tcBorders>
          </w:tcPr>
          <w:p w14:paraId="3F8FC23B" w14:textId="5AD85DC9" w:rsidR="00B021F7" w:rsidRPr="00F90515" w:rsidRDefault="00A957D1" w:rsidP="006832F1">
            <w:pPr>
              <w:rPr>
                <w:rFonts w:asciiTheme="majorHAnsi" w:hAnsiTheme="majorHAnsi" w:cstheme="majorHAnsi"/>
                <w:color w:val="336699"/>
                <w:szCs w:val="24"/>
              </w:rPr>
            </w:pPr>
            <w:r w:rsidRPr="00F90515">
              <w:rPr>
                <w:rFonts w:asciiTheme="majorHAnsi" w:hAnsiTheme="majorHAnsi" w:cstheme="majorHAnsi"/>
                <w:color w:val="336699"/>
                <w:szCs w:val="24"/>
              </w:rPr>
              <w:lastRenderedPageBreak/>
              <w:t xml:space="preserve">Enhance the current guidance and support </w:t>
            </w:r>
            <w:r w:rsidR="004D22A7" w:rsidRPr="00F90515">
              <w:rPr>
                <w:rFonts w:asciiTheme="majorHAnsi" w:hAnsiTheme="majorHAnsi" w:cstheme="majorHAnsi"/>
                <w:color w:val="336699"/>
                <w:szCs w:val="24"/>
              </w:rPr>
              <w:t xml:space="preserve">offered to PCET students on placement within the programme. This will include programme development, teaching methods and </w:t>
            </w:r>
            <w:r w:rsidR="00FA7B19" w:rsidRPr="00F90515">
              <w:rPr>
                <w:rFonts w:asciiTheme="majorHAnsi" w:hAnsiTheme="majorHAnsi" w:cstheme="majorHAnsi"/>
                <w:color w:val="336699"/>
                <w:szCs w:val="24"/>
              </w:rPr>
              <w:t>student assessment (formative and summative)</w:t>
            </w:r>
          </w:p>
          <w:p w14:paraId="3F55B5FD" w14:textId="79AB01E6" w:rsidR="00B021F7" w:rsidRPr="00F90515" w:rsidRDefault="00FA7B19" w:rsidP="006832F1">
            <w:pPr>
              <w:rPr>
                <w:rFonts w:asciiTheme="majorHAnsi" w:hAnsiTheme="majorHAnsi" w:cstheme="majorHAnsi"/>
                <w:color w:val="336699"/>
                <w:szCs w:val="24"/>
              </w:rPr>
            </w:pPr>
            <w:r w:rsidRPr="00F90515">
              <w:rPr>
                <w:rFonts w:asciiTheme="majorHAnsi" w:hAnsiTheme="majorHAnsi" w:cstheme="majorHAnsi"/>
                <w:color w:val="336699"/>
                <w:szCs w:val="24"/>
              </w:rPr>
              <w:t>Foster the professional develop</w:t>
            </w:r>
            <w:r w:rsidR="003533A3" w:rsidRPr="00F90515">
              <w:rPr>
                <w:rFonts w:asciiTheme="majorHAnsi" w:hAnsiTheme="majorHAnsi" w:cstheme="majorHAnsi"/>
                <w:color w:val="336699"/>
                <w:szCs w:val="24"/>
              </w:rPr>
              <w:t>ment of the PCET student.</w:t>
            </w:r>
          </w:p>
          <w:p w14:paraId="5633717E" w14:textId="77777777" w:rsidR="00B021F7" w:rsidRPr="00F90515" w:rsidRDefault="00B021F7" w:rsidP="006832F1">
            <w:pPr>
              <w:rPr>
                <w:rFonts w:asciiTheme="majorHAnsi" w:hAnsiTheme="majorHAnsi" w:cstheme="majorHAnsi"/>
                <w:color w:val="336699"/>
                <w:szCs w:val="24"/>
              </w:rPr>
            </w:pPr>
          </w:p>
        </w:tc>
        <w:tc>
          <w:tcPr>
            <w:tcW w:w="3744" w:type="dxa"/>
            <w:tcBorders>
              <w:top w:val="single" w:sz="6" w:space="0" w:color="auto"/>
              <w:left w:val="single" w:sz="6" w:space="0" w:color="auto"/>
              <w:bottom w:val="single" w:sz="6" w:space="0" w:color="auto"/>
              <w:right w:val="single" w:sz="6" w:space="0" w:color="auto"/>
            </w:tcBorders>
          </w:tcPr>
          <w:p w14:paraId="7EA13A72" w14:textId="77777777" w:rsidR="00B021F7" w:rsidRPr="00F90515" w:rsidRDefault="00BC2B5D" w:rsidP="003533A3">
            <w:pPr>
              <w:rPr>
                <w:rFonts w:asciiTheme="majorHAnsi" w:hAnsiTheme="majorHAnsi" w:cstheme="majorHAnsi"/>
                <w:color w:val="336699"/>
                <w:szCs w:val="24"/>
              </w:rPr>
            </w:pPr>
            <w:r w:rsidRPr="00F90515">
              <w:rPr>
                <w:rFonts w:asciiTheme="majorHAnsi" w:hAnsiTheme="majorHAnsi" w:cstheme="majorHAnsi"/>
                <w:color w:val="336699"/>
                <w:szCs w:val="24"/>
              </w:rPr>
              <w:t xml:space="preserve">Subject to the PCET programme placing a student in the </w:t>
            </w:r>
            <w:r w:rsidR="00027B33" w:rsidRPr="00F90515">
              <w:rPr>
                <w:rFonts w:asciiTheme="majorHAnsi" w:hAnsiTheme="majorHAnsi" w:cstheme="majorHAnsi"/>
                <w:color w:val="336699"/>
                <w:szCs w:val="24"/>
              </w:rPr>
              <w:t xml:space="preserve">programme in the next academic year. </w:t>
            </w:r>
          </w:p>
          <w:p w14:paraId="0E95CCA9" w14:textId="10AFD50C" w:rsidR="00503F91" w:rsidRPr="00F90515" w:rsidRDefault="00503F91" w:rsidP="003533A3">
            <w:pPr>
              <w:rPr>
                <w:rFonts w:asciiTheme="majorHAnsi" w:hAnsiTheme="majorHAnsi" w:cstheme="majorHAnsi"/>
                <w:color w:val="336699"/>
                <w:szCs w:val="24"/>
              </w:rPr>
            </w:pPr>
            <w:r w:rsidRPr="00F90515">
              <w:rPr>
                <w:rFonts w:asciiTheme="majorHAnsi" w:hAnsiTheme="majorHAnsi" w:cstheme="majorHAnsi"/>
                <w:color w:val="336699"/>
                <w:szCs w:val="24"/>
              </w:rPr>
              <w:t>Success will be measured through improved feedback</w:t>
            </w:r>
            <w:r w:rsidR="00701C6D" w:rsidRPr="00F90515">
              <w:rPr>
                <w:rFonts w:asciiTheme="majorHAnsi" w:hAnsiTheme="majorHAnsi" w:cstheme="majorHAnsi"/>
                <w:color w:val="336699"/>
                <w:szCs w:val="24"/>
              </w:rPr>
              <w:t xml:space="preserve"> from the Mentee and the PCET lecturers.</w:t>
            </w:r>
            <w:r w:rsidR="00F169ED" w:rsidRPr="00F90515">
              <w:rPr>
                <w:rFonts w:asciiTheme="majorHAnsi" w:hAnsiTheme="majorHAnsi" w:cstheme="majorHAnsi"/>
                <w:color w:val="336699"/>
                <w:szCs w:val="24"/>
              </w:rPr>
              <w:t xml:space="preserve"> regarding the </w:t>
            </w:r>
            <w:r w:rsidR="00003FBD" w:rsidRPr="00F90515">
              <w:rPr>
                <w:rFonts w:asciiTheme="majorHAnsi" w:hAnsiTheme="majorHAnsi" w:cstheme="majorHAnsi"/>
                <w:color w:val="336699"/>
                <w:szCs w:val="24"/>
              </w:rPr>
              <w:t xml:space="preserve">value and effectiveness of the mentorship they have received </w:t>
            </w:r>
          </w:p>
        </w:tc>
        <w:tc>
          <w:tcPr>
            <w:tcW w:w="3744" w:type="dxa"/>
            <w:tcBorders>
              <w:top w:val="single" w:sz="6" w:space="0" w:color="auto"/>
              <w:left w:val="single" w:sz="6" w:space="0" w:color="auto"/>
              <w:bottom w:val="single" w:sz="6" w:space="0" w:color="auto"/>
              <w:right w:val="single" w:sz="6" w:space="0" w:color="auto"/>
            </w:tcBorders>
          </w:tcPr>
          <w:p w14:paraId="0461EB4B" w14:textId="6F308B92" w:rsidR="00B021F7" w:rsidRPr="00F90515" w:rsidRDefault="00701C6D"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The Mentee will receive fortnightly</w:t>
            </w:r>
            <w:r w:rsidR="00F134A2" w:rsidRPr="00F90515">
              <w:rPr>
                <w:rFonts w:asciiTheme="majorHAnsi" w:hAnsiTheme="majorHAnsi" w:cstheme="majorHAnsi"/>
                <w:color w:val="336699"/>
                <w:szCs w:val="24"/>
              </w:rPr>
              <w:t xml:space="preserve"> </w:t>
            </w:r>
            <w:r w:rsidR="0006591F" w:rsidRPr="00F90515">
              <w:rPr>
                <w:rFonts w:asciiTheme="majorHAnsi" w:hAnsiTheme="majorHAnsi" w:cstheme="majorHAnsi"/>
                <w:color w:val="336699"/>
                <w:szCs w:val="24"/>
              </w:rPr>
              <w:t>30-minute</w:t>
            </w:r>
            <w:r w:rsidR="00F134A2" w:rsidRPr="00F90515">
              <w:rPr>
                <w:rFonts w:asciiTheme="majorHAnsi" w:hAnsiTheme="majorHAnsi" w:cstheme="majorHAnsi"/>
                <w:color w:val="336699"/>
                <w:szCs w:val="24"/>
              </w:rPr>
              <w:t xml:space="preserve"> review sessions in addition to any ad-hoc support</w:t>
            </w:r>
            <w:r w:rsidR="00120ABB" w:rsidRPr="00F90515">
              <w:rPr>
                <w:rFonts w:asciiTheme="majorHAnsi" w:hAnsiTheme="majorHAnsi" w:cstheme="majorHAnsi"/>
                <w:color w:val="336699"/>
                <w:szCs w:val="24"/>
              </w:rPr>
              <w:t>.</w:t>
            </w:r>
          </w:p>
          <w:p w14:paraId="23D939BA" w14:textId="55C667E6" w:rsidR="00120ABB" w:rsidRPr="00F90515" w:rsidRDefault="00120ABB"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Feedback provided will be constructive with appropriate resources and guidance employed based on the needs of the individual.</w:t>
            </w:r>
          </w:p>
        </w:tc>
        <w:tc>
          <w:tcPr>
            <w:tcW w:w="4320" w:type="dxa"/>
            <w:tcBorders>
              <w:top w:val="single" w:sz="6" w:space="0" w:color="auto"/>
              <w:left w:val="single" w:sz="6" w:space="0" w:color="auto"/>
              <w:bottom w:val="single" w:sz="6" w:space="0" w:color="auto"/>
              <w:right w:val="single" w:sz="12" w:space="0" w:color="auto"/>
            </w:tcBorders>
          </w:tcPr>
          <w:p w14:paraId="2C86C36D" w14:textId="77777777" w:rsidR="00B021F7" w:rsidRPr="00F90515" w:rsidRDefault="00120ABB"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During the fortnightly meetings I will employ active listening to determine the challenges being faced by the mentee and provide feedback and feedforward from my own teaching experience.</w:t>
            </w:r>
          </w:p>
          <w:p w14:paraId="4358515C" w14:textId="77777777" w:rsidR="00120ABB" w:rsidRPr="00F90515" w:rsidRDefault="00B11388"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 xml:space="preserve">On an ongoing basis I will share best practice </w:t>
            </w:r>
            <w:r w:rsidR="00472F4C" w:rsidRPr="00F90515">
              <w:rPr>
                <w:rFonts w:asciiTheme="majorHAnsi" w:hAnsiTheme="majorHAnsi" w:cstheme="majorHAnsi"/>
                <w:color w:val="336699"/>
                <w:szCs w:val="24"/>
              </w:rPr>
              <w:t>for programme development, teaching methods and formative assessment strategies</w:t>
            </w:r>
            <w:r w:rsidR="00A74E2B" w:rsidRPr="00F90515">
              <w:rPr>
                <w:rFonts w:asciiTheme="majorHAnsi" w:hAnsiTheme="majorHAnsi" w:cstheme="majorHAnsi"/>
                <w:color w:val="336699"/>
                <w:szCs w:val="24"/>
              </w:rPr>
              <w:t>.</w:t>
            </w:r>
          </w:p>
          <w:p w14:paraId="5F884F3D" w14:textId="69710F94" w:rsidR="00A74E2B" w:rsidRPr="00F90515" w:rsidRDefault="00A74E2B" w:rsidP="006832F1">
            <w:pPr>
              <w:ind w:left="360" w:hanging="360"/>
              <w:rPr>
                <w:rFonts w:asciiTheme="majorHAnsi" w:hAnsiTheme="majorHAnsi" w:cstheme="majorHAnsi"/>
                <w:color w:val="336699"/>
                <w:szCs w:val="24"/>
              </w:rPr>
            </w:pPr>
            <w:r w:rsidRPr="00F90515">
              <w:rPr>
                <w:rFonts w:asciiTheme="majorHAnsi" w:hAnsiTheme="majorHAnsi" w:cstheme="majorHAnsi"/>
                <w:color w:val="336699"/>
                <w:szCs w:val="24"/>
              </w:rPr>
              <w:t xml:space="preserve">These will all take place through the 24/25 academic year. </w:t>
            </w:r>
          </w:p>
        </w:tc>
      </w:tr>
    </w:tbl>
    <w:p w14:paraId="76631421" w14:textId="77777777" w:rsidR="003875A5" w:rsidRPr="00F90515" w:rsidRDefault="003875A5" w:rsidP="006832F1">
      <w:pPr>
        <w:rPr>
          <w:rFonts w:asciiTheme="majorHAnsi" w:hAnsiTheme="majorHAnsi" w:cstheme="majorHAnsi"/>
          <w:szCs w:val="24"/>
        </w:rPr>
      </w:pPr>
    </w:p>
    <w:p w14:paraId="4B920A4F" w14:textId="77777777" w:rsidR="00D87AA2" w:rsidRPr="00F90515" w:rsidRDefault="00D87AA2" w:rsidP="006832F1">
      <w:pPr>
        <w:rPr>
          <w:rFonts w:asciiTheme="majorHAnsi" w:hAnsiTheme="majorHAnsi" w:cstheme="majorHAnsi"/>
          <w:szCs w:val="24"/>
        </w:rPr>
        <w:sectPr w:rsidR="00D87AA2" w:rsidRPr="00F90515" w:rsidSect="00A45C25">
          <w:footerReference w:type="default" r:id="rId8"/>
          <w:footerReference w:type="first" r:id="rId9"/>
          <w:pgSz w:w="16838" w:h="11906" w:orient="landscape" w:code="9"/>
          <w:pgMar w:top="720" w:right="720" w:bottom="720" w:left="720" w:header="720" w:footer="720" w:gutter="0"/>
          <w:paperSrc w:first="7" w:other="7"/>
          <w:cols w:space="720"/>
          <w:titlePg/>
          <w:docGrid w:linePitch="272"/>
        </w:sectPr>
      </w:pPr>
    </w:p>
    <w:p w14:paraId="0E42CE35" w14:textId="537A3AD1" w:rsidR="000B79B0" w:rsidRPr="00F90515" w:rsidRDefault="000F07ED" w:rsidP="006832F1">
      <w:pPr>
        <w:rPr>
          <w:rFonts w:asciiTheme="majorHAnsi" w:hAnsiTheme="majorHAnsi" w:cstheme="majorHAnsi"/>
          <w:szCs w:val="24"/>
        </w:rPr>
      </w:pPr>
      <w:r w:rsidRPr="00F90515">
        <w:lastRenderedPageBreak/>
        <w:drawing>
          <wp:anchor distT="0" distB="0" distL="114300" distR="114300" simplePos="0" relativeHeight="251658240" behindDoc="1" locked="0" layoutInCell="1" allowOverlap="1" wp14:anchorId="584AF90A" wp14:editId="6AC234C3">
            <wp:simplePos x="0" y="0"/>
            <wp:positionH relativeFrom="margin">
              <wp:posOffset>71437</wp:posOffset>
            </wp:positionH>
            <wp:positionV relativeFrom="paragraph">
              <wp:posOffset>317</wp:posOffset>
            </wp:positionV>
            <wp:extent cx="11804015" cy="8336915"/>
            <wp:effectExtent l="0" t="0" r="6985" b="6985"/>
            <wp:wrapTight wrapText="bothSides">
              <wp:wrapPolygon edited="0">
                <wp:start x="0" y="0"/>
                <wp:lineTo x="0" y="21569"/>
                <wp:lineTo x="21578" y="21569"/>
                <wp:lineTo x="21578" y="0"/>
                <wp:lineTo x="0" y="0"/>
              </wp:wrapPolygon>
            </wp:wrapTight>
            <wp:docPr id="3740804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8043" name="Picture 1" descr="A diagram of a compan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804015" cy="8336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854E2" w14:textId="0B47905F" w:rsidR="00106376" w:rsidRPr="00F90515" w:rsidRDefault="00C30D16" w:rsidP="007D158F">
      <w:pPr>
        <w:pStyle w:val="Heading1"/>
        <w:rPr>
          <w:rFonts w:cstheme="majorBidi"/>
          <w:sz w:val="24"/>
          <w:szCs w:val="24"/>
        </w:rPr>
        <w:sectPr w:rsidR="00106376" w:rsidRPr="00F90515" w:rsidSect="00A45C25">
          <w:pgSz w:w="23811" w:h="16838" w:orient="landscape" w:code="8"/>
          <w:pgMar w:top="720" w:right="720" w:bottom="720" w:left="720" w:header="720" w:footer="720" w:gutter="0"/>
          <w:paperSrc w:first="7" w:other="7"/>
          <w:cols w:space="720"/>
          <w:titlePg/>
          <w:docGrid w:linePitch="272"/>
        </w:sectPr>
      </w:pPr>
      <w:r w:rsidRPr="00F90515">
        <w:t>Concept Map</w:t>
      </w:r>
    </w:p>
    <w:p w14:paraId="1B2BBE5E" w14:textId="41A2BD99" w:rsidR="004F05DF" w:rsidRPr="00F90515" w:rsidRDefault="007130C8" w:rsidP="007130C8">
      <w:pPr>
        <w:pStyle w:val="Heading1"/>
        <w:rPr>
          <w:rFonts w:cstheme="majorHAnsi"/>
          <w:sz w:val="24"/>
          <w:szCs w:val="24"/>
        </w:rPr>
      </w:pPr>
      <w:r w:rsidRPr="00F90515">
        <w:rPr>
          <w:rFonts w:cstheme="majorBidi"/>
          <w:sz w:val="24"/>
          <w:szCs w:val="24"/>
        </w:rPr>
        <w:lastRenderedPageBreak/>
        <w:t>Concept Map Analysis</w:t>
      </w:r>
    </w:p>
    <w:p w14:paraId="20B46420" w14:textId="5180EA64" w:rsidR="271BAA96" w:rsidRPr="00F90515" w:rsidRDefault="271BAA96" w:rsidP="271BAA96"/>
    <w:p w14:paraId="75A113A4" w14:textId="27F77E7A" w:rsidR="00E0733A" w:rsidRPr="00F90515" w:rsidRDefault="0EDE8776" w:rsidP="007934FD">
      <w:pPr>
        <w:rPr>
          <w:rFonts w:eastAsiaTheme="majorEastAsia"/>
        </w:rPr>
      </w:pPr>
      <w:r w:rsidRPr="00F90515">
        <w:rPr>
          <w:rFonts w:eastAsiaTheme="majorEastAsia"/>
        </w:rPr>
        <w:t xml:space="preserve">The purpose of this analysis of the concept map is to critically examine the research specifically relating to </w:t>
      </w:r>
      <w:r w:rsidR="00917846" w:rsidRPr="00F90515">
        <w:rPr>
          <w:rFonts w:eastAsiaTheme="majorEastAsia"/>
        </w:rPr>
        <w:t>adults</w:t>
      </w:r>
      <w:r w:rsidR="684E95CC" w:rsidRPr="00F90515">
        <w:rPr>
          <w:rFonts w:eastAsiaTheme="majorEastAsia"/>
        </w:rPr>
        <w:t xml:space="preserve"> and their volunteering habits in the third sector. </w:t>
      </w:r>
      <w:r w:rsidR="003D2211" w:rsidRPr="00F90515">
        <w:rPr>
          <w:rFonts w:eastAsiaTheme="majorEastAsia"/>
        </w:rPr>
        <w:t xml:space="preserve">Whilst the concept </w:t>
      </w:r>
      <w:r w:rsidR="000C1C40" w:rsidRPr="00F90515">
        <w:rPr>
          <w:rFonts w:eastAsiaTheme="majorEastAsia"/>
        </w:rPr>
        <w:t xml:space="preserve">map outlines </w:t>
      </w:r>
      <w:proofErr w:type="gramStart"/>
      <w:r w:rsidR="000C1C40" w:rsidRPr="00F90515">
        <w:rPr>
          <w:rFonts w:eastAsiaTheme="majorEastAsia"/>
        </w:rPr>
        <w:t xml:space="preserve">a </w:t>
      </w:r>
      <w:r w:rsidR="00D94818" w:rsidRPr="00F90515">
        <w:rPr>
          <w:rFonts w:eastAsiaTheme="majorEastAsia"/>
        </w:rPr>
        <w:t>large number of</w:t>
      </w:r>
      <w:proofErr w:type="gramEnd"/>
      <w:r w:rsidR="00D94818" w:rsidRPr="00F90515">
        <w:rPr>
          <w:rFonts w:eastAsiaTheme="majorEastAsia"/>
        </w:rPr>
        <w:t xml:space="preserve"> challenges in recruiting volunteers this analysis will focus on </w:t>
      </w:r>
      <w:r w:rsidR="00215D41" w:rsidRPr="00F90515">
        <w:rPr>
          <w:rFonts w:eastAsiaTheme="majorEastAsia"/>
        </w:rPr>
        <w:t xml:space="preserve">the </w:t>
      </w:r>
      <w:r w:rsidR="007D2384" w:rsidRPr="00F90515">
        <w:rPr>
          <w:rFonts w:eastAsiaTheme="majorEastAsia"/>
        </w:rPr>
        <w:t>changing volunteering culture in the UK</w:t>
      </w:r>
      <w:r w:rsidR="00CF1DCD" w:rsidRPr="00F90515">
        <w:rPr>
          <w:rFonts w:eastAsiaTheme="majorEastAsia"/>
        </w:rPr>
        <w:t xml:space="preserve"> </w:t>
      </w:r>
      <w:r w:rsidR="008572F1" w:rsidRPr="00F90515">
        <w:rPr>
          <w:rFonts w:eastAsiaTheme="majorEastAsia"/>
        </w:rPr>
        <w:t>linking this in broad terms to the concept map</w:t>
      </w:r>
      <w:r w:rsidR="007D2384" w:rsidRPr="00F90515">
        <w:rPr>
          <w:rFonts w:eastAsiaTheme="majorEastAsia"/>
        </w:rPr>
        <w:t>.</w:t>
      </w:r>
      <w:r w:rsidR="0081729B" w:rsidRPr="00F90515">
        <w:rPr>
          <w:rFonts w:eastAsiaTheme="majorEastAsia"/>
        </w:rPr>
        <w:t xml:space="preserve"> The </w:t>
      </w:r>
      <w:r w:rsidR="00B15973" w:rsidRPr="00F90515">
        <w:rPr>
          <w:rFonts w:eastAsiaTheme="majorEastAsia"/>
        </w:rPr>
        <w:t>a</w:t>
      </w:r>
      <w:r w:rsidR="0081729B" w:rsidRPr="00F90515">
        <w:rPr>
          <w:rFonts w:eastAsiaTheme="majorEastAsia"/>
        </w:rPr>
        <w:t>nalysis will also consider in depth the evidence and research around why individuals</w:t>
      </w:r>
      <w:r w:rsidR="00B15973" w:rsidRPr="00F90515">
        <w:rPr>
          <w:rFonts w:eastAsiaTheme="majorEastAsia"/>
        </w:rPr>
        <w:t xml:space="preserve"> cease volunteering and the implications of this for the organisations involved.</w:t>
      </w:r>
    </w:p>
    <w:p w14:paraId="6CB4B539" w14:textId="05D6D518" w:rsidR="00341EEE" w:rsidRPr="00F90515" w:rsidRDefault="00E0733A" w:rsidP="007934FD">
      <w:pPr>
        <w:rPr>
          <w:rFonts w:eastAsiaTheme="majorEastAsia"/>
        </w:rPr>
      </w:pPr>
      <w:proofErr w:type="gramStart"/>
      <w:r w:rsidRPr="00F90515">
        <w:rPr>
          <w:rFonts w:eastAsiaTheme="majorEastAsia"/>
        </w:rPr>
        <w:t>In order to</w:t>
      </w:r>
      <w:proofErr w:type="gramEnd"/>
      <w:r w:rsidRPr="00F90515">
        <w:rPr>
          <w:rFonts w:eastAsiaTheme="majorEastAsia"/>
        </w:rPr>
        <w:t xml:space="preserve"> effectively discuss </w:t>
      </w:r>
      <w:r w:rsidR="00937380" w:rsidRPr="00F90515">
        <w:rPr>
          <w:rFonts w:eastAsiaTheme="majorEastAsia"/>
        </w:rPr>
        <w:t>volunteering,</w:t>
      </w:r>
      <w:r w:rsidRPr="00F90515">
        <w:rPr>
          <w:rFonts w:eastAsiaTheme="majorEastAsia"/>
        </w:rPr>
        <w:t xml:space="preserve"> it is necessary to define the term and determine the model that will be focussed on. Brudney &amp; Meijs (2014) outline four distinct models of volunteer involvement shown in appendix A (page </w:t>
      </w:r>
      <w:r w:rsidRPr="00F90515">
        <w:rPr>
          <w:rFonts w:eastAsiaTheme="majorEastAsia"/>
        </w:rPr>
        <w:fldChar w:fldCharType="begin"/>
      </w:r>
      <w:r w:rsidRPr="00F90515">
        <w:rPr>
          <w:rFonts w:eastAsiaTheme="majorEastAsia"/>
        </w:rPr>
        <w:instrText xml:space="preserve"> PAGEREF _Ref153544152 \h </w:instrText>
      </w:r>
      <w:r w:rsidRPr="00F90515">
        <w:rPr>
          <w:rFonts w:eastAsiaTheme="majorEastAsia"/>
        </w:rPr>
      </w:r>
      <w:r w:rsidRPr="00F90515">
        <w:rPr>
          <w:rFonts w:eastAsiaTheme="majorEastAsia"/>
        </w:rPr>
        <w:fldChar w:fldCharType="separate"/>
      </w:r>
      <w:r w:rsidR="003862DE">
        <w:rPr>
          <w:rFonts w:eastAsiaTheme="majorEastAsia"/>
          <w:noProof/>
        </w:rPr>
        <w:t>22</w:t>
      </w:r>
      <w:r w:rsidRPr="00F90515">
        <w:rPr>
          <w:rFonts w:eastAsiaTheme="majorEastAsia"/>
        </w:rPr>
        <w:fldChar w:fldCharType="end"/>
      </w:r>
      <w:r w:rsidRPr="00F90515">
        <w:rPr>
          <w:rFonts w:eastAsiaTheme="majorEastAsia"/>
        </w:rPr>
        <w:t xml:space="preserve">) </w:t>
      </w:r>
      <w:r w:rsidR="00305C8E" w:rsidRPr="00F90515">
        <w:rPr>
          <w:rFonts w:eastAsiaTheme="majorEastAsia"/>
        </w:rPr>
        <w:t>These models focus on how volunteering is structured and ultimately managed</w:t>
      </w:r>
      <w:r w:rsidR="009C6156" w:rsidRPr="00F90515">
        <w:rPr>
          <w:rFonts w:eastAsiaTheme="majorEastAsia"/>
        </w:rPr>
        <w:t xml:space="preserve">. Rochester (2021) argues that there are </w:t>
      </w:r>
      <w:proofErr w:type="gramStart"/>
      <w:r w:rsidR="009C6156" w:rsidRPr="00F90515">
        <w:rPr>
          <w:rFonts w:eastAsiaTheme="majorEastAsia"/>
        </w:rPr>
        <w:t>a number of</w:t>
      </w:r>
      <w:proofErr w:type="gramEnd"/>
      <w:r w:rsidR="009C6156" w:rsidRPr="00F90515">
        <w:rPr>
          <w:rFonts w:eastAsiaTheme="majorEastAsia"/>
        </w:rPr>
        <w:t xml:space="preserve"> paradigms involved in volunteering including the default setting</w:t>
      </w:r>
      <w:r w:rsidR="0017527A" w:rsidRPr="00F90515">
        <w:rPr>
          <w:rFonts w:eastAsiaTheme="majorEastAsia"/>
        </w:rPr>
        <w:t xml:space="preserve"> or</w:t>
      </w:r>
      <w:r w:rsidR="009C6156" w:rsidRPr="00F90515">
        <w:rPr>
          <w:rFonts w:eastAsiaTheme="majorEastAsia"/>
        </w:rPr>
        <w:t xml:space="preserve"> the non-profit</w:t>
      </w:r>
      <w:r w:rsidR="0017527A" w:rsidRPr="00F90515">
        <w:rPr>
          <w:rFonts w:eastAsiaTheme="majorEastAsia"/>
        </w:rPr>
        <w:t xml:space="preserve"> paradigm, </w:t>
      </w:r>
      <w:r w:rsidR="00316EFF" w:rsidRPr="00F90515">
        <w:rPr>
          <w:rFonts w:eastAsiaTheme="majorEastAsia"/>
        </w:rPr>
        <w:t xml:space="preserve">where volunteers are involved in a contribution to </w:t>
      </w:r>
      <w:r w:rsidR="00A9041A" w:rsidRPr="00F90515">
        <w:rPr>
          <w:rFonts w:eastAsiaTheme="majorEastAsia"/>
        </w:rPr>
        <w:t>social welfare</w:t>
      </w:r>
      <w:r w:rsidR="00C65E10" w:rsidRPr="00F90515">
        <w:rPr>
          <w:rFonts w:eastAsiaTheme="majorEastAsia"/>
        </w:rPr>
        <w:t xml:space="preserve"> in large formally structured organisations</w:t>
      </w:r>
      <w:r w:rsidR="003C1F33" w:rsidRPr="00F90515">
        <w:rPr>
          <w:rFonts w:eastAsiaTheme="majorEastAsia"/>
        </w:rPr>
        <w:t>.</w:t>
      </w:r>
      <w:r w:rsidR="009C6156" w:rsidRPr="00F90515">
        <w:rPr>
          <w:rFonts w:eastAsiaTheme="majorEastAsia"/>
        </w:rPr>
        <w:t xml:space="preserve"> </w:t>
      </w:r>
      <w:r w:rsidR="00A9041A" w:rsidRPr="00F90515">
        <w:rPr>
          <w:rFonts w:eastAsiaTheme="majorEastAsia"/>
        </w:rPr>
        <w:t>O</w:t>
      </w:r>
      <w:r w:rsidR="009C6156" w:rsidRPr="00F90515">
        <w:rPr>
          <w:rFonts w:eastAsiaTheme="majorEastAsia"/>
        </w:rPr>
        <w:t xml:space="preserve">r the civil society paradigm </w:t>
      </w:r>
      <w:r w:rsidR="003C1F33" w:rsidRPr="00F90515">
        <w:rPr>
          <w:rFonts w:eastAsiaTheme="majorEastAsia"/>
        </w:rPr>
        <w:t xml:space="preserve">where volunteers </w:t>
      </w:r>
      <w:r w:rsidR="00495C89" w:rsidRPr="00F90515">
        <w:rPr>
          <w:rFonts w:eastAsiaTheme="majorEastAsia"/>
        </w:rPr>
        <w:t xml:space="preserve">are involved as a form of serious leisure </w:t>
      </w:r>
      <w:r w:rsidR="00817B18" w:rsidRPr="00F90515">
        <w:rPr>
          <w:rFonts w:eastAsiaTheme="majorEastAsia"/>
        </w:rPr>
        <w:t xml:space="preserve">being involved in self-help or campaigning </w:t>
      </w:r>
      <w:r w:rsidR="009C6156" w:rsidRPr="00F90515">
        <w:rPr>
          <w:rFonts w:eastAsiaTheme="majorEastAsia"/>
        </w:rPr>
        <w:t>and that this complexity leads to uncertainty as to what volunteering is for.</w:t>
      </w:r>
      <w:r w:rsidR="00356D99" w:rsidRPr="00F90515">
        <w:rPr>
          <w:rFonts w:eastAsiaTheme="majorEastAsia"/>
        </w:rPr>
        <w:t xml:space="preserve"> </w:t>
      </w:r>
      <w:r w:rsidR="007D4D9E" w:rsidRPr="00F90515">
        <w:rPr>
          <w:rFonts w:eastAsiaTheme="majorEastAsia"/>
        </w:rPr>
        <w:t xml:space="preserve">However, </w:t>
      </w:r>
      <w:r w:rsidR="0030110D" w:rsidRPr="00F90515">
        <w:rPr>
          <w:rFonts w:eastAsiaTheme="majorEastAsia"/>
        </w:rPr>
        <w:t>Enjolras (2021) sim</w:t>
      </w:r>
      <w:r w:rsidR="00404785" w:rsidRPr="00F90515">
        <w:rPr>
          <w:rFonts w:eastAsiaTheme="majorEastAsia"/>
        </w:rPr>
        <w:t>p</w:t>
      </w:r>
      <w:r w:rsidR="0030110D" w:rsidRPr="00F90515">
        <w:rPr>
          <w:rFonts w:eastAsiaTheme="majorEastAsia"/>
        </w:rPr>
        <w:t xml:space="preserve">lifies this approach stating that </w:t>
      </w:r>
      <w:r w:rsidR="00404785" w:rsidRPr="00F90515">
        <w:rPr>
          <w:rFonts w:eastAsiaTheme="majorEastAsia"/>
        </w:rPr>
        <w:t>in modern terms</w:t>
      </w:r>
      <w:r w:rsidR="001B0C34" w:rsidRPr="00F90515">
        <w:rPr>
          <w:rFonts w:eastAsiaTheme="majorEastAsia"/>
        </w:rPr>
        <w:t xml:space="preserve"> </w:t>
      </w:r>
      <w:r w:rsidR="00EE27F0" w:rsidRPr="00F90515">
        <w:rPr>
          <w:rFonts w:eastAsiaTheme="majorEastAsia"/>
        </w:rPr>
        <w:t xml:space="preserve">volunteering </w:t>
      </w:r>
      <w:r w:rsidR="00631222" w:rsidRPr="00F90515">
        <w:rPr>
          <w:rFonts w:eastAsiaTheme="majorEastAsia"/>
        </w:rPr>
        <w:t xml:space="preserve">is optional, unpaid and outside of </w:t>
      </w:r>
      <w:r w:rsidR="00454E6F" w:rsidRPr="00F90515">
        <w:rPr>
          <w:rFonts w:eastAsiaTheme="majorEastAsia"/>
        </w:rPr>
        <w:t xml:space="preserve">familial groupings. </w:t>
      </w:r>
      <w:proofErr w:type="gramStart"/>
      <w:r w:rsidR="00454E6F" w:rsidRPr="00F90515">
        <w:rPr>
          <w:rFonts w:eastAsiaTheme="majorEastAsia"/>
        </w:rPr>
        <w:t>For the purpose of</w:t>
      </w:r>
      <w:proofErr w:type="gramEnd"/>
      <w:r w:rsidR="00454E6F" w:rsidRPr="00F90515">
        <w:rPr>
          <w:rFonts w:eastAsiaTheme="majorEastAsia"/>
        </w:rPr>
        <w:t xml:space="preserve"> this analysis </w:t>
      </w:r>
      <w:r w:rsidR="005379C4" w:rsidRPr="00F90515">
        <w:rPr>
          <w:rFonts w:eastAsiaTheme="majorEastAsia"/>
        </w:rPr>
        <w:t xml:space="preserve">a definition of an individual who gives freely of their time and expertise </w:t>
      </w:r>
      <w:r w:rsidR="007239A3" w:rsidRPr="00F90515">
        <w:rPr>
          <w:rFonts w:eastAsiaTheme="majorEastAsia"/>
        </w:rPr>
        <w:t xml:space="preserve">to benefit social welfare </w:t>
      </w:r>
      <w:r w:rsidR="00953E69" w:rsidRPr="00F90515">
        <w:rPr>
          <w:rFonts w:eastAsiaTheme="majorEastAsia"/>
        </w:rPr>
        <w:t xml:space="preserve">in a formally structured organisation </w:t>
      </w:r>
      <w:r w:rsidR="00D06906" w:rsidRPr="00F90515">
        <w:rPr>
          <w:rFonts w:eastAsiaTheme="majorEastAsia"/>
        </w:rPr>
        <w:t>supported by members of staff employed due to their expertise</w:t>
      </w:r>
      <w:r w:rsidR="00C91092" w:rsidRPr="00F90515">
        <w:rPr>
          <w:rFonts w:eastAsiaTheme="majorEastAsia"/>
        </w:rPr>
        <w:t>.</w:t>
      </w:r>
      <w:r w:rsidR="005379C4" w:rsidRPr="00F90515">
        <w:rPr>
          <w:rFonts w:eastAsiaTheme="majorEastAsia"/>
        </w:rPr>
        <w:t xml:space="preserve"> </w:t>
      </w:r>
      <w:r w:rsidR="00404785" w:rsidRPr="00F90515">
        <w:rPr>
          <w:rFonts w:eastAsiaTheme="majorEastAsia"/>
        </w:rPr>
        <w:t xml:space="preserve"> </w:t>
      </w:r>
    </w:p>
    <w:p w14:paraId="786D5440" w14:textId="77374AD6" w:rsidR="0004291E" w:rsidRPr="00F90515" w:rsidRDefault="00E035EC" w:rsidP="007934FD">
      <w:pPr>
        <w:rPr>
          <w:rFonts w:eastAsiaTheme="majorEastAsia"/>
        </w:rPr>
      </w:pPr>
      <w:r w:rsidRPr="00F90515">
        <w:rPr>
          <w:rFonts w:eastAsiaTheme="majorEastAsia"/>
        </w:rPr>
        <w:t xml:space="preserve">UK Government (2023) stated that in </w:t>
      </w:r>
      <w:r w:rsidR="0073478E" w:rsidRPr="00F90515">
        <w:rPr>
          <w:rFonts w:eastAsiaTheme="majorEastAsia"/>
        </w:rPr>
        <w:t xml:space="preserve">England twenty-three percent of people over 16 undertook </w:t>
      </w:r>
      <w:r w:rsidR="00003B80" w:rsidRPr="00F90515">
        <w:rPr>
          <w:rFonts w:eastAsiaTheme="majorEastAsia"/>
        </w:rPr>
        <w:t xml:space="preserve">some voluntary activity in an organisation </w:t>
      </w:r>
      <w:r w:rsidR="00A86F93" w:rsidRPr="00F90515">
        <w:rPr>
          <w:rFonts w:eastAsiaTheme="majorEastAsia"/>
        </w:rPr>
        <w:t xml:space="preserve">once a month </w:t>
      </w:r>
      <w:r w:rsidR="005320B4" w:rsidRPr="00F90515">
        <w:rPr>
          <w:rFonts w:eastAsiaTheme="majorEastAsia"/>
        </w:rPr>
        <w:t xml:space="preserve">showing a small increase over the previous three years. </w:t>
      </w:r>
      <w:r w:rsidR="007A03AE" w:rsidRPr="00F90515">
        <w:rPr>
          <w:rFonts w:eastAsiaTheme="majorEastAsia"/>
        </w:rPr>
        <w:t xml:space="preserve">Welsh Government (2023) </w:t>
      </w:r>
      <w:r w:rsidR="0006591F" w:rsidRPr="00F90515">
        <w:rPr>
          <w:rFonts w:eastAsiaTheme="majorEastAsia"/>
        </w:rPr>
        <w:t>statistics</w:t>
      </w:r>
      <w:r w:rsidR="007A03AE" w:rsidRPr="00F90515">
        <w:rPr>
          <w:rFonts w:eastAsiaTheme="majorEastAsia"/>
        </w:rPr>
        <w:t xml:space="preserve"> support this rise </w:t>
      </w:r>
      <w:r w:rsidR="00507250" w:rsidRPr="00F90515">
        <w:rPr>
          <w:rFonts w:eastAsiaTheme="majorEastAsia"/>
        </w:rPr>
        <w:t xml:space="preserve">stating that </w:t>
      </w:r>
      <w:r w:rsidR="005C39FA" w:rsidRPr="00F90515">
        <w:rPr>
          <w:rFonts w:eastAsiaTheme="majorEastAsia"/>
        </w:rPr>
        <w:t xml:space="preserve">thirty percent of people undertook some voluntary activity </w:t>
      </w:r>
      <w:r w:rsidR="00240104" w:rsidRPr="00F90515">
        <w:rPr>
          <w:rFonts w:eastAsiaTheme="majorEastAsia"/>
        </w:rPr>
        <w:t xml:space="preserve">in the year 2022 to 2023. </w:t>
      </w:r>
      <w:r w:rsidR="000E37E2" w:rsidRPr="00F90515">
        <w:rPr>
          <w:rFonts w:eastAsiaTheme="majorEastAsia"/>
        </w:rPr>
        <w:t xml:space="preserve">Whilst none of the research pieces specifically define a causal relationship to lower volunteering rates during the global pandemic, given the extensive lockdowns it is reasonable to assume a correlation in this area which will be </w:t>
      </w:r>
      <w:proofErr w:type="gramStart"/>
      <w:r w:rsidR="000E37E2" w:rsidRPr="00F90515">
        <w:rPr>
          <w:rFonts w:eastAsiaTheme="majorEastAsia"/>
        </w:rPr>
        <w:t>taken into account</w:t>
      </w:r>
      <w:proofErr w:type="gramEnd"/>
      <w:r w:rsidR="000E37E2" w:rsidRPr="00F90515">
        <w:rPr>
          <w:rFonts w:eastAsiaTheme="majorEastAsia"/>
        </w:rPr>
        <w:t xml:space="preserve"> further in this analysis. </w:t>
      </w:r>
      <w:r w:rsidR="00907F8D" w:rsidRPr="00F90515">
        <w:rPr>
          <w:rFonts w:eastAsiaTheme="majorEastAsia"/>
        </w:rPr>
        <w:t xml:space="preserve">Interestingly </w:t>
      </w:r>
      <w:r w:rsidR="009D7EBE" w:rsidRPr="00F90515">
        <w:rPr>
          <w:rFonts w:eastAsiaTheme="majorEastAsia"/>
        </w:rPr>
        <w:t xml:space="preserve">Rochester (2021) notes that broadly </w:t>
      </w:r>
      <w:r w:rsidR="00301280" w:rsidRPr="00F90515">
        <w:rPr>
          <w:rFonts w:eastAsiaTheme="majorEastAsia"/>
        </w:rPr>
        <w:t xml:space="preserve">speaking volunteering participation rates </w:t>
      </w:r>
      <w:r w:rsidR="00D36837" w:rsidRPr="00F90515">
        <w:rPr>
          <w:rFonts w:eastAsiaTheme="majorEastAsia"/>
        </w:rPr>
        <w:t xml:space="preserve">up to 2018 </w:t>
      </w:r>
      <w:r w:rsidR="00301280" w:rsidRPr="00F90515">
        <w:rPr>
          <w:rFonts w:eastAsiaTheme="majorEastAsia"/>
        </w:rPr>
        <w:t>ha</w:t>
      </w:r>
      <w:r w:rsidR="00D36837" w:rsidRPr="00F90515">
        <w:rPr>
          <w:rFonts w:eastAsiaTheme="majorEastAsia"/>
        </w:rPr>
        <w:t>d</w:t>
      </w:r>
      <w:r w:rsidR="00301280" w:rsidRPr="00F90515">
        <w:rPr>
          <w:rFonts w:eastAsiaTheme="majorEastAsia"/>
        </w:rPr>
        <w:t xml:space="preserve"> not change</w:t>
      </w:r>
      <w:r w:rsidR="001F0D43" w:rsidRPr="00F90515">
        <w:rPr>
          <w:rFonts w:eastAsiaTheme="majorEastAsia"/>
        </w:rPr>
        <w:t>d significantly since the 1940’s</w:t>
      </w:r>
      <w:r w:rsidR="009F76A5" w:rsidRPr="00F90515">
        <w:rPr>
          <w:rFonts w:eastAsiaTheme="majorEastAsia"/>
        </w:rPr>
        <w:t xml:space="preserve">. Despite the significant investment and commitment </w:t>
      </w:r>
      <w:r w:rsidR="00315C57" w:rsidRPr="00F90515">
        <w:rPr>
          <w:rFonts w:eastAsiaTheme="majorEastAsia"/>
        </w:rPr>
        <w:t xml:space="preserve">to volunteering activity by the UK government through the </w:t>
      </w:r>
      <w:r w:rsidR="00A9511F" w:rsidRPr="00F90515">
        <w:rPr>
          <w:rFonts w:eastAsiaTheme="majorEastAsia"/>
        </w:rPr>
        <w:t xml:space="preserve">Make a difference report </w:t>
      </w:r>
      <w:r w:rsidR="00315C57" w:rsidRPr="00F90515">
        <w:rPr>
          <w:rFonts w:eastAsiaTheme="majorEastAsia"/>
        </w:rPr>
        <w:t xml:space="preserve">discussed by </w:t>
      </w:r>
      <w:r w:rsidR="00297F50" w:rsidRPr="00F90515">
        <w:rPr>
          <w:rFonts w:eastAsiaTheme="majorEastAsia"/>
        </w:rPr>
        <w:t>Wardell, et al. (2000).</w:t>
      </w:r>
      <w:r w:rsidR="00DA185C" w:rsidRPr="00F90515">
        <w:rPr>
          <w:rFonts w:eastAsiaTheme="majorEastAsia"/>
        </w:rPr>
        <w:t xml:space="preserve"> </w:t>
      </w:r>
      <w:r w:rsidR="00297F50" w:rsidRPr="00F90515">
        <w:rPr>
          <w:rFonts w:eastAsiaTheme="majorEastAsia"/>
        </w:rPr>
        <w:t>H</w:t>
      </w:r>
      <w:r w:rsidR="00DA185C" w:rsidRPr="00F90515">
        <w:rPr>
          <w:rFonts w:eastAsiaTheme="majorEastAsia"/>
        </w:rPr>
        <w:t>owever, the nature of the volunteering that individuals undertake has changed significantly</w:t>
      </w:r>
      <w:r w:rsidR="00384793" w:rsidRPr="00F90515">
        <w:rPr>
          <w:rFonts w:eastAsiaTheme="majorEastAsia"/>
        </w:rPr>
        <w:t>,</w:t>
      </w:r>
      <w:r w:rsidR="00DA185C" w:rsidRPr="00F90515">
        <w:rPr>
          <w:rFonts w:eastAsiaTheme="majorEastAsia"/>
        </w:rPr>
        <w:t xml:space="preserve"> </w:t>
      </w:r>
      <w:r w:rsidR="00237167" w:rsidRPr="00F90515">
        <w:rPr>
          <w:rFonts w:eastAsiaTheme="majorEastAsia"/>
        </w:rPr>
        <w:t xml:space="preserve">with </w:t>
      </w:r>
      <w:r w:rsidR="0011718C" w:rsidRPr="00F90515">
        <w:rPr>
          <w:rFonts w:eastAsiaTheme="majorEastAsia"/>
        </w:rPr>
        <w:t xml:space="preserve">Welsh Government (2023) </w:t>
      </w:r>
      <w:r w:rsidR="00D91719" w:rsidRPr="00F90515">
        <w:rPr>
          <w:rFonts w:eastAsiaTheme="majorEastAsia"/>
        </w:rPr>
        <w:t>report</w:t>
      </w:r>
      <w:r w:rsidR="00237167" w:rsidRPr="00F90515">
        <w:rPr>
          <w:rFonts w:eastAsiaTheme="majorEastAsia"/>
        </w:rPr>
        <w:t>ing that</w:t>
      </w:r>
      <w:r w:rsidR="0011718C" w:rsidRPr="00F90515">
        <w:rPr>
          <w:rFonts w:eastAsiaTheme="majorEastAsia"/>
        </w:rPr>
        <w:t xml:space="preserve"> </w:t>
      </w:r>
      <w:r w:rsidR="005F45E2" w:rsidRPr="00F90515">
        <w:rPr>
          <w:rFonts w:eastAsiaTheme="majorEastAsia"/>
        </w:rPr>
        <w:t xml:space="preserve">almost </w:t>
      </w:r>
      <w:r w:rsidR="002E1AD7" w:rsidRPr="00F90515">
        <w:rPr>
          <w:rFonts w:eastAsiaTheme="majorEastAsia"/>
        </w:rPr>
        <w:t>seventy percent</w:t>
      </w:r>
      <w:r w:rsidR="005F45E2" w:rsidRPr="00F90515">
        <w:rPr>
          <w:rFonts w:eastAsiaTheme="majorEastAsia"/>
        </w:rPr>
        <w:t xml:space="preserve"> </w:t>
      </w:r>
      <w:r w:rsidR="00976C6A" w:rsidRPr="00F90515">
        <w:rPr>
          <w:rFonts w:eastAsiaTheme="majorEastAsia"/>
        </w:rPr>
        <w:t>of volunteers undertak</w:t>
      </w:r>
      <w:r w:rsidR="004165B2" w:rsidRPr="00F90515">
        <w:rPr>
          <w:rFonts w:eastAsiaTheme="majorEastAsia"/>
        </w:rPr>
        <w:t>e</w:t>
      </w:r>
      <w:r w:rsidR="00976C6A" w:rsidRPr="00F90515">
        <w:rPr>
          <w:rFonts w:eastAsiaTheme="majorEastAsia"/>
        </w:rPr>
        <w:t xml:space="preserve"> less than ten hours of activity per week.</w:t>
      </w:r>
      <w:r w:rsidR="00B52E47" w:rsidRPr="00F90515">
        <w:rPr>
          <w:rFonts w:eastAsiaTheme="majorEastAsia"/>
        </w:rPr>
        <w:t xml:space="preserve"> </w:t>
      </w:r>
      <w:r w:rsidR="001A4921" w:rsidRPr="00F90515">
        <w:rPr>
          <w:rFonts w:eastAsiaTheme="majorEastAsia"/>
        </w:rPr>
        <w:t>Dempsey-Brench &amp; Shantz (2022)</w:t>
      </w:r>
      <w:r w:rsidR="00A426B2" w:rsidRPr="00F90515">
        <w:rPr>
          <w:rFonts w:eastAsiaTheme="majorEastAsia"/>
        </w:rPr>
        <w:t xml:space="preserve"> </w:t>
      </w:r>
      <w:r w:rsidR="001A4921" w:rsidRPr="00F90515">
        <w:rPr>
          <w:rFonts w:eastAsiaTheme="majorEastAsia"/>
        </w:rPr>
        <w:t>Hustinx, et al. (2022)</w:t>
      </w:r>
      <w:r w:rsidR="00A426B2" w:rsidRPr="00F90515">
        <w:rPr>
          <w:rFonts w:eastAsiaTheme="majorEastAsia"/>
        </w:rPr>
        <w:t xml:space="preserve"> and </w:t>
      </w:r>
      <w:r w:rsidR="001A4921" w:rsidRPr="00F90515">
        <w:rPr>
          <w:rFonts w:eastAsiaTheme="majorEastAsia"/>
        </w:rPr>
        <w:t xml:space="preserve">Rochester (2021) all argue that </w:t>
      </w:r>
      <w:r w:rsidR="00285B34" w:rsidRPr="00F90515">
        <w:rPr>
          <w:rFonts w:eastAsiaTheme="majorEastAsia"/>
        </w:rPr>
        <w:t xml:space="preserve">traditional research models and subsequent definitions of volunteering do not </w:t>
      </w:r>
      <w:r w:rsidR="00285B34" w:rsidRPr="00F90515">
        <w:rPr>
          <w:rFonts w:eastAsiaTheme="majorEastAsia"/>
        </w:rPr>
        <w:lastRenderedPageBreak/>
        <w:t xml:space="preserve">effectively </w:t>
      </w:r>
      <w:proofErr w:type="gramStart"/>
      <w:r w:rsidR="00285B34" w:rsidRPr="00F90515">
        <w:rPr>
          <w:rFonts w:eastAsiaTheme="majorEastAsia"/>
        </w:rPr>
        <w:t>take into account</w:t>
      </w:r>
      <w:proofErr w:type="gramEnd"/>
      <w:r w:rsidR="00285B34" w:rsidRPr="00F90515">
        <w:rPr>
          <w:rFonts w:eastAsiaTheme="majorEastAsia"/>
        </w:rPr>
        <w:t xml:space="preserve"> the rise of micro</w:t>
      </w:r>
      <w:r w:rsidR="0058240D" w:rsidRPr="00F90515">
        <w:rPr>
          <w:rFonts w:eastAsiaTheme="majorEastAsia"/>
        </w:rPr>
        <w:t xml:space="preserve"> </w:t>
      </w:r>
      <w:r w:rsidR="008741E1" w:rsidRPr="00F90515">
        <w:rPr>
          <w:rStyle w:val="FootnoteReference"/>
          <w:rFonts w:asciiTheme="majorHAnsi" w:eastAsiaTheme="majorEastAsia" w:hAnsiTheme="majorHAnsi" w:cstheme="majorBidi"/>
          <w:szCs w:val="24"/>
        </w:rPr>
        <w:footnoteReference w:id="2"/>
      </w:r>
      <w:r w:rsidR="0058240D" w:rsidRPr="00F90515">
        <w:rPr>
          <w:rFonts w:eastAsiaTheme="majorEastAsia"/>
        </w:rPr>
        <w:t xml:space="preserve">or episodic </w:t>
      </w:r>
      <w:r w:rsidR="005D0157" w:rsidRPr="00F90515">
        <w:rPr>
          <w:rStyle w:val="FootnoteReference"/>
          <w:rFonts w:asciiTheme="majorHAnsi" w:eastAsiaTheme="majorEastAsia" w:hAnsiTheme="majorHAnsi" w:cstheme="majorBidi"/>
          <w:szCs w:val="24"/>
        </w:rPr>
        <w:footnoteReference w:id="3"/>
      </w:r>
      <w:r w:rsidR="005C3046" w:rsidRPr="00F90515">
        <w:rPr>
          <w:rFonts w:eastAsiaTheme="majorEastAsia"/>
        </w:rPr>
        <w:t xml:space="preserve"> </w:t>
      </w:r>
      <w:r w:rsidR="0058240D" w:rsidRPr="00F90515">
        <w:rPr>
          <w:rFonts w:eastAsiaTheme="majorEastAsia"/>
        </w:rPr>
        <w:t xml:space="preserve">volunteering that is a feature of </w:t>
      </w:r>
      <w:r w:rsidR="0039287D" w:rsidRPr="00F90515">
        <w:rPr>
          <w:rFonts w:eastAsiaTheme="majorEastAsia"/>
        </w:rPr>
        <w:t>millennial</w:t>
      </w:r>
      <w:r w:rsidR="0058240D" w:rsidRPr="00F90515">
        <w:rPr>
          <w:rFonts w:eastAsiaTheme="majorEastAsia"/>
        </w:rPr>
        <w:t xml:space="preserve"> volunteering preferences.</w:t>
      </w:r>
      <w:r w:rsidR="008741E1" w:rsidRPr="00F90515">
        <w:rPr>
          <w:rFonts w:eastAsiaTheme="majorEastAsia"/>
        </w:rPr>
        <w:t xml:space="preserve"> </w:t>
      </w:r>
      <w:r w:rsidR="0058333D" w:rsidRPr="00F90515">
        <w:rPr>
          <w:rFonts w:eastAsiaTheme="majorEastAsia"/>
        </w:rPr>
        <w:t xml:space="preserve">The Scout Association has long </w:t>
      </w:r>
      <w:r w:rsidR="00243171" w:rsidRPr="00F90515">
        <w:rPr>
          <w:rFonts w:eastAsiaTheme="majorEastAsia"/>
        </w:rPr>
        <w:t xml:space="preserve">offered flexible volunteering opportunities in a range of roles </w:t>
      </w:r>
      <w:r w:rsidR="00D74136" w:rsidRPr="00F90515">
        <w:rPr>
          <w:rFonts w:eastAsiaTheme="majorEastAsia"/>
        </w:rPr>
        <w:t xml:space="preserve">often focusing on the subjective wellbeing aspects as a draw to encourage new volunteers </w:t>
      </w:r>
      <w:sdt>
        <w:sdtPr>
          <w:rPr>
            <w:rFonts w:eastAsiaTheme="majorEastAsia"/>
          </w:rPr>
          <w:id w:val="1844887906"/>
          <w:citation/>
        </w:sdtPr>
        <w:sdtContent>
          <w:r w:rsidR="002F236E" w:rsidRPr="00F90515">
            <w:rPr>
              <w:rFonts w:eastAsiaTheme="majorEastAsia"/>
            </w:rPr>
            <w:fldChar w:fldCharType="begin"/>
          </w:r>
          <w:r w:rsidR="00CA318B" w:rsidRPr="00F90515">
            <w:rPr>
              <w:rFonts w:eastAsiaTheme="majorEastAsia"/>
            </w:rPr>
            <w:instrText xml:space="preserve">CITATION The \l 2057 </w:instrText>
          </w:r>
          <w:r w:rsidR="002F236E" w:rsidRPr="00F90515">
            <w:rPr>
              <w:rFonts w:eastAsiaTheme="majorEastAsia"/>
            </w:rPr>
            <w:fldChar w:fldCharType="separate"/>
          </w:r>
          <w:r w:rsidR="003862DE" w:rsidRPr="003862DE">
            <w:rPr>
              <w:rFonts w:eastAsiaTheme="majorEastAsia"/>
              <w:noProof/>
            </w:rPr>
            <w:t>(The Scout Association, 2024 a)</w:t>
          </w:r>
          <w:r w:rsidR="002F236E" w:rsidRPr="00F90515">
            <w:rPr>
              <w:rFonts w:eastAsiaTheme="majorEastAsia"/>
            </w:rPr>
            <w:fldChar w:fldCharType="end"/>
          </w:r>
        </w:sdtContent>
      </w:sdt>
      <w:r w:rsidR="00595E12" w:rsidRPr="00F90515">
        <w:rPr>
          <w:rFonts w:eastAsiaTheme="majorEastAsia"/>
        </w:rPr>
        <w:t xml:space="preserve">. However, </w:t>
      </w:r>
      <w:r w:rsidR="00073422" w:rsidRPr="00F90515">
        <w:rPr>
          <w:rFonts w:eastAsiaTheme="majorEastAsia"/>
        </w:rPr>
        <w:t>anecdotally</w:t>
      </w:r>
      <w:r w:rsidR="00595E12" w:rsidRPr="00F90515">
        <w:rPr>
          <w:rFonts w:eastAsiaTheme="majorEastAsia"/>
        </w:rPr>
        <w:t xml:space="preserve"> from the authors experience there is a </w:t>
      </w:r>
      <w:r w:rsidR="00796694" w:rsidRPr="00F90515">
        <w:rPr>
          <w:rFonts w:eastAsiaTheme="majorEastAsia"/>
        </w:rPr>
        <w:t>focus in some groups on fre</w:t>
      </w:r>
      <w:r w:rsidR="00A86475" w:rsidRPr="00F90515">
        <w:rPr>
          <w:rFonts w:eastAsiaTheme="majorEastAsia"/>
        </w:rPr>
        <w:t>q</w:t>
      </w:r>
      <w:r w:rsidR="00796694" w:rsidRPr="00F90515">
        <w:rPr>
          <w:rFonts w:eastAsiaTheme="majorEastAsia"/>
        </w:rPr>
        <w:t xml:space="preserve">uent </w:t>
      </w:r>
      <w:r w:rsidR="0039287D" w:rsidRPr="00F90515">
        <w:rPr>
          <w:rFonts w:eastAsiaTheme="majorEastAsia"/>
        </w:rPr>
        <w:t>role-based</w:t>
      </w:r>
      <w:r w:rsidR="003A79B1" w:rsidRPr="00F90515">
        <w:rPr>
          <w:rFonts w:eastAsiaTheme="majorEastAsia"/>
        </w:rPr>
        <w:t xml:space="preserve"> </w:t>
      </w:r>
      <w:r w:rsidR="00796694" w:rsidRPr="00F90515">
        <w:rPr>
          <w:rFonts w:eastAsiaTheme="majorEastAsia"/>
        </w:rPr>
        <w:t>volunt</w:t>
      </w:r>
      <w:r w:rsidR="00A86475" w:rsidRPr="00F90515">
        <w:rPr>
          <w:rFonts w:eastAsiaTheme="majorEastAsia"/>
        </w:rPr>
        <w:t>eering.</w:t>
      </w:r>
      <w:r w:rsidR="00A652B2" w:rsidRPr="00F90515">
        <w:rPr>
          <w:rFonts w:eastAsiaTheme="majorEastAsia"/>
        </w:rPr>
        <w:t xml:space="preserve"> </w:t>
      </w:r>
      <w:r w:rsidR="005D68AC" w:rsidRPr="00F90515">
        <w:rPr>
          <w:rFonts w:eastAsiaTheme="majorEastAsia"/>
        </w:rPr>
        <w:t xml:space="preserve">Interestingly as noted by </w:t>
      </w:r>
      <w:r w:rsidR="00CE78EC" w:rsidRPr="00F90515">
        <w:rPr>
          <w:rFonts w:eastAsiaTheme="majorEastAsia"/>
        </w:rPr>
        <w:t xml:space="preserve">Lawton, et al. (2021) the evidence for a causal relationship between improved subjective wellbeing </w:t>
      </w:r>
      <w:r w:rsidR="00667034" w:rsidRPr="00F90515">
        <w:rPr>
          <w:rFonts w:eastAsiaTheme="majorEastAsia"/>
        </w:rPr>
        <w:t xml:space="preserve">and volunteering activity is fraught with challenges and </w:t>
      </w:r>
      <w:r w:rsidR="00BA65E4" w:rsidRPr="00F90515">
        <w:rPr>
          <w:rFonts w:eastAsiaTheme="majorEastAsia"/>
        </w:rPr>
        <w:t xml:space="preserve">may not be the significant draw to encourage new and retain existing volunteers. </w:t>
      </w:r>
      <w:r w:rsidR="00A652B2" w:rsidRPr="00F90515">
        <w:rPr>
          <w:rFonts w:eastAsiaTheme="majorEastAsia"/>
        </w:rPr>
        <w:t xml:space="preserve">The Scout Association (2024 b) is currently undertaking a </w:t>
      </w:r>
      <w:r w:rsidR="0039287D" w:rsidRPr="00F90515">
        <w:rPr>
          <w:rFonts w:eastAsiaTheme="majorEastAsia"/>
        </w:rPr>
        <w:t>far-reaching</w:t>
      </w:r>
      <w:r w:rsidR="00E54BC7" w:rsidRPr="00F90515">
        <w:rPr>
          <w:rFonts w:eastAsiaTheme="majorEastAsia"/>
        </w:rPr>
        <w:t xml:space="preserve"> reform that </w:t>
      </w:r>
      <w:r w:rsidR="00924C8D" w:rsidRPr="00F90515">
        <w:rPr>
          <w:rFonts w:eastAsiaTheme="majorEastAsia"/>
        </w:rPr>
        <w:t xml:space="preserve">is designed to move the organisation to </w:t>
      </w:r>
      <w:r w:rsidR="007D2D4B" w:rsidRPr="00F90515">
        <w:rPr>
          <w:rFonts w:eastAsiaTheme="majorEastAsia"/>
        </w:rPr>
        <w:t>task-based</w:t>
      </w:r>
      <w:r w:rsidR="00924C8D" w:rsidRPr="00F90515">
        <w:rPr>
          <w:rFonts w:eastAsiaTheme="majorEastAsia"/>
        </w:rPr>
        <w:t xml:space="preserve"> volunteering, far more suited to </w:t>
      </w:r>
      <w:r w:rsidR="00693668" w:rsidRPr="00F90515">
        <w:rPr>
          <w:rFonts w:eastAsiaTheme="majorEastAsia"/>
        </w:rPr>
        <w:t>micro and episodic volunteering common in the 21</w:t>
      </w:r>
      <w:r w:rsidR="00693668" w:rsidRPr="00F90515">
        <w:rPr>
          <w:rFonts w:eastAsiaTheme="majorEastAsia"/>
          <w:vertAlign w:val="superscript"/>
        </w:rPr>
        <w:t>st</w:t>
      </w:r>
      <w:r w:rsidR="00693668" w:rsidRPr="00F90515">
        <w:rPr>
          <w:rFonts w:eastAsiaTheme="majorEastAsia"/>
        </w:rPr>
        <w:t xml:space="preserve"> century</w:t>
      </w:r>
      <w:r w:rsidR="00ED47E3" w:rsidRPr="00F90515">
        <w:rPr>
          <w:rFonts w:eastAsiaTheme="majorEastAsia"/>
        </w:rPr>
        <w:t xml:space="preserve"> that should reduce </w:t>
      </w:r>
      <w:r w:rsidR="00FD224D" w:rsidRPr="00F90515">
        <w:rPr>
          <w:rFonts w:eastAsiaTheme="majorEastAsia"/>
        </w:rPr>
        <w:t>burnout noted in the concept map</w:t>
      </w:r>
      <w:r w:rsidR="00693668" w:rsidRPr="00F90515">
        <w:rPr>
          <w:rFonts w:eastAsiaTheme="majorEastAsia"/>
        </w:rPr>
        <w:t>.</w:t>
      </w:r>
    </w:p>
    <w:p w14:paraId="38FB0595" w14:textId="0E1BA582" w:rsidR="0064261A" w:rsidRPr="00F90515" w:rsidRDefault="00E00CD6" w:rsidP="007934FD">
      <w:pPr>
        <w:rPr>
          <w:rFonts w:eastAsiaTheme="majorEastAsia"/>
        </w:rPr>
      </w:pPr>
      <w:r w:rsidRPr="00F90515">
        <w:rPr>
          <w:rFonts w:eastAsiaTheme="majorEastAsia"/>
        </w:rPr>
        <w:t>As discussed by Chacón, et al. (2017)</w:t>
      </w:r>
      <w:r w:rsidR="001C16CF" w:rsidRPr="00F90515">
        <w:rPr>
          <w:rFonts w:eastAsiaTheme="majorEastAsia"/>
        </w:rPr>
        <w:t>,</w:t>
      </w:r>
      <w:r w:rsidR="00AA0DFF" w:rsidRPr="00F90515">
        <w:rPr>
          <w:rFonts w:eastAsiaTheme="majorEastAsia"/>
        </w:rPr>
        <w:t xml:space="preserve"> </w:t>
      </w:r>
      <w:r w:rsidR="00FE0A57" w:rsidRPr="00F90515">
        <w:rPr>
          <w:rFonts w:eastAsiaTheme="majorEastAsia"/>
        </w:rPr>
        <w:t xml:space="preserve">Lindsey, et al. </w:t>
      </w:r>
      <w:r w:rsidR="001C16CF" w:rsidRPr="00F90515">
        <w:rPr>
          <w:rFonts w:eastAsiaTheme="majorEastAsia"/>
        </w:rPr>
        <w:t>(</w:t>
      </w:r>
      <w:r w:rsidR="00FE0A57" w:rsidRPr="00F90515">
        <w:rPr>
          <w:rFonts w:eastAsiaTheme="majorEastAsia"/>
        </w:rPr>
        <w:t>2018)</w:t>
      </w:r>
      <w:r w:rsidR="001C16CF" w:rsidRPr="00F90515">
        <w:rPr>
          <w:rFonts w:eastAsiaTheme="majorEastAsia"/>
        </w:rPr>
        <w:t xml:space="preserve"> and </w:t>
      </w:r>
      <w:r w:rsidR="009E05AE" w:rsidRPr="00F90515">
        <w:rPr>
          <w:rFonts w:eastAsiaTheme="majorEastAsia"/>
        </w:rPr>
        <w:t>Dawson, et al. (2019)</w:t>
      </w:r>
      <w:r w:rsidR="00FA7E47" w:rsidRPr="00F90515">
        <w:rPr>
          <w:rFonts w:eastAsiaTheme="majorEastAsia"/>
        </w:rPr>
        <w:t xml:space="preserve"> </w:t>
      </w:r>
      <w:r w:rsidR="00836943" w:rsidRPr="00F90515">
        <w:rPr>
          <w:rFonts w:eastAsiaTheme="majorEastAsia"/>
        </w:rPr>
        <w:t xml:space="preserve">individuals </w:t>
      </w:r>
      <w:r w:rsidR="00C3790F" w:rsidRPr="00F90515">
        <w:rPr>
          <w:rFonts w:eastAsiaTheme="majorEastAsia"/>
        </w:rPr>
        <w:t>become involved in volunteering generally for altruistic reasons or from a sense of duty</w:t>
      </w:r>
      <w:r w:rsidR="0067459A" w:rsidRPr="00F90515">
        <w:rPr>
          <w:rFonts w:eastAsiaTheme="majorEastAsia"/>
        </w:rPr>
        <w:t xml:space="preserve"> either to society or to the organisation itself. In a scouting context Turpie (2024) </w:t>
      </w:r>
      <w:r w:rsidR="00E428C7" w:rsidRPr="00F90515">
        <w:rPr>
          <w:rFonts w:eastAsiaTheme="majorEastAsia"/>
        </w:rPr>
        <w:t xml:space="preserve">supported this argument stating that many volunteers </w:t>
      </w:r>
      <w:r w:rsidR="00E32377" w:rsidRPr="00F90515">
        <w:rPr>
          <w:rFonts w:eastAsiaTheme="majorEastAsia"/>
        </w:rPr>
        <w:t xml:space="preserve">begin their journey to support their child. </w:t>
      </w:r>
      <w:r w:rsidR="002F42DF" w:rsidRPr="00F90515">
        <w:rPr>
          <w:rFonts w:eastAsiaTheme="majorEastAsia"/>
        </w:rPr>
        <w:t>In contrast to this</w:t>
      </w:r>
      <w:r w:rsidR="00CD319F" w:rsidRPr="00F90515">
        <w:rPr>
          <w:rFonts w:eastAsiaTheme="majorEastAsia"/>
        </w:rPr>
        <w:t xml:space="preserve"> </w:t>
      </w:r>
      <w:r w:rsidR="00EB3F06" w:rsidRPr="00F90515">
        <w:rPr>
          <w:rFonts w:eastAsiaTheme="majorEastAsia"/>
        </w:rPr>
        <w:t>Wilson &amp; Musick (1999)</w:t>
      </w:r>
      <w:r w:rsidR="002F42DF" w:rsidRPr="00F90515">
        <w:rPr>
          <w:rFonts w:eastAsiaTheme="majorEastAsia"/>
        </w:rPr>
        <w:t xml:space="preserve"> </w:t>
      </w:r>
      <w:r w:rsidR="00EB3F06" w:rsidRPr="00F90515">
        <w:rPr>
          <w:rFonts w:eastAsiaTheme="majorEastAsia"/>
        </w:rPr>
        <w:t>Wardell, et al. (2000)</w:t>
      </w:r>
      <w:r w:rsidR="00724802" w:rsidRPr="00F90515">
        <w:rPr>
          <w:rFonts w:eastAsiaTheme="majorEastAsia"/>
        </w:rPr>
        <w:t xml:space="preserve"> and </w:t>
      </w:r>
      <w:r w:rsidR="00EB3F06" w:rsidRPr="00F90515">
        <w:rPr>
          <w:rFonts w:eastAsiaTheme="majorEastAsia"/>
        </w:rPr>
        <w:t>Willems &amp; Dury (2017) all argue that altruistic motives make up a small part of the bigger picture in why people choose to volunteer</w:t>
      </w:r>
      <w:r w:rsidR="00FA751E" w:rsidRPr="00F90515">
        <w:rPr>
          <w:rFonts w:eastAsiaTheme="majorEastAsia"/>
        </w:rPr>
        <w:t xml:space="preserve"> with diverse reasons including </w:t>
      </w:r>
      <w:r w:rsidR="006875C9" w:rsidRPr="00F90515">
        <w:rPr>
          <w:rFonts w:eastAsiaTheme="majorEastAsia"/>
        </w:rPr>
        <w:t xml:space="preserve">professional development and filling their own spare time being as important to </w:t>
      </w:r>
      <w:r w:rsidR="005F6A5D" w:rsidRPr="00F90515">
        <w:rPr>
          <w:rFonts w:eastAsiaTheme="majorEastAsia"/>
        </w:rPr>
        <w:t>some volunteers</w:t>
      </w:r>
      <w:r w:rsidR="00DD3815" w:rsidRPr="00F90515">
        <w:rPr>
          <w:rFonts w:eastAsiaTheme="majorEastAsia"/>
        </w:rPr>
        <w:t xml:space="preserve">. </w:t>
      </w:r>
      <w:r w:rsidR="00D6687E" w:rsidRPr="00F90515">
        <w:rPr>
          <w:rFonts w:eastAsiaTheme="majorEastAsia"/>
        </w:rPr>
        <w:t>Livi, et al. (2020) develop this discussion</w:t>
      </w:r>
      <w:r w:rsidR="00FC10BD" w:rsidRPr="00F90515">
        <w:rPr>
          <w:rFonts w:eastAsiaTheme="majorEastAsia"/>
        </w:rPr>
        <w:t xml:space="preserve"> further</w:t>
      </w:r>
      <w:r w:rsidR="00D6687E" w:rsidRPr="00F90515">
        <w:rPr>
          <w:rFonts w:eastAsiaTheme="majorEastAsia"/>
        </w:rPr>
        <w:t xml:space="preserve"> </w:t>
      </w:r>
      <w:r w:rsidR="00DF5B39" w:rsidRPr="00F90515">
        <w:rPr>
          <w:rFonts w:eastAsiaTheme="majorEastAsia"/>
        </w:rPr>
        <w:t xml:space="preserve">focussing on the psychology </w:t>
      </w:r>
      <w:r w:rsidR="00D94D54" w:rsidRPr="00F90515">
        <w:rPr>
          <w:rFonts w:eastAsiaTheme="majorEastAsia"/>
        </w:rPr>
        <w:t>of the individual arguing that</w:t>
      </w:r>
      <w:r w:rsidR="008E1591" w:rsidRPr="00F90515">
        <w:rPr>
          <w:rFonts w:eastAsiaTheme="majorEastAsia"/>
        </w:rPr>
        <w:t xml:space="preserve">, regardless of their initial motives, </w:t>
      </w:r>
      <w:r w:rsidR="00D94D54" w:rsidRPr="00F90515">
        <w:rPr>
          <w:rFonts w:eastAsiaTheme="majorEastAsia"/>
        </w:rPr>
        <w:t>those that initially volunteer have a high</w:t>
      </w:r>
      <w:r w:rsidR="00CD2744" w:rsidRPr="00F90515">
        <w:rPr>
          <w:rFonts w:eastAsiaTheme="majorEastAsia"/>
        </w:rPr>
        <w:t>ly</w:t>
      </w:r>
      <w:r w:rsidR="00D94D54" w:rsidRPr="00F90515">
        <w:rPr>
          <w:rFonts w:eastAsiaTheme="majorEastAsia"/>
        </w:rPr>
        <w:t xml:space="preserve"> prosocial</w:t>
      </w:r>
      <w:r w:rsidR="00CD2744" w:rsidRPr="00F90515">
        <w:rPr>
          <w:rFonts w:eastAsiaTheme="majorEastAsia"/>
        </w:rPr>
        <w:t xml:space="preserve"> personality type</w:t>
      </w:r>
      <w:r w:rsidR="000A3EEB" w:rsidRPr="00F90515">
        <w:rPr>
          <w:rFonts w:eastAsiaTheme="majorEastAsia"/>
        </w:rPr>
        <w:t>. This anteced</w:t>
      </w:r>
      <w:r w:rsidR="005C2731" w:rsidRPr="00F90515">
        <w:rPr>
          <w:rFonts w:eastAsiaTheme="majorEastAsia"/>
        </w:rPr>
        <w:t>ent personality type links to the individuals unique value structure</w:t>
      </w:r>
      <w:r w:rsidR="00D83E8D" w:rsidRPr="00F90515">
        <w:rPr>
          <w:rFonts w:eastAsiaTheme="majorEastAsia"/>
        </w:rPr>
        <w:t xml:space="preserve">, emotional intelligence and self-efficacy that leads to an increased </w:t>
      </w:r>
      <w:r w:rsidR="0039287D" w:rsidRPr="00F90515">
        <w:rPr>
          <w:rFonts w:eastAsiaTheme="majorEastAsia"/>
        </w:rPr>
        <w:t>likelihood</w:t>
      </w:r>
      <w:r w:rsidR="00D83E8D" w:rsidRPr="00F90515">
        <w:rPr>
          <w:rFonts w:eastAsiaTheme="majorEastAsia"/>
        </w:rPr>
        <w:t xml:space="preserve"> of </w:t>
      </w:r>
      <w:r w:rsidR="00753725" w:rsidRPr="00F90515">
        <w:rPr>
          <w:rFonts w:eastAsiaTheme="majorEastAsia"/>
        </w:rPr>
        <w:t xml:space="preserve">volunteering. Interestingly </w:t>
      </w:r>
      <w:r w:rsidR="00EA2355" w:rsidRPr="00F90515">
        <w:rPr>
          <w:rFonts w:eastAsiaTheme="majorEastAsia"/>
        </w:rPr>
        <w:t>these are all values the</w:t>
      </w:r>
      <w:r w:rsidR="00491518" w:rsidRPr="00F90515">
        <w:rPr>
          <w:rFonts w:eastAsiaTheme="majorEastAsia"/>
        </w:rPr>
        <w:t xml:space="preserve"> Scout Association (2024 c) aims to instil in the youth membership. </w:t>
      </w:r>
      <w:r w:rsidR="003A3981" w:rsidRPr="00F90515">
        <w:rPr>
          <w:rFonts w:eastAsiaTheme="majorEastAsia"/>
        </w:rPr>
        <w:t>McCormick &amp; Donohue (2019)</w:t>
      </w:r>
      <w:r w:rsidR="004E2DE0" w:rsidRPr="00F90515">
        <w:rPr>
          <w:rFonts w:eastAsiaTheme="majorEastAsia"/>
        </w:rPr>
        <w:t xml:space="preserve"> and </w:t>
      </w:r>
      <w:r w:rsidR="003A3981" w:rsidRPr="00F90515">
        <w:rPr>
          <w:rFonts w:eastAsiaTheme="majorEastAsia"/>
        </w:rPr>
        <w:t xml:space="preserve">Zollo, et al. (2019) argue that a key component </w:t>
      </w:r>
      <w:r w:rsidR="007749B9" w:rsidRPr="00F90515">
        <w:rPr>
          <w:rFonts w:eastAsiaTheme="majorEastAsia"/>
        </w:rPr>
        <w:t xml:space="preserve">of a potential volunteers attraction to an organisation is the </w:t>
      </w:r>
      <w:r w:rsidR="00092FC6" w:rsidRPr="00F90515">
        <w:rPr>
          <w:rFonts w:eastAsiaTheme="majorEastAsia"/>
        </w:rPr>
        <w:t xml:space="preserve">emotional attachment they feel based on shared values and goals. </w:t>
      </w:r>
      <w:r w:rsidR="00073422" w:rsidRPr="00F90515">
        <w:rPr>
          <w:rFonts w:eastAsiaTheme="majorEastAsia"/>
        </w:rPr>
        <w:t>Anecdotally</w:t>
      </w:r>
      <w:r w:rsidR="00D42EBF" w:rsidRPr="00F90515">
        <w:rPr>
          <w:rFonts w:eastAsiaTheme="majorEastAsia"/>
        </w:rPr>
        <w:t xml:space="preserve"> </w:t>
      </w:r>
      <w:r w:rsidR="00AE7011" w:rsidRPr="00F90515">
        <w:rPr>
          <w:rFonts w:eastAsiaTheme="majorEastAsia"/>
        </w:rPr>
        <w:t xml:space="preserve">from the authors experience recruiting potential volunteers from the pool of parents, guardians and care givers is somewhat easier than from the wider community as the </w:t>
      </w:r>
      <w:r w:rsidR="001B1DC7" w:rsidRPr="00F90515">
        <w:rPr>
          <w:rFonts w:eastAsiaTheme="majorEastAsia"/>
        </w:rPr>
        <w:t xml:space="preserve">individuals </w:t>
      </w:r>
      <w:r w:rsidR="00073422" w:rsidRPr="00F90515">
        <w:rPr>
          <w:rFonts w:eastAsiaTheme="majorEastAsia"/>
        </w:rPr>
        <w:t>already</w:t>
      </w:r>
      <w:r w:rsidR="001B1DC7" w:rsidRPr="00F90515">
        <w:rPr>
          <w:rFonts w:eastAsiaTheme="majorEastAsia"/>
        </w:rPr>
        <w:t xml:space="preserve"> share some of the same </w:t>
      </w:r>
      <w:r w:rsidR="008357FD" w:rsidRPr="00F90515">
        <w:rPr>
          <w:rFonts w:eastAsiaTheme="majorEastAsia"/>
        </w:rPr>
        <w:t>values and are aware of the benefits to their young person</w:t>
      </w:r>
      <w:r w:rsidR="00E97B5F" w:rsidRPr="00F90515">
        <w:rPr>
          <w:rFonts w:eastAsiaTheme="majorEastAsia"/>
        </w:rPr>
        <w:t>, however this does lead to the lack of outreach noted in the concept map</w:t>
      </w:r>
      <w:r w:rsidR="00EA0802" w:rsidRPr="00F90515">
        <w:rPr>
          <w:rFonts w:eastAsiaTheme="majorEastAsia"/>
        </w:rPr>
        <w:t xml:space="preserve"> and may offer a limited pool of expertise to draw upon.</w:t>
      </w:r>
    </w:p>
    <w:p w14:paraId="0ABC3BC0" w14:textId="53A153DB" w:rsidR="003664A2" w:rsidRPr="00F90515" w:rsidRDefault="00175385" w:rsidP="007934FD">
      <w:pPr>
        <w:rPr>
          <w:rFonts w:eastAsiaTheme="majorEastAsia"/>
        </w:rPr>
      </w:pPr>
      <w:r w:rsidRPr="00F90515">
        <w:rPr>
          <w:rFonts w:eastAsiaTheme="majorEastAsia"/>
        </w:rPr>
        <w:lastRenderedPageBreak/>
        <w:t xml:space="preserve">Having focussed on the reasons for volunteering this analysis will now consider the reasons for individuals not commencing volunteering. </w:t>
      </w:r>
      <w:r w:rsidR="00134CEF" w:rsidRPr="00F90515">
        <w:rPr>
          <w:rFonts w:eastAsiaTheme="majorEastAsia"/>
        </w:rPr>
        <w:t xml:space="preserve">As noted in the concept map one of the </w:t>
      </w:r>
      <w:r w:rsidR="00095AF0" w:rsidRPr="00F90515">
        <w:rPr>
          <w:rFonts w:eastAsiaTheme="majorEastAsia"/>
        </w:rPr>
        <w:t>significant barriers to an individual volunteering is other time commitments, be this</w:t>
      </w:r>
      <w:r w:rsidR="00386192" w:rsidRPr="00F90515">
        <w:rPr>
          <w:rFonts w:eastAsiaTheme="majorEastAsia"/>
        </w:rPr>
        <w:t xml:space="preserve"> due to </w:t>
      </w:r>
      <w:r w:rsidR="00247CBB" w:rsidRPr="00F90515">
        <w:rPr>
          <w:rFonts w:eastAsiaTheme="majorEastAsia"/>
        </w:rPr>
        <w:t xml:space="preserve">familial obligations or work commitments. </w:t>
      </w:r>
      <w:r w:rsidR="00F53727" w:rsidRPr="00F90515">
        <w:rPr>
          <w:rFonts w:eastAsiaTheme="majorEastAsia"/>
        </w:rPr>
        <w:t xml:space="preserve">Willems &amp; Dury </w:t>
      </w:r>
      <w:r w:rsidR="009D5102" w:rsidRPr="00F90515">
        <w:rPr>
          <w:rFonts w:eastAsiaTheme="majorEastAsia"/>
        </w:rPr>
        <w:t>(</w:t>
      </w:r>
      <w:r w:rsidR="00F53727" w:rsidRPr="00F90515">
        <w:rPr>
          <w:rFonts w:eastAsiaTheme="majorEastAsia"/>
        </w:rPr>
        <w:t xml:space="preserve">2017) and </w:t>
      </w:r>
      <w:r w:rsidR="009D5102" w:rsidRPr="00F90515">
        <w:rPr>
          <w:rFonts w:eastAsiaTheme="majorEastAsia"/>
        </w:rPr>
        <w:t xml:space="preserve">Southby, et al. (2019) expand on this </w:t>
      </w:r>
      <w:r w:rsidR="002054ED" w:rsidRPr="00F90515">
        <w:rPr>
          <w:rFonts w:eastAsiaTheme="majorEastAsia"/>
        </w:rPr>
        <w:t>by positing a range of other barriers</w:t>
      </w:r>
      <w:r w:rsidR="002E4A29" w:rsidRPr="00F90515">
        <w:rPr>
          <w:rFonts w:eastAsiaTheme="majorEastAsia"/>
        </w:rPr>
        <w:t xml:space="preserve">. Whilst these barriers are discussed using different </w:t>
      </w:r>
      <w:r w:rsidR="00A85303" w:rsidRPr="00F90515">
        <w:rPr>
          <w:rFonts w:eastAsiaTheme="majorEastAsia"/>
        </w:rPr>
        <w:t>language,</w:t>
      </w:r>
      <w:r w:rsidR="002E4A29" w:rsidRPr="00F90515">
        <w:rPr>
          <w:rFonts w:eastAsiaTheme="majorEastAsia"/>
        </w:rPr>
        <w:t xml:space="preserve"> they </w:t>
      </w:r>
      <w:r w:rsidR="0047279B" w:rsidRPr="00F90515">
        <w:rPr>
          <w:rFonts w:eastAsiaTheme="majorEastAsia"/>
        </w:rPr>
        <w:t xml:space="preserve">both broadly suggest that personality traits are a significant factor in volunteering rates. Alongside this </w:t>
      </w:r>
      <w:r w:rsidR="00EA069D" w:rsidRPr="00F90515">
        <w:rPr>
          <w:rFonts w:eastAsiaTheme="majorEastAsia"/>
        </w:rPr>
        <w:t xml:space="preserve">both suggest that a key barrier to </w:t>
      </w:r>
      <w:r w:rsidR="005F51C9" w:rsidRPr="00F90515">
        <w:rPr>
          <w:rFonts w:eastAsiaTheme="majorEastAsia"/>
        </w:rPr>
        <w:t xml:space="preserve">volunteering is that no-one has asked. Southby, et al. (2019) expand on this by suggesting that </w:t>
      </w:r>
      <w:r w:rsidR="00F937DC" w:rsidRPr="00F90515">
        <w:rPr>
          <w:rFonts w:eastAsiaTheme="majorEastAsia"/>
        </w:rPr>
        <w:t xml:space="preserve">there is a complex interplay of human, social and cultural capital in the decisions </w:t>
      </w:r>
      <w:r w:rsidR="00431618" w:rsidRPr="00F90515">
        <w:rPr>
          <w:rFonts w:eastAsiaTheme="majorEastAsia"/>
        </w:rPr>
        <w:t>for volunteers to offer their services.</w:t>
      </w:r>
      <w:r w:rsidR="0033163A" w:rsidRPr="00F90515">
        <w:rPr>
          <w:rFonts w:eastAsiaTheme="majorEastAsia"/>
        </w:rPr>
        <w:t xml:space="preserve"> </w:t>
      </w:r>
      <w:r w:rsidR="003664A2" w:rsidRPr="00F90515">
        <w:rPr>
          <w:rFonts w:eastAsiaTheme="majorEastAsia"/>
        </w:rPr>
        <w:t xml:space="preserve">The Scout Associations transformation of volunteering noted above </w:t>
      </w:r>
      <w:r w:rsidR="00534B14" w:rsidRPr="00F90515">
        <w:rPr>
          <w:rFonts w:eastAsiaTheme="majorEastAsia"/>
        </w:rPr>
        <w:t xml:space="preserve">should make this conversation easier for current volunteers. </w:t>
      </w:r>
      <w:r w:rsidR="00FD7673" w:rsidRPr="00F90515">
        <w:rPr>
          <w:rFonts w:eastAsiaTheme="majorEastAsia"/>
        </w:rPr>
        <w:t xml:space="preserve">Willems &amp; Dury (2017) </w:t>
      </w:r>
      <w:r w:rsidR="00DA6492" w:rsidRPr="00F90515">
        <w:rPr>
          <w:rFonts w:eastAsiaTheme="majorEastAsia"/>
        </w:rPr>
        <w:t xml:space="preserve">note that some individuals simply do not wish to volunteer, </w:t>
      </w:r>
      <w:r w:rsidR="00950A14" w:rsidRPr="00F90515">
        <w:rPr>
          <w:rFonts w:eastAsiaTheme="majorEastAsia"/>
        </w:rPr>
        <w:t xml:space="preserve">this may be due to a lack of individual motivation or a mismatch of values </w:t>
      </w:r>
      <w:r w:rsidR="000E7451" w:rsidRPr="00F90515">
        <w:rPr>
          <w:rFonts w:eastAsiaTheme="majorEastAsia"/>
        </w:rPr>
        <w:t>between the organisation and the individual.</w:t>
      </w:r>
      <w:r w:rsidR="00971E98" w:rsidRPr="00F90515">
        <w:rPr>
          <w:rFonts w:eastAsiaTheme="majorEastAsia"/>
        </w:rPr>
        <w:t xml:space="preserve"> </w:t>
      </w:r>
      <w:r w:rsidR="007072DF" w:rsidRPr="00F90515">
        <w:rPr>
          <w:rFonts w:eastAsiaTheme="majorEastAsia"/>
        </w:rPr>
        <w:t>Welsh Government (2023)</w:t>
      </w:r>
      <w:r w:rsidR="008F2EFF" w:rsidRPr="00F90515">
        <w:rPr>
          <w:rFonts w:eastAsiaTheme="majorEastAsia"/>
        </w:rPr>
        <w:t xml:space="preserve"> also note that </w:t>
      </w:r>
      <w:r w:rsidR="00AE09CD" w:rsidRPr="00F90515">
        <w:rPr>
          <w:rFonts w:eastAsiaTheme="majorEastAsia"/>
        </w:rPr>
        <w:t xml:space="preserve">white, highly educated, </w:t>
      </w:r>
      <w:r w:rsidR="00A85303" w:rsidRPr="00F90515">
        <w:rPr>
          <w:rFonts w:eastAsiaTheme="majorEastAsia"/>
        </w:rPr>
        <w:t>middle-class</w:t>
      </w:r>
      <w:r w:rsidR="00AE09CD" w:rsidRPr="00F90515">
        <w:rPr>
          <w:rFonts w:eastAsiaTheme="majorEastAsia"/>
        </w:rPr>
        <w:t xml:space="preserve"> males are </w:t>
      </w:r>
      <w:r w:rsidR="007072DF" w:rsidRPr="00F90515">
        <w:rPr>
          <w:rFonts w:eastAsiaTheme="majorEastAsia"/>
        </w:rPr>
        <w:t xml:space="preserve">more likely to volunteer than any other </w:t>
      </w:r>
      <w:r w:rsidR="00C75C15" w:rsidRPr="00F90515">
        <w:rPr>
          <w:rFonts w:eastAsiaTheme="majorEastAsia"/>
        </w:rPr>
        <w:t xml:space="preserve">social group with this being particularly </w:t>
      </w:r>
      <w:r w:rsidR="00073422" w:rsidRPr="00F90515">
        <w:rPr>
          <w:rFonts w:eastAsiaTheme="majorEastAsia"/>
        </w:rPr>
        <w:t>prevalent</w:t>
      </w:r>
      <w:r w:rsidR="00C75C15" w:rsidRPr="00F90515">
        <w:rPr>
          <w:rFonts w:eastAsiaTheme="majorEastAsia"/>
        </w:rPr>
        <w:t xml:space="preserve"> in rural areas. </w:t>
      </w:r>
      <w:r w:rsidR="00BC583C" w:rsidRPr="00F90515">
        <w:rPr>
          <w:rFonts w:eastAsiaTheme="majorEastAsia"/>
        </w:rPr>
        <w:t>In contrast to this Turpie (2024) does note that sixty percent of volunteers are female</w:t>
      </w:r>
      <w:r w:rsidR="00757EF2" w:rsidRPr="00F90515">
        <w:rPr>
          <w:rFonts w:eastAsiaTheme="majorEastAsia"/>
        </w:rPr>
        <w:t>,</w:t>
      </w:r>
      <w:r w:rsidR="00BC583C" w:rsidRPr="00F90515">
        <w:rPr>
          <w:rFonts w:eastAsiaTheme="majorEastAsia"/>
        </w:rPr>
        <w:t xml:space="preserve"> however</w:t>
      </w:r>
      <w:r w:rsidR="00757EF2" w:rsidRPr="00F90515">
        <w:rPr>
          <w:rFonts w:eastAsiaTheme="majorEastAsia"/>
        </w:rPr>
        <w:t>,</w:t>
      </w:r>
      <w:r w:rsidR="00BC583C" w:rsidRPr="00F90515">
        <w:rPr>
          <w:rFonts w:eastAsiaTheme="majorEastAsia"/>
        </w:rPr>
        <w:t xml:space="preserve"> </w:t>
      </w:r>
      <w:r w:rsidR="00073422" w:rsidRPr="00F90515">
        <w:rPr>
          <w:rFonts w:eastAsiaTheme="majorEastAsia"/>
        </w:rPr>
        <w:t>anecdotally</w:t>
      </w:r>
      <w:r w:rsidR="0042154F" w:rsidRPr="00F90515">
        <w:rPr>
          <w:rFonts w:eastAsiaTheme="majorEastAsia"/>
        </w:rPr>
        <w:t xml:space="preserve"> the author has experienced</w:t>
      </w:r>
      <w:r w:rsidR="00757EF2" w:rsidRPr="00F90515">
        <w:rPr>
          <w:rFonts w:eastAsiaTheme="majorEastAsia"/>
        </w:rPr>
        <w:t xml:space="preserve"> the perception of </w:t>
      </w:r>
      <w:r w:rsidR="002E202F" w:rsidRPr="00F90515">
        <w:rPr>
          <w:rFonts w:eastAsiaTheme="majorEastAsia"/>
        </w:rPr>
        <w:t xml:space="preserve">Scouting as being a very white </w:t>
      </w:r>
      <w:r w:rsidR="00A85303" w:rsidRPr="00F90515">
        <w:rPr>
          <w:rFonts w:eastAsiaTheme="majorEastAsia"/>
        </w:rPr>
        <w:t>middle-class</w:t>
      </w:r>
      <w:r w:rsidR="002E202F" w:rsidRPr="00F90515">
        <w:rPr>
          <w:rFonts w:eastAsiaTheme="majorEastAsia"/>
        </w:rPr>
        <w:t xml:space="preserve"> activity</w:t>
      </w:r>
      <w:r w:rsidR="0042154F" w:rsidRPr="00F90515">
        <w:rPr>
          <w:rFonts w:eastAsiaTheme="majorEastAsia"/>
        </w:rPr>
        <w:t xml:space="preserve"> in their volunteering experience</w:t>
      </w:r>
      <w:r w:rsidR="002E202F" w:rsidRPr="00F90515">
        <w:rPr>
          <w:rFonts w:eastAsiaTheme="majorEastAsia"/>
        </w:rPr>
        <w:t xml:space="preserve"> that likely contributes to the outdated image and </w:t>
      </w:r>
      <w:r w:rsidR="00E9126B" w:rsidRPr="00F90515">
        <w:rPr>
          <w:rFonts w:eastAsiaTheme="majorEastAsia"/>
        </w:rPr>
        <w:t>presents as a barrier to entry for some minority groups</w:t>
      </w:r>
      <w:r w:rsidR="0042154F" w:rsidRPr="00F90515">
        <w:rPr>
          <w:rFonts w:eastAsiaTheme="majorEastAsia"/>
        </w:rPr>
        <w:t>.</w:t>
      </w:r>
    </w:p>
    <w:p w14:paraId="75ECE961" w14:textId="26B01864" w:rsidR="00D519E2" w:rsidRPr="00F90515" w:rsidRDefault="00DE323E" w:rsidP="007934FD">
      <w:pPr>
        <w:rPr>
          <w:rFonts w:eastAsiaTheme="majorEastAsia"/>
        </w:rPr>
      </w:pPr>
      <w:r w:rsidRPr="00F90515">
        <w:rPr>
          <w:rFonts w:eastAsiaTheme="majorEastAsia"/>
        </w:rPr>
        <w:t xml:space="preserve">As </w:t>
      </w:r>
      <w:r w:rsidR="00A85303" w:rsidRPr="00F90515">
        <w:rPr>
          <w:rFonts w:eastAsiaTheme="majorEastAsia"/>
        </w:rPr>
        <w:t>discussed,</w:t>
      </w:r>
      <w:r w:rsidR="00191A3D" w:rsidRPr="00F90515">
        <w:rPr>
          <w:rFonts w:eastAsiaTheme="majorEastAsia"/>
        </w:rPr>
        <w:t xml:space="preserve"> t</w:t>
      </w:r>
      <w:r w:rsidR="00A167B2" w:rsidRPr="00F90515">
        <w:rPr>
          <w:rFonts w:eastAsiaTheme="majorEastAsia"/>
        </w:rPr>
        <w:t>he recruitment of volunteers often proves challenging</w:t>
      </w:r>
      <w:r w:rsidR="00747549" w:rsidRPr="00F90515">
        <w:rPr>
          <w:rFonts w:eastAsiaTheme="majorEastAsia"/>
        </w:rPr>
        <w:t>,</w:t>
      </w:r>
      <w:r w:rsidR="0023103F" w:rsidRPr="00F90515">
        <w:rPr>
          <w:rFonts w:eastAsiaTheme="majorEastAsia"/>
        </w:rPr>
        <w:t xml:space="preserve"> with a myriad of reasons as to why people</w:t>
      </w:r>
      <w:r w:rsidR="009E54AD" w:rsidRPr="00F90515">
        <w:rPr>
          <w:rFonts w:eastAsiaTheme="majorEastAsia"/>
        </w:rPr>
        <w:t xml:space="preserve"> do and do not</w:t>
      </w:r>
      <w:r w:rsidR="0023103F" w:rsidRPr="00F90515">
        <w:rPr>
          <w:rFonts w:eastAsiaTheme="majorEastAsia"/>
        </w:rPr>
        <w:t xml:space="preserve"> </w:t>
      </w:r>
      <w:r w:rsidR="006B5E7E" w:rsidRPr="00F90515">
        <w:rPr>
          <w:rFonts w:eastAsiaTheme="majorEastAsia"/>
        </w:rPr>
        <w:t>volunteer for organisations to consider</w:t>
      </w:r>
      <w:r w:rsidR="009E54AD" w:rsidRPr="00F90515">
        <w:rPr>
          <w:rFonts w:eastAsiaTheme="majorEastAsia"/>
        </w:rPr>
        <w:t>.</w:t>
      </w:r>
      <w:r w:rsidR="00A167B2" w:rsidRPr="00F90515">
        <w:rPr>
          <w:rFonts w:eastAsiaTheme="majorEastAsia"/>
        </w:rPr>
        <w:t xml:space="preserve"> </w:t>
      </w:r>
      <w:r w:rsidR="00005DDF" w:rsidRPr="00F90515">
        <w:rPr>
          <w:rFonts w:eastAsiaTheme="majorEastAsia"/>
        </w:rPr>
        <w:t xml:space="preserve">In addition to the challenges of recruiting new volunteers </w:t>
      </w:r>
      <w:r w:rsidR="00412693" w:rsidRPr="00F90515">
        <w:rPr>
          <w:rFonts w:eastAsiaTheme="majorEastAsia"/>
        </w:rPr>
        <w:t>retaining existing volunteers is equally difficult.</w:t>
      </w:r>
      <w:r w:rsidR="00A167B2" w:rsidRPr="00F90515">
        <w:rPr>
          <w:rFonts w:eastAsiaTheme="majorEastAsia"/>
        </w:rPr>
        <w:t xml:space="preserve"> </w:t>
      </w:r>
      <w:r w:rsidR="00412693" w:rsidRPr="00F90515">
        <w:rPr>
          <w:rFonts w:eastAsiaTheme="majorEastAsia"/>
        </w:rPr>
        <w:t>A</w:t>
      </w:r>
      <w:r w:rsidR="00A167B2" w:rsidRPr="00F90515">
        <w:rPr>
          <w:rFonts w:eastAsiaTheme="majorEastAsia"/>
        </w:rPr>
        <w:t xml:space="preserve">s noted by Holtrop, et al. (2024) globally over forty percent of volunteers ended their volunteering </w:t>
      </w:r>
      <w:r w:rsidR="00A85303" w:rsidRPr="00F90515">
        <w:rPr>
          <w:rFonts w:eastAsiaTheme="majorEastAsia"/>
        </w:rPr>
        <w:t>activities</w:t>
      </w:r>
      <w:r w:rsidR="00A167B2" w:rsidRPr="00F90515">
        <w:rPr>
          <w:rFonts w:eastAsiaTheme="majorEastAsia"/>
        </w:rPr>
        <w:t xml:space="preserve"> between 2018 and 2021, with little evidence that these volunteers are easily replaced within their organisations. In line with this trend Weakley (2021) notes that during the Covid-19 pandemic fifteen thousand volunteers left the Scout </w:t>
      </w:r>
      <w:r w:rsidR="00073422" w:rsidRPr="00F90515">
        <w:rPr>
          <w:rFonts w:eastAsiaTheme="majorEastAsia"/>
        </w:rPr>
        <w:t>association</w:t>
      </w:r>
      <w:r w:rsidR="00A167B2" w:rsidRPr="00F90515">
        <w:rPr>
          <w:rFonts w:eastAsiaTheme="majorEastAsia"/>
        </w:rPr>
        <w:t xml:space="preserve">, it is challenging to compare this to current rates as the scout association focusses on net gains in volunteer numbers. </w:t>
      </w:r>
      <w:r w:rsidR="00A85303" w:rsidRPr="00F90515">
        <w:rPr>
          <w:rFonts w:eastAsiaTheme="majorEastAsia"/>
        </w:rPr>
        <w:t>However,</w:t>
      </w:r>
      <w:r w:rsidR="00A167B2" w:rsidRPr="00F90515">
        <w:rPr>
          <w:rFonts w:eastAsiaTheme="majorEastAsia"/>
        </w:rPr>
        <w:t xml:space="preserve"> it is reasonable to assume there is a significant churn in experienced volunteers as the association</w:t>
      </w:r>
      <w:r w:rsidR="00E83480" w:rsidRPr="00F90515">
        <w:rPr>
          <w:rFonts w:eastAsiaTheme="majorEastAsia"/>
        </w:rPr>
        <w:t>’</w:t>
      </w:r>
      <w:r w:rsidR="00A167B2" w:rsidRPr="00F90515">
        <w:rPr>
          <w:rFonts w:eastAsiaTheme="majorEastAsia"/>
        </w:rPr>
        <w:t>s</w:t>
      </w:r>
      <w:r w:rsidR="00E83480" w:rsidRPr="00F90515">
        <w:rPr>
          <w:rFonts w:eastAsiaTheme="majorEastAsia"/>
        </w:rPr>
        <w:t xml:space="preserve"> own</w:t>
      </w:r>
      <w:r w:rsidR="00A167B2" w:rsidRPr="00F90515">
        <w:rPr>
          <w:rFonts w:eastAsiaTheme="majorEastAsia"/>
        </w:rPr>
        <w:t xml:space="preserve"> figures suggest that volunteers average three years of service before leaving the movement </w:t>
      </w:r>
      <w:sdt>
        <w:sdtPr>
          <w:rPr>
            <w:rFonts w:eastAsiaTheme="majorEastAsia"/>
          </w:rPr>
          <w:id w:val="431636459"/>
          <w:citation/>
        </w:sdtPr>
        <w:sdtContent>
          <w:r w:rsidR="00A167B2" w:rsidRPr="00F90515">
            <w:rPr>
              <w:rFonts w:eastAsiaTheme="majorEastAsia"/>
            </w:rPr>
            <w:fldChar w:fldCharType="begin"/>
          </w:r>
          <w:r w:rsidR="00A167B2" w:rsidRPr="00F90515">
            <w:rPr>
              <w:rFonts w:eastAsiaTheme="majorEastAsia"/>
            </w:rPr>
            <w:instrText xml:space="preserve"> CITATION Cra24 \l 2057 </w:instrText>
          </w:r>
          <w:r w:rsidR="00A167B2" w:rsidRPr="00F90515">
            <w:rPr>
              <w:rFonts w:eastAsiaTheme="majorEastAsia"/>
            </w:rPr>
            <w:fldChar w:fldCharType="separate"/>
          </w:r>
          <w:r w:rsidR="003862DE" w:rsidRPr="003862DE">
            <w:rPr>
              <w:rFonts w:eastAsiaTheme="majorEastAsia"/>
              <w:noProof/>
            </w:rPr>
            <w:t>(Turpie, 2024)</w:t>
          </w:r>
          <w:r w:rsidR="00A167B2" w:rsidRPr="00F90515">
            <w:rPr>
              <w:rFonts w:eastAsiaTheme="majorEastAsia"/>
            </w:rPr>
            <w:fldChar w:fldCharType="end"/>
          </w:r>
        </w:sdtContent>
      </w:sdt>
      <w:r w:rsidR="00A167B2" w:rsidRPr="00F90515">
        <w:rPr>
          <w:rFonts w:eastAsiaTheme="majorEastAsia"/>
        </w:rPr>
        <w:t>.</w:t>
      </w:r>
      <w:r w:rsidR="00412D2F" w:rsidRPr="00F90515">
        <w:rPr>
          <w:rFonts w:eastAsiaTheme="majorEastAsia"/>
        </w:rPr>
        <w:t xml:space="preserve"> </w:t>
      </w:r>
      <w:r w:rsidR="00251B66" w:rsidRPr="00F90515">
        <w:rPr>
          <w:rFonts w:eastAsiaTheme="majorEastAsia"/>
        </w:rPr>
        <w:t xml:space="preserve">In their seminal work on volunteering habits Wilson &amp; Musick </w:t>
      </w:r>
      <w:r w:rsidR="00F40EFB" w:rsidRPr="00F90515">
        <w:rPr>
          <w:rFonts w:eastAsiaTheme="majorEastAsia"/>
        </w:rPr>
        <w:t>(</w:t>
      </w:r>
      <w:r w:rsidR="00251B66" w:rsidRPr="00F90515">
        <w:rPr>
          <w:rFonts w:eastAsiaTheme="majorEastAsia"/>
        </w:rPr>
        <w:t>1999)</w:t>
      </w:r>
      <w:r w:rsidR="00F40EFB" w:rsidRPr="00F90515">
        <w:rPr>
          <w:rFonts w:eastAsiaTheme="majorEastAsia"/>
        </w:rPr>
        <w:t xml:space="preserve"> state that volunteers become attached to a role </w:t>
      </w:r>
      <w:r w:rsidR="000F4C56" w:rsidRPr="00F90515">
        <w:rPr>
          <w:rFonts w:eastAsiaTheme="majorEastAsia"/>
        </w:rPr>
        <w:t xml:space="preserve">due to the level of resources they bring to the position and </w:t>
      </w:r>
      <w:r w:rsidR="001630C0" w:rsidRPr="00F90515">
        <w:rPr>
          <w:rFonts w:eastAsiaTheme="majorEastAsia"/>
        </w:rPr>
        <w:t xml:space="preserve">the rewards they obtain from this position. </w:t>
      </w:r>
      <w:r w:rsidR="006234D9" w:rsidRPr="00F90515">
        <w:rPr>
          <w:rFonts w:eastAsiaTheme="majorEastAsia"/>
        </w:rPr>
        <w:t xml:space="preserve">Livi, et al. (2020) develop this discussion </w:t>
      </w:r>
      <w:r w:rsidR="00ED079C" w:rsidRPr="00F90515">
        <w:rPr>
          <w:rFonts w:eastAsiaTheme="majorEastAsia"/>
        </w:rPr>
        <w:t xml:space="preserve">arguing that volunteers become socialised into an organisations culture resulting in longer term </w:t>
      </w:r>
      <w:r w:rsidR="00073422" w:rsidRPr="00F90515">
        <w:rPr>
          <w:rFonts w:eastAsiaTheme="majorEastAsia"/>
        </w:rPr>
        <w:t>commitments</w:t>
      </w:r>
      <w:r w:rsidR="00ED079C" w:rsidRPr="00F90515">
        <w:rPr>
          <w:rFonts w:eastAsiaTheme="majorEastAsia"/>
        </w:rPr>
        <w:t xml:space="preserve"> becoming ingrained. However, g</w:t>
      </w:r>
      <w:r w:rsidR="001630C0" w:rsidRPr="00F90515">
        <w:rPr>
          <w:rFonts w:eastAsiaTheme="majorEastAsia"/>
        </w:rPr>
        <w:t xml:space="preserve">iven the changes in the demographics </w:t>
      </w:r>
      <w:r w:rsidR="00115807" w:rsidRPr="00F90515">
        <w:rPr>
          <w:rFonts w:eastAsiaTheme="majorEastAsia"/>
        </w:rPr>
        <w:t xml:space="preserve">and the rise of micro-volunteering discussed earlier this may be an </w:t>
      </w:r>
      <w:r w:rsidR="007D2D4B" w:rsidRPr="00F90515">
        <w:rPr>
          <w:rFonts w:eastAsiaTheme="majorEastAsia"/>
        </w:rPr>
        <w:t>oversimplification</w:t>
      </w:r>
      <w:r w:rsidR="005E7635" w:rsidRPr="00F90515">
        <w:rPr>
          <w:rFonts w:eastAsiaTheme="majorEastAsia"/>
        </w:rPr>
        <w:t xml:space="preserve"> when considering why individuals remain with an organisation</w:t>
      </w:r>
      <w:r w:rsidR="00022199" w:rsidRPr="00F90515">
        <w:rPr>
          <w:rFonts w:eastAsiaTheme="majorEastAsia"/>
        </w:rPr>
        <w:t xml:space="preserve">. </w:t>
      </w:r>
      <w:r w:rsidR="003427AF" w:rsidRPr="00F90515">
        <w:rPr>
          <w:rFonts w:eastAsiaTheme="majorEastAsia"/>
        </w:rPr>
        <w:t>De Clerck, et al. (2021)</w:t>
      </w:r>
      <w:r w:rsidR="00597383" w:rsidRPr="00F90515">
        <w:rPr>
          <w:rFonts w:eastAsiaTheme="majorEastAsia"/>
        </w:rPr>
        <w:t xml:space="preserve"> </w:t>
      </w:r>
      <w:r w:rsidR="00CF413F" w:rsidRPr="00F90515">
        <w:rPr>
          <w:rFonts w:eastAsiaTheme="majorEastAsia"/>
        </w:rPr>
        <w:t xml:space="preserve">acknowledges the changes in demographics for volunteers but argues </w:t>
      </w:r>
      <w:r w:rsidR="00CF413F" w:rsidRPr="00F90515">
        <w:rPr>
          <w:rFonts w:eastAsiaTheme="majorEastAsia"/>
        </w:rPr>
        <w:lastRenderedPageBreak/>
        <w:t xml:space="preserve">a significant demotivating factor is a lack of cohesion around management and vision </w:t>
      </w:r>
      <w:r w:rsidR="003C4908" w:rsidRPr="00F90515">
        <w:rPr>
          <w:rFonts w:eastAsiaTheme="majorEastAsia"/>
        </w:rPr>
        <w:t xml:space="preserve">with poor motivation being cited as a factor. </w:t>
      </w:r>
      <w:r w:rsidR="001F2448" w:rsidRPr="00F90515">
        <w:rPr>
          <w:rFonts w:eastAsiaTheme="majorEastAsia"/>
        </w:rPr>
        <w:t>Anecdotally</w:t>
      </w:r>
      <w:r w:rsidR="003C4908" w:rsidRPr="00F90515">
        <w:rPr>
          <w:rFonts w:eastAsiaTheme="majorEastAsia"/>
        </w:rPr>
        <w:t xml:space="preserve"> this is a significant issue </w:t>
      </w:r>
      <w:r w:rsidR="007D2D4B" w:rsidRPr="00F90515">
        <w:rPr>
          <w:rFonts w:eastAsiaTheme="majorEastAsia"/>
        </w:rPr>
        <w:t>within</w:t>
      </w:r>
      <w:r w:rsidR="003C4908" w:rsidRPr="00F90515">
        <w:rPr>
          <w:rFonts w:eastAsiaTheme="majorEastAsia"/>
        </w:rPr>
        <w:t xml:space="preserve"> the Scout association with regular complaints on social media forums </w:t>
      </w:r>
      <w:r w:rsidR="00344CC4" w:rsidRPr="00F90515">
        <w:rPr>
          <w:rFonts w:eastAsiaTheme="majorEastAsia"/>
        </w:rPr>
        <w:t xml:space="preserve">from volunteers about excessive </w:t>
      </w:r>
      <w:r w:rsidR="009540EA" w:rsidRPr="00F90515">
        <w:rPr>
          <w:rFonts w:eastAsiaTheme="majorEastAsia"/>
        </w:rPr>
        <w:t>bureauc</w:t>
      </w:r>
      <w:r w:rsidR="00E2392D" w:rsidRPr="00F90515">
        <w:rPr>
          <w:rFonts w:eastAsiaTheme="majorEastAsia"/>
        </w:rPr>
        <w:t>racy around safety issues and risks.</w:t>
      </w:r>
      <w:r w:rsidR="00344CC4" w:rsidRPr="00F90515">
        <w:rPr>
          <w:rFonts w:eastAsiaTheme="majorEastAsia"/>
        </w:rPr>
        <w:t xml:space="preserve"> </w:t>
      </w:r>
    </w:p>
    <w:p w14:paraId="3E74B76D" w14:textId="357D8A0B" w:rsidR="00FB0915" w:rsidRPr="00F90515" w:rsidRDefault="00145865" w:rsidP="007934FD">
      <w:pPr>
        <w:rPr>
          <w:rFonts w:eastAsiaTheme="majorEastAsia"/>
        </w:rPr>
      </w:pPr>
      <w:r w:rsidRPr="00F90515">
        <w:rPr>
          <w:rFonts w:eastAsiaTheme="majorEastAsia"/>
        </w:rPr>
        <w:t xml:space="preserve">In summary changing demographics and the continued rise of individualism </w:t>
      </w:r>
      <w:r w:rsidR="006C66D0" w:rsidRPr="00F90515">
        <w:rPr>
          <w:rFonts w:eastAsiaTheme="majorEastAsia"/>
        </w:rPr>
        <w:t xml:space="preserve">present challenges for all volunteer organisations but the steady levels of individuals willing to donate their time and energy allow those organisations </w:t>
      </w:r>
      <w:r w:rsidR="00101650" w:rsidRPr="00F90515">
        <w:rPr>
          <w:rFonts w:eastAsiaTheme="majorEastAsia"/>
        </w:rPr>
        <w:t>agile enough to meet the demands of modern volunteers to thrive.</w:t>
      </w:r>
    </w:p>
    <w:p w14:paraId="7BDF3135" w14:textId="77777777" w:rsidR="0064261A" w:rsidRPr="00F90515" w:rsidRDefault="0064261A" w:rsidP="007934FD">
      <w:pPr>
        <w:rPr>
          <w:rFonts w:eastAsiaTheme="majorEastAsia"/>
        </w:rPr>
      </w:pPr>
    </w:p>
    <w:p w14:paraId="4304AC93" w14:textId="6418A886" w:rsidR="007934FD" w:rsidRPr="00F90515" w:rsidRDefault="004F05DF" w:rsidP="000236E7">
      <w:pPr>
        <w:pStyle w:val="Heading1"/>
      </w:pPr>
      <w:r w:rsidRPr="00F90515">
        <w:br w:type="page"/>
      </w:r>
      <w:r w:rsidRPr="00F90515">
        <w:lastRenderedPageBreak/>
        <w:t xml:space="preserve">Case Study </w:t>
      </w:r>
      <w:r w:rsidR="003E4B59" w:rsidRPr="00F90515">
        <w:t>of Workplace context</w:t>
      </w:r>
    </w:p>
    <w:p w14:paraId="690C6A7F" w14:textId="78102036" w:rsidR="00457194" w:rsidRPr="00F90515" w:rsidRDefault="00942357" w:rsidP="008B4B57">
      <w:r w:rsidRPr="00F90515">
        <w:t xml:space="preserve">The purpose of this case study </w:t>
      </w:r>
      <w:r w:rsidR="00BC3550" w:rsidRPr="00F90515">
        <w:t xml:space="preserve">is to </w:t>
      </w:r>
      <w:r w:rsidR="002C36D9" w:rsidRPr="00F90515">
        <w:t xml:space="preserve">provide an </w:t>
      </w:r>
      <w:r w:rsidR="00226FAE" w:rsidRPr="00F90515">
        <w:t>in-depth</w:t>
      </w:r>
      <w:r w:rsidR="002C36D9" w:rsidRPr="00F90515">
        <w:t xml:space="preserve"> analysis of the recent employability week</w:t>
      </w:r>
      <w:r w:rsidR="00457194" w:rsidRPr="00F90515">
        <w:t xml:space="preserve"> for undergraduate students</w:t>
      </w:r>
      <w:r w:rsidR="002C36D9" w:rsidRPr="00F90515">
        <w:t xml:space="preserve"> </w:t>
      </w:r>
      <w:r w:rsidR="00457194" w:rsidRPr="00F90515">
        <w:t>that the author co-le</w:t>
      </w:r>
      <w:r w:rsidR="00C302BD" w:rsidRPr="00F90515">
        <w:t>d</w:t>
      </w:r>
      <w:r w:rsidR="00457194" w:rsidRPr="00F90515">
        <w:t xml:space="preserve"> with </w:t>
      </w:r>
      <w:r w:rsidR="008A30D3" w:rsidRPr="00F90515">
        <w:t xml:space="preserve">colleagues </w:t>
      </w:r>
      <w:r w:rsidR="000236E7" w:rsidRPr="00F90515">
        <w:t xml:space="preserve">from within the discipline. </w:t>
      </w:r>
      <w:r w:rsidR="00495465" w:rsidRPr="00F90515">
        <w:t xml:space="preserve">The week was scheduled to take place in January </w:t>
      </w:r>
      <w:r w:rsidR="00D973A6" w:rsidRPr="00F90515">
        <w:t xml:space="preserve">2024 with planning commencing </w:t>
      </w:r>
      <w:r w:rsidR="00294559" w:rsidRPr="00F90515">
        <w:t xml:space="preserve">in June 2023. The </w:t>
      </w:r>
      <w:r w:rsidR="00DE1D21" w:rsidRPr="00F90515">
        <w:t>c</w:t>
      </w:r>
      <w:r w:rsidR="00294559" w:rsidRPr="00F90515">
        <w:t xml:space="preserve">ase study will examine </w:t>
      </w:r>
      <w:r w:rsidR="00BB3755" w:rsidRPr="00F90515">
        <w:t>two</w:t>
      </w:r>
      <w:r w:rsidR="00294559" w:rsidRPr="00F90515">
        <w:t xml:space="preserve"> key periods during this process</w:t>
      </w:r>
      <w:r w:rsidR="009D407A" w:rsidRPr="00F90515">
        <w:t>, The initial formation of the team</w:t>
      </w:r>
      <w:r w:rsidR="002A388A" w:rsidRPr="00F90515">
        <w:t xml:space="preserve"> and </w:t>
      </w:r>
      <w:r w:rsidR="009D407A" w:rsidRPr="00F90515">
        <w:t>the planning phase</w:t>
      </w:r>
      <w:r w:rsidR="002A388A" w:rsidRPr="00F90515">
        <w:t xml:space="preserve"> </w:t>
      </w:r>
      <w:r w:rsidR="005655D8" w:rsidRPr="00F90515">
        <w:t>and the delivery of the finished programme</w:t>
      </w:r>
      <w:r w:rsidR="00785349" w:rsidRPr="00F90515">
        <w:t xml:space="preserve"> with a particular focus on student engagement</w:t>
      </w:r>
      <w:r w:rsidR="005655D8" w:rsidRPr="00F90515">
        <w:t>.</w:t>
      </w:r>
      <w:r w:rsidR="002A388A" w:rsidRPr="00F90515">
        <w:t xml:space="preserve"> The case study will then look </w:t>
      </w:r>
      <w:r w:rsidR="00F57DBC" w:rsidRPr="00F90515">
        <w:t>to make recommendations to enhance future events.</w:t>
      </w:r>
      <w:r w:rsidR="00DE1D21" w:rsidRPr="00F90515">
        <w:t xml:space="preserve"> </w:t>
      </w:r>
      <w:r w:rsidR="003E5244" w:rsidRPr="00F90515">
        <w:t xml:space="preserve">As discussed by </w:t>
      </w:r>
      <w:r w:rsidR="00041201" w:rsidRPr="00F90515">
        <w:t xml:space="preserve">Jackson &amp; Bridgstock (2021) </w:t>
      </w:r>
      <w:r w:rsidR="00FF2238" w:rsidRPr="00F90515">
        <w:t>graduate</w:t>
      </w:r>
      <w:r w:rsidR="00041201" w:rsidRPr="00F90515">
        <w:t xml:space="preserve"> </w:t>
      </w:r>
      <w:r w:rsidR="00F97905" w:rsidRPr="00F90515">
        <w:t>employability outcomes have a significant impact on university funding hence the focus through this team.</w:t>
      </w:r>
    </w:p>
    <w:p w14:paraId="6497D1D7" w14:textId="7FEF0C43" w:rsidR="00CF2BD8" w:rsidRPr="00F90515" w:rsidRDefault="00CF2BD8" w:rsidP="008B4B57">
      <w:proofErr w:type="gramStart"/>
      <w:r w:rsidRPr="00F90515">
        <w:t>In order to</w:t>
      </w:r>
      <w:proofErr w:type="gramEnd"/>
      <w:r w:rsidRPr="00F90515">
        <w:t xml:space="preserve"> ensure </w:t>
      </w:r>
      <w:r w:rsidR="00C44904" w:rsidRPr="00F90515">
        <w:t>clarity this case study will first offer a critical</w:t>
      </w:r>
      <w:r w:rsidR="00EA2CF8" w:rsidRPr="00F90515">
        <w:t xml:space="preserve"> working</w:t>
      </w:r>
      <w:r w:rsidR="00C44904" w:rsidRPr="00F90515">
        <w:t xml:space="preserve"> definition of employability that will be used </w:t>
      </w:r>
      <w:r w:rsidR="00762D93" w:rsidRPr="00F90515">
        <w:t xml:space="preserve">throughout. </w:t>
      </w:r>
      <w:r w:rsidR="00C726F4" w:rsidRPr="00F90515">
        <w:t>McQuaid &amp; Lindsay (2005)</w:t>
      </w:r>
      <w:r w:rsidR="00F85E2A" w:rsidRPr="00F90515">
        <w:t xml:space="preserve">, </w:t>
      </w:r>
      <w:r w:rsidR="00CF73DA" w:rsidRPr="00F90515">
        <w:t>Römgens, et al. (2020)</w:t>
      </w:r>
      <w:r w:rsidR="00992830" w:rsidRPr="00F90515">
        <w:t xml:space="preserve"> and Behle (2020)</w:t>
      </w:r>
      <w:r w:rsidR="00C726F4" w:rsidRPr="00F90515">
        <w:t xml:space="preserve"> state that </w:t>
      </w:r>
      <w:r w:rsidR="0031066C" w:rsidRPr="00F90515">
        <w:t>employability forms a central tenet of policy for government, employers and educational institutions, but often the term is ill-defined</w:t>
      </w:r>
      <w:r w:rsidR="00702C9D" w:rsidRPr="00F90515">
        <w:t xml:space="preserve"> or misunderstood</w:t>
      </w:r>
      <w:r w:rsidR="00AA731C" w:rsidRPr="00F90515">
        <w:t xml:space="preserve">, generally focussing on the skills and characteristics </w:t>
      </w:r>
      <w:r w:rsidR="001C741D" w:rsidRPr="00F90515">
        <w:t>an individual possesses</w:t>
      </w:r>
      <w:r w:rsidR="00702C9D" w:rsidRPr="00F90515">
        <w:t xml:space="preserve">. </w:t>
      </w:r>
      <w:r w:rsidR="00FD0BEC" w:rsidRPr="00F90515">
        <w:t>Behle (2020)</w:t>
      </w:r>
      <w:r w:rsidR="00C65ACF" w:rsidRPr="00F90515">
        <w:t xml:space="preserve"> also</w:t>
      </w:r>
      <w:r w:rsidR="00FD0BEC" w:rsidRPr="00F90515">
        <w:t xml:space="preserve"> argues that despite the range of theoretical and empirical models there is little agreement on definitive indicators for employability.</w:t>
      </w:r>
      <w:r w:rsidR="00FD0BEC" w:rsidRPr="00F90515">
        <w:t xml:space="preserve"> </w:t>
      </w:r>
      <w:r w:rsidR="000E0405" w:rsidRPr="00F90515">
        <w:t xml:space="preserve">Vanhercke, et al. (2014) </w:t>
      </w:r>
      <w:r w:rsidR="00226FAE" w:rsidRPr="00F90515">
        <w:t xml:space="preserve">identified three </w:t>
      </w:r>
      <w:r w:rsidR="007E3375" w:rsidRPr="00F90515">
        <w:t xml:space="preserve">distinct </w:t>
      </w:r>
      <w:r w:rsidR="008F2A43" w:rsidRPr="00F90515">
        <w:t>models</w:t>
      </w:r>
      <w:r w:rsidR="007E3375" w:rsidRPr="00F90515">
        <w:t xml:space="preserve"> </w:t>
      </w:r>
      <w:r w:rsidR="008233EA" w:rsidRPr="00F90515">
        <w:t>of</w:t>
      </w:r>
      <w:r w:rsidR="007E3375" w:rsidRPr="00F90515">
        <w:t xml:space="preserve"> employability, </w:t>
      </w:r>
      <w:r w:rsidR="006C0100" w:rsidRPr="00F90515">
        <w:t>perceived</w:t>
      </w:r>
      <w:r w:rsidR="00414F99" w:rsidRPr="00F90515">
        <w:t>,</w:t>
      </w:r>
      <w:r w:rsidR="008233EA" w:rsidRPr="00F90515">
        <w:t xml:space="preserve"> the </w:t>
      </w:r>
      <w:r w:rsidR="00057565" w:rsidRPr="00F90515">
        <w:t>individual’s</w:t>
      </w:r>
      <w:r w:rsidR="008233EA" w:rsidRPr="00F90515">
        <w:t xml:space="preserve"> perception of their prospects of obtaining employment</w:t>
      </w:r>
      <w:r w:rsidR="00030EB5" w:rsidRPr="00F90515">
        <w:t>. D</w:t>
      </w:r>
      <w:r w:rsidR="00414F99" w:rsidRPr="00F90515">
        <w:t>ispositional</w:t>
      </w:r>
      <w:r w:rsidR="00030EB5" w:rsidRPr="00F90515">
        <w:t xml:space="preserve">, the </w:t>
      </w:r>
      <w:r w:rsidR="00057565" w:rsidRPr="00F90515">
        <w:t>individual’s</w:t>
      </w:r>
      <w:r w:rsidR="00FB502F" w:rsidRPr="00F90515">
        <w:t xml:space="preserve"> </w:t>
      </w:r>
      <w:r w:rsidR="006513A2" w:rsidRPr="00F90515">
        <w:t xml:space="preserve">proactive </w:t>
      </w:r>
      <w:r w:rsidR="00FB502F" w:rsidRPr="00F90515">
        <w:t>attitude to</w:t>
      </w:r>
      <w:r w:rsidR="006513A2" w:rsidRPr="00F90515">
        <w:t xml:space="preserve"> obtaining employment</w:t>
      </w:r>
      <w:r w:rsidR="00FB502F" w:rsidRPr="00F90515">
        <w:t xml:space="preserve"> </w:t>
      </w:r>
      <w:r w:rsidR="00414F99" w:rsidRPr="00F90515">
        <w:t xml:space="preserve">and </w:t>
      </w:r>
      <w:r w:rsidR="00057565" w:rsidRPr="00F90515">
        <w:t>competence</w:t>
      </w:r>
      <w:r w:rsidR="006513A2" w:rsidRPr="00F90515">
        <w:t xml:space="preserve">, the </w:t>
      </w:r>
      <w:r w:rsidR="007D6909" w:rsidRPr="00F90515">
        <w:t>individuals’</w:t>
      </w:r>
      <w:r w:rsidR="006513A2" w:rsidRPr="00F90515">
        <w:t xml:space="preserve"> skills and abilities as related to the </w:t>
      </w:r>
      <w:r w:rsidR="00602F1A" w:rsidRPr="00F90515">
        <w:t>workplace</w:t>
      </w:r>
      <w:r w:rsidR="0006053C" w:rsidRPr="00F90515">
        <w:t>.</w:t>
      </w:r>
      <w:r w:rsidR="0018040F" w:rsidRPr="00F90515">
        <w:t xml:space="preserve"> </w:t>
      </w:r>
      <w:r w:rsidR="00E800C1" w:rsidRPr="00F90515">
        <w:t>McQuaid &amp; Lindsay (2005) a</w:t>
      </w:r>
      <w:r w:rsidR="00B41482" w:rsidRPr="00F90515">
        <w:t xml:space="preserve">rgued that </w:t>
      </w:r>
      <w:r w:rsidR="00F5442D" w:rsidRPr="00F90515">
        <w:t>The OECD and the UK government focussed their definitions</w:t>
      </w:r>
      <w:r w:rsidR="005D42F9" w:rsidRPr="00F90515">
        <w:t xml:space="preserve"> of employability</w:t>
      </w:r>
      <w:r w:rsidR="00F5442D" w:rsidRPr="00F90515">
        <w:t xml:space="preserve"> on the skills and characteristics that the individual possesses or aspires </w:t>
      </w:r>
      <w:r w:rsidR="0006591F" w:rsidRPr="00F90515">
        <w:t>to possess</w:t>
      </w:r>
      <w:r w:rsidR="00670DE3" w:rsidRPr="00F90515">
        <w:t>.</w:t>
      </w:r>
      <w:r w:rsidR="00B5675C" w:rsidRPr="00F90515">
        <w:t xml:space="preserve"> Behle (2020) Also supports this assertion stating that </w:t>
      </w:r>
      <w:r w:rsidR="00B7013C" w:rsidRPr="00F90515">
        <w:t>despite the lack of agreement on specific indicators</w:t>
      </w:r>
      <w:r w:rsidR="004B49F7" w:rsidRPr="00F90515">
        <w:t xml:space="preserve"> globally there is a strong emphasis on skills and characteristics. For the purpose of this case study </w:t>
      </w:r>
      <w:r w:rsidR="0066030B" w:rsidRPr="00F90515">
        <w:t xml:space="preserve">employability will be defined as the skills that allow an individual to access and </w:t>
      </w:r>
      <w:r w:rsidR="00CF4B86" w:rsidRPr="00F90515">
        <w:t>maintain or adjust their employment effectively.</w:t>
      </w:r>
      <w:r w:rsidR="0066030B" w:rsidRPr="00F90515">
        <w:t xml:space="preserve"> </w:t>
      </w:r>
    </w:p>
    <w:p w14:paraId="5CF0B659" w14:textId="2D39347C" w:rsidR="00CF25F0" w:rsidRPr="00F90515" w:rsidRDefault="00E234D7" w:rsidP="008B4B57">
      <w:r w:rsidRPr="00F90515">
        <w:t xml:space="preserve">This case study will now </w:t>
      </w:r>
      <w:r w:rsidR="00EC2AF8" w:rsidRPr="00F90515">
        <w:t xml:space="preserve">analyse the team development using </w:t>
      </w:r>
      <w:r w:rsidR="005F6675" w:rsidRPr="00F90515">
        <w:t>Tuckman’s t</w:t>
      </w:r>
      <w:r w:rsidR="00E63BCA" w:rsidRPr="00F90515">
        <w:t xml:space="preserve">heory </w:t>
      </w:r>
      <w:r w:rsidR="00447822" w:rsidRPr="00F90515">
        <w:t>outlined</w:t>
      </w:r>
      <w:r w:rsidR="00DD4C20" w:rsidRPr="00F90515">
        <w:t xml:space="preserve"> in appendix B</w:t>
      </w:r>
      <w:r w:rsidR="00CC1E95" w:rsidRPr="00F90515">
        <w:t xml:space="preserve"> (page </w:t>
      </w:r>
      <w:r w:rsidR="000E021A" w:rsidRPr="00F90515">
        <w:fldChar w:fldCharType="begin"/>
      </w:r>
      <w:r w:rsidR="000E021A" w:rsidRPr="00F90515">
        <w:instrText xml:space="preserve"> PAGEREF _Ref164406356 \h </w:instrText>
      </w:r>
      <w:r w:rsidR="000E021A" w:rsidRPr="00F90515">
        <w:fldChar w:fldCharType="separate"/>
      </w:r>
      <w:r w:rsidR="003862DE">
        <w:rPr>
          <w:noProof/>
        </w:rPr>
        <w:t>22</w:t>
      </w:r>
      <w:r w:rsidR="000E021A" w:rsidRPr="00F90515">
        <w:fldChar w:fldCharType="end"/>
      </w:r>
      <w:r w:rsidR="000E021A" w:rsidRPr="00F90515">
        <w:t>)</w:t>
      </w:r>
      <w:r w:rsidR="00447822" w:rsidRPr="00F90515">
        <w:t xml:space="preserve"> </w:t>
      </w:r>
      <w:sdt>
        <w:sdtPr>
          <w:id w:val="-1790033841"/>
          <w:citation/>
        </w:sdtPr>
        <w:sdtContent>
          <w:r w:rsidR="005F6675" w:rsidRPr="00F90515">
            <w:fldChar w:fldCharType="begin"/>
          </w:r>
          <w:r w:rsidR="005F6675" w:rsidRPr="00F90515">
            <w:instrText xml:space="preserve">CITATION Bru65 \l 2057 </w:instrText>
          </w:r>
          <w:r w:rsidR="005F6675" w:rsidRPr="00F90515">
            <w:fldChar w:fldCharType="separate"/>
          </w:r>
          <w:r w:rsidR="003862DE">
            <w:rPr>
              <w:noProof/>
            </w:rPr>
            <w:t>(Tuckman &amp; Jensen, 1977)</w:t>
          </w:r>
          <w:r w:rsidR="005F6675" w:rsidRPr="00F90515">
            <w:fldChar w:fldCharType="end"/>
          </w:r>
        </w:sdtContent>
      </w:sdt>
      <w:r w:rsidR="005F6675" w:rsidRPr="00F90515">
        <w:t xml:space="preserve">. </w:t>
      </w:r>
      <w:r w:rsidR="0052642D" w:rsidRPr="00F90515">
        <w:t>Rojas (2021)</w:t>
      </w:r>
      <w:r w:rsidR="005C4727" w:rsidRPr="00F90515">
        <w:t xml:space="preserve"> and </w:t>
      </w:r>
      <w:r w:rsidR="00E86352" w:rsidRPr="00F90515">
        <w:t>Pfutzenreutera, et al. (2021)</w:t>
      </w:r>
      <w:r w:rsidR="0052642D" w:rsidRPr="00F90515">
        <w:t xml:space="preserve"> state that this model remains one of the preeminent </w:t>
      </w:r>
      <w:r w:rsidR="008D0202" w:rsidRPr="00F90515">
        <w:t xml:space="preserve">theories in team development in the modern era. </w:t>
      </w:r>
      <w:r w:rsidR="007E5B52" w:rsidRPr="00F90515">
        <w:t xml:space="preserve">The team </w:t>
      </w:r>
      <w:r w:rsidR="00390248" w:rsidRPr="00F90515">
        <w:t xml:space="preserve">originally formed from </w:t>
      </w:r>
      <w:r w:rsidR="008E3A27" w:rsidRPr="00F90515">
        <w:t xml:space="preserve">two members of the previous years delivery team albeit with the </w:t>
      </w:r>
      <w:r w:rsidR="008D2E9B" w:rsidRPr="00F90515">
        <w:t>origi</w:t>
      </w:r>
      <w:r w:rsidR="00682328" w:rsidRPr="00F90515">
        <w:t>n</w:t>
      </w:r>
      <w:r w:rsidR="008D2E9B" w:rsidRPr="00F90515">
        <w:t>al project lead stepping aside.</w:t>
      </w:r>
      <w:r w:rsidR="00CF25F0" w:rsidRPr="00F90515">
        <w:t xml:space="preserve"> As discussed by Lacerenza, et al. (2018) </w:t>
      </w:r>
      <w:r w:rsidR="00253E9E" w:rsidRPr="00F90515">
        <w:t xml:space="preserve">The use of </w:t>
      </w:r>
      <w:r w:rsidR="00714891" w:rsidRPr="00F90515">
        <w:t xml:space="preserve">teamwork for specific projects has </w:t>
      </w:r>
      <w:r w:rsidR="002E3CA8" w:rsidRPr="00F90515">
        <w:t xml:space="preserve">become more </w:t>
      </w:r>
      <w:r w:rsidR="00057565" w:rsidRPr="00F90515">
        <w:t>prevalent</w:t>
      </w:r>
      <w:r w:rsidR="002E3CA8" w:rsidRPr="00F90515">
        <w:t xml:space="preserve"> in </w:t>
      </w:r>
      <w:r w:rsidR="00714891" w:rsidRPr="00F90515">
        <w:t xml:space="preserve">recent years </w:t>
      </w:r>
      <w:r w:rsidR="002E3CA8" w:rsidRPr="00F90515">
        <w:t xml:space="preserve">with these teams having a high degree of </w:t>
      </w:r>
      <w:r w:rsidR="002905D6" w:rsidRPr="00F90515">
        <w:t>independence</w:t>
      </w:r>
      <w:r w:rsidR="00EB4386" w:rsidRPr="00F90515">
        <w:t xml:space="preserve"> in the overall structure of the organisation</w:t>
      </w:r>
      <w:r w:rsidR="002905D6" w:rsidRPr="00F90515">
        <w:t xml:space="preserve"> and</w:t>
      </w:r>
      <w:r w:rsidR="003578B1" w:rsidRPr="00F90515">
        <w:t xml:space="preserve"> members who work</w:t>
      </w:r>
      <w:r w:rsidR="002905D6" w:rsidRPr="00F90515">
        <w:t xml:space="preserve"> </w:t>
      </w:r>
      <w:r w:rsidR="00984CE4" w:rsidRPr="00F90515">
        <w:t>interdependently</w:t>
      </w:r>
      <w:r w:rsidR="00EB4386" w:rsidRPr="00F90515">
        <w:t xml:space="preserve"> with one</w:t>
      </w:r>
      <w:r w:rsidR="00744476" w:rsidRPr="00F90515">
        <w:t xml:space="preserve"> a</w:t>
      </w:r>
      <w:r w:rsidR="00EB4386" w:rsidRPr="00F90515">
        <w:t>nother</w:t>
      </w:r>
      <w:r w:rsidR="00744476" w:rsidRPr="00F90515">
        <w:t>.</w:t>
      </w:r>
      <w:r w:rsidR="00F577EE" w:rsidRPr="00F90515">
        <w:t xml:space="preserve"> </w:t>
      </w:r>
    </w:p>
    <w:p w14:paraId="55ACC916" w14:textId="33D903C3" w:rsidR="00B22178" w:rsidRPr="00F90515" w:rsidRDefault="008D2E9B" w:rsidP="008B4B57">
      <w:r w:rsidRPr="00F90515">
        <w:t xml:space="preserve"> </w:t>
      </w:r>
      <w:r w:rsidR="001C3276" w:rsidRPr="00F90515">
        <w:t xml:space="preserve">Through July and August of 2023 good progress </w:t>
      </w:r>
      <w:r w:rsidR="005F5EAF" w:rsidRPr="00F90515">
        <w:t xml:space="preserve">was made in forming the team </w:t>
      </w:r>
      <w:r w:rsidR="00CF02BB" w:rsidRPr="00F90515">
        <w:t xml:space="preserve">with both members having a good understanding of their roles and </w:t>
      </w:r>
      <w:r w:rsidR="0026162B" w:rsidRPr="00F90515">
        <w:t>previous experience being utilised effectively</w:t>
      </w:r>
      <w:r w:rsidR="00F54913" w:rsidRPr="00F90515">
        <w:t xml:space="preserve">. </w:t>
      </w:r>
      <w:r w:rsidR="00C502F2" w:rsidRPr="00F90515">
        <w:t>However,</w:t>
      </w:r>
      <w:r w:rsidR="00F54913" w:rsidRPr="00F90515">
        <w:t xml:space="preserve"> in September 2023 changes in personal circumstances and the </w:t>
      </w:r>
      <w:r w:rsidR="00BB3755" w:rsidRPr="00F90515">
        <w:t>inclusion</w:t>
      </w:r>
      <w:r w:rsidR="00F54913" w:rsidRPr="00F90515">
        <w:t xml:space="preserve"> of a new programme</w:t>
      </w:r>
      <w:r w:rsidR="00482911" w:rsidRPr="00F90515">
        <w:t xml:space="preserve"> from within the </w:t>
      </w:r>
      <w:r w:rsidR="00482911" w:rsidRPr="00F90515">
        <w:lastRenderedPageBreak/>
        <w:t>wider discipline</w:t>
      </w:r>
      <w:r w:rsidR="00BB3755" w:rsidRPr="00F90515">
        <w:t xml:space="preserve"> </w:t>
      </w:r>
      <w:r w:rsidR="00863483" w:rsidRPr="00F90515">
        <w:t xml:space="preserve">resulted in a change of </w:t>
      </w:r>
      <w:r w:rsidR="005B4ED1" w:rsidRPr="00F90515">
        <w:t>personnel</w:t>
      </w:r>
      <w:r w:rsidR="00F323AD" w:rsidRPr="00F90515">
        <w:t>, requiring the team to go through the forming stage again</w:t>
      </w:r>
      <w:r w:rsidR="00F2433C" w:rsidRPr="00F90515">
        <w:t xml:space="preserve"> albeit </w:t>
      </w:r>
      <w:r w:rsidR="00FB70DF" w:rsidRPr="00F90515">
        <w:t>with much of the outline planning already in place</w:t>
      </w:r>
      <w:r w:rsidR="00301BDA" w:rsidRPr="00F90515">
        <w:t>.</w:t>
      </w:r>
      <w:r w:rsidR="00AD54BE" w:rsidRPr="00F90515">
        <w:t xml:space="preserve"> </w:t>
      </w:r>
      <w:r w:rsidR="008C42EF" w:rsidRPr="00F90515">
        <w:t xml:space="preserve">Trainer, et al. (2020) </w:t>
      </w:r>
      <w:r w:rsidR="0042147A" w:rsidRPr="00F90515">
        <w:t xml:space="preserve">Identify three distinct </w:t>
      </w:r>
      <w:r w:rsidR="00D33AFC" w:rsidRPr="00F90515">
        <w:t>team level events</w:t>
      </w:r>
      <w:r w:rsidR="008B4B57" w:rsidRPr="00F90515">
        <w:t xml:space="preserve"> (Appendix C, Page </w:t>
      </w:r>
      <w:r w:rsidR="008B4B57" w:rsidRPr="00F90515">
        <w:fldChar w:fldCharType="begin"/>
      </w:r>
      <w:r w:rsidR="008B4B57" w:rsidRPr="00F90515">
        <w:instrText xml:space="preserve"> PAGEREF _Ref164431080 \h </w:instrText>
      </w:r>
      <w:r w:rsidR="008B4B57" w:rsidRPr="00F90515">
        <w:fldChar w:fldCharType="separate"/>
      </w:r>
      <w:r w:rsidR="003862DE">
        <w:rPr>
          <w:noProof/>
        </w:rPr>
        <w:t>23</w:t>
      </w:r>
      <w:r w:rsidR="008B4B57" w:rsidRPr="00F90515">
        <w:fldChar w:fldCharType="end"/>
      </w:r>
      <w:r w:rsidR="008B4B57" w:rsidRPr="00F90515">
        <w:t>)</w:t>
      </w:r>
      <w:r w:rsidR="00D33AFC" w:rsidRPr="00F90515">
        <w:t xml:space="preserve"> </w:t>
      </w:r>
      <w:r w:rsidR="007A0B30" w:rsidRPr="00F90515">
        <w:t xml:space="preserve">that alter team dynamics </w:t>
      </w:r>
      <w:r w:rsidR="00535EB1" w:rsidRPr="00F90515">
        <w:t xml:space="preserve">based on the </w:t>
      </w:r>
      <w:r w:rsidR="005B4ED1" w:rsidRPr="00F90515">
        <w:t>strength</w:t>
      </w:r>
      <w:r w:rsidR="00535EB1" w:rsidRPr="00F90515">
        <w:t xml:space="preserve"> of the event</w:t>
      </w:r>
      <w:r w:rsidR="00883CFF" w:rsidRPr="00F90515">
        <w:t>.</w:t>
      </w:r>
      <w:r w:rsidR="0036656D" w:rsidRPr="00F90515">
        <w:t xml:space="preserve"> </w:t>
      </w:r>
      <w:r w:rsidR="00E14858" w:rsidRPr="00F90515">
        <w:t>In t</w:t>
      </w:r>
      <w:r w:rsidR="00952E25" w:rsidRPr="00F90515">
        <w:t>h</w:t>
      </w:r>
      <w:r w:rsidR="00E14858" w:rsidRPr="00F90515">
        <w:t xml:space="preserve">is instance it could be argued that the departure of half the team </w:t>
      </w:r>
      <w:r w:rsidR="004F3148" w:rsidRPr="00F90515">
        <w:t xml:space="preserve">and addition of three new members </w:t>
      </w:r>
      <w:r w:rsidR="001753D3" w:rsidRPr="00F90515">
        <w:t xml:space="preserve">could have been seen as a </w:t>
      </w:r>
      <w:r w:rsidR="004F3148" w:rsidRPr="00F90515">
        <w:t>critical event</w:t>
      </w:r>
      <w:r w:rsidR="00174420" w:rsidRPr="00F90515">
        <w:t xml:space="preserve">, however due to effective handover </w:t>
      </w:r>
      <w:r w:rsidR="00150614" w:rsidRPr="00F90515">
        <w:t>and a good working relationship</w:t>
      </w:r>
      <w:r w:rsidR="00174420" w:rsidRPr="00F90515">
        <w:t xml:space="preserve"> the </w:t>
      </w:r>
      <w:r w:rsidR="005B4ED1" w:rsidRPr="00F90515">
        <w:t>disruption</w:t>
      </w:r>
      <w:r w:rsidR="00174420" w:rsidRPr="00F90515">
        <w:t xml:space="preserve"> was kept to a minimum</w:t>
      </w:r>
      <w:r w:rsidR="00150614" w:rsidRPr="00F90515">
        <w:t xml:space="preserve">. </w:t>
      </w:r>
      <w:r w:rsidR="00301BDA" w:rsidRPr="00F90515">
        <w:t>I</w:t>
      </w:r>
      <w:r w:rsidR="0096014C" w:rsidRPr="00F90515">
        <w:t xml:space="preserve">nterestingly the group did not appear to develop a </w:t>
      </w:r>
      <w:r w:rsidR="00A04ECE" w:rsidRPr="00F90515">
        <w:t>hierarchical</w:t>
      </w:r>
      <w:r w:rsidR="00A04ECE" w:rsidRPr="00F90515">
        <w:t xml:space="preserve"> structure</w:t>
      </w:r>
      <w:r w:rsidR="00F23D80" w:rsidRPr="00F90515">
        <w:t xml:space="preserve"> or specific named roles in the team</w:t>
      </w:r>
      <w:r w:rsidR="00F2393B" w:rsidRPr="00F90515">
        <w:t>.</w:t>
      </w:r>
      <w:r w:rsidR="00AD03F8" w:rsidRPr="00F90515">
        <w:t xml:space="preserve"> Xua, et al. (2022) </w:t>
      </w:r>
      <w:r w:rsidR="00F2393B" w:rsidRPr="00F90515">
        <w:t>n</w:t>
      </w:r>
      <w:r w:rsidR="00AD03F8" w:rsidRPr="00F90515">
        <w:t xml:space="preserve">oted that </w:t>
      </w:r>
      <w:r w:rsidR="00F2393B" w:rsidRPr="00F90515">
        <w:t xml:space="preserve">flat structured teams tended to </w:t>
      </w:r>
      <w:r w:rsidR="00920097" w:rsidRPr="00F90515">
        <w:t xml:space="preserve">develop new innovative </w:t>
      </w:r>
      <w:r w:rsidR="00C502F2" w:rsidRPr="00F90515">
        <w:t>ideas,</w:t>
      </w:r>
      <w:r w:rsidR="00920097" w:rsidRPr="00F90515">
        <w:t xml:space="preserve"> </w:t>
      </w:r>
      <w:r w:rsidR="00816558" w:rsidRPr="00F90515">
        <w:t xml:space="preserve">and this certainly seemed to be the case in this project. </w:t>
      </w:r>
      <w:r w:rsidR="00784A0B" w:rsidRPr="00F90515">
        <w:t xml:space="preserve">Lee &amp; Green (2022) </w:t>
      </w:r>
      <w:r w:rsidR="008B0EFD" w:rsidRPr="00F90515">
        <w:t xml:space="preserve">generally support this argument though do find that in </w:t>
      </w:r>
      <w:r w:rsidR="00BC47C0" w:rsidRPr="00F90515">
        <w:t>non-</w:t>
      </w:r>
      <w:r w:rsidR="005B4ED1" w:rsidRPr="00F90515">
        <w:t>hierarchical</w:t>
      </w:r>
      <w:r w:rsidR="00BC47C0" w:rsidRPr="00F90515">
        <w:t xml:space="preserve"> teams there can be a lack of direction that demotivates</w:t>
      </w:r>
      <w:r w:rsidR="00A67A0A" w:rsidRPr="00F90515">
        <w:t xml:space="preserve"> lower performing workers. </w:t>
      </w:r>
      <w:r w:rsidR="006562A0" w:rsidRPr="00F90515">
        <w:t>In this case study it would be</w:t>
      </w:r>
      <w:r w:rsidR="00A6463C" w:rsidRPr="00F90515">
        <w:t xml:space="preserve"> extremely</w:t>
      </w:r>
      <w:r w:rsidR="006562A0" w:rsidRPr="00F90515">
        <w:t xml:space="preserve"> unfair to suggest that some of the team are lower performing</w:t>
      </w:r>
      <w:r w:rsidR="00EC482C" w:rsidRPr="00F90515">
        <w:t>,</w:t>
      </w:r>
      <w:r w:rsidR="006562A0" w:rsidRPr="00F90515">
        <w:t xml:space="preserve"> however</w:t>
      </w:r>
      <w:r w:rsidR="006562A0" w:rsidRPr="00F90515">
        <w:t>,</w:t>
      </w:r>
      <w:r w:rsidR="00EC482C" w:rsidRPr="00F90515">
        <w:t xml:space="preserve"> the lack of direction</w:t>
      </w:r>
      <w:r w:rsidR="006562A0" w:rsidRPr="00F90515">
        <w:t xml:space="preserve"> may have resulted in the non-delivery of some segments of the project.</w:t>
      </w:r>
      <w:r w:rsidR="00300AD4" w:rsidRPr="00F90515">
        <w:t xml:space="preserve"> </w:t>
      </w:r>
      <w:r w:rsidR="00AD54BE" w:rsidRPr="00F90515">
        <w:t xml:space="preserve">The team also </w:t>
      </w:r>
      <w:r w:rsidR="005B4ED1" w:rsidRPr="00F90515">
        <w:t>appears</w:t>
      </w:r>
      <w:r w:rsidR="00AD54BE" w:rsidRPr="00F90515">
        <w:t xml:space="preserve"> to have </w:t>
      </w:r>
      <w:r w:rsidR="005C5A5C" w:rsidRPr="00F90515">
        <w:t xml:space="preserve">largely avoided the storming phase of Tuckman’s model though privately the </w:t>
      </w:r>
      <w:r w:rsidR="00375293" w:rsidRPr="00F90515">
        <w:t>author and another team member did express frustration at the lack of input from some of the team</w:t>
      </w:r>
      <w:r w:rsidR="00B37C55" w:rsidRPr="00F90515">
        <w:t xml:space="preserve"> during the norming</w:t>
      </w:r>
      <w:r w:rsidR="000521C7" w:rsidRPr="00F90515">
        <w:t xml:space="preserve"> and performing</w:t>
      </w:r>
      <w:r w:rsidR="00B37C55" w:rsidRPr="00F90515">
        <w:t xml:space="preserve"> phase</w:t>
      </w:r>
      <w:r w:rsidR="00FF4E62" w:rsidRPr="00F90515">
        <w:t>s</w:t>
      </w:r>
      <w:r w:rsidR="00375293" w:rsidRPr="00F90515">
        <w:t>.</w:t>
      </w:r>
      <w:r w:rsidR="00B37C55" w:rsidRPr="00F90515">
        <w:t xml:space="preserve"> </w:t>
      </w:r>
      <w:r w:rsidR="00763CDD" w:rsidRPr="00F90515">
        <w:t>Tripathy (2018) suggests that</w:t>
      </w:r>
      <w:r w:rsidR="00D92BC7" w:rsidRPr="00F90515">
        <w:t xml:space="preserve"> storming is caused by </w:t>
      </w:r>
      <w:r w:rsidR="00535F93" w:rsidRPr="00F90515">
        <w:t>differences in working styles and discovering flaws in individuals and that</w:t>
      </w:r>
      <w:r w:rsidR="00763CDD" w:rsidRPr="00F90515">
        <w:t xml:space="preserve"> </w:t>
      </w:r>
      <w:r w:rsidR="008A3795" w:rsidRPr="00F90515">
        <w:t xml:space="preserve">strong team leadership is vital </w:t>
      </w:r>
      <w:r w:rsidR="00535F93" w:rsidRPr="00F90515">
        <w:t>to resolving conflicts</w:t>
      </w:r>
      <w:r w:rsidR="000F48A0" w:rsidRPr="00F90515">
        <w:t xml:space="preserve">, however the flat structure of this team did not apparently lend itself to this resolution. </w:t>
      </w:r>
      <w:r w:rsidR="00BA0C02" w:rsidRPr="00F90515">
        <w:t xml:space="preserve">Pfutzenreutera, et al. (2021) </w:t>
      </w:r>
      <w:r w:rsidR="00A208DC" w:rsidRPr="00F90515">
        <w:t xml:space="preserve">also </w:t>
      </w:r>
      <w:r w:rsidR="00BA0C02" w:rsidRPr="00F90515">
        <w:t>suggest</w:t>
      </w:r>
      <w:r w:rsidR="00A208DC" w:rsidRPr="00F90515">
        <w:t>ed</w:t>
      </w:r>
      <w:r w:rsidR="00BA0C02" w:rsidRPr="00F90515">
        <w:t xml:space="preserve"> that disagreements are caused by team members </w:t>
      </w:r>
      <w:r w:rsidR="009F6B5B" w:rsidRPr="00F90515">
        <w:t xml:space="preserve">discovering </w:t>
      </w:r>
      <w:r w:rsidR="008E516A" w:rsidRPr="00F90515">
        <w:t>individuals’</w:t>
      </w:r>
      <w:r w:rsidR="009F6B5B" w:rsidRPr="00F90515">
        <w:t xml:space="preserve"> abilities and build mutual respect</w:t>
      </w:r>
      <w:r w:rsidR="0022621D" w:rsidRPr="00F90515">
        <w:t>. In this case study the team members were already aware of each other and h</w:t>
      </w:r>
      <w:r w:rsidR="003F2215" w:rsidRPr="00F90515">
        <w:t>ad</w:t>
      </w:r>
      <w:r w:rsidR="0022621D" w:rsidRPr="00F90515">
        <w:t xml:space="preserve"> a good idea of their expertise which may have allowed the</w:t>
      </w:r>
      <w:r w:rsidR="00AD272B" w:rsidRPr="00F90515">
        <w:t>m to bypass this stage.</w:t>
      </w:r>
      <w:r w:rsidR="0084506D" w:rsidRPr="00F90515">
        <w:t xml:space="preserve"> </w:t>
      </w:r>
      <w:r w:rsidR="00FD7A48" w:rsidRPr="00F90515">
        <w:t xml:space="preserve">Roy (2019) suggested </w:t>
      </w:r>
      <w:r w:rsidR="00DD6707" w:rsidRPr="00F90515">
        <w:t>in their case study that storming occurred due to a lack of feeling valued</w:t>
      </w:r>
      <w:r w:rsidR="00602645" w:rsidRPr="00F90515">
        <w:t xml:space="preserve">. In the university context the team </w:t>
      </w:r>
      <w:r w:rsidR="003863A4" w:rsidRPr="00F90515">
        <w:t xml:space="preserve">each </w:t>
      </w:r>
      <w:r w:rsidR="008E516A" w:rsidRPr="00F90515">
        <w:t>individual’s</w:t>
      </w:r>
      <w:r w:rsidR="003863A4" w:rsidRPr="00F90515">
        <w:t xml:space="preserve"> contribution and development of the outline plan was valued with specific tasks being allocated very early on to individuals based on their experience.</w:t>
      </w:r>
      <w:r w:rsidR="000532F3" w:rsidRPr="00F90515">
        <w:t xml:space="preserve"> </w:t>
      </w:r>
      <w:r w:rsidR="000606CA" w:rsidRPr="00F90515">
        <w:t xml:space="preserve">Despite the change in </w:t>
      </w:r>
      <w:r w:rsidR="005B4ED1" w:rsidRPr="00F90515">
        <w:t>personnel</w:t>
      </w:r>
      <w:r w:rsidR="000606CA" w:rsidRPr="00F90515">
        <w:t xml:space="preserve"> for the most part the team very </w:t>
      </w:r>
      <w:r w:rsidR="00035891" w:rsidRPr="00F90515">
        <w:t>q</w:t>
      </w:r>
      <w:r w:rsidR="000606CA" w:rsidRPr="00F90515">
        <w:t>uickly</w:t>
      </w:r>
      <w:r w:rsidR="00035891" w:rsidRPr="00F90515">
        <w:t xml:space="preserve"> moved onto the </w:t>
      </w:r>
      <w:r w:rsidR="005F400C" w:rsidRPr="00F90515">
        <w:t>performing</w:t>
      </w:r>
      <w:r w:rsidR="00035891" w:rsidRPr="00F90515">
        <w:t xml:space="preserve"> phase</w:t>
      </w:r>
      <w:r w:rsidR="005F400C" w:rsidRPr="00F90515">
        <w:t xml:space="preserve"> </w:t>
      </w:r>
      <w:r w:rsidR="00FD4BEA" w:rsidRPr="00F90515">
        <w:t xml:space="preserve">with </w:t>
      </w:r>
      <w:proofErr w:type="gramStart"/>
      <w:r w:rsidR="00FD4BEA" w:rsidRPr="00F90515">
        <w:t>the majority of</w:t>
      </w:r>
      <w:proofErr w:type="gramEnd"/>
      <w:r w:rsidR="00FD4BEA" w:rsidRPr="00F90515">
        <w:t xml:space="preserve"> the tasks being completed independently and only brief updates required.</w:t>
      </w:r>
      <w:r w:rsidR="00D748FB" w:rsidRPr="00F90515">
        <w:t xml:space="preserve"> As this is an ongoing project the </w:t>
      </w:r>
      <w:r w:rsidR="006A370D" w:rsidRPr="00F90515">
        <w:t xml:space="preserve">with the team working closely across the discipline there is not the opportunity </w:t>
      </w:r>
      <w:r w:rsidR="002E2207" w:rsidRPr="00F90515">
        <w:t xml:space="preserve">for adjourning </w:t>
      </w:r>
      <w:proofErr w:type="gramStart"/>
      <w:r w:rsidR="002E2207" w:rsidRPr="00F90515">
        <w:t>as yet</w:t>
      </w:r>
      <w:proofErr w:type="gramEnd"/>
      <w:r w:rsidR="00E377DD" w:rsidRPr="00F90515">
        <w:t>,</w:t>
      </w:r>
      <w:r w:rsidR="002E2207" w:rsidRPr="00F90515">
        <w:t xml:space="preserve"> though additions to the team in future iterations</w:t>
      </w:r>
      <w:r w:rsidR="00E377DD" w:rsidRPr="00F90515">
        <w:t xml:space="preserve"> will re</w:t>
      </w:r>
      <w:r w:rsidR="003E4F2E" w:rsidRPr="00F90515">
        <w:t>quire a new norming phase.</w:t>
      </w:r>
      <w:r w:rsidR="00740155" w:rsidRPr="00F90515">
        <w:t xml:space="preserve"> </w:t>
      </w:r>
    </w:p>
    <w:p w14:paraId="61018C0C" w14:textId="7FA75FCF" w:rsidR="005A7014" w:rsidRPr="00F90515" w:rsidRDefault="00762DAA" w:rsidP="0065613D">
      <w:r w:rsidRPr="00F90515">
        <w:t>Th</w:t>
      </w:r>
      <w:r w:rsidR="00161DC8" w:rsidRPr="00F90515">
        <w:t xml:space="preserve">e 2024 employability week </w:t>
      </w:r>
      <w:r w:rsidR="00E31897" w:rsidRPr="00F90515">
        <w:t xml:space="preserve">comprised of a variety of events that can be categorised as either informational, for example </w:t>
      </w:r>
      <w:r w:rsidR="00A365CB" w:rsidRPr="00F90515">
        <w:t xml:space="preserve">talks on post graduate opportunities, or training, for example </w:t>
      </w:r>
      <w:r w:rsidR="00187AFC" w:rsidRPr="00F90515">
        <w:t>accredited first aid training</w:t>
      </w:r>
      <w:r w:rsidR="00A70872" w:rsidRPr="00F90515">
        <w:t>, the events that were offered were selected based on student feedback from previous years</w:t>
      </w:r>
      <w:r w:rsidR="00187AFC" w:rsidRPr="00F90515">
        <w:t xml:space="preserve">. Both </w:t>
      </w:r>
      <w:r w:rsidR="003438B3" w:rsidRPr="00F90515">
        <w:t>categories of events had elements of face to face and online</w:t>
      </w:r>
      <w:r w:rsidR="00921BE7" w:rsidRPr="00F90515">
        <w:t xml:space="preserve"> and students were not timetabled for lectures or other activities during these times</w:t>
      </w:r>
      <w:r w:rsidR="00D93996" w:rsidRPr="00F90515">
        <w:t xml:space="preserve">. </w:t>
      </w:r>
      <w:r w:rsidR="00C04E11" w:rsidRPr="00F90515">
        <w:t xml:space="preserve">Ornellas, et al. (2019) </w:t>
      </w:r>
      <w:r w:rsidR="00400601" w:rsidRPr="00F90515">
        <w:t xml:space="preserve">state that youth employment has had a significant focus since 2008 with various policies being developed to ensure maximum employment. </w:t>
      </w:r>
      <w:r w:rsidR="001F5BAB" w:rsidRPr="00F90515">
        <w:lastRenderedPageBreak/>
        <w:t xml:space="preserve">Jackson &amp; Bridgstock (2021) </w:t>
      </w:r>
      <w:r w:rsidR="00400601" w:rsidRPr="00F90515">
        <w:t xml:space="preserve">support this assertion </w:t>
      </w:r>
      <w:proofErr w:type="gramStart"/>
      <w:r w:rsidR="004A0E8E" w:rsidRPr="00F90515">
        <w:t>and also</w:t>
      </w:r>
      <w:proofErr w:type="gramEnd"/>
      <w:r w:rsidR="004A0E8E" w:rsidRPr="00F90515">
        <w:t xml:space="preserve"> state</w:t>
      </w:r>
      <w:r w:rsidR="00400601" w:rsidRPr="00F90515">
        <w:t xml:space="preserve"> c</w:t>
      </w:r>
      <w:r w:rsidR="00761B84" w:rsidRPr="00F90515">
        <w:t xml:space="preserve">o-curricular activities are commonly used in western universities </w:t>
      </w:r>
      <w:r w:rsidR="004A0E8E" w:rsidRPr="00F90515">
        <w:t>in an effort to</w:t>
      </w:r>
      <w:r w:rsidR="00381B0D" w:rsidRPr="00F90515">
        <w:t xml:space="preserve"> improve a </w:t>
      </w:r>
      <w:r w:rsidR="008E516A" w:rsidRPr="00F90515">
        <w:t>student’s</w:t>
      </w:r>
      <w:r w:rsidR="00381B0D" w:rsidRPr="00F90515">
        <w:t xml:space="preserve"> skills and social capital</w:t>
      </w:r>
      <w:r w:rsidR="004A0E8E" w:rsidRPr="00F90515">
        <w:t xml:space="preserve"> thus making them more em</w:t>
      </w:r>
      <w:r w:rsidR="00C231DA" w:rsidRPr="00F90515">
        <w:t>ployable,</w:t>
      </w:r>
      <w:r w:rsidR="00661A44" w:rsidRPr="00F90515">
        <w:t xml:space="preserve"> however the efficacy of these</w:t>
      </w:r>
      <w:r w:rsidR="00C231DA" w:rsidRPr="00F90515">
        <w:t xml:space="preserve"> approaches</w:t>
      </w:r>
      <w:r w:rsidR="00661A44" w:rsidRPr="00F90515">
        <w:t xml:space="preserve"> is little researched</w:t>
      </w:r>
      <w:r w:rsidR="00381B0D" w:rsidRPr="00F90515">
        <w:t>.</w:t>
      </w:r>
      <w:r w:rsidR="00661A44" w:rsidRPr="00F90515">
        <w:t xml:space="preserve"> </w:t>
      </w:r>
      <w:r w:rsidR="00824DA4" w:rsidRPr="00F90515">
        <w:t xml:space="preserve">Wong, et al. (2022) </w:t>
      </w:r>
      <w:r w:rsidR="002B3CB0" w:rsidRPr="00F90515">
        <w:t>State that there is a de</w:t>
      </w:r>
      <w:r w:rsidR="00C347D1" w:rsidRPr="00F90515">
        <w:t>a</w:t>
      </w:r>
      <w:r w:rsidR="002B3CB0" w:rsidRPr="00F90515">
        <w:t xml:space="preserve">rth of </w:t>
      </w:r>
      <w:r w:rsidR="00C347D1" w:rsidRPr="00F90515">
        <w:t xml:space="preserve">research from the UK </w:t>
      </w:r>
      <w:r w:rsidR="00BC47A1" w:rsidRPr="00F90515">
        <w:t xml:space="preserve">supporting the efficacy of higher education </w:t>
      </w:r>
      <w:r w:rsidR="008E516A" w:rsidRPr="00F90515">
        <w:t>programmes,</w:t>
      </w:r>
      <w:r w:rsidR="00BC47A1" w:rsidRPr="00F90515">
        <w:t xml:space="preserve"> but policy makers appear to be comfortable in </w:t>
      </w:r>
      <w:r w:rsidR="008374F0" w:rsidRPr="00F90515">
        <w:t>higher education proving the bulk of employability skills for graduates.</w:t>
      </w:r>
      <w:r w:rsidR="00AC0C4A" w:rsidRPr="00F90515">
        <w:t xml:space="preserve"> </w:t>
      </w:r>
      <w:r w:rsidR="006D4AC3" w:rsidRPr="00F90515">
        <w:t>Across the three programmes there are approximately two-hundred and fifty full time and part time students</w:t>
      </w:r>
      <w:r w:rsidR="00533E5F" w:rsidRPr="00F90515">
        <w:t xml:space="preserve">, with a broad mix of ages and experience </w:t>
      </w:r>
      <w:r w:rsidR="00AC7DD7" w:rsidRPr="00F90515">
        <w:t>in this</w:t>
      </w:r>
      <w:r w:rsidR="00BD733A" w:rsidRPr="00F90515">
        <w:t xml:space="preserve"> group</w:t>
      </w:r>
      <w:r w:rsidR="00C231DA" w:rsidRPr="00F90515">
        <w:t>, due to this the case study will not merely focus on youth employability</w:t>
      </w:r>
      <w:r w:rsidR="00AC7DD7" w:rsidRPr="00F90515">
        <w:t>.</w:t>
      </w:r>
      <w:r w:rsidR="00BD733A" w:rsidRPr="00F90515">
        <w:t xml:space="preserve"> </w:t>
      </w:r>
    </w:p>
    <w:p w14:paraId="3DB57F1B" w14:textId="6BC81829" w:rsidR="00787780" w:rsidRPr="00F90515" w:rsidRDefault="00257024" w:rsidP="0065613D">
      <w:r w:rsidRPr="00F90515">
        <w:t xml:space="preserve">The employability week team utilised Teams webinars to manage and deliver the </w:t>
      </w:r>
      <w:r w:rsidR="00D55250" w:rsidRPr="00F90515">
        <w:t xml:space="preserve">online sessions, Eventbrite was used to manage attendance at accredited training where there was a limited number of places and finally </w:t>
      </w:r>
      <w:r w:rsidR="00066A8E" w:rsidRPr="00F90515">
        <w:t xml:space="preserve">an MS form was used to record those who intended to attend a careers fair. The team also sought to </w:t>
      </w:r>
      <w:r w:rsidR="00A24E71" w:rsidRPr="00F90515">
        <w:t xml:space="preserve">obtain feedback on the events from students </w:t>
      </w:r>
      <w:proofErr w:type="gramStart"/>
      <w:r w:rsidR="00A24E71" w:rsidRPr="00F90515">
        <w:t>through the use of</w:t>
      </w:r>
      <w:proofErr w:type="gramEnd"/>
      <w:r w:rsidR="00A24E71" w:rsidRPr="00F90515">
        <w:t xml:space="preserve"> a questionnaire </w:t>
      </w:r>
      <w:r w:rsidR="00A2578F" w:rsidRPr="00F90515">
        <w:t xml:space="preserve">available in the medium of Welsh as well as English. </w:t>
      </w:r>
      <w:r w:rsidR="00787780" w:rsidRPr="00F90515">
        <w:t>Anecdotally the student cohorts should all have been comfortable utilising th</w:t>
      </w:r>
      <w:r w:rsidR="00D67AD9" w:rsidRPr="00F90515">
        <w:t xml:space="preserve">e </w:t>
      </w:r>
      <w:r w:rsidR="00975140" w:rsidRPr="00F90515">
        <w:t>Teams</w:t>
      </w:r>
      <w:r w:rsidR="00787780" w:rsidRPr="00F90515">
        <w:t xml:space="preserve"> technology as it is regularly used along the university virtual learning environment </w:t>
      </w:r>
      <w:r w:rsidR="00C420C6" w:rsidRPr="00F90515">
        <w:t xml:space="preserve">either for teaching or </w:t>
      </w:r>
      <w:r w:rsidR="00852B44" w:rsidRPr="00F90515">
        <w:t xml:space="preserve">tutorials. </w:t>
      </w:r>
      <w:r w:rsidR="0068573A" w:rsidRPr="00F90515">
        <w:t>Guppy, et al. (2022)</w:t>
      </w:r>
      <w:r w:rsidR="0089754C" w:rsidRPr="00F90515">
        <w:t xml:space="preserve">, Wong, et al. (2022) and </w:t>
      </w:r>
      <w:r w:rsidR="008A5AB9">
        <w:rPr>
          <w:noProof/>
        </w:rPr>
        <w:t>Bartolic, et al. (2022)</w:t>
      </w:r>
      <w:r w:rsidR="00C9770B" w:rsidRPr="00F90515">
        <w:t xml:space="preserve"> all support this anecdotal assertion stating th</w:t>
      </w:r>
      <w:r w:rsidR="00F15056" w:rsidRPr="00F90515">
        <w:t>a</w:t>
      </w:r>
      <w:r w:rsidR="00C9770B" w:rsidRPr="00F90515">
        <w:t xml:space="preserve">t despite some initial difficulties </w:t>
      </w:r>
      <w:r w:rsidR="00F15056" w:rsidRPr="00F90515">
        <w:t>at the start of the Covid-19 pandemic, higher education students transitioned ra</w:t>
      </w:r>
      <w:r w:rsidR="00A160BD" w:rsidRPr="00F90515">
        <w:t>p</w:t>
      </w:r>
      <w:r w:rsidR="00F15056" w:rsidRPr="00F90515">
        <w:t>idly and effectively to online learning.</w:t>
      </w:r>
    </w:p>
    <w:p w14:paraId="2730F9EE" w14:textId="69A5072C" w:rsidR="00EB166C" w:rsidRPr="00F90515" w:rsidRDefault="00BD733A" w:rsidP="0065613D">
      <w:r w:rsidRPr="00F90515">
        <w:t>Attendance at some of the events was extremely limited</w:t>
      </w:r>
      <w:r w:rsidR="00DC3243" w:rsidRPr="00F90515">
        <w:t xml:space="preserve"> resulting in these events being cancelled </w:t>
      </w:r>
      <w:r w:rsidR="00D62B08" w:rsidRPr="00F90515">
        <w:t>prior to the day</w:t>
      </w:r>
      <w:r w:rsidR="00D81103" w:rsidRPr="00F90515">
        <w:t>,</w:t>
      </w:r>
      <w:r w:rsidR="006E5AC1" w:rsidRPr="00F90515">
        <w:t xml:space="preserve"> responses </w:t>
      </w:r>
      <w:r w:rsidR="00D81103" w:rsidRPr="00F90515">
        <w:t xml:space="preserve">to the feedback request which also included a call for students to join a working group was </w:t>
      </w:r>
      <w:r w:rsidR="008A2DD7" w:rsidRPr="00F90515">
        <w:t>extremely limited</w:t>
      </w:r>
      <w:r w:rsidR="00D62B08" w:rsidRPr="00F90515">
        <w:t>.</w:t>
      </w:r>
      <w:r w:rsidR="005500F7" w:rsidRPr="00F90515">
        <w:t xml:space="preserve"> Thompson, et al. (2013) suggested that student engagement </w:t>
      </w:r>
      <w:r w:rsidR="0071563F" w:rsidRPr="00F90515">
        <w:t xml:space="preserve">in </w:t>
      </w:r>
      <w:r w:rsidR="00EE31B1" w:rsidRPr="00F90515">
        <w:t>co-</w:t>
      </w:r>
      <w:r w:rsidR="0071563F" w:rsidRPr="00F90515">
        <w:t xml:space="preserve">curricular activities, particularly those linked with </w:t>
      </w:r>
      <w:r w:rsidR="00EE31B1" w:rsidRPr="00F90515">
        <w:t xml:space="preserve">employability, was limited due additional </w:t>
      </w:r>
      <w:r w:rsidR="00602F1A" w:rsidRPr="00F90515">
        <w:t>extra-curricular</w:t>
      </w:r>
      <w:r w:rsidR="00EE31B1" w:rsidRPr="00F90515">
        <w:t xml:space="preserve"> activities such as working and volunteering</w:t>
      </w:r>
      <w:r w:rsidR="00DC3494" w:rsidRPr="00F90515">
        <w:t xml:space="preserve">. In the context of this case study </w:t>
      </w:r>
      <w:proofErr w:type="gramStart"/>
      <w:r w:rsidR="00DC3494" w:rsidRPr="00F90515">
        <w:t>a large number of</w:t>
      </w:r>
      <w:proofErr w:type="gramEnd"/>
      <w:r w:rsidR="00DC3494" w:rsidRPr="00F90515">
        <w:t xml:space="preserve"> the students do actively engage in paid work alongside their studies and often this is directly related to their field which may </w:t>
      </w:r>
      <w:r w:rsidR="000B3C8F" w:rsidRPr="00F90515">
        <w:t xml:space="preserve">explain the perceived low engagement. </w:t>
      </w:r>
      <w:r w:rsidR="00EE31B1" w:rsidRPr="00F90515">
        <w:t xml:space="preserve"> </w:t>
      </w:r>
      <w:r w:rsidR="0071563F" w:rsidRPr="00F90515">
        <w:t xml:space="preserve"> </w:t>
      </w:r>
    </w:p>
    <w:p w14:paraId="0BEA3D27" w14:textId="7D59B121" w:rsidR="00F76152" w:rsidRPr="00F90515" w:rsidRDefault="000B3C8F" w:rsidP="007934FD">
      <w:pPr>
        <w:rPr>
          <w:rFonts w:asciiTheme="majorHAnsi" w:hAnsiTheme="majorHAnsi"/>
        </w:rPr>
      </w:pPr>
      <w:r w:rsidRPr="00F90515">
        <w:t xml:space="preserve">This case study will now look to make two key recommendations </w:t>
      </w:r>
      <w:r w:rsidR="004E0D10" w:rsidRPr="00F90515">
        <w:t>based on the evidence presented. Firstly</w:t>
      </w:r>
      <w:r w:rsidR="00B0799F" w:rsidRPr="00F90515">
        <w:t>,</w:t>
      </w:r>
      <w:r w:rsidR="004E0D10" w:rsidRPr="00F90515">
        <w:t xml:space="preserve"> despite the perceived benefits of a non-hierarchical structure to team building</w:t>
      </w:r>
      <w:r w:rsidR="00DB173E" w:rsidRPr="00F90515">
        <w:t xml:space="preserve"> and the authors own preferred leadership style it would be beneficial to include a senior </w:t>
      </w:r>
      <w:r w:rsidR="00B0799F" w:rsidRPr="00F90515">
        <w:t>leader from</w:t>
      </w:r>
      <w:r w:rsidR="00DB173E" w:rsidRPr="00F90515">
        <w:t xml:space="preserve"> the discipline to ensure that tasks are completed on time. This would have the added benefit</w:t>
      </w:r>
      <w:r w:rsidR="00B0799F" w:rsidRPr="00F90515">
        <w:t xml:space="preserve"> of facilitating budget requests that have not been discussed in this instance. </w:t>
      </w:r>
      <w:r w:rsidR="00890350" w:rsidRPr="00F90515">
        <w:t>Secondly</w:t>
      </w:r>
      <w:r w:rsidR="005F3F75" w:rsidRPr="00F90515">
        <w:t xml:space="preserve">, </w:t>
      </w:r>
      <w:r w:rsidR="00A052FA" w:rsidRPr="00F90515">
        <w:t xml:space="preserve">as </w:t>
      </w:r>
      <w:r w:rsidR="005F3F75" w:rsidRPr="00F90515">
        <w:t xml:space="preserve">noted </w:t>
      </w:r>
      <w:proofErr w:type="gramStart"/>
      <w:r w:rsidR="005F3F75" w:rsidRPr="00F90515">
        <w:t>a large number of</w:t>
      </w:r>
      <w:proofErr w:type="gramEnd"/>
      <w:r w:rsidR="005F3F75" w:rsidRPr="00F90515">
        <w:t xml:space="preserve"> students are already actively engaged in paid employment therefore developing traditional employability skills</w:t>
      </w:r>
      <w:r w:rsidR="0021188B" w:rsidRPr="00F90515">
        <w:t xml:space="preserve"> outside of the uni</w:t>
      </w:r>
      <w:r w:rsidR="00E84C25" w:rsidRPr="00F90515">
        <w:t>versity.</w:t>
      </w:r>
      <w:r w:rsidR="00A052FA" w:rsidRPr="00F90515">
        <w:t xml:space="preserve"> </w:t>
      </w:r>
      <w:r w:rsidR="00E84C25" w:rsidRPr="00F90515">
        <w:t>As</w:t>
      </w:r>
      <w:r w:rsidR="00A052FA" w:rsidRPr="00F90515">
        <w:t xml:space="preserve"> Ornellas, et al. (2019) </w:t>
      </w:r>
      <w:r w:rsidR="00E84C25" w:rsidRPr="00F90515">
        <w:t xml:space="preserve">stated </w:t>
      </w:r>
      <w:r w:rsidR="00A052FA" w:rsidRPr="00F90515">
        <w:t xml:space="preserve">a significant percentage of European employers have little to </w:t>
      </w:r>
      <w:r w:rsidR="00175179" w:rsidRPr="00F90515">
        <w:t>no interaction with higher education facilities</w:t>
      </w:r>
      <w:r w:rsidR="003E2542" w:rsidRPr="00F90515">
        <w:t xml:space="preserve"> therefore</w:t>
      </w:r>
      <w:r w:rsidR="00175179" w:rsidRPr="00F90515">
        <w:t xml:space="preserve"> it will be beneficial for the delivery team to actively </w:t>
      </w:r>
      <w:r w:rsidR="00175179" w:rsidRPr="00F90515">
        <w:lastRenderedPageBreak/>
        <w:t xml:space="preserve">work with prospective employers to deliver training and activities </w:t>
      </w:r>
      <w:r w:rsidR="003E2542" w:rsidRPr="00F90515">
        <w:t xml:space="preserve">during employability week </w:t>
      </w:r>
      <w:r w:rsidR="00175179" w:rsidRPr="00F90515">
        <w:t>that fill skills gaps that students have</w:t>
      </w:r>
      <w:r w:rsidR="003E2542" w:rsidRPr="00F90515">
        <w:t xml:space="preserve"> that employers require</w:t>
      </w:r>
      <w:r w:rsidR="00175179" w:rsidRPr="00F90515">
        <w:t>.</w:t>
      </w:r>
      <w:r w:rsidR="00A052FA" w:rsidRPr="00F90515">
        <w:t xml:space="preserve"> </w:t>
      </w:r>
      <w:r w:rsidR="00F76152" w:rsidRPr="00F90515">
        <w:br w:type="page"/>
      </w:r>
    </w:p>
    <w:p w14:paraId="06229EEA" w14:textId="6EBAB623" w:rsidR="000B79B0" w:rsidRPr="00F90515" w:rsidRDefault="003E4B59" w:rsidP="007130C8">
      <w:pPr>
        <w:pStyle w:val="Heading1"/>
        <w:rPr>
          <w:rFonts w:cstheme="majorHAnsi"/>
          <w:sz w:val="24"/>
          <w:szCs w:val="24"/>
        </w:rPr>
      </w:pPr>
      <w:r w:rsidRPr="00F90515">
        <w:rPr>
          <w:rFonts w:cstheme="majorHAnsi"/>
          <w:sz w:val="24"/>
          <w:szCs w:val="24"/>
        </w:rPr>
        <w:lastRenderedPageBreak/>
        <w:t>Critical reflection</w:t>
      </w:r>
    </w:p>
    <w:p w14:paraId="7EE35A7E" w14:textId="0B085CA0" w:rsidR="00A77BAB" w:rsidRPr="00F90515" w:rsidRDefault="00A77BAB">
      <w:r w:rsidRPr="00F90515">
        <w:t xml:space="preserve">The critical reflection will consider key learning points from the authors career and evaluate how they manage their own learning. As discussed by Naicker &amp; Rensburg (2018) reflection is a powerful tool for learning and development. However, as noted by Hébert (2015) and Macnaught (2020) critical reflection is often poorly defined in an academic context though generally includes an element of linking theory to practice </w:t>
      </w:r>
      <w:proofErr w:type="gramStart"/>
      <w:r w:rsidRPr="00F90515">
        <w:t>in order to</w:t>
      </w:r>
      <w:proofErr w:type="gramEnd"/>
      <w:r w:rsidRPr="00F90515">
        <w:t xml:space="preserve"> foster growth</w:t>
      </w:r>
      <w:r w:rsidR="00450A15" w:rsidRPr="00F90515">
        <w:t>,</w:t>
      </w:r>
      <w:r w:rsidRPr="00F90515">
        <w:t xml:space="preserve"> which is what this reflection will aim to do.</w:t>
      </w:r>
    </w:p>
    <w:p w14:paraId="31829707" w14:textId="0BC5FFF8" w:rsidR="00A90905" w:rsidRPr="00F90515" w:rsidRDefault="00A1190D">
      <w:r w:rsidRPr="00F90515">
        <w:t xml:space="preserve">This critical reflection will focus on </w:t>
      </w:r>
      <w:r w:rsidR="00D11680" w:rsidRPr="00F90515">
        <w:t>two</w:t>
      </w:r>
      <w:r w:rsidRPr="00F90515">
        <w:t xml:space="preserve"> distinct but interlinked areas that the author has developed in </w:t>
      </w:r>
      <w:r w:rsidR="00B11733" w:rsidRPr="00F90515">
        <w:t xml:space="preserve">over </w:t>
      </w:r>
      <w:r w:rsidRPr="00F90515">
        <w:t>twenty years of practice</w:t>
      </w:r>
      <w:r w:rsidRPr="00F90515">
        <w:t xml:space="preserve">; </w:t>
      </w:r>
      <w:r w:rsidR="008657FA" w:rsidRPr="00F90515">
        <w:t>leadership style development, their development of teaching styl</w:t>
      </w:r>
      <w:r w:rsidR="00F23D20" w:rsidRPr="00F90515">
        <w:t>e</w:t>
      </w:r>
      <w:r w:rsidR="00EC1651" w:rsidRPr="00F90515">
        <w:t>. This reflection will also consider</w:t>
      </w:r>
      <w:r w:rsidR="008657FA" w:rsidRPr="00F90515">
        <w:t xml:space="preserve"> the identification </w:t>
      </w:r>
      <w:r w:rsidR="008A49A5" w:rsidRPr="00F90515">
        <w:t>of the authors additional learning needs and the implications for managing the authors own learning and</w:t>
      </w:r>
      <w:r w:rsidR="004848B1" w:rsidRPr="00F90515">
        <w:t xml:space="preserve"> practice</w:t>
      </w:r>
      <w:r w:rsidR="00EC1651" w:rsidRPr="00F90515">
        <w:t xml:space="preserve">. The </w:t>
      </w:r>
      <w:r w:rsidR="00FA764B" w:rsidRPr="00F90515">
        <w:t>Reflection will</w:t>
      </w:r>
      <w:r w:rsidR="004848B1" w:rsidRPr="00F90515">
        <w:t xml:space="preserve"> </w:t>
      </w:r>
      <w:r w:rsidR="006E7DB1" w:rsidRPr="00F90515">
        <w:t>utilis</w:t>
      </w:r>
      <w:r w:rsidR="00FA764B" w:rsidRPr="00F90515">
        <w:t>e</w:t>
      </w:r>
      <w:r w:rsidR="006E7DB1" w:rsidRPr="00F90515">
        <w:t xml:space="preserve"> </w:t>
      </w:r>
      <w:r w:rsidR="00E31653" w:rsidRPr="00F90515">
        <w:t xml:space="preserve">John Driscoll’s </w:t>
      </w:r>
      <w:r w:rsidR="001F377B" w:rsidRPr="00F90515">
        <w:t xml:space="preserve">What, So What, Now What </w:t>
      </w:r>
      <w:r w:rsidR="006E7DB1" w:rsidRPr="00F90515">
        <w:t>model</w:t>
      </w:r>
      <w:r w:rsidR="00920FCE" w:rsidRPr="00F90515">
        <w:t xml:space="preserve"> of reflective practice</w:t>
      </w:r>
      <w:r w:rsidR="006E7DB1" w:rsidRPr="00F90515">
        <w:t>.</w:t>
      </w:r>
      <w:r w:rsidR="00920FCE" w:rsidRPr="00F90515">
        <w:t xml:space="preserve"> </w:t>
      </w:r>
      <w:r w:rsidR="000B3B5F" w:rsidRPr="00F90515">
        <w:t>As discussed by</w:t>
      </w:r>
      <w:r w:rsidR="0043232D" w:rsidRPr="00F90515">
        <w:t xml:space="preserve"> </w:t>
      </w:r>
      <w:r w:rsidR="00AE276A" w:rsidRPr="00F90515">
        <w:t>Golaghaie, et al. (2019)</w:t>
      </w:r>
      <w:r w:rsidR="00F60D38" w:rsidRPr="00F90515">
        <w:t xml:space="preserve"> </w:t>
      </w:r>
      <w:r w:rsidR="00AE276A" w:rsidRPr="00F90515">
        <w:t>Gladd (2020)</w:t>
      </w:r>
      <w:r w:rsidR="000B3B5F" w:rsidRPr="00F90515">
        <w:t xml:space="preserve"> </w:t>
      </w:r>
      <w:r w:rsidR="00AE276A" w:rsidRPr="00F90515">
        <w:t>Nielsen, et al. (2022)</w:t>
      </w:r>
      <w:r w:rsidR="000B3B5F" w:rsidRPr="00F90515">
        <w:t xml:space="preserve"> </w:t>
      </w:r>
      <w:r w:rsidR="00572708" w:rsidRPr="00F90515">
        <w:t xml:space="preserve">and </w:t>
      </w:r>
      <w:r w:rsidR="00AE276A" w:rsidRPr="00F90515">
        <w:t xml:space="preserve">Robinson </w:t>
      </w:r>
      <w:r w:rsidR="00572708" w:rsidRPr="00F90515">
        <w:t>(</w:t>
      </w:r>
      <w:r w:rsidR="00AE276A" w:rsidRPr="00F90515">
        <w:t>2022)</w:t>
      </w:r>
      <w:r w:rsidR="00572708" w:rsidRPr="00F90515">
        <w:t xml:space="preserve"> Driscoll’s reflective cycle is one of the simplest models in use</w:t>
      </w:r>
      <w:r w:rsidR="00E27B20" w:rsidRPr="00F90515">
        <w:t>. The questions are designed to guide the practitioner through a process of identifying what happened and how this made them feel</w:t>
      </w:r>
      <w:r w:rsidR="00887F2E" w:rsidRPr="00F90515">
        <w:t xml:space="preserve">, then analysing why this is important before finally </w:t>
      </w:r>
      <w:r w:rsidR="00C218AD" w:rsidRPr="00F90515">
        <w:t xml:space="preserve">determining what if anything needs to be changed. </w:t>
      </w:r>
      <w:r w:rsidR="009C787E" w:rsidRPr="00F90515">
        <w:t>T</w:t>
      </w:r>
      <w:r w:rsidR="004A65E3" w:rsidRPr="00F90515">
        <w:t xml:space="preserve">he author </w:t>
      </w:r>
      <w:r w:rsidR="0056123F" w:rsidRPr="00F90515">
        <w:t xml:space="preserve">ordinarily </w:t>
      </w:r>
      <w:r w:rsidR="004A65E3" w:rsidRPr="00F90515">
        <w:t>prefers</w:t>
      </w:r>
      <w:r w:rsidR="003268C3" w:rsidRPr="00F90515">
        <w:t xml:space="preserve"> a form of</w:t>
      </w:r>
      <w:r w:rsidR="004A65E3" w:rsidRPr="00F90515">
        <w:t xml:space="preserve"> </w:t>
      </w:r>
      <w:r w:rsidR="00664F8B" w:rsidRPr="00F90515">
        <w:t>Schön</w:t>
      </w:r>
      <w:r w:rsidR="00664F8B" w:rsidRPr="00F90515">
        <w:t>’s</w:t>
      </w:r>
      <w:r w:rsidR="004A65E3" w:rsidRPr="00F90515">
        <w:t xml:space="preserve"> reflection in action</w:t>
      </w:r>
      <w:r w:rsidR="00664F8B" w:rsidRPr="00F90515">
        <w:t xml:space="preserve"> style of reflection</w:t>
      </w:r>
      <w:r w:rsidR="005F5344" w:rsidRPr="00F90515">
        <w:t xml:space="preserve"> which focusses on immediate reflection and knowledge in action to adjust or react to stimuli</w:t>
      </w:r>
      <w:sdt>
        <w:sdtPr>
          <w:id w:val="-602181725"/>
          <w:citation/>
        </w:sdtPr>
        <w:sdtContent>
          <w:r w:rsidR="00664F8B" w:rsidRPr="00F90515">
            <w:fldChar w:fldCharType="begin"/>
          </w:r>
          <w:r w:rsidR="00664F8B" w:rsidRPr="00F90515">
            <w:instrText xml:space="preserve"> CITATION Cri15 \l 2057 </w:instrText>
          </w:r>
          <w:r w:rsidR="00664F8B" w:rsidRPr="00F90515">
            <w:fldChar w:fldCharType="separate"/>
          </w:r>
          <w:r w:rsidR="003862DE">
            <w:rPr>
              <w:noProof/>
            </w:rPr>
            <w:t xml:space="preserve"> (Hébert, 2015)</w:t>
          </w:r>
          <w:r w:rsidR="00664F8B" w:rsidRPr="00F90515">
            <w:fldChar w:fldCharType="end"/>
          </w:r>
        </w:sdtContent>
      </w:sdt>
      <w:r w:rsidR="001F0191" w:rsidRPr="00F90515">
        <w:t xml:space="preserve"> as opposed to a </w:t>
      </w:r>
      <w:r w:rsidR="00720F3F" w:rsidRPr="00F90515">
        <w:t>more lengthy written reflective cycle such as the Gibbs model</w:t>
      </w:r>
      <w:r w:rsidRPr="00F90515">
        <w:t xml:space="preserve"> though for this exercise that is not feasible.</w:t>
      </w:r>
      <w:r w:rsidR="0076363B" w:rsidRPr="00F90515">
        <w:t xml:space="preserve"> As discussed below this preference for immediate reflection and action may be linked to the authors </w:t>
      </w:r>
      <w:r w:rsidR="00584FD2" w:rsidRPr="00F90515">
        <w:t>Specific Learning Differences (SpLD)</w:t>
      </w:r>
      <w:r w:rsidR="00FC6BD9" w:rsidRPr="00F90515">
        <w:t>.</w:t>
      </w:r>
    </w:p>
    <w:p w14:paraId="5FB1F3FF" w14:textId="77777777" w:rsidR="00D77AAE" w:rsidRDefault="00D77AAE"/>
    <w:p w14:paraId="351FB3C0" w14:textId="17DEF6E2" w:rsidR="0053349C" w:rsidRPr="00F90515" w:rsidRDefault="001C1803">
      <w:r w:rsidRPr="00F90515">
        <w:t xml:space="preserve">Leadership Style Development </w:t>
      </w:r>
    </w:p>
    <w:p w14:paraId="641053A0" w14:textId="77777777" w:rsidR="00D77AAE" w:rsidRDefault="00D77AAE"/>
    <w:p w14:paraId="1655C5E7" w14:textId="48EA6ACF" w:rsidR="00CD4387" w:rsidRPr="00F90515" w:rsidRDefault="003337C7">
      <w:r w:rsidRPr="00F90515">
        <w:t xml:space="preserve">What: </w:t>
      </w:r>
      <w:r w:rsidR="00D71E4C" w:rsidRPr="00F90515">
        <w:t xml:space="preserve">The author has had several leadership roles in a variety of organisations. </w:t>
      </w:r>
      <w:r w:rsidR="001D5FE4" w:rsidRPr="00F90515">
        <w:t xml:space="preserve">In 1999 the author was made a supervisor in a small supermarket with responsibility for </w:t>
      </w:r>
      <w:r w:rsidR="005529ED" w:rsidRPr="00F90515">
        <w:t xml:space="preserve">three members of staff all of whom were significantly more mature both emotionally and </w:t>
      </w:r>
      <w:r w:rsidR="00B66C74" w:rsidRPr="00F90515">
        <w:t xml:space="preserve">chronologically. </w:t>
      </w:r>
      <w:r w:rsidR="000F58CE" w:rsidRPr="00F90515">
        <w:t xml:space="preserve">The author was not trained for this role </w:t>
      </w:r>
      <w:r w:rsidR="00EA671D" w:rsidRPr="00F90515">
        <w:t>and defaulted to an authoritarian leadership style</w:t>
      </w:r>
      <w:r w:rsidR="00BD099F" w:rsidRPr="00F90515">
        <w:t>,</w:t>
      </w:r>
      <w:r w:rsidR="001D7C9C" w:rsidRPr="00F90515">
        <w:t xml:space="preserve"> ma</w:t>
      </w:r>
      <w:r w:rsidR="00BD099F" w:rsidRPr="00F90515">
        <w:t>king</w:t>
      </w:r>
      <w:r w:rsidR="001D7C9C" w:rsidRPr="00F90515">
        <w:t xml:space="preserve"> several poor choices in leadership that alienated the team</w:t>
      </w:r>
      <w:r w:rsidR="00C504E9" w:rsidRPr="00F90515">
        <w:t>.</w:t>
      </w:r>
      <w:r w:rsidR="00651E20" w:rsidRPr="00F90515">
        <w:t xml:space="preserve"> The authors </w:t>
      </w:r>
      <w:r w:rsidR="00A247AF" w:rsidRPr="00F90515">
        <w:t xml:space="preserve">next </w:t>
      </w:r>
      <w:r w:rsidR="00A562B6" w:rsidRPr="00F90515">
        <w:t xml:space="preserve">significant </w:t>
      </w:r>
      <w:r w:rsidR="00651E20" w:rsidRPr="00F90515">
        <w:t xml:space="preserve">leadership role </w:t>
      </w:r>
      <w:r w:rsidR="00E81991" w:rsidRPr="00F90515">
        <w:t>came in a voluntary organisation initi</w:t>
      </w:r>
      <w:r w:rsidR="00A54EAC" w:rsidRPr="00F90515">
        <w:t xml:space="preserve">ally </w:t>
      </w:r>
      <w:r w:rsidR="00E81991" w:rsidRPr="00F90515">
        <w:t xml:space="preserve">managing </w:t>
      </w:r>
      <w:r w:rsidR="00A54EAC" w:rsidRPr="00F90515">
        <w:t xml:space="preserve">a small team of volunteers to deliver scouting to young people. This </w:t>
      </w:r>
      <w:r w:rsidR="00A47C13" w:rsidRPr="00F90515">
        <w:t xml:space="preserve">team has grown significantly in the last ten years with changes in personnel </w:t>
      </w:r>
      <w:r w:rsidR="009E0607" w:rsidRPr="00F90515">
        <w:t>over that time</w:t>
      </w:r>
      <w:r w:rsidR="00B76192" w:rsidRPr="00F90515">
        <w:t xml:space="preserve">. Individuals have left the group </w:t>
      </w:r>
      <w:r w:rsidR="009E0607" w:rsidRPr="00F90515">
        <w:t>either due to personal commitments or disagreements in the direction of the group.</w:t>
      </w:r>
    </w:p>
    <w:p w14:paraId="2F778967" w14:textId="77777777" w:rsidR="00D77AAE" w:rsidRDefault="00D77AAE"/>
    <w:p w14:paraId="57185A00" w14:textId="78A36571" w:rsidR="00CD4387" w:rsidRPr="00F90515" w:rsidRDefault="00CD4387">
      <w:r w:rsidRPr="00F90515">
        <w:t>So What:</w:t>
      </w:r>
      <w:r w:rsidR="00007316" w:rsidRPr="00F90515">
        <w:t xml:space="preserve"> </w:t>
      </w:r>
      <w:r w:rsidR="005D0F48" w:rsidRPr="00F90515">
        <w:t>The authors poor leadership</w:t>
      </w:r>
      <w:r w:rsidR="007D444B" w:rsidRPr="00F90515">
        <w:t xml:space="preserve"> in the supermarket</w:t>
      </w:r>
      <w:r w:rsidR="005D0F48" w:rsidRPr="00F90515">
        <w:t xml:space="preserve"> </w:t>
      </w:r>
      <w:r w:rsidR="004D2ADA" w:rsidRPr="00F90515">
        <w:t xml:space="preserve">had a </w:t>
      </w:r>
      <w:r w:rsidR="007E4CB4" w:rsidRPr="00F90515">
        <w:t xml:space="preserve">significantly detrimental effect on the </w:t>
      </w:r>
      <w:r w:rsidR="007D6909" w:rsidRPr="00F90515">
        <w:t>team’s</w:t>
      </w:r>
      <w:r w:rsidR="007E4CB4" w:rsidRPr="00F90515">
        <w:t xml:space="preserve"> morale and functioning </w:t>
      </w:r>
      <w:r w:rsidR="00A43D1B" w:rsidRPr="00F90515">
        <w:t xml:space="preserve">resulting in lower rates of effectiveness </w:t>
      </w:r>
      <w:r w:rsidR="008844FF" w:rsidRPr="00F90515">
        <w:t>and increased cost to the business</w:t>
      </w:r>
      <w:r w:rsidR="005279A7" w:rsidRPr="00F90515">
        <w:t xml:space="preserve">. </w:t>
      </w:r>
      <w:r w:rsidR="00572639" w:rsidRPr="00F90515">
        <w:lastRenderedPageBreak/>
        <w:t xml:space="preserve">During this period the author adopted </w:t>
      </w:r>
      <w:r w:rsidR="009E385D" w:rsidRPr="00F90515">
        <w:t>what would be described as an authoritarian leadership style</w:t>
      </w:r>
      <w:r w:rsidR="00867B61" w:rsidRPr="00F90515">
        <w:t xml:space="preserve">. As discussed by </w:t>
      </w:r>
      <w:r w:rsidR="001A1D7D" w:rsidRPr="00F90515">
        <w:t>Crosby (2021)</w:t>
      </w:r>
      <w:r w:rsidR="00DC7494" w:rsidRPr="00F90515">
        <w:t xml:space="preserve"> and </w:t>
      </w:r>
      <w:r w:rsidR="001A1D7D" w:rsidRPr="00F90515">
        <w:t xml:space="preserve">Nickerson (2024) </w:t>
      </w:r>
      <w:r w:rsidR="00EA671D" w:rsidRPr="00F90515">
        <w:t xml:space="preserve">authoritarian leadership </w:t>
      </w:r>
      <w:r w:rsidR="00BD099F" w:rsidRPr="00F90515">
        <w:t xml:space="preserve">has a place in the </w:t>
      </w:r>
      <w:r w:rsidR="00D41BFA" w:rsidRPr="00F90515">
        <w:t>zeitgeist</w:t>
      </w:r>
      <w:r w:rsidR="00D41BFA" w:rsidRPr="00F90515">
        <w:t xml:space="preserve"> of management though often leads to alienation </w:t>
      </w:r>
      <w:r w:rsidR="00051EBF" w:rsidRPr="00F90515">
        <w:t xml:space="preserve">due to the </w:t>
      </w:r>
      <w:r w:rsidR="007D6909" w:rsidRPr="00F90515">
        <w:t>leader’s</w:t>
      </w:r>
      <w:r w:rsidR="00051EBF" w:rsidRPr="00F90515">
        <w:t xml:space="preserve"> lack of consideration to the team.</w:t>
      </w:r>
      <w:r w:rsidR="00BF31DC" w:rsidRPr="00F90515">
        <w:t xml:space="preserve"> This experience has led the author to develop a </w:t>
      </w:r>
      <w:r w:rsidR="00577B49" w:rsidRPr="00F90515">
        <w:t>L</w:t>
      </w:r>
      <w:r w:rsidR="00490BF7" w:rsidRPr="00F90515">
        <w:t>aissez</w:t>
      </w:r>
      <w:r w:rsidR="00577B49" w:rsidRPr="00F90515">
        <w:t>-</w:t>
      </w:r>
      <w:r w:rsidR="00490BF7" w:rsidRPr="00F90515">
        <w:t>faire or democratic leadership style in their volunteer management role</w:t>
      </w:r>
      <w:r w:rsidR="00E26B95" w:rsidRPr="00F90515">
        <w:t>. Crosby (2021) and Nickerson (2024)</w:t>
      </w:r>
      <w:r w:rsidR="00051EBF" w:rsidRPr="00F90515">
        <w:t xml:space="preserve"> </w:t>
      </w:r>
      <w:r w:rsidR="00E26B95" w:rsidRPr="00F90515">
        <w:t>describe this style as being more egalitarian in nature th</w:t>
      </w:r>
      <w:r w:rsidR="00936211" w:rsidRPr="00F90515">
        <w:t>ough can lack direction and support for newer team members.</w:t>
      </w:r>
      <w:r w:rsidR="00505AFA" w:rsidRPr="00F90515">
        <w:t xml:space="preserve"> However, as discussed by </w:t>
      </w:r>
      <w:r w:rsidR="005969E3" w:rsidRPr="00F90515">
        <w:t>Schyns &amp; Day (2010)</w:t>
      </w:r>
      <w:r w:rsidR="00B95A30" w:rsidRPr="00F90515">
        <w:t>,</w:t>
      </w:r>
      <w:r w:rsidR="00D00B4C" w:rsidRPr="00F90515">
        <w:t xml:space="preserve"> </w:t>
      </w:r>
      <w:r w:rsidR="005969E3" w:rsidRPr="00F90515">
        <w:t xml:space="preserve">Power </w:t>
      </w:r>
      <w:r w:rsidR="00B95A30" w:rsidRPr="00F90515">
        <w:t>(</w:t>
      </w:r>
      <w:r w:rsidR="005969E3" w:rsidRPr="00F90515">
        <w:t>2013)</w:t>
      </w:r>
      <w:r w:rsidR="0021790C" w:rsidRPr="00F90515">
        <w:t xml:space="preserve"> and </w:t>
      </w:r>
      <w:r w:rsidR="00B95A30" w:rsidRPr="00F90515">
        <w:t xml:space="preserve">Anderson, et al. (2020) Leader-Member Exchange (LMX) theory </w:t>
      </w:r>
      <w:r w:rsidR="000D5796" w:rsidRPr="00F90515">
        <w:t xml:space="preserve">states that rather than focussing on the style of leadership </w:t>
      </w:r>
      <w:r w:rsidR="003C28A5" w:rsidRPr="00F90515">
        <w:t>exhibited</w:t>
      </w:r>
      <w:r w:rsidR="00032E4A" w:rsidRPr="00F90515">
        <w:t xml:space="preserve"> there should be a greater focus on the relationships developed between the leader and team members</w:t>
      </w:r>
      <w:r w:rsidR="000E32C6" w:rsidRPr="00F90515">
        <w:t xml:space="preserve"> in their </w:t>
      </w:r>
      <w:r w:rsidR="002865C0" w:rsidRPr="00F90515">
        <w:t>dyadic relationship</w:t>
      </w:r>
      <w:r w:rsidR="007A2D8F" w:rsidRPr="00F90515">
        <w:t xml:space="preserve">. Whilst this is notoriously difficult to judge due to the subjective and shifting nature </w:t>
      </w:r>
      <w:r w:rsidR="00766613" w:rsidRPr="00F90515">
        <w:t xml:space="preserve">of the relationships </w:t>
      </w:r>
      <w:r w:rsidR="00C26C00" w:rsidRPr="00F90515">
        <w:t xml:space="preserve">the author would like to think that for the </w:t>
      </w:r>
      <w:r w:rsidR="0023574A" w:rsidRPr="00F90515">
        <w:t>most part the relationships in the team are gener</w:t>
      </w:r>
      <w:r w:rsidR="00D261A9" w:rsidRPr="00F90515">
        <w:t>a</w:t>
      </w:r>
      <w:r w:rsidR="0023574A" w:rsidRPr="00F90515">
        <w:t>lly positive and built on mutual respect.</w:t>
      </w:r>
      <w:r w:rsidR="007D38DB" w:rsidRPr="00F90515">
        <w:t xml:space="preserve"> </w:t>
      </w:r>
    </w:p>
    <w:p w14:paraId="0FB6F360" w14:textId="77777777" w:rsidR="00D77AAE" w:rsidRDefault="00D77AAE"/>
    <w:p w14:paraId="37D2D595" w14:textId="55EA11BA" w:rsidR="00CD4387" w:rsidRPr="00F90515" w:rsidRDefault="00CD4387">
      <w:r w:rsidRPr="00F90515">
        <w:t>Now What:</w:t>
      </w:r>
      <w:r w:rsidR="007D38DB" w:rsidRPr="00F90515">
        <w:t xml:space="preserve"> </w:t>
      </w:r>
      <w:r w:rsidR="00577B49" w:rsidRPr="00F90515">
        <w:t xml:space="preserve">Whilst a Laissez-faire leadership style, based on trust in the </w:t>
      </w:r>
      <w:r w:rsidR="00F90515" w:rsidRPr="00F90515">
        <w:t>volunteers’</w:t>
      </w:r>
      <w:r w:rsidR="00D261A9" w:rsidRPr="00F90515">
        <w:t xml:space="preserve"> abilities will be the authors default setting</w:t>
      </w:r>
      <w:r w:rsidR="003A2C94">
        <w:t>.</w:t>
      </w:r>
      <w:r w:rsidR="00D261A9" w:rsidRPr="00F90515">
        <w:t xml:space="preserve"> they will also be placing greater emphasis on building and maintaining positive relationships</w:t>
      </w:r>
      <w:r w:rsidR="005C6648">
        <w:t>,</w:t>
      </w:r>
      <w:r w:rsidR="00D261A9" w:rsidRPr="00F90515">
        <w:t xml:space="preserve"> particularly with newer team members</w:t>
      </w:r>
      <w:r w:rsidR="005C6648">
        <w:t>, ensuring the greatest benefit for everyone.</w:t>
      </w:r>
    </w:p>
    <w:p w14:paraId="38B0C96C" w14:textId="77777777" w:rsidR="00D77AAE" w:rsidRDefault="00D77AAE"/>
    <w:p w14:paraId="7976938C" w14:textId="323BBC3A" w:rsidR="00CF0A75" w:rsidRPr="00F90515" w:rsidRDefault="00CF0A75">
      <w:r w:rsidRPr="00606539">
        <w:t>Teaching Style Development</w:t>
      </w:r>
    </w:p>
    <w:p w14:paraId="42ABDA7F" w14:textId="77777777" w:rsidR="00D77AAE" w:rsidRDefault="00D77AAE" w:rsidP="00CD4387"/>
    <w:p w14:paraId="576EA547" w14:textId="712C1198" w:rsidR="00CD4387" w:rsidRPr="00F90515" w:rsidRDefault="00CD4387" w:rsidP="00CD4387">
      <w:r w:rsidRPr="00F90515">
        <w:t xml:space="preserve">What: </w:t>
      </w:r>
      <w:r w:rsidR="00DC7301" w:rsidRPr="00F90515">
        <w:t xml:space="preserve">Since 2004 the author has held a variety of </w:t>
      </w:r>
      <w:r w:rsidR="00565D81" w:rsidRPr="00F90515">
        <w:t>teaching positions in industry or academia and their voluntary role with the scout a</w:t>
      </w:r>
      <w:r w:rsidR="00091E00" w:rsidRPr="00F90515">
        <w:t xml:space="preserve">ssociation. During this time the author has developed and utilised a variety of teaching styles particularly favouring </w:t>
      </w:r>
      <w:r w:rsidR="00926F2E" w:rsidRPr="00F90515">
        <w:t xml:space="preserve">either Honey and Mumford’s learning styles theory and more latterly a </w:t>
      </w:r>
      <w:r w:rsidR="00835646" w:rsidRPr="00F90515">
        <w:t>Socratic</w:t>
      </w:r>
      <w:r w:rsidR="00926F2E" w:rsidRPr="00F90515">
        <w:t xml:space="preserve"> </w:t>
      </w:r>
      <w:r w:rsidR="00361730" w:rsidRPr="00F90515">
        <w:t>method</w:t>
      </w:r>
      <w:r w:rsidR="00576A92" w:rsidRPr="00F90515">
        <w:t xml:space="preserve">. The authors first teaching role was that of a quality </w:t>
      </w:r>
      <w:r w:rsidR="00E00341" w:rsidRPr="00F90515">
        <w:t>assurance coach with a large utility provider</w:t>
      </w:r>
      <w:r w:rsidR="008B1960" w:rsidRPr="00F90515">
        <w:t>. They then moved to a role teaching new employees of the utility provider before moving to a software provider in 2006</w:t>
      </w:r>
      <w:r w:rsidR="00AB1B93" w:rsidRPr="00F90515">
        <w:t xml:space="preserve">. These roles while disparate </w:t>
      </w:r>
      <w:r w:rsidR="008F27EB" w:rsidRPr="00F90515">
        <w:t>in nature all required formulaic</w:t>
      </w:r>
      <w:r w:rsidR="00A02C20" w:rsidRPr="00F90515">
        <w:t xml:space="preserve"> teaching of specific processes to achieve a defined end </w:t>
      </w:r>
      <w:r w:rsidR="00835646" w:rsidRPr="00F90515">
        <w:t>goal.</w:t>
      </w:r>
      <w:r w:rsidR="00E94406">
        <w:t xml:space="preserve"> </w:t>
      </w:r>
      <w:r w:rsidR="00835646" w:rsidRPr="00F90515">
        <w:t xml:space="preserve"> </w:t>
      </w:r>
      <w:r w:rsidR="000B634B" w:rsidRPr="00F90515">
        <w:t>The authors current academic role and voluntary role allow more flexibility in teaching method</w:t>
      </w:r>
      <w:r w:rsidR="00FC0A82" w:rsidRPr="00F90515">
        <w:t xml:space="preserve"> allowing the development of the Socratic approach.</w:t>
      </w:r>
      <w:r w:rsidR="008F27EB" w:rsidRPr="00F90515">
        <w:t xml:space="preserve"> </w:t>
      </w:r>
    </w:p>
    <w:p w14:paraId="2984D479" w14:textId="77777777" w:rsidR="00951824" w:rsidRDefault="00951824" w:rsidP="00CD4387"/>
    <w:p w14:paraId="1347457E" w14:textId="2993DC13" w:rsidR="006D4D20" w:rsidRDefault="00CD4387" w:rsidP="00CD4387">
      <w:r w:rsidRPr="00F90515">
        <w:t>So What:</w:t>
      </w:r>
      <w:r w:rsidR="004D6757">
        <w:t xml:space="preserve"> </w:t>
      </w:r>
      <w:r w:rsidR="004B1708">
        <w:t xml:space="preserve">The conscious decision by the author </w:t>
      </w:r>
      <w:r w:rsidR="000E3548">
        <w:t xml:space="preserve">to </w:t>
      </w:r>
      <w:r w:rsidR="001108A2">
        <w:t>develop teaching activities based on Honey and Mumford</w:t>
      </w:r>
      <w:r w:rsidR="004038E4">
        <w:t>’</w:t>
      </w:r>
      <w:r w:rsidR="001108A2">
        <w:t xml:space="preserve">s learning styles </w:t>
      </w:r>
      <w:r w:rsidR="004038E4">
        <w:t>theory was born out of a need to deliver a large amount of information to a disparate group of learners in a very short space of time. The nature of</w:t>
      </w:r>
      <w:r w:rsidR="00206CCC">
        <w:t xml:space="preserve"> the software training and estate agency in general meant that most companies allowed one day of training and then expected their employees to </w:t>
      </w:r>
      <w:r w:rsidR="00CD21D7">
        <w:t xml:space="preserve">be able to muddle through. </w:t>
      </w:r>
      <w:r w:rsidR="000D5818">
        <w:t xml:space="preserve">As discussed by </w:t>
      </w:r>
      <w:r w:rsidR="009857A6">
        <w:rPr>
          <w:noProof/>
        </w:rPr>
        <w:t xml:space="preserve">Demetriou, et al. (2022) </w:t>
      </w:r>
      <w:r w:rsidR="00413B6E">
        <w:t>utilising</w:t>
      </w:r>
      <w:r w:rsidR="00CD21D7">
        <w:t xml:space="preserve"> </w:t>
      </w:r>
      <w:r w:rsidR="00E51751">
        <w:t xml:space="preserve">Honey and </w:t>
      </w:r>
      <w:r w:rsidR="00E51751">
        <w:lastRenderedPageBreak/>
        <w:t xml:space="preserve">Mumford allowed </w:t>
      </w:r>
      <w:r w:rsidR="007E7D51">
        <w:t xml:space="preserve">large scale organisational change </w:t>
      </w:r>
      <w:r w:rsidR="00976B03">
        <w:t xml:space="preserve">to be disseminated </w:t>
      </w:r>
      <w:r w:rsidR="00C23117">
        <w:t xml:space="preserve">quickly though the efficacy of the training was unclear especially given the </w:t>
      </w:r>
      <w:r w:rsidR="00AF5230">
        <w:t xml:space="preserve">subsequent utilisation of the companies </w:t>
      </w:r>
      <w:r w:rsidR="009A3F1E">
        <w:t>support line for user help.</w:t>
      </w:r>
      <w:r w:rsidR="00173A5E">
        <w:t xml:space="preserve"> </w:t>
      </w:r>
      <w:r w:rsidR="00706A19">
        <w:t xml:space="preserve">However, as noted by </w:t>
      </w:r>
      <w:r w:rsidR="00C26D05">
        <w:rPr>
          <w:noProof/>
        </w:rPr>
        <w:t xml:space="preserve">Haynes (2021) </w:t>
      </w:r>
      <w:r w:rsidR="00596CDB">
        <w:rPr>
          <w:noProof/>
        </w:rPr>
        <w:t>if tested</w:t>
      </w:r>
      <w:r w:rsidR="00413B6E">
        <w:rPr>
          <w:noProof/>
        </w:rPr>
        <w:t>,</w:t>
      </w:r>
      <w:r w:rsidR="00596CDB">
        <w:rPr>
          <w:noProof/>
        </w:rPr>
        <w:t xml:space="preserve"> as </w:t>
      </w:r>
      <w:r w:rsidR="00413B6E">
        <w:rPr>
          <w:noProof/>
        </w:rPr>
        <w:t>learners</w:t>
      </w:r>
      <w:r w:rsidR="00596CDB">
        <w:rPr>
          <w:noProof/>
        </w:rPr>
        <w:t xml:space="preserve"> should score in all four cat</w:t>
      </w:r>
      <w:r w:rsidR="00683E1A">
        <w:rPr>
          <w:noProof/>
        </w:rPr>
        <w:t xml:space="preserve">egories of </w:t>
      </w:r>
      <w:r w:rsidR="00413B6E">
        <w:rPr>
          <w:noProof/>
        </w:rPr>
        <w:t xml:space="preserve">the </w:t>
      </w:r>
      <w:r w:rsidR="00683E1A">
        <w:rPr>
          <w:noProof/>
        </w:rPr>
        <w:t xml:space="preserve">learning style </w:t>
      </w:r>
      <w:r w:rsidR="00413B6E">
        <w:rPr>
          <w:noProof/>
        </w:rPr>
        <w:t>it is n</w:t>
      </w:r>
      <w:r w:rsidR="00EA3899">
        <w:rPr>
          <w:noProof/>
        </w:rPr>
        <w:t xml:space="preserve">ot clear </w:t>
      </w:r>
      <w:r w:rsidR="00304516">
        <w:rPr>
          <w:noProof/>
        </w:rPr>
        <w:t xml:space="preserve">what benefit different activities offer to a group. </w:t>
      </w:r>
      <w:r w:rsidR="00C26D05">
        <w:t>In addition to this</w:t>
      </w:r>
      <w:r w:rsidR="005F5657">
        <w:t xml:space="preserve"> </w:t>
      </w:r>
      <w:r w:rsidR="00C26D05">
        <w:rPr>
          <w:noProof/>
        </w:rPr>
        <w:t>Shrivastava &amp; Shrivastava (2023)</w:t>
      </w:r>
      <w:r w:rsidR="005F5657">
        <w:t xml:space="preserve"> </w:t>
      </w:r>
      <w:r w:rsidR="00BB4E45">
        <w:t xml:space="preserve">state, </w:t>
      </w:r>
      <w:r w:rsidR="003B092D">
        <w:t>even though learning styles have utility in teaching there is a lack of evidence to support the enhancement of learning.</w:t>
      </w:r>
    </w:p>
    <w:p w14:paraId="6DDAC431" w14:textId="3FFDD8FB" w:rsidR="00521619" w:rsidRDefault="006738E9" w:rsidP="00CD4387">
      <w:r>
        <w:t xml:space="preserve">Due to the </w:t>
      </w:r>
      <w:r w:rsidR="00C44490">
        <w:t>requirement</w:t>
      </w:r>
      <w:r>
        <w:t xml:space="preserve"> of the early </w:t>
      </w:r>
      <w:r w:rsidR="00774F6B">
        <w:t>teaching</w:t>
      </w:r>
      <w:r w:rsidR="00C44490">
        <w:t xml:space="preserve"> </w:t>
      </w:r>
      <w:r w:rsidR="002A5AA3">
        <w:t>being to deliver very specific</w:t>
      </w:r>
      <w:r w:rsidR="00774F6B">
        <w:t xml:space="preserve"> product knowledge</w:t>
      </w:r>
      <w:r w:rsidR="00B21C3A">
        <w:t xml:space="preserve">, formulaic or product teaching </w:t>
      </w:r>
      <w:r w:rsidR="007F0B2C">
        <w:t>was a necessity rather than a</w:t>
      </w:r>
      <w:r w:rsidR="008552C7">
        <w:t xml:space="preserve"> choice</w:t>
      </w:r>
      <w:r w:rsidR="007F0B2C">
        <w:t xml:space="preserve">. </w:t>
      </w:r>
      <w:r w:rsidR="00BB4E45">
        <w:t>However</w:t>
      </w:r>
      <w:r w:rsidR="000151B3">
        <w:t>,</w:t>
      </w:r>
      <w:r w:rsidR="00BB4E45">
        <w:t xml:space="preserve"> the</w:t>
      </w:r>
      <w:r w:rsidR="00732CF9">
        <w:t xml:space="preserve"> current academic role and experiential nature of the volunteer teaching lends itself to employing the Socratic method</w:t>
      </w:r>
      <w:r w:rsidR="0054506B">
        <w:t xml:space="preserve">. </w:t>
      </w:r>
      <w:r w:rsidR="00856761">
        <w:rPr>
          <w:noProof/>
        </w:rPr>
        <w:t xml:space="preserve">Mitchell (2006) stated that </w:t>
      </w:r>
      <w:r w:rsidR="00D67CB6">
        <w:rPr>
          <w:noProof/>
        </w:rPr>
        <w:t xml:space="preserve">Socratic principles should be the norm in </w:t>
      </w:r>
      <w:r w:rsidR="00DF26E7">
        <w:rPr>
          <w:noProof/>
        </w:rPr>
        <w:t xml:space="preserve">undergraduate teaching. </w:t>
      </w:r>
      <w:r w:rsidR="0054506B">
        <w:rPr>
          <w:noProof/>
        </w:rPr>
        <w:t>Acim (2018)</w:t>
      </w:r>
      <w:r w:rsidR="0054506B">
        <w:t xml:space="preserve"> and </w:t>
      </w:r>
      <w:r w:rsidR="0054506B">
        <w:rPr>
          <w:noProof/>
        </w:rPr>
        <w:t xml:space="preserve">Farmer (2018) </w:t>
      </w:r>
      <w:r w:rsidR="00DF26E7">
        <w:rPr>
          <w:noProof/>
        </w:rPr>
        <w:t xml:space="preserve">develop this point stating </w:t>
      </w:r>
      <w:r w:rsidR="002760E2">
        <w:rPr>
          <w:noProof/>
        </w:rPr>
        <w:t>this method allows significant critical thinking by the student as they examine and explore their own understanding of a subject</w:t>
      </w:r>
      <w:r w:rsidR="009623E2">
        <w:rPr>
          <w:noProof/>
        </w:rPr>
        <w:t xml:space="preserve">. </w:t>
      </w:r>
      <w:r w:rsidR="00741CAD">
        <w:rPr>
          <w:noProof/>
        </w:rPr>
        <w:t xml:space="preserve">Altorf (2019) also suggests that </w:t>
      </w:r>
      <w:r w:rsidR="007178DC">
        <w:rPr>
          <w:noProof/>
        </w:rPr>
        <w:t xml:space="preserve">effective use of the Socratic method develops a sence of community mong the students as they develop their understanding. </w:t>
      </w:r>
    </w:p>
    <w:p w14:paraId="7C0F2000" w14:textId="77777777" w:rsidR="00CD4387" w:rsidRPr="00F90515" w:rsidRDefault="00CD4387" w:rsidP="00CD4387"/>
    <w:p w14:paraId="6B4BAD76" w14:textId="3AB6118B" w:rsidR="00CD4387" w:rsidRPr="00F90515" w:rsidRDefault="00CD4387" w:rsidP="00CD4387">
      <w:r w:rsidRPr="00F90515">
        <w:t>Now What:</w:t>
      </w:r>
      <w:r w:rsidR="002871E0">
        <w:t xml:space="preserve"> As the author is relatively new to t</w:t>
      </w:r>
      <w:r w:rsidR="00722C1C">
        <w:t xml:space="preserve">he academic role their effective use of the Socratic method is still developing and they will be looking for new ways to introduce this to students. </w:t>
      </w:r>
    </w:p>
    <w:p w14:paraId="22632E85" w14:textId="77777777" w:rsidR="00335421" w:rsidRPr="00F90515" w:rsidRDefault="00335421"/>
    <w:p w14:paraId="6576F455" w14:textId="77777777" w:rsidR="00585011" w:rsidRDefault="00335421">
      <w:r w:rsidRPr="00722C1C">
        <w:t>ALN Diagnosis Inc SDAM</w:t>
      </w:r>
    </w:p>
    <w:p w14:paraId="5CD1699A" w14:textId="56ADD2A5" w:rsidR="00335421" w:rsidRPr="00F90515" w:rsidRDefault="00333B80">
      <w:r w:rsidRPr="00F90515">
        <w:t xml:space="preserve"> </w:t>
      </w:r>
    </w:p>
    <w:p w14:paraId="7AE78E95" w14:textId="63F69D1C" w:rsidR="00C82B2A" w:rsidRPr="00F90515" w:rsidRDefault="00CA6BBD" w:rsidP="00CA6BBD">
      <w:r w:rsidRPr="00F90515">
        <w:t xml:space="preserve">What: </w:t>
      </w:r>
      <w:r w:rsidR="00AD1FEC" w:rsidRPr="00F90515">
        <w:t xml:space="preserve">During the authors </w:t>
      </w:r>
      <w:r w:rsidR="00B72771" w:rsidRPr="00F90515">
        <w:t xml:space="preserve">compulsory secondary school </w:t>
      </w:r>
      <w:r w:rsidR="00586BAF" w:rsidRPr="00F90515">
        <w:t>education,</w:t>
      </w:r>
      <w:r w:rsidR="00B72771" w:rsidRPr="00F90515">
        <w:t xml:space="preserve"> they were placed in a remedial handwriting</w:t>
      </w:r>
      <w:r w:rsidR="00874D2C" w:rsidRPr="00F90515">
        <w:t xml:space="preserve"> </w:t>
      </w:r>
      <w:r w:rsidR="00B72771" w:rsidRPr="00F90515">
        <w:t>class</w:t>
      </w:r>
      <w:r w:rsidR="00874D2C" w:rsidRPr="00F90515">
        <w:t xml:space="preserve"> with the express aim of improving their writing skills. The authors parents were also repeatedly advised in school reports that if they </w:t>
      </w:r>
      <w:r w:rsidR="006F0CD0" w:rsidRPr="00F90515">
        <w:t>‘</w:t>
      </w:r>
      <w:r w:rsidR="00874D2C" w:rsidRPr="00F90515">
        <w:t>just applied themselves they would achieve far more academ</w:t>
      </w:r>
      <w:r w:rsidR="00C82B2A" w:rsidRPr="00F90515">
        <w:t>ically</w:t>
      </w:r>
      <w:r w:rsidR="006F0CD0" w:rsidRPr="00F90515">
        <w:t>’</w:t>
      </w:r>
      <w:r w:rsidR="00C82B2A" w:rsidRPr="00F90515">
        <w:t xml:space="preserve">. During the authors college and initial university experience this pattern continued </w:t>
      </w:r>
      <w:r w:rsidR="006D65E9" w:rsidRPr="00F90515">
        <w:t>with significant elements of the author not focussing on their academic studies</w:t>
      </w:r>
      <w:r w:rsidR="00AD1A3D" w:rsidRPr="00F90515">
        <w:t>. In 201</w:t>
      </w:r>
      <w:r w:rsidR="006775C1" w:rsidRPr="00F90515">
        <w:t>3</w:t>
      </w:r>
      <w:r w:rsidR="00AD1A3D" w:rsidRPr="00F90515">
        <w:t xml:space="preserve"> the author was made redundant and returned to university at the age of thirty-six as a mature student. </w:t>
      </w:r>
      <w:r w:rsidR="0044193C" w:rsidRPr="00F90515">
        <w:t xml:space="preserve">It was at this time that </w:t>
      </w:r>
      <w:r w:rsidR="001E0A07" w:rsidRPr="00F90515">
        <w:t>the possibility of SpLD was raised and ultimately diagnosed</w:t>
      </w:r>
      <w:r w:rsidR="002F7EF5" w:rsidRPr="00F90515">
        <w:t xml:space="preserve"> with co-</w:t>
      </w:r>
      <w:r w:rsidR="00B768AC" w:rsidRPr="00F90515">
        <w:t>occurring</w:t>
      </w:r>
      <w:r w:rsidR="00460285" w:rsidRPr="00F90515">
        <w:t xml:space="preserve"> </w:t>
      </w:r>
      <w:r w:rsidR="00B24B65" w:rsidRPr="00F90515">
        <w:t>Dyslexia</w:t>
      </w:r>
      <w:r w:rsidR="00460285" w:rsidRPr="00F90515">
        <w:t>,</w:t>
      </w:r>
      <w:r w:rsidR="00B24B65" w:rsidRPr="00F90515">
        <w:t xml:space="preserve"> Dysgraphia </w:t>
      </w:r>
      <w:r w:rsidR="00460285" w:rsidRPr="00F90515">
        <w:t xml:space="preserve">and </w:t>
      </w:r>
      <w:r w:rsidR="00B24B65" w:rsidRPr="00F90515">
        <w:t>Attention Deficit Disorder</w:t>
      </w:r>
      <w:r w:rsidR="00460285" w:rsidRPr="00F90515">
        <w:t xml:space="preserve"> (ADD) </w:t>
      </w:r>
      <w:r w:rsidR="00B768AC" w:rsidRPr="00F90515">
        <w:t xml:space="preserve">among other things these manifest with </w:t>
      </w:r>
      <w:r w:rsidR="008622A6" w:rsidRPr="00F90515">
        <w:t>S</w:t>
      </w:r>
      <w:r w:rsidR="00B768AC" w:rsidRPr="00F90515">
        <w:t xml:space="preserve">everely </w:t>
      </w:r>
      <w:r w:rsidR="008622A6" w:rsidRPr="00F90515">
        <w:t>D</w:t>
      </w:r>
      <w:r w:rsidR="00B768AC" w:rsidRPr="00F90515">
        <w:t xml:space="preserve">eficient </w:t>
      </w:r>
      <w:r w:rsidR="008622A6" w:rsidRPr="00F90515">
        <w:t>A</w:t>
      </w:r>
      <w:r w:rsidR="00B768AC" w:rsidRPr="00F90515">
        <w:t xml:space="preserve">utobiographical </w:t>
      </w:r>
      <w:r w:rsidR="008622A6" w:rsidRPr="00F90515">
        <w:t>M</w:t>
      </w:r>
      <w:r w:rsidR="00B768AC" w:rsidRPr="00F90515">
        <w:t>emory (SDAM)</w:t>
      </w:r>
      <w:r w:rsidR="00827E82" w:rsidRPr="00F90515">
        <w:t xml:space="preserve">. This diagnosis allowed the author to conceptualise the coping strategies they had developed since </w:t>
      </w:r>
      <w:r w:rsidR="00077356" w:rsidRPr="00F90515">
        <w:t>childhood.</w:t>
      </w:r>
      <w:r w:rsidR="00CE43D1" w:rsidRPr="00F90515">
        <w:t xml:space="preserve"> </w:t>
      </w:r>
    </w:p>
    <w:p w14:paraId="3C6EF26E" w14:textId="77777777" w:rsidR="00CA6BBD" w:rsidRPr="00F90515" w:rsidRDefault="00CA6BBD" w:rsidP="00CA6BBD"/>
    <w:p w14:paraId="07574533" w14:textId="5DD1623F" w:rsidR="00CA6BBD" w:rsidRPr="00F90515" w:rsidRDefault="00CA6BBD" w:rsidP="00CA6BBD">
      <w:r w:rsidRPr="00F90515">
        <w:t>So What:</w:t>
      </w:r>
      <w:r w:rsidR="00F94063">
        <w:t xml:space="preserve"> </w:t>
      </w:r>
      <w:r w:rsidR="003B0242">
        <w:t xml:space="preserve">Interestingly a significant body of research suggests that </w:t>
      </w:r>
      <w:r w:rsidR="00B8576F">
        <w:t xml:space="preserve">Dyslexia is purely a </w:t>
      </w:r>
      <w:r w:rsidR="004B51AC">
        <w:t>phonological processing issue</w:t>
      </w:r>
      <w:r w:rsidR="00C76787">
        <w:t xml:space="preserve"> (See:</w:t>
      </w:r>
      <w:r w:rsidR="00B54142" w:rsidRPr="00B54142">
        <w:t xml:space="preserve"> </w:t>
      </w:r>
      <w:r w:rsidR="00F42D62">
        <w:rPr>
          <w:noProof/>
        </w:rPr>
        <w:t>Colenbrander, et al. (2018)</w:t>
      </w:r>
      <w:r w:rsidR="00F42D62">
        <w:t xml:space="preserve"> </w:t>
      </w:r>
      <w:r w:rsidR="00B54142">
        <w:rPr>
          <w:noProof/>
        </w:rPr>
        <w:t xml:space="preserve">Bazen, et al. </w:t>
      </w:r>
      <w:r w:rsidR="00B54142">
        <w:rPr>
          <w:noProof/>
        </w:rPr>
        <w:t>(</w:t>
      </w:r>
      <w:r w:rsidR="00B54142">
        <w:rPr>
          <w:noProof/>
        </w:rPr>
        <w:t>2020)</w:t>
      </w:r>
      <w:r w:rsidR="00B54142">
        <w:rPr>
          <w:noProof/>
        </w:rPr>
        <w:t>,</w:t>
      </w:r>
      <w:r w:rsidR="00F42D62">
        <w:rPr>
          <w:noProof/>
        </w:rPr>
        <w:t xml:space="preserve"> and</w:t>
      </w:r>
      <w:r w:rsidR="00C76787">
        <w:t xml:space="preserve"> </w:t>
      </w:r>
      <w:r w:rsidR="00C76787">
        <w:rPr>
          <w:noProof/>
        </w:rPr>
        <w:t>Bree, et al. (2022)</w:t>
      </w:r>
      <w:r w:rsidR="00B54142">
        <w:t xml:space="preserve"> </w:t>
      </w:r>
      <w:r w:rsidR="00F42D62">
        <w:t xml:space="preserve">among </w:t>
      </w:r>
      <w:r w:rsidR="00F42D62">
        <w:lastRenderedPageBreak/>
        <w:t>others)</w:t>
      </w:r>
      <w:r w:rsidR="00C51C27">
        <w:t xml:space="preserve"> particularly related to </w:t>
      </w:r>
      <w:r w:rsidR="00B14192">
        <w:t>rapid word processing and understanding, however for the most part this is not the case for the author who</w:t>
      </w:r>
      <w:r w:rsidR="002E56BB">
        <w:t xml:space="preserve"> predominantly identifies issues with the spelling of specific words and a severely deficient autobiographical memory</w:t>
      </w:r>
      <w:r w:rsidR="000F5988">
        <w:t xml:space="preserve"> likely linked to their co-occurring ADD</w:t>
      </w:r>
      <w:r w:rsidR="0016508C">
        <w:t>. In the author’s case this presents as a</w:t>
      </w:r>
      <w:r w:rsidR="0098075B">
        <w:t xml:space="preserve">n inability to recall specific events and dates from their own history </w:t>
      </w:r>
      <w:r w:rsidR="004C3C58">
        <w:t xml:space="preserve">but a </w:t>
      </w:r>
      <w:r w:rsidR="000D4316">
        <w:t xml:space="preserve">good ability to recall processes and facts that are of need or interest to the author. </w:t>
      </w:r>
      <w:r w:rsidR="0016483E">
        <w:t xml:space="preserve">However as noted by </w:t>
      </w:r>
      <w:r w:rsidR="0016483E">
        <w:rPr>
          <w:noProof/>
        </w:rPr>
        <w:t>Sadusky, et al. (2021)</w:t>
      </w:r>
      <w:r w:rsidR="000F5988">
        <w:t xml:space="preserve"> </w:t>
      </w:r>
      <w:r w:rsidR="006C2D4E">
        <w:t xml:space="preserve">as an individual progresses </w:t>
      </w:r>
      <w:r w:rsidR="00771010">
        <w:t>into</w:t>
      </w:r>
      <w:r w:rsidR="006C2D4E">
        <w:t xml:space="preserve"> adulthood their orthographic lexicon </w:t>
      </w:r>
      <w:r w:rsidR="00957139">
        <w:t>develops making the processing of new words somewhat easier</w:t>
      </w:r>
      <w:r w:rsidR="00D405F6">
        <w:t>. It is possible that this is the case for this author though due to their S</w:t>
      </w:r>
      <w:r w:rsidR="007562DC">
        <w:t xml:space="preserve">DAM </w:t>
      </w:r>
      <w:r w:rsidR="00771010">
        <w:t>it is not possible to be certain</w:t>
      </w:r>
      <w:r w:rsidR="00F2490D">
        <w:t xml:space="preserve"> if they ever had difficulties with reading that was masked in e</w:t>
      </w:r>
      <w:r w:rsidR="002646CE">
        <w:t>a</w:t>
      </w:r>
      <w:r w:rsidR="00F2490D">
        <w:t>rly childhood</w:t>
      </w:r>
      <w:r w:rsidR="00771010">
        <w:t>.</w:t>
      </w:r>
      <w:r w:rsidR="00F2490D">
        <w:t xml:space="preserve"> </w:t>
      </w:r>
      <w:r w:rsidR="00703B65">
        <w:t xml:space="preserve">As discussed by </w:t>
      </w:r>
      <w:r w:rsidR="00703B65">
        <w:rPr>
          <w:noProof/>
        </w:rPr>
        <w:t xml:space="preserve">Döhla, et al. (2018) </w:t>
      </w:r>
      <w:r w:rsidR="00833513">
        <w:rPr>
          <w:noProof/>
        </w:rPr>
        <w:t xml:space="preserve">dysgraphia </w:t>
      </w:r>
      <w:r w:rsidR="00703B65">
        <w:rPr>
          <w:noProof/>
        </w:rPr>
        <w:t>is closely linked with dy</w:t>
      </w:r>
      <w:r w:rsidR="000656EF">
        <w:rPr>
          <w:noProof/>
        </w:rPr>
        <w:t>s</w:t>
      </w:r>
      <w:r w:rsidR="006A5CA1">
        <w:t>lexia</w:t>
      </w:r>
      <w:r w:rsidR="00833513">
        <w:t xml:space="preserve"> and shares many of the same phonological processing difficulties</w:t>
      </w:r>
      <w:r w:rsidR="006A5CA1">
        <w:t>, though is less understood or known about</w:t>
      </w:r>
      <w:r w:rsidR="002646CE">
        <w:t>.</w:t>
      </w:r>
      <w:r w:rsidR="006A5CA1">
        <w:t xml:space="preserve"> </w:t>
      </w:r>
      <w:r w:rsidR="00181E5C">
        <w:rPr>
          <w:noProof/>
        </w:rPr>
        <w:t xml:space="preserve">Amini, et al. (2022) note that a </w:t>
      </w:r>
      <w:r w:rsidR="00042A67">
        <w:rPr>
          <w:noProof/>
        </w:rPr>
        <w:t>D</w:t>
      </w:r>
      <w:r w:rsidR="00181E5C">
        <w:rPr>
          <w:noProof/>
        </w:rPr>
        <w:t xml:space="preserve">ysgraphia </w:t>
      </w:r>
      <w:r w:rsidR="00042A67">
        <w:rPr>
          <w:noProof/>
        </w:rPr>
        <w:t xml:space="preserve">diagnosis is extremely subjective. The lack of awareness and subjective </w:t>
      </w:r>
      <w:r w:rsidR="007B1468">
        <w:rPr>
          <w:noProof/>
        </w:rPr>
        <w:t>nature of a diagnosis may have been the root cause of a lack of identification of the SpLD in childhood</w:t>
      </w:r>
      <w:r w:rsidR="009D0922">
        <w:rPr>
          <w:noProof/>
        </w:rPr>
        <w:t xml:space="preserve"> and the subsequent detrimental effects on their educational progress.</w:t>
      </w:r>
    </w:p>
    <w:p w14:paraId="16699927" w14:textId="77777777" w:rsidR="009D0922" w:rsidRDefault="009D0922" w:rsidP="00CA6BBD"/>
    <w:p w14:paraId="2230C5F6" w14:textId="3A5187D7" w:rsidR="00CA6BBD" w:rsidRPr="00F90515" w:rsidRDefault="00CA6BBD" w:rsidP="00CA6BBD">
      <w:r w:rsidRPr="00F90515">
        <w:t>Now What:</w:t>
      </w:r>
      <w:r w:rsidR="009D0922">
        <w:t xml:space="preserve"> As the author has developed a range of coping strategies there is little </w:t>
      </w:r>
      <w:r w:rsidR="0083015F">
        <w:t>in the way of development or change that needs to be done directly however the author is always open to new methods and support.</w:t>
      </w:r>
    </w:p>
    <w:p w14:paraId="44273134" w14:textId="77777777" w:rsidR="00CA6BBD" w:rsidRPr="00F90515" w:rsidRDefault="00CA6BBD" w:rsidP="00CA6BBD"/>
    <w:p w14:paraId="5472593D" w14:textId="77777777" w:rsidR="00335421" w:rsidRPr="00F90515" w:rsidRDefault="00335421"/>
    <w:p w14:paraId="5E080D07" w14:textId="77777777" w:rsidR="00CA6BBD" w:rsidRPr="00F90515" w:rsidRDefault="00CA6BBD" w:rsidP="00CA6BBD"/>
    <w:p w14:paraId="4DC7A47B" w14:textId="77777777" w:rsidR="0053349C" w:rsidRPr="00F90515" w:rsidRDefault="0053349C"/>
    <w:p w14:paraId="39C0224B" w14:textId="4AB19680" w:rsidR="00DC0A08" w:rsidRPr="00F90515" w:rsidRDefault="00DC0A08">
      <w:pPr>
        <w:rPr>
          <w:rFonts w:asciiTheme="majorHAnsi" w:hAnsiTheme="majorHAnsi" w:cstheme="majorHAnsi"/>
          <w:szCs w:val="24"/>
        </w:rPr>
      </w:pPr>
      <w:r w:rsidRPr="00F90515">
        <w:rPr>
          <w:rFonts w:asciiTheme="majorHAnsi" w:hAnsiTheme="majorHAnsi" w:cstheme="majorHAnsi"/>
          <w:szCs w:val="24"/>
        </w:rPr>
        <w:br w:type="page"/>
      </w:r>
    </w:p>
    <w:sdt>
      <w:sdtPr>
        <w:id w:val="-626619245"/>
        <w:docPartObj>
          <w:docPartGallery w:val="Bibliographies"/>
          <w:docPartUnique/>
        </w:docPartObj>
      </w:sdtPr>
      <w:sdtEndPr>
        <w:rPr>
          <w:rFonts w:ascii="Calibri" w:hAnsi="Calibri"/>
          <w:b w:val="0"/>
          <w:caps w:val="0"/>
          <w:sz w:val="24"/>
        </w:rPr>
      </w:sdtEndPr>
      <w:sdtContent>
        <w:p w14:paraId="778E4FD4" w14:textId="047A9286" w:rsidR="003862DE" w:rsidRDefault="003862DE">
          <w:pPr>
            <w:pStyle w:val="Heading1"/>
          </w:pPr>
          <w:r>
            <w:t>References</w:t>
          </w:r>
        </w:p>
        <w:sdt>
          <w:sdtPr>
            <w:id w:val="-573587230"/>
            <w:bibliography/>
          </w:sdtPr>
          <w:sdtContent>
            <w:p w14:paraId="131FB6F6" w14:textId="77777777" w:rsidR="003862DE" w:rsidRDefault="003862DE" w:rsidP="003862DE">
              <w:pPr>
                <w:pStyle w:val="Bibliography"/>
                <w:rPr>
                  <w:noProof/>
                  <w:szCs w:val="24"/>
                </w:rPr>
              </w:pPr>
              <w:r>
                <w:fldChar w:fldCharType="begin"/>
              </w:r>
              <w:r>
                <w:instrText xml:space="preserve"> BIBLIOGRAPHY </w:instrText>
              </w:r>
              <w:r>
                <w:fldChar w:fldCharType="separate"/>
              </w:r>
              <w:r>
                <w:rPr>
                  <w:noProof/>
                </w:rPr>
                <w:t xml:space="preserve">Acim, R., 2018. The Socratic Method of Instruction: An Experience With a Reading Comprehension Course. </w:t>
              </w:r>
              <w:r>
                <w:rPr>
                  <w:i/>
                  <w:iCs/>
                  <w:noProof/>
                </w:rPr>
                <w:t xml:space="preserve">Journal of Educational Research and Practice, </w:t>
              </w:r>
              <w:r>
                <w:rPr>
                  <w:noProof/>
                </w:rPr>
                <w:t>8(1), pp. 41-53.</w:t>
              </w:r>
            </w:p>
            <w:p w14:paraId="42BAC506" w14:textId="77777777" w:rsidR="003862DE" w:rsidRDefault="003862DE" w:rsidP="003862DE">
              <w:pPr>
                <w:pStyle w:val="Bibliography"/>
                <w:rPr>
                  <w:noProof/>
                </w:rPr>
              </w:pPr>
              <w:r>
                <w:rPr>
                  <w:noProof/>
                </w:rPr>
                <w:t xml:space="preserve">Altorf, H. M., 2019. Dialogue and discussion: Reflections on a Socratic method. </w:t>
              </w:r>
              <w:r>
                <w:rPr>
                  <w:i/>
                  <w:iCs/>
                  <w:noProof/>
                </w:rPr>
                <w:t xml:space="preserve">Arts &amp; Humanities in Higher Education, </w:t>
              </w:r>
              <w:r>
                <w:rPr>
                  <w:noProof/>
                </w:rPr>
                <w:t>18(1), pp. 60-75.</w:t>
              </w:r>
            </w:p>
            <w:p w14:paraId="12253FDD" w14:textId="77777777" w:rsidR="003862DE" w:rsidRDefault="003862DE" w:rsidP="003862DE">
              <w:pPr>
                <w:pStyle w:val="Bibliography"/>
                <w:rPr>
                  <w:noProof/>
                </w:rPr>
              </w:pPr>
              <w:r>
                <w:rPr>
                  <w:noProof/>
                </w:rPr>
                <w:t xml:space="preserve">Amini, M. et al., 2022. Identifications of developmental dysgraphia on the basis of dynamic handwriting features. </w:t>
              </w:r>
              <w:r>
                <w:rPr>
                  <w:i/>
                  <w:iCs/>
                  <w:noProof/>
                </w:rPr>
                <w:t xml:space="preserve">Int. J. Nonlinear Anal. Appl., </w:t>
              </w:r>
              <w:r>
                <w:rPr>
                  <w:noProof/>
                </w:rPr>
                <w:t>p. 3179–3188.</w:t>
              </w:r>
            </w:p>
            <w:p w14:paraId="3A0FBC1B" w14:textId="77777777" w:rsidR="003862DE" w:rsidRDefault="003862DE" w:rsidP="003862DE">
              <w:pPr>
                <w:pStyle w:val="Bibliography"/>
                <w:rPr>
                  <w:noProof/>
                </w:rPr>
              </w:pPr>
              <w:r>
                <w:rPr>
                  <w:noProof/>
                </w:rPr>
                <w:t xml:space="preserve">Anderson, I., Buch, R. &amp; Kuvaas, B., 2020. A Literature Review of Social and Economic Leader–Member Exchange. </w:t>
              </w:r>
              <w:r>
                <w:rPr>
                  <w:i/>
                  <w:iCs/>
                  <w:noProof/>
                </w:rPr>
                <w:t xml:space="preserve">Frontiers in Psychology, </w:t>
              </w:r>
              <w:r>
                <w:rPr>
                  <w:noProof/>
                </w:rPr>
                <w:t>Volume 11, pp. 1-12.</w:t>
              </w:r>
            </w:p>
            <w:p w14:paraId="08B021D7" w14:textId="77777777" w:rsidR="003862DE" w:rsidRDefault="003862DE" w:rsidP="003862DE">
              <w:pPr>
                <w:pStyle w:val="Bibliography"/>
                <w:rPr>
                  <w:noProof/>
                </w:rPr>
              </w:pPr>
              <w:r>
                <w:rPr>
                  <w:noProof/>
                </w:rPr>
                <w:t xml:space="preserve">Bartolic, S. et al., 2022. Student vulnerabilities and confidence in learning in the contextof the COVID-19 pandemic. </w:t>
              </w:r>
              <w:r>
                <w:rPr>
                  <w:i/>
                  <w:iCs/>
                  <w:noProof/>
                </w:rPr>
                <w:t xml:space="preserve">STUDIES IN HIGHER EDUCATION, </w:t>
              </w:r>
              <w:r>
                <w:rPr>
                  <w:noProof/>
                </w:rPr>
                <w:t>47(12), pp. 2460-2472.</w:t>
              </w:r>
            </w:p>
            <w:p w14:paraId="680EFA43" w14:textId="77777777" w:rsidR="003862DE" w:rsidRDefault="003862DE" w:rsidP="003862DE">
              <w:pPr>
                <w:pStyle w:val="Bibliography"/>
                <w:rPr>
                  <w:noProof/>
                </w:rPr>
              </w:pPr>
              <w:r>
                <w:rPr>
                  <w:noProof/>
                </w:rPr>
                <w:t xml:space="preserve">Bazen, L., Boer, M. v. d., Jong, P. F. d. &amp; Bree, E. H. d., 2020. Early and late diagnosed dyslexia in secondary school: Performance on literacy skills and cognitive correlates. </w:t>
              </w:r>
              <w:r>
                <w:rPr>
                  <w:i/>
                  <w:iCs/>
                  <w:noProof/>
                </w:rPr>
                <w:t xml:space="preserve">Dyslexia, </w:t>
              </w:r>
              <w:r>
                <w:rPr>
                  <w:noProof/>
                </w:rPr>
                <w:t>Volume 26, pp. 359-376.</w:t>
              </w:r>
            </w:p>
            <w:p w14:paraId="21A3CF48" w14:textId="77777777" w:rsidR="003862DE" w:rsidRDefault="003862DE" w:rsidP="003862DE">
              <w:pPr>
                <w:pStyle w:val="Bibliography"/>
                <w:rPr>
                  <w:noProof/>
                </w:rPr>
              </w:pPr>
              <w:r>
                <w:rPr>
                  <w:noProof/>
                </w:rPr>
                <w:t xml:space="preserve">Behle, H., 2020. Students’ and graduates’ employability. A framework to classify and measure employability gain. </w:t>
              </w:r>
              <w:r>
                <w:rPr>
                  <w:i/>
                  <w:iCs/>
                  <w:noProof/>
                </w:rPr>
                <w:t xml:space="preserve">POLICY REVIEWS IN HIGHER EDUCATION, </w:t>
              </w:r>
              <w:r>
                <w:rPr>
                  <w:noProof/>
                </w:rPr>
                <w:t>4(1), pp. 105-130.</w:t>
              </w:r>
            </w:p>
            <w:p w14:paraId="2453C910" w14:textId="77777777" w:rsidR="003862DE" w:rsidRDefault="003862DE" w:rsidP="003862DE">
              <w:pPr>
                <w:pStyle w:val="Bibliography"/>
                <w:rPr>
                  <w:noProof/>
                </w:rPr>
              </w:pPr>
              <w:r>
                <w:rPr>
                  <w:noProof/>
                </w:rPr>
                <w:t xml:space="preserve">Bree, E. H. d., Boer, M. v. d., Toering, B. M. &amp; Jong, P. F. d., 2022. A stitch in time…: Comparing late-identified, late-emerging and early-identified dyslexia. </w:t>
              </w:r>
              <w:r>
                <w:rPr>
                  <w:i/>
                  <w:iCs/>
                  <w:noProof/>
                </w:rPr>
                <w:t xml:space="preserve">Dyslexia, </w:t>
              </w:r>
              <w:r>
                <w:rPr>
                  <w:noProof/>
                </w:rPr>
                <w:t>Volume 28, pp. 276-292.</w:t>
              </w:r>
            </w:p>
            <w:p w14:paraId="3D551E5D" w14:textId="77777777" w:rsidR="003862DE" w:rsidRDefault="003862DE" w:rsidP="003862DE">
              <w:pPr>
                <w:pStyle w:val="Bibliography"/>
                <w:rPr>
                  <w:noProof/>
                </w:rPr>
              </w:pPr>
              <w:r>
                <w:rPr>
                  <w:noProof/>
                </w:rPr>
                <w:t xml:space="preserve">Brudney, J. L. &amp; Meijs, L. C., 2014. Models of Volunteer Management: Professional Volunteer Program Management in Social Work. </w:t>
              </w:r>
              <w:r>
                <w:rPr>
                  <w:i/>
                  <w:iCs/>
                  <w:noProof/>
                </w:rPr>
                <w:t xml:space="preserve">Human Service Organizations: Management, Leadership &amp; Governance, </w:t>
              </w:r>
              <w:r>
                <w:rPr>
                  <w:noProof/>
                </w:rPr>
                <w:t>Volume 38, pp. 297-309.</w:t>
              </w:r>
            </w:p>
            <w:p w14:paraId="057AAE6E" w14:textId="77777777" w:rsidR="003862DE" w:rsidRDefault="003862DE" w:rsidP="003862DE">
              <w:pPr>
                <w:pStyle w:val="Bibliography"/>
                <w:rPr>
                  <w:noProof/>
                </w:rPr>
              </w:pPr>
              <w:r>
                <w:rPr>
                  <w:noProof/>
                </w:rPr>
                <w:t xml:space="preserve">Chacón, F. et al., 2017. Volunteer Functions Inventory: A systematic review. </w:t>
              </w:r>
              <w:r>
                <w:rPr>
                  <w:i/>
                  <w:iCs/>
                  <w:noProof/>
                </w:rPr>
                <w:t xml:space="preserve">Psicothema , </w:t>
              </w:r>
              <w:r>
                <w:rPr>
                  <w:noProof/>
                </w:rPr>
                <w:t>29(3), pp. 306-316.</w:t>
              </w:r>
            </w:p>
            <w:p w14:paraId="4E8260DE" w14:textId="77777777" w:rsidR="003862DE" w:rsidRDefault="003862DE" w:rsidP="003862DE">
              <w:pPr>
                <w:pStyle w:val="Bibliography"/>
                <w:rPr>
                  <w:noProof/>
                </w:rPr>
              </w:pPr>
              <w:r>
                <w:rPr>
                  <w:noProof/>
                </w:rPr>
                <w:t xml:space="preserve">Colenbrander, D., Ricketts, J. &amp; Breadmore, H., 2018. Early identification of dyslexia: Understanding the issues. </w:t>
              </w:r>
              <w:r>
                <w:rPr>
                  <w:i/>
                  <w:iCs/>
                  <w:noProof/>
                </w:rPr>
                <w:t xml:space="preserve">Language, Speech, and Hearing Services in Schools, </w:t>
              </w:r>
              <w:r>
                <w:rPr>
                  <w:noProof/>
                </w:rPr>
                <w:t>Volume 49, pp. 817-828.</w:t>
              </w:r>
            </w:p>
            <w:p w14:paraId="7ACAF33F" w14:textId="77777777" w:rsidR="003862DE" w:rsidRDefault="003862DE" w:rsidP="003862DE">
              <w:pPr>
                <w:pStyle w:val="Bibliography"/>
                <w:rPr>
                  <w:noProof/>
                </w:rPr>
              </w:pPr>
              <w:r>
                <w:rPr>
                  <w:noProof/>
                </w:rPr>
                <w:t xml:space="preserve">Crosby, G., 2021. Lewin’s Democratic Style of Situational Leadership: A Fresh Look at a Powerful OD Model. </w:t>
              </w:r>
              <w:r>
                <w:rPr>
                  <w:i/>
                  <w:iCs/>
                  <w:noProof/>
                </w:rPr>
                <w:t xml:space="preserve">The Journal of Applied Behavioral Science, </w:t>
              </w:r>
              <w:r>
                <w:rPr>
                  <w:noProof/>
                </w:rPr>
                <w:t>57(3), pp. 398-401.</w:t>
              </w:r>
            </w:p>
            <w:p w14:paraId="56E2A67B" w14:textId="77777777" w:rsidR="003862DE" w:rsidRDefault="003862DE" w:rsidP="003862DE">
              <w:pPr>
                <w:pStyle w:val="Bibliography"/>
                <w:rPr>
                  <w:noProof/>
                </w:rPr>
              </w:pPr>
              <w:r>
                <w:rPr>
                  <w:noProof/>
                </w:rPr>
                <w:t xml:space="preserve">Dawson, C., Baker, P. L. &amp; Dowell, D., 2019. Getting into the ‘Giving Habit’: The Dynamics of Volunteering. </w:t>
              </w:r>
              <w:r>
                <w:rPr>
                  <w:i/>
                  <w:iCs/>
                  <w:noProof/>
                </w:rPr>
                <w:t xml:space="preserve">Voluntas, </w:t>
              </w:r>
              <w:r>
                <w:rPr>
                  <w:noProof/>
                </w:rPr>
                <w:t>Volume 30, pp. 1006-1021.</w:t>
              </w:r>
            </w:p>
            <w:p w14:paraId="50199A6B" w14:textId="77777777" w:rsidR="003862DE" w:rsidRDefault="003862DE" w:rsidP="003862DE">
              <w:pPr>
                <w:pStyle w:val="Bibliography"/>
                <w:rPr>
                  <w:noProof/>
                </w:rPr>
              </w:pPr>
              <w:r>
                <w:rPr>
                  <w:noProof/>
                </w:rPr>
                <w:t xml:space="preserve">De Clerck, T., Willem, A., Aelterman, N. &amp; Haerens, L., 2021. Volunteers Managing Volunteers: The Role of Volunteer Board Members’ Motivating and Demotivating Style in Relation to Volunteers’ Motives to Stay Volunteer. </w:t>
              </w:r>
              <w:r>
                <w:rPr>
                  <w:i/>
                  <w:iCs/>
                  <w:noProof/>
                </w:rPr>
                <w:t xml:space="preserve">Voluntas, </w:t>
              </w:r>
              <w:r>
                <w:rPr>
                  <w:noProof/>
                </w:rPr>
                <w:t>Volume 32, pp. 1271-1248.</w:t>
              </w:r>
            </w:p>
            <w:p w14:paraId="0145DDA1" w14:textId="77777777" w:rsidR="003862DE" w:rsidRDefault="003862DE" w:rsidP="003862DE">
              <w:pPr>
                <w:pStyle w:val="Bibliography"/>
                <w:rPr>
                  <w:noProof/>
                </w:rPr>
              </w:pPr>
              <w:r>
                <w:rPr>
                  <w:noProof/>
                </w:rPr>
                <w:lastRenderedPageBreak/>
                <w:t xml:space="preserve">Demetriou, G., Papageorgiou, G. &amp; Efstathiades, A., 2022. Effects of learning style and learning source preferences on organizational learning capability. </w:t>
              </w:r>
              <w:r>
                <w:rPr>
                  <w:i/>
                  <w:iCs/>
                  <w:noProof/>
                </w:rPr>
                <w:t xml:space="preserve">DEVELOPMENT AND LEARNING INORGANIZATIONS: AN INTERNATIONAL JOURNAL, </w:t>
              </w:r>
              <w:r>
                <w:rPr>
                  <w:noProof/>
                </w:rPr>
                <w:t>36(2), pp. 14-17.</w:t>
              </w:r>
            </w:p>
            <w:p w14:paraId="70542C66" w14:textId="77777777" w:rsidR="003862DE" w:rsidRDefault="003862DE" w:rsidP="003862DE">
              <w:pPr>
                <w:pStyle w:val="Bibliography"/>
                <w:rPr>
                  <w:noProof/>
                </w:rPr>
              </w:pPr>
              <w:r>
                <w:rPr>
                  <w:noProof/>
                </w:rPr>
                <w:t xml:space="preserve">Dempsey-Brench, K. &amp; Shantz, A., 2022. Skills-based volunteering: A systematic literature review of the intersection of skills and employee volunteering. </w:t>
              </w:r>
              <w:r>
                <w:rPr>
                  <w:i/>
                  <w:iCs/>
                  <w:noProof/>
                </w:rPr>
                <w:t xml:space="preserve">Human Resource Management Review, </w:t>
              </w:r>
              <w:r>
                <w:rPr>
                  <w:noProof/>
                </w:rPr>
                <w:t>Volume 32, pp. 1-20.</w:t>
              </w:r>
            </w:p>
            <w:p w14:paraId="683826C3" w14:textId="77777777" w:rsidR="003862DE" w:rsidRDefault="003862DE" w:rsidP="003862DE">
              <w:pPr>
                <w:pStyle w:val="Bibliography"/>
                <w:rPr>
                  <w:noProof/>
                </w:rPr>
              </w:pPr>
              <w:r>
                <w:rPr>
                  <w:noProof/>
                </w:rPr>
                <w:t xml:space="preserve">Döhla, D., Willmes, K. &amp; Heim, S., 2018. Cognitive Profiles of Developmental Dysgraphia. </w:t>
              </w:r>
              <w:r>
                <w:rPr>
                  <w:i/>
                  <w:iCs/>
                  <w:noProof/>
                </w:rPr>
                <w:t xml:space="preserve">Frontiers in Psychology, </w:t>
              </w:r>
              <w:r>
                <w:rPr>
                  <w:noProof/>
                </w:rPr>
                <w:t>Volume 9, pp. 1-12.</w:t>
              </w:r>
            </w:p>
            <w:p w14:paraId="4D33E6D3" w14:textId="77777777" w:rsidR="003862DE" w:rsidRDefault="003862DE" w:rsidP="003862DE">
              <w:pPr>
                <w:pStyle w:val="Bibliography"/>
                <w:rPr>
                  <w:noProof/>
                </w:rPr>
              </w:pPr>
              <w:r>
                <w:rPr>
                  <w:noProof/>
                </w:rPr>
                <w:t xml:space="preserve">Enjolras, B., 2021. Explaining the Varieties of Volunteering in Europe: A Capability Approach. </w:t>
              </w:r>
              <w:r>
                <w:rPr>
                  <w:i/>
                  <w:iCs/>
                  <w:noProof/>
                </w:rPr>
                <w:t xml:space="preserve">Voluntas, </w:t>
              </w:r>
              <w:r>
                <w:rPr>
                  <w:noProof/>
                </w:rPr>
                <w:t>Volume 32, pp. 1187-1212.</w:t>
              </w:r>
            </w:p>
            <w:p w14:paraId="5B2AFA47" w14:textId="77777777" w:rsidR="003862DE" w:rsidRDefault="003862DE" w:rsidP="003862DE">
              <w:pPr>
                <w:pStyle w:val="Bibliography"/>
                <w:rPr>
                  <w:noProof/>
                </w:rPr>
              </w:pPr>
              <w:r>
                <w:rPr>
                  <w:noProof/>
                </w:rPr>
                <w:t xml:space="preserve">Farmer, R. J., 2018. </w:t>
              </w:r>
              <w:r>
                <w:rPr>
                  <w:i/>
                  <w:iCs/>
                  <w:noProof/>
                </w:rPr>
                <w:t xml:space="preserve">Learning Without Teaching The Practice and Benefits of the Nelson-Heckmann Method of Socratic Dialogue. </w:t>
              </w:r>
              <w:r>
                <w:rPr>
                  <w:noProof/>
                </w:rPr>
                <w:t xml:space="preserve">[Online] </w:t>
              </w:r>
              <w:r>
                <w:rPr>
                  <w:noProof/>
                </w:rPr>
                <w:br/>
                <w:t xml:space="preserve">Available at: </w:t>
              </w:r>
              <w:r>
                <w:rPr>
                  <w:noProof/>
                  <w:u w:val="single"/>
                </w:rPr>
                <w:t>http://nectar.northampton.ac.uk/13126/1/Farmer_Robert_2018_Learning_Without_Teaching_The_Practice_and_Benefits_of_the_Nelson_Heckmann_Method_of_Socratic_Dialogue.pdf</w:t>
              </w:r>
              <w:r>
                <w:rPr>
                  <w:noProof/>
                </w:rPr>
                <w:br/>
                <w:t>[Accessed 22 April 2024].</w:t>
              </w:r>
            </w:p>
            <w:p w14:paraId="1AD05687" w14:textId="77777777" w:rsidR="003862DE" w:rsidRDefault="003862DE" w:rsidP="003862DE">
              <w:pPr>
                <w:pStyle w:val="Bibliography"/>
                <w:rPr>
                  <w:noProof/>
                </w:rPr>
              </w:pPr>
              <w:r>
                <w:rPr>
                  <w:noProof/>
                </w:rPr>
                <w:t xml:space="preserve">Gladd, J., 2020. John Driscoll’s “What?” Cycle of Reflection. In: L. LONG, A. MINERVINI &amp; JOELGLADD, eds. </w:t>
              </w:r>
              <w:r>
                <w:rPr>
                  <w:i/>
                  <w:iCs/>
                  <w:noProof/>
                </w:rPr>
                <w:t xml:space="preserve">Write What Matters. </w:t>
              </w:r>
              <w:r>
                <w:rPr>
                  <w:noProof/>
                </w:rPr>
                <w:t>Boise: MSL ACADEMIC ENDEAVORS, pp. 769-779.</w:t>
              </w:r>
            </w:p>
            <w:p w14:paraId="45943FA0" w14:textId="77777777" w:rsidR="003862DE" w:rsidRDefault="003862DE" w:rsidP="003862DE">
              <w:pPr>
                <w:pStyle w:val="Bibliography"/>
                <w:rPr>
                  <w:noProof/>
                </w:rPr>
              </w:pPr>
              <w:r>
                <w:rPr>
                  <w:noProof/>
                </w:rPr>
                <w:t xml:space="preserve">Golaghaie, F. et al., 2019. Integrating case-based learning with collective reflection: outcomes of inter-professional continuing education. </w:t>
              </w:r>
              <w:r>
                <w:rPr>
                  <w:i/>
                  <w:iCs/>
                  <w:noProof/>
                </w:rPr>
                <w:t xml:space="preserve">REFLECTIVE PRACTICE, </w:t>
              </w:r>
              <w:r>
                <w:rPr>
                  <w:noProof/>
                </w:rPr>
                <w:t>20(1), pp. 42-55.</w:t>
              </w:r>
            </w:p>
            <w:p w14:paraId="6359BB02" w14:textId="77777777" w:rsidR="003862DE" w:rsidRDefault="003862DE" w:rsidP="003862DE">
              <w:pPr>
                <w:pStyle w:val="Bibliography"/>
                <w:rPr>
                  <w:noProof/>
                </w:rPr>
              </w:pPr>
              <w:r>
                <w:rPr>
                  <w:noProof/>
                </w:rPr>
                <w:t xml:space="preserve">Guppy, N. et al., 2022. Teaching and learning under COVID-19 public health edicts: the role of household lockdowns and prior technology usage. </w:t>
              </w:r>
              <w:r>
                <w:rPr>
                  <w:i/>
                  <w:iCs/>
                  <w:noProof/>
                </w:rPr>
                <w:t xml:space="preserve">Higher Education, </w:t>
              </w:r>
              <w:r>
                <w:rPr>
                  <w:noProof/>
                </w:rPr>
                <w:t>Volume 84, pp. 487-504.</w:t>
              </w:r>
            </w:p>
            <w:p w14:paraId="04682C6C" w14:textId="77777777" w:rsidR="003862DE" w:rsidRDefault="003862DE" w:rsidP="003862DE">
              <w:pPr>
                <w:pStyle w:val="Bibliography"/>
                <w:rPr>
                  <w:noProof/>
                </w:rPr>
              </w:pPr>
              <w:r>
                <w:rPr>
                  <w:noProof/>
                </w:rPr>
                <w:t xml:space="preserve">Haynes, J., 2021. </w:t>
              </w:r>
              <w:r>
                <w:rPr>
                  <w:i/>
                  <w:iCs/>
                  <w:noProof/>
                </w:rPr>
                <w:t xml:space="preserve">Formative assessment that bites. </w:t>
              </w:r>
              <w:r>
                <w:rPr>
                  <w:noProof/>
                </w:rPr>
                <w:t xml:space="preserve">[Online] </w:t>
              </w:r>
              <w:r>
                <w:rPr>
                  <w:noProof/>
                </w:rPr>
                <w:br/>
                <w:t xml:space="preserve">Available at: </w:t>
              </w:r>
              <w:r>
                <w:rPr>
                  <w:noProof/>
                  <w:u w:val="single"/>
                </w:rPr>
                <w:t>https://salford-repository.worktribe.com/preview/1487196/Formative%20assessment%20that%20bites%20submission.pdf</w:t>
              </w:r>
              <w:r>
                <w:rPr>
                  <w:noProof/>
                </w:rPr>
                <w:br/>
                <w:t>[Accessed 22 April 2024].</w:t>
              </w:r>
            </w:p>
            <w:p w14:paraId="2B7CE5E8" w14:textId="77777777" w:rsidR="003862DE" w:rsidRDefault="003862DE" w:rsidP="003862DE">
              <w:pPr>
                <w:pStyle w:val="Bibliography"/>
                <w:rPr>
                  <w:noProof/>
                </w:rPr>
              </w:pPr>
              <w:r>
                <w:rPr>
                  <w:noProof/>
                </w:rPr>
                <w:t xml:space="preserve">Hébert, C., 2015. Knowing and/or experiencing: a critical examination of thereflective models of John Dewey and Donald Schön. </w:t>
              </w:r>
              <w:r>
                <w:rPr>
                  <w:i/>
                  <w:iCs/>
                  <w:noProof/>
                </w:rPr>
                <w:t xml:space="preserve">Reflective Practice, </w:t>
              </w:r>
              <w:r>
                <w:rPr>
                  <w:noProof/>
                </w:rPr>
                <w:t>16(3), p. 361–371.</w:t>
              </w:r>
            </w:p>
            <w:p w14:paraId="718CB15F" w14:textId="77777777" w:rsidR="003862DE" w:rsidRDefault="003862DE" w:rsidP="003862DE">
              <w:pPr>
                <w:pStyle w:val="Bibliography"/>
                <w:rPr>
                  <w:noProof/>
                </w:rPr>
              </w:pPr>
              <w:r>
                <w:rPr>
                  <w:noProof/>
                </w:rPr>
                <w:t xml:space="preserve">Holtrop, D. et al., 2024. Exploring VolunteerTurnover Reasons,Intentions, and Behavior. </w:t>
              </w:r>
              <w:r>
                <w:rPr>
                  <w:i/>
                  <w:iCs/>
                  <w:noProof/>
                </w:rPr>
                <w:t xml:space="preserve">Group &amp; Organization Management, </w:t>
              </w:r>
              <w:r>
                <w:rPr>
                  <w:noProof/>
                </w:rPr>
                <w:t>0(0), pp. 1-45.</w:t>
              </w:r>
            </w:p>
            <w:p w14:paraId="3D7D7D47" w14:textId="77777777" w:rsidR="003862DE" w:rsidRDefault="003862DE" w:rsidP="003862DE">
              <w:pPr>
                <w:pStyle w:val="Bibliography"/>
                <w:rPr>
                  <w:noProof/>
                </w:rPr>
              </w:pPr>
              <w:r>
                <w:rPr>
                  <w:noProof/>
                </w:rPr>
                <w:t xml:space="preserve">Hustinx, L., Grubb, A., Rameder, •. P. &amp; Shachar, I. Y., 2022. Inequality in Volunteering: Building a New Research Front. </w:t>
              </w:r>
              <w:r>
                <w:rPr>
                  <w:i/>
                  <w:iCs/>
                  <w:noProof/>
                </w:rPr>
                <w:t xml:space="preserve">Voluntas, </w:t>
              </w:r>
              <w:r>
                <w:rPr>
                  <w:noProof/>
                </w:rPr>
                <w:t>Volume 33, pp. 1-17.</w:t>
              </w:r>
            </w:p>
            <w:p w14:paraId="123BD8B3" w14:textId="77777777" w:rsidR="003862DE" w:rsidRDefault="003862DE" w:rsidP="003862DE">
              <w:pPr>
                <w:pStyle w:val="Bibliography"/>
                <w:rPr>
                  <w:noProof/>
                </w:rPr>
              </w:pPr>
              <w:r>
                <w:rPr>
                  <w:noProof/>
                </w:rPr>
                <w:lastRenderedPageBreak/>
                <w:t xml:space="preserve">Jackson, D. &amp; Bridgstock, R., 2021. What actually works to enhance graduate employability? The relative value of curricular,co-curricular, and extra-curricular learning and paid work. </w:t>
              </w:r>
              <w:r>
                <w:rPr>
                  <w:i/>
                  <w:iCs/>
                  <w:noProof/>
                </w:rPr>
                <w:t xml:space="preserve">Higher Education, </w:t>
              </w:r>
              <w:r>
                <w:rPr>
                  <w:noProof/>
                </w:rPr>
                <w:t>Volume 81, pp. 723-739.</w:t>
              </w:r>
            </w:p>
            <w:p w14:paraId="1CF4FE95" w14:textId="77777777" w:rsidR="003862DE" w:rsidRDefault="003862DE" w:rsidP="003862DE">
              <w:pPr>
                <w:pStyle w:val="Bibliography"/>
                <w:rPr>
                  <w:noProof/>
                </w:rPr>
              </w:pPr>
              <w:r>
                <w:rPr>
                  <w:noProof/>
                </w:rPr>
                <w:t xml:space="preserve">Lacerenza, C. N., Marlow, S. L., Tannenbaum, S. I. &amp; Salas, E., 2018. Team development interventions: Evidence-based approaches for improving teamwork.. </w:t>
              </w:r>
              <w:r>
                <w:rPr>
                  <w:i/>
                  <w:iCs/>
                  <w:noProof/>
                </w:rPr>
                <w:t xml:space="preserve">American Psychologist, </w:t>
              </w:r>
              <w:r>
                <w:rPr>
                  <w:noProof/>
                </w:rPr>
                <w:t>73(4), pp. 517-531.</w:t>
              </w:r>
            </w:p>
            <w:p w14:paraId="7DD74C67" w14:textId="77777777" w:rsidR="003862DE" w:rsidRDefault="003862DE" w:rsidP="003862DE">
              <w:pPr>
                <w:pStyle w:val="Bibliography"/>
                <w:rPr>
                  <w:noProof/>
                </w:rPr>
              </w:pPr>
              <w:r>
                <w:rPr>
                  <w:noProof/>
                </w:rPr>
                <w:t xml:space="preserve">Lawton, R. N., Gramatki, I., Watt, W. &amp; Fujiwara, D., 2021. Does Volunteering Make Us Happier, or Are Happier People More Likely to Volunteer? Addressing the Problem of Reverse Causality When Estimating the Wellbeing Impacts of Volunteering. </w:t>
              </w:r>
              <w:r>
                <w:rPr>
                  <w:i/>
                  <w:iCs/>
                  <w:noProof/>
                </w:rPr>
                <w:t xml:space="preserve">Journal of Happiness Studies , </w:t>
              </w:r>
              <w:r>
                <w:rPr>
                  <w:noProof/>
                </w:rPr>
                <w:t>Volume 22, pp. 599-624.</w:t>
              </w:r>
            </w:p>
            <w:p w14:paraId="479B070D" w14:textId="77777777" w:rsidR="003862DE" w:rsidRDefault="003862DE" w:rsidP="003862DE">
              <w:pPr>
                <w:pStyle w:val="Bibliography"/>
                <w:rPr>
                  <w:noProof/>
                </w:rPr>
              </w:pPr>
              <w:r>
                <w:rPr>
                  <w:noProof/>
                </w:rPr>
                <w:t xml:space="preserve">Lee, M. Y. &amp; Green, P. I., 2022. </w:t>
              </w:r>
              <w:r>
                <w:rPr>
                  <w:i/>
                  <w:iCs/>
                  <w:noProof/>
                </w:rPr>
                <w:t xml:space="preserve">Is Flat for Everyone? Investigating Who Thrives and Who Struggles in Decentralized Structures. </w:t>
              </w:r>
              <w:r>
                <w:rPr>
                  <w:noProof/>
                </w:rPr>
                <w:t xml:space="preserve">[Online] </w:t>
              </w:r>
              <w:r>
                <w:rPr>
                  <w:noProof/>
                </w:rPr>
                <w:br/>
                <w:t xml:space="preserve">Available at: </w:t>
              </w:r>
              <w:r>
                <w:rPr>
                  <w:noProof/>
                  <w:u w:val="single"/>
                </w:rPr>
                <w:t>https://papers.ssrn.com/sol3/papers.cfm?abstract_id=4077075</w:t>
              </w:r>
              <w:r>
                <w:rPr>
                  <w:noProof/>
                </w:rPr>
                <w:br/>
                <w:t>[Accessed 19 April 2024].</w:t>
              </w:r>
            </w:p>
            <w:p w14:paraId="216A4C79" w14:textId="77777777" w:rsidR="003862DE" w:rsidRDefault="003862DE" w:rsidP="003862DE">
              <w:pPr>
                <w:pStyle w:val="Bibliography"/>
                <w:rPr>
                  <w:noProof/>
                </w:rPr>
              </w:pPr>
              <w:r>
                <w:rPr>
                  <w:noProof/>
                </w:rPr>
                <w:t xml:space="preserve">Lindsey, R., Mohan, J., Bulloch, S. &amp; Metcalfe, E., 2018. Why people volunteer: contextualising motivation. In: R. Lindsey, J. Mohan, S. Bulloch &amp; E. Metcalfe, eds. </w:t>
              </w:r>
              <w:r>
                <w:rPr>
                  <w:i/>
                  <w:iCs/>
                  <w:noProof/>
                </w:rPr>
                <w:t xml:space="preserve">Continuity and change in voluntary action: Patterns, trends and understandings. </w:t>
              </w:r>
              <w:r>
                <w:rPr>
                  <w:noProof/>
                </w:rPr>
                <w:t>Bristol University Press: Bristol, pp. 113-132.</w:t>
              </w:r>
            </w:p>
            <w:p w14:paraId="06049421" w14:textId="77777777" w:rsidR="003862DE" w:rsidRDefault="003862DE" w:rsidP="003862DE">
              <w:pPr>
                <w:pStyle w:val="Bibliography"/>
                <w:rPr>
                  <w:noProof/>
                </w:rPr>
              </w:pPr>
              <w:r>
                <w:rPr>
                  <w:noProof/>
                </w:rPr>
                <w:t xml:space="preserve">Livi, S. et al., 2020. When motivation is not enough: Effects of prosociality and organizational socialization in volunteers’ intention to continue volunteering. </w:t>
              </w:r>
              <w:r>
                <w:rPr>
                  <w:i/>
                  <w:iCs/>
                  <w:noProof/>
                </w:rPr>
                <w:t xml:space="preserve">Journal of Community &amp; Applied Social Psychology, </w:t>
              </w:r>
              <w:r>
                <w:rPr>
                  <w:noProof/>
                </w:rPr>
                <w:t>30(3), pp. 247-338.</w:t>
              </w:r>
            </w:p>
            <w:p w14:paraId="78B3651D" w14:textId="77777777" w:rsidR="003862DE" w:rsidRDefault="003862DE" w:rsidP="003862DE">
              <w:pPr>
                <w:pStyle w:val="Bibliography"/>
                <w:rPr>
                  <w:noProof/>
                </w:rPr>
              </w:pPr>
              <w:r>
                <w:rPr>
                  <w:noProof/>
                </w:rPr>
                <w:t xml:space="preserve">Macnaught, L., 2020. Demystifying reflective writing in teacher education with semantic gravity. In: C. Windberg, S. McKenna &amp; K. Wilmot, eds. </w:t>
              </w:r>
              <w:r>
                <w:rPr>
                  <w:i/>
                  <w:iCs/>
                  <w:noProof/>
                </w:rPr>
                <w:t xml:space="preserve">Building knowledge in higher education: New directions in teaching and learning. </w:t>
              </w:r>
              <w:r>
                <w:rPr>
                  <w:noProof/>
                </w:rPr>
                <w:t>New York: Routledge, pp. 19-36.</w:t>
              </w:r>
            </w:p>
            <w:p w14:paraId="153B1368" w14:textId="77777777" w:rsidR="003862DE" w:rsidRDefault="003862DE" w:rsidP="003862DE">
              <w:pPr>
                <w:pStyle w:val="Bibliography"/>
                <w:rPr>
                  <w:noProof/>
                </w:rPr>
              </w:pPr>
              <w:r>
                <w:rPr>
                  <w:noProof/>
                </w:rPr>
                <w:t xml:space="preserve">McCormick, L. &amp; Donohue, R., 2019. Antecedents of affective and normative commitment of organisational volunteers. </w:t>
              </w:r>
              <w:r>
                <w:rPr>
                  <w:i/>
                  <w:iCs/>
                  <w:noProof/>
                </w:rPr>
                <w:t xml:space="preserve">The InternatIonal Journal of Human Resource Management, </w:t>
              </w:r>
              <w:r>
                <w:rPr>
                  <w:noProof/>
                </w:rPr>
                <w:t>30(18), pp. 2581-2604.</w:t>
              </w:r>
            </w:p>
            <w:p w14:paraId="166438A7" w14:textId="77777777" w:rsidR="003862DE" w:rsidRDefault="003862DE" w:rsidP="003862DE">
              <w:pPr>
                <w:pStyle w:val="Bibliography"/>
                <w:rPr>
                  <w:noProof/>
                </w:rPr>
              </w:pPr>
              <w:r>
                <w:rPr>
                  <w:noProof/>
                </w:rPr>
                <w:t xml:space="preserve">McQuaid, R. W. &amp; Lindsay, C., 2005. The Concept of Employability. </w:t>
              </w:r>
              <w:r>
                <w:rPr>
                  <w:i/>
                  <w:iCs/>
                  <w:noProof/>
                </w:rPr>
                <w:t xml:space="preserve">Urban Studies, </w:t>
              </w:r>
              <w:r>
                <w:rPr>
                  <w:noProof/>
                </w:rPr>
                <w:t>42(2), pp. 197-219.</w:t>
              </w:r>
            </w:p>
            <w:p w14:paraId="1DDE172B" w14:textId="77777777" w:rsidR="003862DE" w:rsidRDefault="003862DE" w:rsidP="003862DE">
              <w:pPr>
                <w:pStyle w:val="Bibliography"/>
                <w:rPr>
                  <w:noProof/>
                </w:rPr>
              </w:pPr>
              <w:r>
                <w:rPr>
                  <w:noProof/>
                </w:rPr>
                <w:t xml:space="preserve">Mitchell, S., 2006. Socratic Dialogue, the Humanities and the Art of the Question. </w:t>
              </w:r>
              <w:r>
                <w:rPr>
                  <w:i/>
                  <w:iCs/>
                  <w:noProof/>
                </w:rPr>
                <w:t xml:space="preserve">Arts &amp; Humanities in Higher Education, </w:t>
              </w:r>
              <w:r>
                <w:rPr>
                  <w:noProof/>
                </w:rPr>
                <w:t>5(2), pp. 181-197.</w:t>
              </w:r>
            </w:p>
            <w:p w14:paraId="6C2B7E72" w14:textId="77777777" w:rsidR="003862DE" w:rsidRDefault="003862DE" w:rsidP="003862DE">
              <w:pPr>
                <w:pStyle w:val="Bibliography"/>
                <w:rPr>
                  <w:noProof/>
                </w:rPr>
              </w:pPr>
              <w:r>
                <w:rPr>
                  <w:noProof/>
                </w:rPr>
                <w:t xml:space="preserve">Naicker, K. &amp; Rensburg, G. H. v., 2018. Facilitation of Reflective Learning in Nursing: Reflective Teaching Practices of Educators. </w:t>
              </w:r>
              <w:r>
                <w:rPr>
                  <w:i/>
                  <w:iCs/>
                  <w:noProof/>
                </w:rPr>
                <w:t xml:space="preserve">Africa Journal of Nursing and Midwifery, </w:t>
              </w:r>
              <w:r>
                <w:rPr>
                  <w:noProof/>
                </w:rPr>
                <w:t>20(2), pp. 2-14.</w:t>
              </w:r>
            </w:p>
            <w:p w14:paraId="5B9ED399" w14:textId="77777777" w:rsidR="003862DE" w:rsidRDefault="003862DE" w:rsidP="003862DE">
              <w:pPr>
                <w:pStyle w:val="Bibliography"/>
                <w:rPr>
                  <w:noProof/>
                </w:rPr>
              </w:pPr>
              <w:r>
                <w:rPr>
                  <w:noProof/>
                </w:rPr>
                <w:t xml:space="preserve">Nickerson, C., 2024. </w:t>
              </w:r>
              <w:r>
                <w:rPr>
                  <w:i/>
                  <w:iCs/>
                  <w:noProof/>
                </w:rPr>
                <w:t xml:space="preserve">Leadership Styles And Frameworks You Should Know. </w:t>
              </w:r>
              <w:r>
                <w:rPr>
                  <w:noProof/>
                </w:rPr>
                <w:t xml:space="preserve">[Online] </w:t>
              </w:r>
              <w:r>
                <w:rPr>
                  <w:noProof/>
                </w:rPr>
                <w:br/>
                <w:t xml:space="preserve">Available at: </w:t>
              </w:r>
              <w:r>
                <w:rPr>
                  <w:noProof/>
                  <w:u w:val="single"/>
                </w:rPr>
                <w:t>https://www.simplypsychology.org/leadership-styles.html</w:t>
              </w:r>
              <w:r>
                <w:rPr>
                  <w:noProof/>
                </w:rPr>
                <w:br/>
                <w:t>[Accessed 22 April 2024].</w:t>
              </w:r>
            </w:p>
            <w:p w14:paraId="77287BE8" w14:textId="77777777" w:rsidR="003862DE" w:rsidRDefault="003862DE" w:rsidP="003862DE">
              <w:pPr>
                <w:pStyle w:val="Bibliography"/>
                <w:rPr>
                  <w:noProof/>
                </w:rPr>
              </w:pPr>
              <w:r>
                <w:rPr>
                  <w:noProof/>
                </w:rPr>
                <w:t xml:space="preserve">Nielsen, D., Ballantyne, E., Murad, F. &amp; Fournier, M., 2022. </w:t>
              </w:r>
              <w:r>
                <w:rPr>
                  <w:i/>
                  <w:iCs/>
                  <w:noProof/>
                </w:rPr>
                <w:t xml:space="preserve">Getting Ready for Work-Integrated Learning. </w:t>
              </w:r>
              <w:r>
                <w:rPr>
                  <w:noProof/>
                </w:rPr>
                <w:t>Victoria: BCcampus.</w:t>
              </w:r>
            </w:p>
            <w:p w14:paraId="67265FA0" w14:textId="77777777" w:rsidR="003862DE" w:rsidRDefault="003862DE" w:rsidP="003862DE">
              <w:pPr>
                <w:pStyle w:val="Bibliography"/>
                <w:rPr>
                  <w:noProof/>
                </w:rPr>
              </w:pPr>
              <w:r>
                <w:rPr>
                  <w:noProof/>
                </w:rPr>
                <w:lastRenderedPageBreak/>
                <w:t xml:space="preserve">Office for National Statistics, 2023. </w:t>
              </w:r>
              <w:r>
                <w:rPr>
                  <w:i/>
                  <w:iCs/>
                  <w:noProof/>
                </w:rPr>
                <w:t xml:space="preserve">Young people not in education, employment or training (NEET), UK: February 2023. </w:t>
              </w:r>
              <w:r>
                <w:rPr>
                  <w:noProof/>
                </w:rPr>
                <w:t xml:space="preserve">[Online] </w:t>
              </w:r>
              <w:r>
                <w:rPr>
                  <w:noProof/>
                </w:rPr>
                <w:br/>
                <w:t xml:space="preserve">Available at: </w:t>
              </w:r>
              <w:r>
                <w:rPr>
                  <w:noProof/>
                  <w:u w:val="single"/>
                </w:rPr>
                <w:t>https://www.ons.gov.uk/employmentandlabourmarket/peoplenotinwork/unemployment/bulletins/youngpeoplenotineducationemploymentortrainingneet/february2023#:~:text=For%20this%20release%2C%20young%20people,and%2023%20to%2024%20years.</w:t>
              </w:r>
              <w:r>
                <w:rPr>
                  <w:noProof/>
                </w:rPr>
                <w:br/>
                <w:t>[Accessed 15 December 2023].</w:t>
              </w:r>
            </w:p>
            <w:p w14:paraId="462F7024" w14:textId="77777777" w:rsidR="003862DE" w:rsidRDefault="003862DE" w:rsidP="003862DE">
              <w:pPr>
                <w:pStyle w:val="Bibliography"/>
                <w:rPr>
                  <w:noProof/>
                </w:rPr>
              </w:pPr>
              <w:r>
                <w:rPr>
                  <w:noProof/>
                </w:rPr>
                <w:t xml:space="preserve">Ornellas, A., Falkner, K. &amp; Stålbrandt, E. E., 2019. Enhancing graduates’ employability skills through authentic learning approaches. </w:t>
              </w:r>
              <w:r>
                <w:rPr>
                  <w:i/>
                  <w:iCs/>
                  <w:noProof/>
                </w:rPr>
                <w:t xml:space="preserve">Higher Education, Skills and Work-Based Learning, </w:t>
              </w:r>
              <w:r>
                <w:rPr>
                  <w:noProof/>
                </w:rPr>
                <w:t>9(1), pp. 107-120.</w:t>
              </w:r>
            </w:p>
            <w:p w14:paraId="24EDE7F3" w14:textId="77777777" w:rsidR="003862DE" w:rsidRDefault="003862DE" w:rsidP="003862DE">
              <w:pPr>
                <w:pStyle w:val="Bibliography"/>
                <w:rPr>
                  <w:noProof/>
                </w:rPr>
              </w:pPr>
              <w:r>
                <w:rPr>
                  <w:noProof/>
                </w:rPr>
                <w:t xml:space="preserve">Patterson, D., 2022. </w:t>
              </w:r>
              <w:r>
                <w:rPr>
                  <w:i/>
                  <w:iCs/>
                  <w:noProof/>
                </w:rPr>
                <w:t xml:space="preserve">STRATEGIC PROJECT MANAGEMENT: THEORY AND PRACTICE FOR HUMAN RESOURCE PROFESSIONALS. </w:t>
              </w:r>
              <w:r>
                <w:rPr>
                  <w:noProof/>
                </w:rPr>
                <w:t>London: Fanshawe College Pressbooks.</w:t>
              </w:r>
            </w:p>
            <w:p w14:paraId="55E82B12" w14:textId="77777777" w:rsidR="003862DE" w:rsidRDefault="003862DE" w:rsidP="003862DE">
              <w:pPr>
                <w:pStyle w:val="Bibliography"/>
                <w:rPr>
                  <w:noProof/>
                </w:rPr>
              </w:pPr>
              <w:r>
                <w:rPr>
                  <w:noProof/>
                </w:rPr>
                <w:t xml:space="preserve">Pfutzenreutera, T. C., Lima, E. P. d. &amp; Frega, J. R., 2021. High performance teams: an investigation of the effect on self-management towards performance. </w:t>
              </w:r>
              <w:r>
                <w:rPr>
                  <w:i/>
                  <w:iCs/>
                  <w:noProof/>
                </w:rPr>
                <w:t xml:space="preserve">Production, </w:t>
              </w:r>
              <w:r>
                <w:rPr>
                  <w:noProof/>
                </w:rPr>
                <w:t>Volume 31, pp. 1-14.</w:t>
              </w:r>
            </w:p>
            <w:p w14:paraId="46C92A8E" w14:textId="77777777" w:rsidR="003862DE" w:rsidRDefault="003862DE" w:rsidP="003862DE">
              <w:pPr>
                <w:pStyle w:val="Bibliography"/>
                <w:rPr>
                  <w:noProof/>
                </w:rPr>
              </w:pPr>
              <w:r>
                <w:rPr>
                  <w:noProof/>
                </w:rPr>
                <w:t xml:space="preserve">Power, R. L., 2013. Leader-Member Exchange Theory in Higher and Distance Education. </w:t>
              </w:r>
              <w:r>
                <w:rPr>
                  <w:i/>
                  <w:iCs/>
                  <w:noProof/>
                </w:rPr>
                <w:t xml:space="preserve">International Review of Research in Open and Distributed Learning, </w:t>
              </w:r>
              <w:r>
                <w:rPr>
                  <w:noProof/>
                </w:rPr>
                <w:t>14(4), pp. 277-284.</w:t>
              </w:r>
            </w:p>
            <w:p w14:paraId="2E725B56" w14:textId="77777777" w:rsidR="003862DE" w:rsidRDefault="003862DE" w:rsidP="003862DE">
              <w:pPr>
                <w:pStyle w:val="Bibliography"/>
                <w:rPr>
                  <w:noProof/>
                </w:rPr>
              </w:pPr>
              <w:r>
                <w:rPr>
                  <w:noProof/>
                </w:rPr>
                <w:t xml:space="preserve">Robinson, J., 2022. </w:t>
              </w:r>
              <w:r>
                <w:rPr>
                  <w:i/>
                  <w:iCs/>
                  <w:noProof/>
                </w:rPr>
                <w:t xml:space="preserve">Meticulous Explanation of Driscoll Model of Reflection. </w:t>
              </w:r>
              <w:r>
                <w:rPr>
                  <w:noProof/>
                </w:rPr>
                <w:t xml:space="preserve">[Online] </w:t>
              </w:r>
              <w:r>
                <w:rPr>
                  <w:noProof/>
                </w:rPr>
                <w:br/>
                <w:t xml:space="preserve">Available at: </w:t>
              </w:r>
              <w:r>
                <w:rPr>
                  <w:noProof/>
                  <w:u w:val="single"/>
                </w:rPr>
                <w:t>https://crowjack.com/blog/strategy/reflection-models/driscoll-model-of-reflection</w:t>
              </w:r>
              <w:r>
                <w:rPr>
                  <w:noProof/>
                </w:rPr>
                <w:br/>
                <w:t>[Accessed 21 April 2024].</w:t>
              </w:r>
            </w:p>
            <w:p w14:paraId="7426AC3C" w14:textId="77777777" w:rsidR="003862DE" w:rsidRDefault="003862DE" w:rsidP="003862DE">
              <w:pPr>
                <w:pStyle w:val="Bibliography"/>
                <w:rPr>
                  <w:noProof/>
                </w:rPr>
              </w:pPr>
              <w:r>
                <w:rPr>
                  <w:noProof/>
                </w:rPr>
                <w:t xml:space="preserve">Rochester, C., 2021. TRENDS IN VOLUNTEERING. In: K. Holmes, L. Lockstone-Binney, K. A. Smith &amp; R. Shipway, eds. </w:t>
              </w:r>
              <w:r>
                <w:rPr>
                  <w:i/>
                  <w:iCs/>
                  <w:noProof/>
                </w:rPr>
                <w:t xml:space="preserve">The Routledge Handbook of Volunteering in Events, Sport and Tourism. </w:t>
              </w:r>
              <w:r>
                <w:rPr>
                  <w:noProof/>
                </w:rPr>
                <w:t>Abingdon: Routledge, pp. 460-472.</w:t>
              </w:r>
            </w:p>
            <w:p w14:paraId="0AAA6A45" w14:textId="77777777" w:rsidR="003862DE" w:rsidRDefault="003862DE" w:rsidP="003862DE">
              <w:pPr>
                <w:pStyle w:val="Bibliography"/>
                <w:rPr>
                  <w:noProof/>
                </w:rPr>
              </w:pPr>
              <w:r>
                <w:rPr>
                  <w:noProof/>
                </w:rPr>
                <w:t xml:space="preserve">Rojas, R. R., 2021. Enhancing Organizational Workgroups: A Relational View of Tuckman’s Team Development Model. </w:t>
              </w:r>
              <w:r>
                <w:rPr>
                  <w:i/>
                  <w:iCs/>
                  <w:noProof/>
                </w:rPr>
                <w:t xml:space="preserve">Organizational Cultures, </w:t>
              </w:r>
              <w:r>
                <w:rPr>
                  <w:noProof/>
                </w:rPr>
                <w:t>21(2), pp. 103-117.</w:t>
              </w:r>
            </w:p>
            <w:p w14:paraId="46BB7EE8" w14:textId="77777777" w:rsidR="003862DE" w:rsidRDefault="003862DE" w:rsidP="003862DE">
              <w:pPr>
                <w:pStyle w:val="Bibliography"/>
                <w:rPr>
                  <w:noProof/>
                </w:rPr>
              </w:pPr>
              <w:r>
                <w:rPr>
                  <w:noProof/>
                </w:rPr>
                <w:t xml:space="preserve">Römgens, I., Scoupe, R. &amp; Beausaert, S., 2020. Unraveling the concept of employability, bringing together research on employability in higher education and the workplace. </w:t>
              </w:r>
              <w:r>
                <w:rPr>
                  <w:i/>
                  <w:iCs/>
                  <w:noProof/>
                </w:rPr>
                <w:t xml:space="preserve">Studies in Higher Education, </w:t>
              </w:r>
              <w:r>
                <w:rPr>
                  <w:noProof/>
                </w:rPr>
                <w:t>45(12), pp. 2588-2603.</w:t>
              </w:r>
            </w:p>
            <w:p w14:paraId="220059B5" w14:textId="77777777" w:rsidR="003862DE" w:rsidRDefault="003862DE" w:rsidP="003862DE">
              <w:pPr>
                <w:pStyle w:val="Bibliography"/>
                <w:rPr>
                  <w:noProof/>
                </w:rPr>
              </w:pPr>
              <w:r>
                <w:rPr>
                  <w:noProof/>
                </w:rPr>
                <w:t xml:space="preserve">Roy, L. T., 2019. A Team Approach to Professional Development and Accountability. </w:t>
              </w:r>
              <w:r>
                <w:rPr>
                  <w:i/>
                  <w:iCs/>
                  <w:noProof/>
                </w:rPr>
                <w:t xml:space="preserve">PROFESSIONAL DEVELOPMENT, </w:t>
              </w:r>
              <w:r>
                <w:rPr>
                  <w:noProof/>
                </w:rPr>
                <w:t>Volume 47, pp. 332-335.</w:t>
              </w:r>
            </w:p>
            <w:p w14:paraId="027E3CEA" w14:textId="77777777" w:rsidR="003862DE" w:rsidRDefault="003862DE" w:rsidP="003862DE">
              <w:pPr>
                <w:pStyle w:val="Bibliography"/>
                <w:rPr>
                  <w:noProof/>
                </w:rPr>
              </w:pPr>
              <w:r>
                <w:rPr>
                  <w:noProof/>
                </w:rPr>
                <w:t xml:space="preserve">Sadusky, A., Reupert, A. E., Freeman, N. C. &amp; Berger, E. P., 2021. Diagnosing adults with dyslexia: Psychologists'experiences and practices. </w:t>
              </w:r>
              <w:r>
                <w:rPr>
                  <w:i/>
                  <w:iCs/>
                  <w:noProof/>
                </w:rPr>
                <w:t xml:space="preserve">Dyslexia, </w:t>
              </w:r>
              <w:r>
                <w:rPr>
                  <w:noProof/>
                </w:rPr>
                <w:t>Volume 27, pp. 468-485.</w:t>
              </w:r>
            </w:p>
            <w:p w14:paraId="3FF38D69" w14:textId="77777777" w:rsidR="003862DE" w:rsidRDefault="003862DE" w:rsidP="003862DE">
              <w:pPr>
                <w:pStyle w:val="Bibliography"/>
                <w:rPr>
                  <w:noProof/>
                </w:rPr>
              </w:pPr>
              <w:r>
                <w:rPr>
                  <w:noProof/>
                </w:rPr>
                <w:t xml:space="preserve">Schyns, B. &amp; Day, D., 2010. Critique and review of leader–member exchange theory: Issues of agreement, consensus, and excellence. </w:t>
              </w:r>
              <w:r>
                <w:rPr>
                  <w:i/>
                  <w:iCs/>
                  <w:noProof/>
                </w:rPr>
                <w:t xml:space="preserve">EUROPEAN JOURNAL OF WORK AND ORGANIZATIONAL PSYCHOLOGY, </w:t>
              </w:r>
              <w:r>
                <w:rPr>
                  <w:noProof/>
                </w:rPr>
                <w:t>19(1), pp. 1-29.</w:t>
              </w:r>
            </w:p>
            <w:p w14:paraId="7D84DC05" w14:textId="77777777" w:rsidR="003862DE" w:rsidRDefault="003862DE" w:rsidP="003862DE">
              <w:pPr>
                <w:pStyle w:val="Bibliography"/>
                <w:rPr>
                  <w:noProof/>
                </w:rPr>
              </w:pPr>
              <w:r>
                <w:rPr>
                  <w:noProof/>
                </w:rPr>
                <w:lastRenderedPageBreak/>
                <w:t>Shrivastava, S. R. &amp; Shrivastava, P. S., 2023. The Fallacy of Learning Styles in Medical Education: An Evidence</w:t>
              </w:r>
              <w:r>
                <w:rPr>
                  <w:noProof/>
                </w:rPr>
                <w:noBreakHyphen/>
                <w:t xml:space="preserve">Based Critique. </w:t>
              </w:r>
              <w:r>
                <w:rPr>
                  <w:i/>
                  <w:iCs/>
                  <w:noProof/>
                </w:rPr>
                <w:t xml:space="preserve">Archives of Medicine and Health Sciences, </w:t>
              </w:r>
              <w:r>
                <w:rPr>
                  <w:noProof/>
                </w:rPr>
                <w:t>Volume 0, pp. 1-3.</w:t>
              </w:r>
            </w:p>
            <w:p w14:paraId="6CF9ABB7" w14:textId="77777777" w:rsidR="003862DE" w:rsidRDefault="003862DE" w:rsidP="003862DE">
              <w:pPr>
                <w:pStyle w:val="Bibliography"/>
                <w:rPr>
                  <w:noProof/>
                </w:rPr>
              </w:pPr>
              <w:r>
                <w:rPr>
                  <w:noProof/>
                </w:rPr>
                <w:t xml:space="preserve">Southby, K., South, J. &amp; Bagnall, A.-M., 2019. A Rapid Review of Barriers to Volunteering for Potentially Disadvantaged Groups and Implications for Health Inequalities. </w:t>
              </w:r>
              <w:r>
                <w:rPr>
                  <w:i/>
                  <w:iCs/>
                  <w:noProof/>
                </w:rPr>
                <w:t xml:space="preserve">Voluntas, </w:t>
              </w:r>
              <w:r>
                <w:rPr>
                  <w:noProof/>
                </w:rPr>
                <w:t>Volume 30, pp. 907-920.</w:t>
              </w:r>
            </w:p>
            <w:p w14:paraId="413D8E15" w14:textId="77777777" w:rsidR="003862DE" w:rsidRDefault="003862DE" w:rsidP="003862DE">
              <w:pPr>
                <w:pStyle w:val="Bibliography"/>
                <w:rPr>
                  <w:noProof/>
                </w:rPr>
              </w:pPr>
              <w:r>
                <w:rPr>
                  <w:noProof/>
                </w:rPr>
                <w:t xml:space="preserve">The Scout Association, 2023. </w:t>
              </w:r>
              <w:r>
                <w:rPr>
                  <w:i/>
                  <w:iCs/>
                  <w:noProof/>
                </w:rPr>
                <w:t xml:space="preserve">Policy, Organisation and Rules Chapter 16. </w:t>
              </w:r>
              <w:r>
                <w:rPr>
                  <w:noProof/>
                </w:rPr>
                <w:t xml:space="preserve">[Online] </w:t>
              </w:r>
              <w:r>
                <w:rPr>
                  <w:noProof/>
                </w:rPr>
                <w:br/>
                <w:t xml:space="preserve">Available at: </w:t>
              </w:r>
              <w:r>
                <w:rPr>
                  <w:noProof/>
                  <w:u w:val="single"/>
                </w:rPr>
                <w:t>https://www.scouts.org.uk/por/16-adult-roles/</w:t>
              </w:r>
              <w:r>
                <w:rPr>
                  <w:noProof/>
                </w:rPr>
                <w:br/>
                <w:t>[Accessed 15 December 2023].</w:t>
              </w:r>
            </w:p>
            <w:p w14:paraId="7180862E" w14:textId="77777777" w:rsidR="003862DE" w:rsidRDefault="003862DE" w:rsidP="003862DE">
              <w:pPr>
                <w:pStyle w:val="Bibliography"/>
                <w:rPr>
                  <w:noProof/>
                </w:rPr>
              </w:pPr>
              <w:r>
                <w:rPr>
                  <w:noProof/>
                </w:rPr>
                <w:t xml:space="preserve">The Scout Association, 2024 a. </w:t>
              </w:r>
              <w:r>
                <w:rPr>
                  <w:i/>
                  <w:iCs/>
                  <w:noProof/>
                </w:rPr>
                <w:t xml:space="preserve">Volunteer with Scouts. </w:t>
              </w:r>
              <w:r>
                <w:rPr>
                  <w:noProof/>
                </w:rPr>
                <w:t xml:space="preserve">[Online] </w:t>
              </w:r>
              <w:r>
                <w:rPr>
                  <w:noProof/>
                </w:rPr>
                <w:br/>
                <w:t xml:space="preserve">Available at: </w:t>
              </w:r>
              <w:r>
                <w:rPr>
                  <w:noProof/>
                  <w:u w:val="single"/>
                </w:rPr>
                <w:t>https://www.scouts.org.uk/volunteer/volunteering-with-scouts/</w:t>
              </w:r>
              <w:r>
                <w:rPr>
                  <w:noProof/>
                </w:rPr>
                <w:br/>
                <w:t>[Accessed 28 March 2024].</w:t>
              </w:r>
            </w:p>
            <w:p w14:paraId="6AA888A5" w14:textId="77777777" w:rsidR="003862DE" w:rsidRDefault="003862DE" w:rsidP="003862DE">
              <w:pPr>
                <w:pStyle w:val="Bibliography"/>
                <w:rPr>
                  <w:noProof/>
                </w:rPr>
              </w:pPr>
              <w:r>
                <w:rPr>
                  <w:noProof/>
                </w:rPr>
                <w:t xml:space="preserve">The Scout Association, 2024 b. </w:t>
              </w:r>
              <w:r>
                <w:rPr>
                  <w:i/>
                  <w:iCs/>
                  <w:noProof/>
                </w:rPr>
                <w:t xml:space="preserve">Transforming our volunteer experience. </w:t>
              </w:r>
              <w:r>
                <w:rPr>
                  <w:noProof/>
                </w:rPr>
                <w:t xml:space="preserve">[Online] </w:t>
              </w:r>
              <w:r>
                <w:rPr>
                  <w:noProof/>
                </w:rPr>
                <w:br/>
                <w:t xml:space="preserve">Available at: </w:t>
              </w:r>
              <w:r>
                <w:rPr>
                  <w:noProof/>
                  <w:u w:val="single"/>
                </w:rPr>
                <w:t>https://www.scouts.org.uk/volunteers/volunteer-experience/</w:t>
              </w:r>
              <w:r>
                <w:rPr>
                  <w:noProof/>
                </w:rPr>
                <w:br/>
                <w:t>[Accessed 28 March 2024].</w:t>
              </w:r>
            </w:p>
            <w:p w14:paraId="5E8F1E8C" w14:textId="77777777" w:rsidR="003862DE" w:rsidRDefault="003862DE" w:rsidP="003862DE">
              <w:pPr>
                <w:pStyle w:val="Bibliography"/>
                <w:rPr>
                  <w:noProof/>
                </w:rPr>
              </w:pPr>
              <w:r>
                <w:rPr>
                  <w:noProof/>
                </w:rPr>
                <w:t xml:space="preserve">The Scout Association, 2024 c. </w:t>
              </w:r>
              <w:r>
                <w:rPr>
                  <w:i/>
                  <w:iCs/>
                  <w:noProof/>
                </w:rPr>
                <w:t xml:space="preserve">Gain skills for life. </w:t>
              </w:r>
              <w:r>
                <w:rPr>
                  <w:noProof/>
                </w:rPr>
                <w:t xml:space="preserve">[Online] </w:t>
              </w:r>
              <w:r>
                <w:rPr>
                  <w:noProof/>
                </w:rPr>
                <w:br/>
                <w:t xml:space="preserve">Available at: </w:t>
              </w:r>
              <w:r>
                <w:rPr>
                  <w:noProof/>
                  <w:u w:val="single"/>
                </w:rPr>
                <w:t>https://www.scouts.org.uk/information-for-parents/gain-skills-for-life/</w:t>
              </w:r>
              <w:r>
                <w:rPr>
                  <w:noProof/>
                </w:rPr>
                <w:br/>
                <w:t>[Accessed 11 April 2024].</w:t>
              </w:r>
            </w:p>
            <w:p w14:paraId="3393BD52" w14:textId="77777777" w:rsidR="003862DE" w:rsidRDefault="003862DE" w:rsidP="003862DE">
              <w:pPr>
                <w:pStyle w:val="Bibliography"/>
                <w:rPr>
                  <w:noProof/>
                </w:rPr>
              </w:pPr>
              <w:r>
                <w:rPr>
                  <w:noProof/>
                </w:rPr>
                <w:t xml:space="preserve">Thompson, L. J., Clark, G., Walker, M. &amp; Whyatt, J. D., 2013. ‘It’s just like an extra string to your bow’: Exploring higher education students’ perceptions and experiences of extracurricular activity and employability. </w:t>
              </w:r>
              <w:r>
                <w:rPr>
                  <w:i/>
                  <w:iCs/>
                  <w:noProof/>
                </w:rPr>
                <w:t xml:space="preserve">Active Learning in Higher Education, </w:t>
              </w:r>
              <w:r>
                <w:rPr>
                  <w:noProof/>
                </w:rPr>
                <w:t>14(2), pp. 135-147.</w:t>
              </w:r>
            </w:p>
            <w:p w14:paraId="45D2D22C" w14:textId="77777777" w:rsidR="003862DE" w:rsidRDefault="003862DE" w:rsidP="003862DE">
              <w:pPr>
                <w:pStyle w:val="Bibliography"/>
                <w:rPr>
                  <w:noProof/>
                </w:rPr>
              </w:pPr>
              <w:r>
                <w:rPr>
                  <w:noProof/>
                </w:rPr>
                <w:t xml:space="preserve">Trainer, H. M. et al., 2020. Team Membership Change "Events": A Review and Reconceptualization. </w:t>
              </w:r>
              <w:r>
                <w:rPr>
                  <w:i/>
                  <w:iCs/>
                  <w:noProof/>
                </w:rPr>
                <w:t xml:space="preserve">Group &amp; Organization Management, </w:t>
              </w:r>
              <w:r>
                <w:rPr>
                  <w:noProof/>
                </w:rPr>
                <w:t>45(2), pp. 219-251.</w:t>
              </w:r>
            </w:p>
            <w:p w14:paraId="43D5C497" w14:textId="77777777" w:rsidR="003862DE" w:rsidRDefault="003862DE" w:rsidP="003862DE">
              <w:pPr>
                <w:pStyle w:val="Bibliography"/>
                <w:rPr>
                  <w:noProof/>
                </w:rPr>
              </w:pPr>
              <w:r>
                <w:rPr>
                  <w:noProof/>
                </w:rPr>
                <w:t xml:space="preserve">Tripathy, M., 2018. Building Quality Teamwork to Achieve Excellence in Business Orgnizations. </w:t>
              </w:r>
              <w:r>
                <w:rPr>
                  <w:i/>
                  <w:iCs/>
                  <w:noProof/>
                </w:rPr>
                <w:t xml:space="preserve">International Research Journal of Management, IT &amp; Social Sciences, </w:t>
              </w:r>
              <w:r>
                <w:rPr>
                  <w:noProof/>
                </w:rPr>
                <w:t>5(3), pp. 1-7.</w:t>
              </w:r>
            </w:p>
            <w:p w14:paraId="7AE3B031" w14:textId="77777777" w:rsidR="003862DE" w:rsidRDefault="003862DE" w:rsidP="003862DE">
              <w:pPr>
                <w:pStyle w:val="Bibliography"/>
                <w:rPr>
                  <w:noProof/>
                </w:rPr>
              </w:pPr>
              <w:r>
                <w:rPr>
                  <w:noProof/>
                </w:rPr>
                <w:t xml:space="preserve">Tuckman, B. W. &amp; Jensen, M. A. C., 1977. Stages of Small-Group Development Revisited. </w:t>
              </w:r>
              <w:r>
                <w:rPr>
                  <w:i/>
                  <w:iCs/>
                  <w:noProof/>
                </w:rPr>
                <w:t xml:space="preserve">Group and Organization Studies, </w:t>
              </w:r>
              <w:r>
                <w:rPr>
                  <w:noProof/>
                </w:rPr>
                <w:t>2(4), pp. 419-427.</w:t>
              </w:r>
            </w:p>
            <w:p w14:paraId="0BEB31C1" w14:textId="77777777" w:rsidR="003862DE" w:rsidRDefault="003862DE" w:rsidP="003862DE">
              <w:pPr>
                <w:pStyle w:val="Bibliography"/>
                <w:rPr>
                  <w:noProof/>
                </w:rPr>
              </w:pPr>
              <w:r>
                <w:rPr>
                  <w:noProof/>
                </w:rPr>
                <w:t xml:space="preserve">Turpie, C., 2024. </w:t>
              </w:r>
              <w:r>
                <w:rPr>
                  <w:i/>
                  <w:iCs/>
                  <w:noProof/>
                </w:rPr>
                <w:t xml:space="preserve">Why are we transforming volunteering?. </w:t>
              </w:r>
              <w:r>
                <w:rPr>
                  <w:noProof/>
                </w:rPr>
                <w:t>Cardiff, The Scout Association.</w:t>
              </w:r>
            </w:p>
            <w:p w14:paraId="58E06698" w14:textId="77777777" w:rsidR="003862DE" w:rsidRDefault="003862DE" w:rsidP="003862DE">
              <w:pPr>
                <w:pStyle w:val="Bibliography"/>
                <w:rPr>
                  <w:noProof/>
                </w:rPr>
              </w:pPr>
              <w:r>
                <w:rPr>
                  <w:noProof/>
                </w:rPr>
                <w:t xml:space="preserve">UK Government, 2023. </w:t>
              </w:r>
              <w:r>
                <w:rPr>
                  <w:i/>
                  <w:iCs/>
                  <w:noProof/>
                </w:rPr>
                <w:t xml:space="preserve">Volunteering. </w:t>
              </w:r>
              <w:r>
                <w:rPr>
                  <w:noProof/>
                </w:rPr>
                <w:t xml:space="preserve">[Online] </w:t>
              </w:r>
              <w:r>
                <w:rPr>
                  <w:noProof/>
                </w:rPr>
                <w:br/>
                <w:t xml:space="preserve">Available at: </w:t>
              </w:r>
              <w:r>
                <w:rPr>
                  <w:noProof/>
                  <w:u w:val="single"/>
                </w:rPr>
                <w:t>https://www.ethnicity-facts-figures.service.gov.uk/culture-and-community/civic-participation/volunteering/latest/</w:t>
              </w:r>
              <w:r>
                <w:rPr>
                  <w:noProof/>
                </w:rPr>
                <w:br/>
                <w:t>[Accessed 27 March 2024].</w:t>
              </w:r>
            </w:p>
            <w:p w14:paraId="33CCB8E0" w14:textId="77777777" w:rsidR="003862DE" w:rsidRDefault="003862DE" w:rsidP="003862DE">
              <w:pPr>
                <w:pStyle w:val="Bibliography"/>
                <w:rPr>
                  <w:noProof/>
                </w:rPr>
              </w:pPr>
              <w:r>
                <w:rPr>
                  <w:noProof/>
                </w:rPr>
                <w:t xml:space="preserve">United Nations, 2023. </w:t>
              </w:r>
              <w:r>
                <w:rPr>
                  <w:i/>
                  <w:iCs/>
                  <w:noProof/>
                </w:rPr>
                <w:t xml:space="preserve">Youth. </w:t>
              </w:r>
              <w:r>
                <w:rPr>
                  <w:noProof/>
                </w:rPr>
                <w:t xml:space="preserve">[Online] </w:t>
              </w:r>
              <w:r>
                <w:rPr>
                  <w:noProof/>
                </w:rPr>
                <w:br/>
                <w:t xml:space="preserve">Available at: </w:t>
              </w:r>
              <w:r>
                <w:rPr>
                  <w:noProof/>
                  <w:u w:val="single"/>
                </w:rPr>
                <w:t>https://www.un.org/en/global-</w:t>
              </w:r>
              <w:r>
                <w:rPr>
                  <w:noProof/>
                  <w:u w:val="single"/>
                </w:rPr>
                <w:lastRenderedPageBreak/>
                <w:t>issues/youth#:~:text=Who%20Are%20the%20Youth%3F,of%2015%20and%2024%20years.</w:t>
              </w:r>
              <w:r>
                <w:rPr>
                  <w:noProof/>
                </w:rPr>
                <w:br/>
                <w:t>[Accessed 15 December 2023].</w:t>
              </w:r>
            </w:p>
            <w:p w14:paraId="4FDD332E" w14:textId="77777777" w:rsidR="003862DE" w:rsidRDefault="003862DE" w:rsidP="003862DE">
              <w:pPr>
                <w:pStyle w:val="Bibliography"/>
                <w:rPr>
                  <w:noProof/>
                </w:rPr>
              </w:pPr>
              <w:r>
                <w:rPr>
                  <w:noProof/>
                </w:rPr>
                <w:t xml:space="preserve">Vanhercke, D., Cuyper, N. D., Peeters, E. &amp; Witte, H. D., 2014. Defining perceived employability: a psychological approach. </w:t>
              </w:r>
              <w:r>
                <w:rPr>
                  <w:i/>
                  <w:iCs/>
                  <w:noProof/>
                </w:rPr>
                <w:t xml:space="preserve">Personnel Review, </w:t>
              </w:r>
              <w:r>
                <w:rPr>
                  <w:noProof/>
                </w:rPr>
                <w:t>43(4), pp. 592-605.</w:t>
              </w:r>
            </w:p>
            <w:p w14:paraId="74014253" w14:textId="77777777" w:rsidR="003862DE" w:rsidRDefault="003862DE" w:rsidP="003862DE">
              <w:pPr>
                <w:pStyle w:val="Bibliography"/>
                <w:rPr>
                  <w:noProof/>
                </w:rPr>
              </w:pPr>
              <w:r>
                <w:rPr>
                  <w:noProof/>
                </w:rPr>
                <w:t xml:space="preserve">Wardell, F., Lishman, J. &amp; Whalley, L. J., 2000. Who Volunteers?. </w:t>
              </w:r>
              <w:r>
                <w:rPr>
                  <w:i/>
                  <w:iCs/>
                  <w:noProof/>
                </w:rPr>
                <w:t xml:space="preserve">British Journal of Social Work, </w:t>
              </w:r>
              <w:r>
                <w:rPr>
                  <w:noProof/>
                </w:rPr>
                <w:t>Volume 30, pp. 227-248.</w:t>
              </w:r>
            </w:p>
            <w:p w14:paraId="6F5A6974" w14:textId="77777777" w:rsidR="003862DE" w:rsidRDefault="003862DE" w:rsidP="003862DE">
              <w:pPr>
                <w:pStyle w:val="Bibliography"/>
                <w:rPr>
                  <w:noProof/>
                </w:rPr>
              </w:pPr>
              <w:r>
                <w:rPr>
                  <w:noProof/>
                </w:rPr>
                <w:t xml:space="preserve">Weakley, K., 2021. </w:t>
              </w:r>
              <w:r>
                <w:rPr>
                  <w:i/>
                  <w:iCs/>
                  <w:noProof/>
                </w:rPr>
                <w:t xml:space="preserve">Scouts begin volunteer recruitment campaign after 15,000 left during pandemic. </w:t>
              </w:r>
              <w:r>
                <w:rPr>
                  <w:noProof/>
                </w:rPr>
                <w:t xml:space="preserve">[Online] </w:t>
              </w:r>
              <w:r>
                <w:rPr>
                  <w:noProof/>
                </w:rPr>
                <w:br/>
                <w:t xml:space="preserve">Available at: </w:t>
              </w:r>
              <w:r>
                <w:rPr>
                  <w:noProof/>
                  <w:u w:val="single"/>
                </w:rPr>
                <w:t>https://www.civilsociety.co.uk/news/scouts-begin-volunteer-recruitment-campaign-after-15-000-left-during-pandemic.html#:~:text=Adult%20volunteer%20numbers%20are%20also,200%2C000%20between%202006%20and%202020.</w:t>
              </w:r>
              <w:r>
                <w:rPr>
                  <w:noProof/>
                </w:rPr>
                <w:br/>
                <w:t>[Accessed 28 March 2024].</w:t>
              </w:r>
            </w:p>
            <w:p w14:paraId="7A8C785B" w14:textId="77777777" w:rsidR="003862DE" w:rsidRDefault="003862DE" w:rsidP="003862DE">
              <w:pPr>
                <w:pStyle w:val="Bibliography"/>
                <w:rPr>
                  <w:noProof/>
                </w:rPr>
              </w:pPr>
              <w:r>
                <w:rPr>
                  <w:noProof/>
                </w:rPr>
                <w:t xml:space="preserve">Welsh Government, 2023. </w:t>
              </w:r>
              <w:r>
                <w:rPr>
                  <w:i/>
                  <w:iCs/>
                  <w:noProof/>
                </w:rPr>
                <w:t xml:space="preserve">Volunteering (National Survey for Wales): April 2022 to March 2023. </w:t>
              </w:r>
              <w:r>
                <w:rPr>
                  <w:noProof/>
                </w:rPr>
                <w:t xml:space="preserve">[Online] </w:t>
              </w:r>
              <w:r>
                <w:rPr>
                  <w:noProof/>
                </w:rPr>
                <w:br/>
                <w:t xml:space="preserve">Available at: </w:t>
              </w:r>
              <w:r>
                <w:rPr>
                  <w:noProof/>
                  <w:u w:val="single"/>
                </w:rPr>
                <w:t>https://www.gov.wales/volunteering-national-survey-wales-april-2022-march-2023-html</w:t>
              </w:r>
              <w:r>
                <w:rPr>
                  <w:noProof/>
                </w:rPr>
                <w:br/>
                <w:t>[Accessed 27 March 2024].</w:t>
              </w:r>
            </w:p>
            <w:p w14:paraId="79F22694" w14:textId="77777777" w:rsidR="003862DE" w:rsidRDefault="003862DE" w:rsidP="003862DE">
              <w:pPr>
                <w:pStyle w:val="Bibliography"/>
                <w:rPr>
                  <w:noProof/>
                </w:rPr>
              </w:pPr>
              <w:r>
                <w:rPr>
                  <w:noProof/>
                </w:rPr>
                <w:t xml:space="preserve">Willems, J. &amp; Dury, S., 2017. Reasons for not volunteering: overcoming boundaries toattract volunteers. </w:t>
              </w:r>
              <w:r>
                <w:rPr>
                  <w:i/>
                  <w:iCs/>
                  <w:noProof/>
                </w:rPr>
                <w:t xml:space="preserve">The Service Industry Journal, </w:t>
              </w:r>
              <w:r>
                <w:rPr>
                  <w:noProof/>
                </w:rPr>
                <w:t>31(11-12), pp. 726-745.</w:t>
              </w:r>
            </w:p>
            <w:p w14:paraId="59BEEEC8" w14:textId="77777777" w:rsidR="003862DE" w:rsidRDefault="003862DE" w:rsidP="003862DE">
              <w:pPr>
                <w:pStyle w:val="Bibliography"/>
                <w:rPr>
                  <w:noProof/>
                </w:rPr>
              </w:pPr>
              <w:r>
                <w:rPr>
                  <w:noProof/>
                </w:rPr>
                <w:t xml:space="preserve">Wilson, J. &amp; Musick, M. A., 1999. Attachment to volunteering. </w:t>
              </w:r>
              <w:r>
                <w:rPr>
                  <w:i/>
                  <w:iCs/>
                  <w:noProof/>
                </w:rPr>
                <w:t xml:space="preserve">Sociological Forum, </w:t>
              </w:r>
              <w:r>
                <w:rPr>
                  <w:noProof/>
                </w:rPr>
                <w:t>14(2), pp. 243-272.</w:t>
              </w:r>
            </w:p>
            <w:p w14:paraId="0CDB419B" w14:textId="77777777" w:rsidR="003862DE" w:rsidRDefault="003862DE" w:rsidP="003862DE">
              <w:pPr>
                <w:pStyle w:val="Bibliography"/>
                <w:rPr>
                  <w:noProof/>
                </w:rPr>
              </w:pPr>
              <w:r>
                <w:rPr>
                  <w:noProof/>
                </w:rPr>
                <w:t xml:space="preserve">Wong, B., Chiu, Y.-L. T., Copsey-Blake, M. &amp; Nikolopoulou, M., 2022. A mapping of graduate attributes: what can we expect from UK university students?. </w:t>
              </w:r>
              <w:r>
                <w:rPr>
                  <w:i/>
                  <w:iCs/>
                  <w:noProof/>
                </w:rPr>
                <w:t xml:space="preserve">HIGHER EDUCATION RESEARCH &amp; DEVELOPMENT, </w:t>
              </w:r>
              <w:r>
                <w:rPr>
                  <w:noProof/>
                </w:rPr>
                <w:t>41(4), pp. 1340-1355.</w:t>
              </w:r>
            </w:p>
            <w:p w14:paraId="52708DB5" w14:textId="77777777" w:rsidR="003862DE" w:rsidRDefault="003862DE" w:rsidP="003862DE">
              <w:pPr>
                <w:pStyle w:val="Bibliography"/>
                <w:rPr>
                  <w:noProof/>
                </w:rPr>
              </w:pPr>
              <w:r>
                <w:rPr>
                  <w:noProof/>
                </w:rPr>
                <w:t xml:space="preserve">Xua, F., Wu, L. &amp; Evans, J., 2022. </w:t>
              </w:r>
              <w:r>
                <w:rPr>
                  <w:i/>
                  <w:iCs/>
                  <w:noProof/>
                </w:rPr>
                <w:t xml:space="preserve">Flat teams drive scientific innovation. </w:t>
              </w:r>
              <w:r>
                <w:rPr>
                  <w:noProof/>
                </w:rPr>
                <w:t xml:space="preserve">[Online] </w:t>
              </w:r>
              <w:r>
                <w:rPr>
                  <w:noProof/>
                </w:rPr>
                <w:br/>
                <w:t xml:space="preserve">Available at: </w:t>
              </w:r>
              <w:r>
                <w:rPr>
                  <w:noProof/>
                  <w:u w:val="single"/>
                </w:rPr>
                <w:t>https://www.pnas.org/doi/pdf/10.1073/pnas.2200927119</w:t>
              </w:r>
              <w:r>
                <w:rPr>
                  <w:noProof/>
                </w:rPr>
                <w:br/>
                <w:t>[Accessed 19 April 2024].</w:t>
              </w:r>
            </w:p>
            <w:p w14:paraId="42F92DA6" w14:textId="77777777" w:rsidR="003862DE" w:rsidRDefault="003862DE" w:rsidP="003862DE">
              <w:pPr>
                <w:pStyle w:val="Bibliography"/>
                <w:rPr>
                  <w:noProof/>
                </w:rPr>
              </w:pPr>
              <w:r>
                <w:rPr>
                  <w:noProof/>
                </w:rPr>
                <w:t xml:space="preserve">Zollo, L., Laudano, M. C., Boccardi, A. &amp; Ciappei, C., 2019. From governance to organizational efectiveness: the role of organizational identity and volunteers’ commitment. </w:t>
              </w:r>
              <w:r>
                <w:rPr>
                  <w:i/>
                  <w:iCs/>
                  <w:noProof/>
                </w:rPr>
                <w:t xml:space="preserve">Journal of Management and Governance, </w:t>
              </w:r>
              <w:r>
                <w:rPr>
                  <w:noProof/>
                </w:rPr>
                <w:t>Volume 23, pp. 111-137.</w:t>
              </w:r>
            </w:p>
            <w:p w14:paraId="299978F8" w14:textId="0D11F1EC" w:rsidR="003862DE" w:rsidRDefault="003862DE" w:rsidP="003862DE">
              <w:r>
                <w:rPr>
                  <w:b/>
                  <w:bCs/>
                  <w:noProof/>
                </w:rPr>
                <w:fldChar w:fldCharType="end"/>
              </w:r>
            </w:p>
          </w:sdtContent>
        </w:sdt>
      </w:sdtContent>
    </w:sdt>
    <w:p w14:paraId="7D297E9D" w14:textId="77777777" w:rsidR="00F76152" w:rsidRPr="00F90515" w:rsidRDefault="00F76152">
      <w:pPr>
        <w:rPr>
          <w:rFonts w:asciiTheme="majorHAnsi" w:hAnsiTheme="majorHAnsi"/>
          <w:b/>
          <w:caps/>
          <w:sz w:val="28"/>
        </w:rPr>
      </w:pPr>
      <w:r w:rsidRPr="00F90515">
        <w:br w:type="page"/>
      </w:r>
    </w:p>
    <w:p w14:paraId="0C4EDE60" w14:textId="3438ABF4" w:rsidR="000B79B0" w:rsidRPr="00F90515" w:rsidRDefault="00DC0A08" w:rsidP="00DC0A08">
      <w:pPr>
        <w:pStyle w:val="Heading1"/>
      </w:pPr>
      <w:r w:rsidRPr="00F90515">
        <w:lastRenderedPageBreak/>
        <w:t>Appendix</w:t>
      </w:r>
    </w:p>
    <w:p w14:paraId="74767670" w14:textId="77777777" w:rsidR="008C7CA1" w:rsidRPr="00F90515" w:rsidRDefault="008C7CA1" w:rsidP="008C7CA1">
      <w:pPr>
        <w:pStyle w:val="Heading3"/>
      </w:pPr>
    </w:p>
    <w:p w14:paraId="4CD4D869" w14:textId="086A45AE" w:rsidR="008C7CA1" w:rsidRPr="00F90515" w:rsidRDefault="008C7CA1" w:rsidP="008C7CA1">
      <w:pPr>
        <w:pStyle w:val="Heading3"/>
      </w:pPr>
      <w:bookmarkStart w:id="0" w:name="_Ref153544152"/>
      <w:r w:rsidRPr="00F90515">
        <w:t>Appendix A</w:t>
      </w:r>
      <w:bookmarkEnd w:id="0"/>
    </w:p>
    <w:p w14:paraId="073BE1DF" w14:textId="77777777" w:rsidR="004136E9" w:rsidRPr="00F90515" w:rsidRDefault="004136E9" w:rsidP="006E39E4">
      <w:pPr>
        <w:pStyle w:val="NormalIndent"/>
        <w:ind w:left="0"/>
      </w:pPr>
    </w:p>
    <w:p w14:paraId="71EDAE65" w14:textId="24485D9C" w:rsidR="006E39E4" w:rsidRPr="00F90515" w:rsidRDefault="006E39E4" w:rsidP="006E39E4">
      <w:pPr>
        <w:pStyle w:val="NormalIndent"/>
        <w:ind w:left="0"/>
      </w:pPr>
      <w:r w:rsidRPr="00F90515">
        <w:drawing>
          <wp:inline distT="0" distB="0" distL="0" distR="0" wp14:anchorId="6F8FCAB0" wp14:editId="0DE40168">
            <wp:extent cx="5677600" cy="2785574"/>
            <wp:effectExtent l="0" t="0" r="0" b="0"/>
            <wp:docPr id="31679265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92658" name="Picture 1" descr="A screenshot of a computer"/>
                    <pic:cNvPicPr/>
                  </pic:nvPicPr>
                  <pic:blipFill rotWithShape="1">
                    <a:blip r:embed="rId11"/>
                    <a:srcRect l="15366" t="31486" r="17450" b="19068"/>
                    <a:stretch/>
                  </pic:blipFill>
                  <pic:spPr bwMode="auto">
                    <a:xfrm>
                      <a:off x="0" y="0"/>
                      <a:ext cx="5696544" cy="2794869"/>
                    </a:xfrm>
                    <a:prstGeom prst="rect">
                      <a:avLst/>
                    </a:prstGeom>
                    <a:ln>
                      <a:noFill/>
                    </a:ln>
                    <a:extLst>
                      <a:ext uri="{53640926-AAD7-44D8-BBD7-CCE9431645EC}">
                        <a14:shadowObscured xmlns:a14="http://schemas.microsoft.com/office/drawing/2010/main"/>
                      </a:ext>
                    </a:extLst>
                  </pic:spPr>
                </pic:pic>
              </a:graphicData>
            </a:graphic>
          </wp:inline>
        </w:drawing>
      </w:r>
    </w:p>
    <w:p w14:paraId="2605C058" w14:textId="77777777" w:rsidR="004136E9" w:rsidRPr="00F90515" w:rsidRDefault="004136E9" w:rsidP="006E39E4">
      <w:pPr>
        <w:pStyle w:val="NormalIndent"/>
        <w:ind w:left="0"/>
      </w:pPr>
    </w:p>
    <w:p w14:paraId="284C721E" w14:textId="24334AE9" w:rsidR="004136E9" w:rsidRPr="00F90515" w:rsidRDefault="00000000" w:rsidP="006E39E4">
      <w:pPr>
        <w:pStyle w:val="NormalIndent"/>
        <w:ind w:left="0"/>
      </w:pPr>
      <w:sdt>
        <w:sdtPr>
          <w:id w:val="2018809455"/>
          <w:citation/>
        </w:sdtPr>
        <w:sdtContent>
          <w:r w:rsidR="004136E9" w:rsidRPr="00F90515">
            <w:fldChar w:fldCharType="begin"/>
          </w:r>
          <w:r w:rsidR="004136E9" w:rsidRPr="00F90515">
            <w:instrText xml:space="preserve"> CITATION Jef14 \l 2057 </w:instrText>
          </w:r>
          <w:r w:rsidR="004136E9" w:rsidRPr="00F90515">
            <w:fldChar w:fldCharType="separate"/>
          </w:r>
          <w:r w:rsidR="003862DE">
            <w:rPr>
              <w:noProof/>
            </w:rPr>
            <w:t>(Brudney &amp; Meijs, 2014)</w:t>
          </w:r>
          <w:r w:rsidR="004136E9" w:rsidRPr="00F90515">
            <w:fldChar w:fldCharType="end"/>
          </w:r>
        </w:sdtContent>
      </w:sdt>
    </w:p>
    <w:p w14:paraId="30AC8328" w14:textId="77777777" w:rsidR="009C15ED" w:rsidRPr="00F90515" w:rsidRDefault="009C15ED" w:rsidP="006E39E4">
      <w:pPr>
        <w:pStyle w:val="NormalIndent"/>
        <w:ind w:left="0"/>
      </w:pPr>
    </w:p>
    <w:p w14:paraId="64972B74" w14:textId="2E83CC96" w:rsidR="009C15ED" w:rsidRPr="00F90515" w:rsidRDefault="009C15ED" w:rsidP="009C15ED">
      <w:pPr>
        <w:pStyle w:val="Heading3"/>
      </w:pPr>
      <w:bookmarkStart w:id="1" w:name="_Ref164406356"/>
      <w:r w:rsidRPr="00F90515">
        <w:t>Appendix B</w:t>
      </w:r>
      <w:bookmarkEnd w:id="1"/>
    </w:p>
    <w:p w14:paraId="0E27A172" w14:textId="51F2DBD8" w:rsidR="009C15ED" w:rsidRPr="00F90515" w:rsidRDefault="009C15ED" w:rsidP="006E39E4">
      <w:pPr>
        <w:pStyle w:val="NormalIndent"/>
        <w:ind w:left="0"/>
      </w:pPr>
      <w:r w:rsidRPr="00F90515">
        <w:drawing>
          <wp:inline distT="0" distB="0" distL="0" distR="0" wp14:anchorId="32A366A8" wp14:editId="1E59C577">
            <wp:extent cx="2933580" cy="2810390"/>
            <wp:effectExtent l="0" t="0" r="635" b="9525"/>
            <wp:docPr id="74611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65667" cy="2841130"/>
                    </a:xfrm>
                    <a:prstGeom prst="rect">
                      <a:avLst/>
                    </a:prstGeom>
                    <a:noFill/>
                  </pic:spPr>
                </pic:pic>
              </a:graphicData>
            </a:graphic>
          </wp:inline>
        </w:drawing>
      </w:r>
    </w:p>
    <w:p w14:paraId="792A359E" w14:textId="359EC554" w:rsidR="00752C24" w:rsidRPr="00F90515" w:rsidRDefault="009C15ED" w:rsidP="006E39E4">
      <w:pPr>
        <w:pStyle w:val="NormalIndent"/>
        <w:ind w:left="0"/>
      </w:pPr>
      <w:sdt>
        <w:sdtPr>
          <w:id w:val="226194376"/>
          <w:citation/>
        </w:sdtPr>
        <w:sdtContent>
          <w:r w:rsidRPr="00F90515">
            <w:fldChar w:fldCharType="begin"/>
          </w:r>
          <w:r w:rsidRPr="00F90515">
            <w:instrText xml:space="preserve"> CITATION Deb22 \l 2057 </w:instrText>
          </w:r>
          <w:r w:rsidRPr="00F90515">
            <w:fldChar w:fldCharType="separate"/>
          </w:r>
          <w:r w:rsidR="003862DE">
            <w:rPr>
              <w:noProof/>
            </w:rPr>
            <w:t>(Patterson, 2022)</w:t>
          </w:r>
          <w:r w:rsidRPr="00F90515">
            <w:fldChar w:fldCharType="end"/>
          </w:r>
        </w:sdtContent>
      </w:sdt>
    </w:p>
    <w:p w14:paraId="1929C1D3" w14:textId="77777777" w:rsidR="00752C24" w:rsidRPr="00F90515" w:rsidRDefault="00752C24">
      <w:pPr>
        <w:spacing w:line="240" w:lineRule="auto"/>
      </w:pPr>
      <w:r w:rsidRPr="00F90515">
        <w:br w:type="page"/>
      </w:r>
    </w:p>
    <w:p w14:paraId="1F6098C5" w14:textId="2FCDD60D" w:rsidR="009C15ED" w:rsidRPr="00F90515" w:rsidRDefault="00752C24" w:rsidP="00752C24">
      <w:pPr>
        <w:pStyle w:val="Heading3"/>
      </w:pPr>
      <w:bookmarkStart w:id="2" w:name="_Ref164431080"/>
      <w:r w:rsidRPr="00F90515">
        <w:lastRenderedPageBreak/>
        <w:t>Appendix C</w:t>
      </w:r>
      <w:bookmarkEnd w:id="2"/>
    </w:p>
    <w:p w14:paraId="498E1D32" w14:textId="250858A7" w:rsidR="00752C24" w:rsidRPr="00F90515" w:rsidRDefault="007F7A46" w:rsidP="00752C24">
      <w:pPr>
        <w:pStyle w:val="NormalIndent"/>
        <w:ind w:left="0"/>
      </w:pPr>
      <w:r w:rsidRPr="00F90515">
        <w:drawing>
          <wp:inline distT="0" distB="0" distL="0" distR="0" wp14:anchorId="4C3DB271" wp14:editId="1B05DF41">
            <wp:extent cx="6647815" cy="3639820"/>
            <wp:effectExtent l="0" t="0" r="635" b="0"/>
            <wp:docPr id="2021422844"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22844" name="Picture 1" descr="A diagram of a structure&#10;&#10;Description automatically generated"/>
                    <pic:cNvPicPr/>
                  </pic:nvPicPr>
                  <pic:blipFill>
                    <a:blip r:embed="rId13"/>
                    <a:stretch>
                      <a:fillRect/>
                    </a:stretch>
                  </pic:blipFill>
                  <pic:spPr>
                    <a:xfrm>
                      <a:off x="0" y="0"/>
                      <a:ext cx="6647815" cy="3639820"/>
                    </a:xfrm>
                    <a:prstGeom prst="rect">
                      <a:avLst/>
                    </a:prstGeom>
                  </pic:spPr>
                </pic:pic>
              </a:graphicData>
            </a:graphic>
          </wp:inline>
        </w:drawing>
      </w:r>
    </w:p>
    <w:p w14:paraId="376FCEAE" w14:textId="40ED6153" w:rsidR="007F7A46" w:rsidRPr="00F90515" w:rsidRDefault="00BF59EA" w:rsidP="00752C24">
      <w:pPr>
        <w:pStyle w:val="NormalIndent"/>
        <w:ind w:left="0"/>
      </w:pPr>
      <w:sdt>
        <w:sdtPr>
          <w:id w:val="-2120445289"/>
          <w:citation/>
        </w:sdtPr>
        <w:sdtContent>
          <w:r w:rsidRPr="00F90515">
            <w:fldChar w:fldCharType="begin"/>
          </w:r>
          <w:r w:rsidRPr="00F90515">
            <w:instrText xml:space="preserve"> CITATION Hay20 \l 2057 </w:instrText>
          </w:r>
          <w:r w:rsidRPr="00F90515">
            <w:fldChar w:fldCharType="separate"/>
          </w:r>
          <w:r w:rsidR="003862DE">
            <w:rPr>
              <w:noProof/>
            </w:rPr>
            <w:t>(Trainer, et al., 2020)</w:t>
          </w:r>
          <w:r w:rsidRPr="00F90515">
            <w:fldChar w:fldCharType="end"/>
          </w:r>
        </w:sdtContent>
      </w:sdt>
    </w:p>
    <w:sectPr w:rsidR="007F7A46" w:rsidRPr="00F90515" w:rsidSect="00A45C25">
      <w:pgSz w:w="11909" w:h="16834" w:code="9"/>
      <w:pgMar w:top="720" w:right="720" w:bottom="720" w:left="720" w:header="720" w:footer="720" w:gutter="0"/>
      <w:paperSrc w:first="7" w:other="7"/>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88A68B" w14:textId="77777777" w:rsidR="00A45C25" w:rsidRPr="008A30D3" w:rsidRDefault="00A45C25">
      <w:r w:rsidRPr="008A30D3">
        <w:separator/>
      </w:r>
    </w:p>
  </w:endnote>
  <w:endnote w:type="continuationSeparator" w:id="0">
    <w:p w14:paraId="26784720" w14:textId="77777777" w:rsidR="00A45C25" w:rsidRPr="008A30D3" w:rsidRDefault="00A45C25">
      <w:r w:rsidRPr="008A30D3">
        <w:continuationSeparator/>
      </w:r>
    </w:p>
  </w:endnote>
  <w:endnote w:type="continuationNotice" w:id="1">
    <w:p w14:paraId="03F54F8D" w14:textId="77777777" w:rsidR="00A45C25" w:rsidRPr="008A30D3" w:rsidRDefault="00A45C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utch801SWC">
    <w:altName w:val="Times New Roman"/>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LogoCentre">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25B417" w14:textId="77777777" w:rsidR="00DF6660" w:rsidRPr="008A30D3" w:rsidRDefault="00BC7C71" w:rsidP="00855FC4">
    <w:pPr>
      <w:pStyle w:val="Footer"/>
      <w:rPr>
        <w:rFonts w:ascii="Arial" w:hAnsi="Arial" w:cs="Arial"/>
        <w:i/>
        <w:sz w:val="16"/>
        <w:szCs w:val="16"/>
      </w:rPr>
    </w:pPr>
    <w:r w:rsidRPr="008A30D3">
      <w:rPr>
        <w:rFonts w:ascii="Arial" w:hAnsi="Arial" w:cs="Arial"/>
        <w:i/>
        <w:sz w:val="16"/>
        <w:szCs w:val="16"/>
      </w:rPr>
      <w:t>Version 2 Sept 2014</w:t>
    </w:r>
  </w:p>
  <w:p w14:paraId="3D7AA03C" w14:textId="77777777" w:rsidR="00DF6660" w:rsidRPr="008A30D3" w:rsidRDefault="00F36614">
    <w:pPr>
      <w:pStyle w:val="Footer"/>
      <w:jc w:val="center"/>
    </w:pPr>
    <w:r w:rsidRPr="008A30D3">
      <w:rPr>
        <w:rStyle w:val="PageNumber"/>
      </w:rPr>
      <w:fldChar w:fldCharType="begin"/>
    </w:r>
    <w:r w:rsidR="00DF6660" w:rsidRPr="008A30D3">
      <w:rPr>
        <w:rStyle w:val="PageNumber"/>
      </w:rPr>
      <w:instrText xml:space="preserve"> PAGE </w:instrText>
    </w:r>
    <w:r w:rsidRPr="008A30D3">
      <w:rPr>
        <w:rStyle w:val="PageNumber"/>
      </w:rPr>
      <w:fldChar w:fldCharType="separate"/>
    </w:r>
    <w:r w:rsidR="00E83B72" w:rsidRPr="008A30D3">
      <w:rPr>
        <w:rStyle w:val="PageNumber"/>
      </w:rPr>
      <w:t>2</w:t>
    </w:r>
    <w:r w:rsidRPr="008A30D3">
      <w:rPr>
        <w:rStyle w:val="PageNumber"/>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ACFC4E" w14:textId="77777777" w:rsidR="00DF6660" w:rsidRPr="008A30D3" w:rsidRDefault="00DF6660">
    <w:pPr>
      <w:pStyle w:val="Footer"/>
    </w:pPr>
    <w:r w:rsidRPr="008A30D3">
      <w:rPr>
        <w:rFonts w:ascii="Arial" w:hAnsi="Arial" w:cs="Arial"/>
        <w:i/>
        <w:sz w:val="16"/>
        <w:szCs w:val="16"/>
      </w:rPr>
      <w:tab/>
    </w:r>
    <w:r w:rsidR="00F36614" w:rsidRPr="008A30D3">
      <w:rPr>
        <w:rStyle w:val="PageNumber"/>
      </w:rPr>
      <w:fldChar w:fldCharType="begin"/>
    </w:r>
    <w:r w:rsidRPr="008A30D3">
      <w:rPr>
        <w:rStyle w:val="PageNumber"/>
      </w:rPr>
      <w:instrText xml:space="preserve"> PAGE </w:instrText>
    </w:r>
    <w:r w:rsidR="00F36614" w:rsidRPr="008A30D3">
      <w:rPr>
        <w:rStyle w:val="PageNumber"/>
      </w:rPr>
      <w:fldChar w:fldCharType="separate"/>
    </w:r>
    <w:r w:rsidR="00E83B72" w:rsidRPr="008A30D3">
      <w:rPr>
        <w:rStyle w:val="PageNumber"/>
      </w:rPr>
      <w:t>1</w:t>
    </w:r>
    <w:r w:rsidR="00F36614" w:rsidRPr="008A30D3">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19D38B" w14:textId="77777777" w:rsidR="00A45C25" w:rsidRPr="008A30D3" w:rsidRDefault="00A45C25">
      <w:r w:rsidRPr="008A30D3">
        <w:separator/>
      </w:r>
    </w:p>
  </w:footnote>
  <w:footnote w:type="continuationSeparator" w:id="0">
    <w:p w14:paraId="5B1D8B91" w14:textId="77777777" w:rsidR="00A45C25" w:rsidRPr="008A30D3" w:rsidRDefault="00A45C25">
      <w:r w:rsidRPr="008A30D3">
        <w:continuationSeparator/>
      </w:r>
    </w:p>
  </w:footnote>
  <w:footnote w:type="continuationNotice" w:id="1">
    <w:p w14:paraId="29C3E63F" w14:textId="77777777" w:rsidR="00A45C25" w:rsidRPr="008A30D3" w:rsidRDefault="00A45C25"/>
  </w:footnote>
  <w:footnote w:id="2">
    <w:p w14:paraId="7F56DC6A" w14:textId="4EC88505" w:rsidR="008741E1" w:rsidRPr="008A30D3" w:rsidRDefault="008741E1">
      <w:pPr>
        <w:pStyle w:val="FootnoteText"/>
      </w:pPr>
      <w:r w:rsidRPr="008A30D3">
        <w:rPr>
          <w:rStyle w:val="FootnoteReference"/>
        </w:rPr>
        <w:footnoteRef/>
      </w:r>
      <w:r w:rsidRPr="008A30D3">
        <w:t xml:space="preserve"> Micro-volunteering – </w:t>
      </w:r>
      <w:r w:rsidR="00967803" w:rsidRPr="008A30D3">
        <w:t>task-based</w:t>
      </w:r>
      <w:r w:rsidR="00D73097" w:rsidRPr="008A30D3">
        <w:t xml:space="preserve"> volunteering </w:t>
      </w:r>
      <w:r w:rsidR="00081AE0" w:rsidRPr="008A30D3">
        <w:t xml:space="preserve">meeting a specific need of an organisation or individual EG </w:t>
      </w:r>
      <w:r w:rsidR="00967803" w:rsidRPr="008A30D3">
        <w:t>grant applications.</w:t>
      </w:r>
      <w:r w:rsidR="0030638B" w:rsidRPr="008A30D3">
        <w:t xml:space="preserve"> </w:t>
      </w:r>
    </w:p>
  </w:footnote>
  <w:footnote w:id="3">
    <w:p w14:paraId="6F6AB2CB" w14:textId="786A2EAD" w:rsidR="005D0157" w:rsidRDefault="005D0157">
      <w:pPr>
        <w:pStyle w:val="FootnoteText"/>
      </w:pPr>
      <w:r w:rsidRPr="008A30D3">
        <w:rPr>
          <w:rStyle w:val="FootnoteReference"/>
        </w:rPr>
        <w:footnoteRef/>
      </w:r>
      <w:r w:rsidRPr="008A30D3">
        <w:t xml:space="preserve"> Episodic volunteering </w:t>
      </w:r>
      <w:r w:rsidR="00776220" w:rsidRPr="008A30D3">
        <w:t>–</w:t>
      </w:r>
      <w:r w:rsidRPr="008A30D3">
        <w:t xml:space="preserve"> </w:t>
      </w:r>
      <w:r w:rsidR="00776220" w:rsidRPr="008A30D3">
        <w:t>occasional volunteering activities based on the availability or whims of the individual.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D346A2A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B81282"/>
    <w:multiLevelType w:val="hybridMultilevel"/>
    <w:tmpl w:val="724AEAB6"/>
    <w:lvl w:ilvl="0" w:tplc="7848EDB8">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690"/>
        </w:tabs>
        <w:ind w:left="-690" w:hanging="360"/>
      </w:pPr>
      <w:rPr>
        <w:rFonts w:ascii="Courier New" w:hAnsi="Courier New" w:cs="Courier New" w:hint="default"/>
      </w:rPr>
    </w:lvl>
    <w:lvl w:ilvl="2" w:tplc="08090005" w:tentative="1">
      <w:start w:val="1"/>
      <w:numFmt w:val="bullet"/>
      <w:lvlText w:val=""/>
      <w:lvlJc w:val="left"/>
      <w:pPr>
        <w:tabs>
          <w:tab w:val="num" w:pos="30"/>
        </w:tabs>
        <w:ind w:left="30" w:hanging="360"/>
      </w:pPr>
      <w:rPr>
        <w:rFonts w:ascii="Wingdings" w:hAnsi="Wingdings" w:hint="default"/>
      </w:rPr>
    </w:lvl>
    <w:lvl w:ilvl="3" w:tplc="08090001" w:tentative="1">
      <w:start w:val="1"/>
      <w:numFmt w:val="bullet"/>
      <w:lvlText w:val=""/>
      <w:lvlJc w:val="left"/>
      <w:pPr>
        <w:tabs>
          <w:tab w:val="num" w:pos="750"/>
        </w:tabs>
        <w:ind w:left="750" w:hanging="360"/>
      </w:pPr>
      <w:rPr>
        <w:rFonts w:ascii="Symbol" w:hAnsi="Symbol" w:hint="default"/>
      </w:rPr>
    </w:lvl>
    <w:lvl w:ilvl="4" w:tplc="08090003" w:tentative="1">
      <w:start w:val="1"/>
      <w:numFmt w:val="bullet"/>
      <w:lvlText w:val="o"/>
      <w:lvlJc w:val="left"/>
      <w:pPr>
        <w:tabs>
          <w:tab w:val="num" w:pos="1470"/>
        </w:tabs>
        <w:ind w:left="1470" w:hanging="360"/>
      </w:pPr>
      <w:rPr>
        <w:rFonts w:ascii="Courier New" w:hAnsi="Courier New" w:cs="Courier New" w:hint="default"/>
      </w:rPr>
    </w:lvl>
    <w:lvl w:ilvl="5" w:tplc="08090005" w:tentative="1">
      <w:start w:val="1"/>
      <w:numFmt w:val="bullet"/>
      <w:lvlText w:val=""/>
      <w:lvlJc w:val="left"/>
      <w:pPr>
        <w:tabs>
          <w:tab w:val="num" w:pos="2190"/>
        </w:tabs>
        <w:ind w:left="2190" w:hanging="360"/>
      </w:pPr>
      <w:rPr>
        <w:rFonts w:ascii="Wingdings" w:hAnsi="Wingdings" w:hint="default"/>
      </w:rPr>
    </w:lvl>
    <w:lvl w:ilvl="6" w:tplc="08090001" w:tentative="1">
      <w:start w:val="1"/>
      <w:numFmt w:val="bullet"/>
      <w:lvlText w:val=""/>
      <w:lvlJc w:val="left"/>
      <w:pPr>
        <w:tabs>
          <w:tab w:val="num" w:pos="2910"/>
        </w:tabs>
        <w:ind w:left="2910" w:hanging="360"/>
      </w:pPr>
      <w:rPr>
        <w:rFonts w:ascii="Symbol" w:hAnsi="Symbol" w:hint="default"/>
      </w:rPr>
    </w:lvl>
    <w:lvl w:ilvl="7" w:tplc="08090003" w:tentative="1">
      <w:start w:val="1"/>
      <w:numFmt w:val="bullet"/>
      <w:lvlText w:val="o"/>
      <w:lvlJc w:val="left"/>
      <w:pPr>
        <w:tabs>
          <w:tab w:val="num" w:pos="3630"/>
        </w:tabs>
        <w:ind w:left="3630" w:hanging="360"/>
      </w:pPr>
      <w:rPr>
        <w:rFonts w:ascii="Courier New" w:hAnsi="Courier New" w:cs="Courier New" w:hint="default"/>
      </w:rPr>
    </w:lvl>
    <w:lvl w:ilvl="8" w:tplc="08090005" w:tentative="1">
      <w:start w:val="1"/>
      <w:numFmt w:val="bullet"/>
      <w:lvlText w:val=""/>
      <w:lvlJc w:val="left"/>
      <w:pPr>
        <w:tabs>
          <w:tab w:val="num" w:pos="4350"/>
        </w:tabs>
        <w:ind w:left="4350" w:hanging="360"/>
      </w:pPr>
      <w:rPr>
        <w:rFonts w:ascii="Wingdings" w:hAnsi="Wingdings" w:hint="default"/>
      </w:rPr>
    </w:lvl>
  </w:abstractNum>
  <w:abstractNum w:abstractNumId="2" w15:restartNumberingAfterBreak="0">
    <w:nsid w:val="522177DD"/>
    <w:multiLevelType w:val="hybridMultilevel"/>
    <w:tmpl w:val="7C52BC0C"/>
    <w:lvl w:ilvl="0" w:tplc="7848EDB8">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690"/>
        </w:tabs>
        <w:ind w:left="-690" w:hanging="360"/>
      </w:pPr>
      <w:rPr>
        <w:rFonts w:ascii="Courier New" w:hAnsi="Courier New" w:cs="Courier New" w:hint="default"/>
      </w:rPr>
    </w:lvl>
    <w:lvl w:ilvl="2" w:tplc="08090005" w:tentative="1">
      <w:start w:val="1"/>
      <w:numFmt w:val="bullet"/>
      <w:lvlText w:val=""/>
      <w:lvlJc w:val="left"/>
      <w:pPr>
        <w:tabs>
          <w:tab w:val="num" w:pos="30"/>
        </w:tabs>
        <w:ind w:left="30" w:hanging="360"/>
      </w:pPr>
      <w:rPr>
        <w:rFonts w:ascii="Wingdings" w:hAnsi="Wingdings" w:hint="default"/>
      </w:rPr>
    </w:lvl>
    <w:lvl w:ilvl="3" w:tplc="08090001" w:tentative="1">
      <w:start w:val="1"/>
      <w:numFmt w:val="bullet"/>
      <w:lvlText w:val=""/>
      <w:lvlJc w:val="left"/>
      <w:pPr>
        <w:tabs>
          <w:tab w:val="num" w:pos="750"/>
        </w:tabs>
        <w:ind w:left="750" w:hanging="360"/>
      </w:pPr>
      <w:rPr>
        <w:rFonts w:ascii="Symbol" w:hAnsi="Symbol" w:hint="default"/>
      </w:rPr>
    </w:lvl>
    <w:lvl w:ilvl="4" w:tplc="08090003" w:tentative="1">
      <w:start w:val="1"/>
      <w:numFmt w:val="bullet"/>
      <w:lvlText w:val="o"/>
      <w:lvlJc w:val="left"/>
      <w:pPr>
        <w:tabs>
          <w:tab w:val="num" w:pos="1470"/>
        </w:tabs>
        <w:ind w:left="1470" w:hanging="360"/>
      </w:pPr>
      <w:rPr>
        <w:rFonts w:ascii="Courier New" w:hAnsi="Courier New" w:cs="Courier New" w:hint="default"/>
      </w:rPr>
    </w:lvl>
    <w:lvl w:ilvl="5" w:tplc="08090005" w:tentative="1">
      <w:start w:val="1"/>
      <w:numFmt w:val="bullet"/>
      <w:lvlText w:val=""/>
      <w:lvlJc w:val="left"/>
      <w:pPr>
        <w:tabs>
          <w:tab w:val="num" w:pos="2190"/>
        </w:tabs>
        <w:ind w:left="2190" w:hanging="360"/>
      </w:pPr>
      <w:rPr>
        <w:rFonts w:ascii="Wingdings" w:hAnsi="Wingdings" w:hint="default"/>
      </w:rPr>
    </w:lvl>
    <w:lvl w:ilvl="6" w:tplc="08090001" w:tentative="1">
      <w:start w:val="1"/>
      <w:numFmt w:val="bullet"/>
      <w:lvlText w:val=""/>
      <w:lvlJc w:val="left"/>
      <w:pPr>
        <w:tabs>
          <w:tab w:val="num" w:pos="2910"/>
        </w:tabs>
        <w:ind w:left="2910" w:hanging="360"/>
      </w:pPr>
      <w:rPr>
        <w:rFonts w:ascii="Symbol" w:hAnsi="Symbol" w:hint="default"/>
      </w:rPr>
    </w:lvl>
    <w:lvl w:ilvl="7" w:tplc="08090003" w:tentative="1">
      <w:start w:val="1"/>
      <w:numFmt w:val="bullet"/>
      <w:lvlText w:val="o"/>
      <w:lvlJc w:val="left"/>
      <w:pPr>
        <w:tabs>
          <w:tab w:val="num" w:pos="3630"/>
        </w:tabs>
        <w:ind w:left="3630" w:hanging="360"/>
      </w:pPr>
      <w:rPr>
        <w:rFonts w:ascii="Courier New" w:hAnsi="Courier New" w:cs="Courier New" w:hint="default"/>
      </w:rPr>
    </w:lvl>
    <w:lvl w:ilvl="8" w:tplc="08090005" w:tentative="1">
      <w:start w:val="1"/>
      <w:numFmt w:val="bullet"/>
      <w:lvlText w:val=""/>
      <w:lvlJc w:val="left"/>
      <w:pPr>
        <w:tabs>
          <w:tab w:val="num" w:pos="4350"/>
        </w:tabs>
        <w:ind w:left="4350" w:hanging="360"/>
      </w:pPr>
      <w:rPr>
        <w:rFonts w:ascii="Wingdings" w:hAnsi="Wingdings" w:hint="default"/>
      </w:rPr>
    </w:lvl>
  </w:abstractNum>
  <w:abstractNum w:abstractNumId="3" w15:restartNumberingAfterBreak="0">
    <w:nsid w:val="63C66DA1"/>
    <w:multiLevelType w:val="hybridMultilevel"/>
    <w:tmpl w:val="01C0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594197"/>
    <w:multiLevelType w:val="hybridMultilevel"/>
    <w:tmpl w:val="31C81D0E"/>
    <w:lvl w:ilvl="0" w:tplc="7848EDB8">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690"/>
        </w:tabs>
        <w:ind w:left="-690" w:hanging="360"/>
      </w:pPr>
      <w:rPr>
        <w:rFonts w:ascii="Courier New" w:hAnsi="Courier New" w:cs="Courier New" w:hint="default"/>
      </w:rPr>
    </w:lvl>
    <w:lvl w:ilvl="2" w:tplc="08090005" w:tentative="1">
      <w:start w:val="1"/>
      <w:numFmt w:val="bullet"/>
      <w:lvlText w:val=""/>
      <w:lvlJc w:val="left"/>
      <w:pPr>
        <w:tabs>
          <w:tab w:val="num" w:pos="30"/>
        </w:tabs>
        <w:ind w:left="30" w:hanging="360"/>
      </w:pPr>
      <w:rPr>
        <w:rFonts w:ascii="Wingdings" w:hAnsi="Wingdings" w:hint="default"/>
      </w:rPr>
    </w:lvl>
    <w:lvl w:ilvl="3" w:tplc="08090001" w:tentative="1">
      <w:start w:val="1"/>
      <w:numFmt w:val="bullet"/>
      <w:lvlText w:val=""/>
      <w:lvlJc w:val="left"/>
      <w:pPr>
        <w:tabs>
          <w:tab w:val="num" w:pos="750"/>
        </w:tabs>
        <w:ind w:left="750" w:hanging="360"/>
      </w:pPr>
      <w:rPr>
        <w:rFonts w:ascii="Symbol" w:hAnsi="Symbol" w:hint="default"/>
      </w:rPr>
    </w:lvl>
    <w:lvl w:ilvl="4" w:tplc="08090003" w:tentative="1">
      <w:start w:val="1"/>
      <w:numFmt w:val="bullet"/>
      <w:lvlText w:val="o"/>
      <w:lvlJc w:val="left"/>
      <w:pPr>
        <w:tabs>
          <w:tab w:val="num" w:pos="1470"/>
        </w:tabs>
        <w:ind w:left="1470" w:hanging="360"/>
      </w:pPr>
      <w:rPr>
        <w:rFonts w:ascii="Courier New" w:hAnsi="Courier New" w:cs="Courier New" w:hint="default"/>
      </w:rPr>
    </w:lvl>
    <w:lvl w:ilvl="5" w:tplc="08090005" w:tentative="1">
      <w:start w:val="1"/>
      <w:numFmt w:val="bullet"/>
      <w:lvlText w:val=""/>
      <w:lvlJc w:val="left"/>
      <w:pPr>
        <w:tabs>
          <w:tab w:val="num" w:pos="2190"/>
        </w:tabs>
        <w:ind w:left="2190" w:hanging="360"/>
      </w:pPr>
      <w:rPr>
        <w:rFonts w:ascii="Wingdings" w:hAnsi="Wingdings" w:hint="default"/>
      </w:rPr>
    </w:lvl>
    <w:lvl w:ilvl="6" w:tplc="08090001" w:tentative="1">
      <w:start w:val="1"/>
      <w:numFmt w:val="bullet"/>
      <w:lvlText w:val=""/>
      <w:lvlJc w:val="left"/>
      <w:pPr>
        <w:tabs>
          <w:tab w:val="num" w:pos="2910"/>
        </w:tabs>
        <w:ind w:left="2910" w:hanging="360"/>
      </w:pPr>
      <w:rPr>
        <w:rFonts w:ascii="Symbol" w:hAnsi="Symbol" w:hint="default"/>
      </w:rPr>
    </w:lvl>
    <w:lvl w:ilvl="7" w:tplc="08090003" w:tentative="1">
      <w:start w:val="1"/>
      <w:numFmt w:val="bullet"/>
      <w:lvlText w:val="o"/>
      <w:lvlJc w:val="left"/>
      <w:pPr>
        <w:tabs>
          <w:tab w:val="num" w:pos="3630"/>
        </w:tabs>
        <w:ind w:left="3630" w:hanging="360"/>
      </w:pPr>
      <w:rPr>
        <w:rFonts w:ascii="Courier New" w:hAnsi="Courier New" w:cs="Courier New" w:hint="default"/>
      </w:rPr>
    </w:lvl>
    <w:lvl w:ilvl="8" w:tplc="08090005" w:tentative="1">
      <w:start w:val="1"/>
      <w:numFmt w:val="bullet"/>
      <w:lvlText w:val=""/>
      <w:lvlJc w:val="left"/>
      <w:pPr>
        <w:tabs>
          <w:tab w:val="num" w:pos="4350"/>
        </w:tabs>
        <w:ind w:left="4350" w:hanging="360"/>
      </w:pPr>
      <w:rPr>
        <w:rFonts w:ascii="Wingdings" w:hAnsi="Wingdings" w:hint="default"/>
      </w:rPr>
    </w:lvl>
  </w:abstractNum>
  <w:num w:numId="1" w16cid:durableId="1116289005">
    <w:abstractNumId w:val="1"/>
  </w:num>
  <w:num w:numId="2" w16cid:durableId="1558398116">
    <w:abstractNumId w:val="4"/>
  </w:num>
  <w:num w:numId="3" w16cid:durableId="1154834132">
    <w:abstractNumId w:val="2"/>
  </w:num>
  <w:num w:numId="4" w16cid:durableId="1402950732">
    <w:abstractNumId w:val="3"/>
  </w:num>
  <w:num w:numId="5" w16cid:durableId="2059474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intFractionalCharacterWidth/>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C97"/>
    <w:rsid w:val="00003B80"/>
    <w:rsid w:val="00003FBD"/>
    <w:rsid w:val="00005DDF"/>
    <w:rsid w:val="00006573"/>
    <w:rsid w:val="00007316"/>
    <w:rsid w:val="000151B3"/>
    <w:rsid w:val="0002102D"/>
    <w:rsid w:val="00021434"/>
    <w:rsid w:val="00022199"/>
    <w:rsid w:val="000236E7"/>
    <w:rsid w:val="000245B1"/>
    <w:rsid w:val="00026D75"/>
    <w:rsid w:val="00027A3F"/>
    <w:rsid w:val="00027B33"/>
    <w:rsid w:val="00030EB5"/>
    <w:rsid w:val="000318E0"/>
    <w:rsid w:val="00032E4A"/>
    <w:rsid w:val="00035891"/>
    <w:rsid w:val="00036DCA"/>
    <w:rsid w:val="00040656"/>
    <w:rsid w:val="00041201"/>
    <w:rsid w:val="0004291E"/>
    <w:rsid w:val="00042A67"/>
    <w:rsid w:val="00043B29"/>
    <w:rsid w:val="00051672"/>
    <w:rsid w:val="00051EBF"/>
    <w:rsid w:val="000521C7"/>
    <w:rsid w:val="000532F3"/>
    <w:rsid w:val="00053B88"/>
    <w:rsid w:val="000559E4"/>
    <w:rsid w:val="0005642C"/>
    <w:rsid w:val="00057565"/>
    <w:rsid w:val="0006053C"/>
    <w:rsid w:val="000606CA"/>
    <w:rsid w:val="00062B4F"/>
    <w:rsid w:val="00064D8A"/>
    <w:rsid w:val="000656C3"/>
    <w:rsid w:val="000656EF"/>
    <w:rsid w:val="0006591F"/>
    <w:rsid w:val="00066A8E"/>
    <w:rsid w:val="00067CDE"/>
    <w:rsid w:val="000717E0"/>
    <w:rsid w:val="00073422"/>
    <w:rsid w:val="000766DD"/>
    <w:rsid w:val="00077356"/>
    <w:rsid w:val="00081AE0"/>
    <w:rsid w:val="00083830"/>
    <w:rsid w:val="00085507"/>
    <w:rsid w:val="0008631E"/>
    <w:rsid w:val="00091E00"/>
    <w:rsid w:val="00092FC6"/>
    <w:rsid w:val="000935FE"/>
    <w:rsid w:val="0009593A"/>
    <w:rsid w:val="00095AF0"/>
    <w:rsid w:val="000A3071"/>
    <w:rsid w:val="000A3EEB"/>
    <w:rsid w:val="000A6643"/>
    <w:rsid w:val="000B1E30"/>
    <w:rsid w:val="000B3B5F"/>
    <w:rsid w:val="000B3C8F"/>
    <w:rsid w:val="000B634B"/>
    <w:rsid w:val="000B79B0"/>
    <w:rsid w:val="000C1C40"/>
    <w:rsid w:val="000C469C"/>
    <w:rsid w:val="000D36D3"/>
    <w:rsid w:val="000D4316"/>
    <w:rsid w:val="000D5796"/>
    <w:rsid w:val="000D5818"/>
    <w:rsid w:val="000E021A"/>
    <w:rsid w:val="000E0405"/>
    <w:rsid w:val="000E0D9C"/>
    <w:rsid w:val="000E32C6"/>
    <w:rsid w:val="000E3548"/>
    <w:rsid w:val="000E37E2"/>
    <w:rsid w:val="000E7451"/>
    <w:rsid w:val="000F07ED"/>
    <w:rsid w:val="000F2A60"/>
    <w:rsid w:val="000F48A0"/>
    <w:rsid w:val="000F4C56"/>
    <w:rsid w:val="000F58CE"/>
    <w:rsid w:val="000F5988"/>
    <w:rsid w:val="00101650"/>
    <w:rsid w:val="00101CE2"/>
    <w:rsid w:val="00106376"/>
    <w:rsid w:val="001108A2"/>
    <w:rsid w:val="00115807"/>
    <w:rsid w:val="0011718C"/>
    <w:rsid w:val="00120ABB"/>
    <w:rsid w:val="00123F3F"/>
    <w:rsid w:val="00124CE3"/>
    <w:rsid w:val="00124F6C"/>
    <w:rsid w:val="00134CEF"/>
    <w:rsid w:val="0014521A"/>
    <w:rsid w:val="00145865"/>
    <w:rsid w:val="001466E0"/>
    <w:rsid w:val="00150614"/>
    <w:rsid w:val="00161DC8"/>
    <w:rsid w:val="001630C0"/>
    <w:rsid w:val="0016483E"/>
    <w:rsid w:val="0016508C"/>
    <w:rsid w:val="001650FE"/>
    <w:rsid w:val="00173A5E"/>
    <w:rsid w:val="00174420"/>
    <w:rsid w:val="00175179"/>
    <w:rsid w:val="0017527A"/>
    <w:rsid w:val="00175385"/>
    <w:rsid w:val="001753D3"/>
    <w:rsid w:val="0018040F"/>
    <w:rsid w:val="00181E5C"/>
    <w:rsid w:val="0018251B"/>
    <w:rsid w:val="00182AAD"/>
    <w:rsid w:val="00182F08"/>
    <w:rsid w:val="00187AFC"/>
    <w:rsid w:val="001919F6"/>
    <w:rsid w:val="00191A3D"/>
    <w:rsid w:val="001A12C8"/>
    <w:rsid w:val="001A157E"/>
    <w:rsid w:val="001A1D7D"/>
    <w:rsid w:val="001A4921"/>
    <w:rsid w:val="001A712B"/>
    <w:rsid w:val="001A7DD0"/>
    <w:rsid w:val="001B0C34"/>
    <w:rsid w:val="001B0C7B"/>
    <w:rsid w:val="001B1DC7"/>
    <w:rsid w:val="001C16CF"/>
    <w:rsid w:val="001C1803"/>
    <w:rsid w:val="001C2FBD"/>
    <w:rsid w:val="001C3276"/>
    <w:rsid w:val="001C741D"/>
    <w:rsid w:val="001D0796"/>
    <w:rsid w:val="001D5FE4"/>
    <w:rsid w:val="001D7B87"/>
    <w:rsid w:val="001D7C9C"/>
    <w:rsid w:val="001E0A07"/>
    <w:rsid w:val="001F0191"/>
    <w:rsid w:val="001F0D43"/>
    <w:rsid w:val="001F2448"/>
    <w:rsid w:val="001F377B"/>
    <w:rsid w:val="001F5BAB"/>
    <w:rsid w:val="00202AC1"/>
    <w:rsid w:val="00204F95"/>
    <w:rsid w:val="002054ED"/>
    <w:rsid w:val="00206CCC"/>
    <w:rsid w:val="002072E2"/>
    <w:rsid w:val="0021188B"/>
    <w:rsid w:val="00215746"/>
    <w:rsid w:val="00215D41"/>
    <w:rsid w:val="0021790C"/>
    <w:rsid w:val="00223D2E"/>
    <w:rsid w:val="0022621D"/>
    <w:rsid w:val="00226FAE"/>
    <w:rsid w:val="00230A4E"/>
    <w:rsid w:val="0023103F"/>
    <w:rsid w:val="002341B5"/>
    <w:rsid w:val="0023574A"/>
    <w:rsid w:val="00235F58"/>
    <w:rsid w:val="00237167"/>
    <w:rsid w:val="00240104"/>
    <w:rsid w:val="00243171"/>
    <w:rsid w:val="00245687"/>
    <w:rsid w:val="0024795F"/>
    <w:rsid w:val="00247CBB"/>
    <w:rsid w:val="00251B66"/>
    <w:rsid w:val="00251D74"/>
    <w:rsid w:val="00253E9E"/>
    <w:rsid w:val="00254345"/>
    <w:rsid w:val="00257024"/>
    <w:rsid w:val="0026162B"/>
    <w:rsid w:val="00262468"/>
    <w:rsid w:val="002646CE"/>
    <w:rsid w:val="0026494C"/>
    <w:rsid w:val="00267E3D"/>
    <w:rsid w:val="00272B9E"/>
    <w:rsid w:val="0027502C"/>
    <w:rsid w:val="002760E2"/>
    <w:rsid w:val="00284E97"/>
    <w:rsid w:val="00284F8C"/>
    <w:rsid w:val="00285B34"/>
    <w:rsid w:val="002865C0"/>
    <w:rsid w:val="002871E0"/>
    <w:rsid w:val="002905D6"/>
    <w:rsid w:val="00290B03"/>
    <w:rsid w:val="00294559"/>
    <w:rsid w:val="00295AA5"/>
    <w:rsid w:val="00297F50"/>
    <w:rsid w:val="002A388A"/>
    <w:rsid w:val="002A50E4"/>
    <w:rsid w:val="002A5AA3"/>
    <w:rsid w:val="002B3CB0"/>
    <w:rsid w:val="002B596C"/>
    <w:rsid w:val="002B7BC0"/>
    <w:rsid w:val="002C36D9"/>
    <w:rsid w:val="002D0690"/>
    <w:rsid w:val="002D71EC"/>
    <w:rsid w:val="002E1AD7"/>
    <w:rsid w:val="002E202F"/>
    <w:rsid w:val="002E2207"/>
    <w:rsid w:val="002E3AB9"/>
    <w:rsid w:val="002E3CA8"/>
    <w:rsid w:val="002E4A29"/>
    <w:rsid w:val="002E56BB"/>
    <w:rsid w:val="002F236E"/>
    <w:rsid w:val="002F254A"/>
    <w:rsid w:val="002F42DF"/>
    <w:rsid w:val="002F4679"/>
    <w:rsid w:val="002F7EF5"/>
    <w:rsid w:val="00300AD4"/>
    <w:rsid w:val="0030110D"/>
    <w:rsid w:val="00301280"/>
    <w:rsid w:val="00301BDA"/>
    <w:rsid w:val="00304516"/>
    <w:rsid w:val="00305C8E"/>
    <w:rsid w:val="0030638B"/>
    <w:rsid w:val="0031066C"/>
    <w:rsid w:val="00315C57"/>
    <w:rsid w:val="0031649E"/>
    <w:rsid w:val="00316EFF"/>
    <w:rsid w:val="00325615"/>
    <w:rsid w:val="003268C3"/>
    <w:rsid w:val="0033163A"/>
    <w:rsid w:val="003329EB"/>
    <w:rsid w:val="003337C7"/>
    <w:rsid w:val="00333B80"/>
    <w:rsid w:val="00335421"/>
    <w:rsid w:val="00341EEE"/>
    <w:rsid w:val="003427AF"/>
    <w:rsid w:val="003438B3"/>
    <w:rsid w:val="00344CC4"/>
    <w:rsid w:val="00352A3E"/>
    <w:rsid w:val="003533A3"/>
    <w:rsid w:val="003556CD"/>
    <w:rsid w:val="00355785"/>
    <w:rsid w:val="00356D99"/>
    <w:rsid w:val="003578B1"/>
    <w:rsid w:val="00361730"/>
    <w:rsid w:val="003664A2"/>
    <w:rsid w:val="003664BA"/>
    <w:rsid w:val="0036656D"/>
    <w:rsid w:val="003672AD"/>
    <w:rsid w:val="00367B3A"/>
    <w:rsid w:val="00370F60"/>
    <w:rsid w:val="00371F6E"/>
    <w:rsid w:val="00373815"/>
    <w:rsid w:val="00375293"/>
    <w:rsid w:val="003762DA"/>
    <w:rsid w:val="00380218"/>
    <w:rsid w:val="00380686"/>
    <w:rsid w:val="00381B0D"/>
    <w:rsid w:val="00384793"/>
    <w:rsid w:val="00386192"/>
    <w:rsid w:val="003862DE"/>
    <w:rsid w:val="003863A4"/>
    <w:rsid w:val="003875A5"/>
    <w:rsid w:val="00390248"/>
    <w:rsid w:val="00390FDE"/>
    <w:rsid w:val="0039287D"/>
    <w:rsid w:val="003A1163"/>
    <w:rsid w:val="003A21E4"/>
    <w:rsid w:val="003A241F"/>
    <w:rsid w:val="003A2C94"/>
    <w:rsid w:val="003A3981"/>
    <w:rsid w:val="003A79B1"/>
    <w:rsid w:val="003B0242"/>
    <w:rsid w:val="003B092D"/>
    <w:rsid w:val="003B3362"/>
    <w:rsid w:val="003C1F33"/>
    <w:rsid w:val="003C28A5"/>
    <w:rsid w:val="003C4908"/>
    <w:rsid w:val="003C59CA"/>
    <w:rsid w:val="003D2211"/>
    <w:rsid w:val="003D31C6"/>
    <w:rsid w:val="003D38BC"/>
    <w:rsid w:val="003E1B96"/>
    <w:rsid w:val="003E2542"/>
    <w:rsid w:val="003E356D"/>
    <w:rsid w:val="003E4B59"/>
    <w:rsid w:val="003E4F2E"/>
    <w:rsid w:val="003E5244"/>
    <w:rsid w:val="003F2215"/>
    <w:rsid w:val="003F2546"/>
    <w:rsid w:val="00400601"/>
    <w:rsid w:val="004038E4"/>
    <w:rsid w:val="00404785"/>
    <w:rsid w:val="00412693"/>
    <w:rsid w:val="00412D2F"/>
    <w:rsid w:val="004131D8"/>
    <w:rsid w:val="004136E9"/>
    <w:rsid w:val="00413B6E"/>
    <w:rsid w:val="00413F14"/>
    <w:rsid w:val="00414F99"/>
    <w:rsid w:val="004165B2"/>
    <w:rsid w:val="00417220"/>
    <w:rsid w:val="0042147A"/>
    <w:rsid w:val="0042154F"/>
    <w:rsid w:val="00421AB2"/>
    <w:rsid w:val="00423A48"/>
    <w:rsid w:val="00426920"/>
    <w:rsid w:val="00431618"/>
    <w:rsid w:val="0043232D"/>
    <w:rsid w:val="00435788"/>
    <w:rsid w:val="0044193C"/>
    <w:rsid w:val="004447A8"/>
    <w:rsid w:val="00447822"/>
    <w:rsid w:val="00450A15"/>
    <w:rsid w:val="00454E6F"/>
    <w:rsid w:val="00457194"/>
    <w:rsid w:val="00460285"/>
    <w:rsid w:val="00460689"/>
    <w:rsid w:val="00466EFE"/>
    <w:rsid w:val="004705A8"/>
    <w:rsid w:val="004706F5"/>
    <w:rsid w:val="0047279B"/>
    <w:rsid w:val="00472F4C"/>
    <w:rsid w:val="00473A83"/>
    <w:rsid w:val="00482911"/>
    <w:rsid w:val="004848B1"/>
    <w:rsid w:val="00486E23"/>
    <w:rsid w:val="00487BD2"/>
    <w:rsid w:val="00490025"/>
    <w:rsid w:val="00490BF7"/>
    <w:rsid w:val="00491518"/>
    <w:rsid w:val="00493E84"/>
    <w:rsid w:val="00495465"/>
    <w:rsid w:val="00495C89"/>
    <w:rsid w:val="0049705B"/>
    <w:rsid w:val="004A0E8E"/>
    <w:rsid w:val="004A3FCE"/>
    <w:rsid w:val="004A65E3"/>
    <w:rsid w:val="004B0EB1"/>
    <w:rsid w:val="004B1708"/>
    <w:rsid w:val="004B2380"/>
    <w:rsid w:val="004B4758"/>
    <w:rsid w:val="004B49F7"/>
    <w:rsid w:val="004B51AC"/>
    <w:rsid w:val="004C3C58"/>
    <w:rsid w:val="004C4C85"/>
    <w:rsid w:val="004D22A7"/>
    <w:rsid w:val="004D2ADA"/>
    <w:rsid w:val="004D6757"/>
    <w:rsid w:val="004D6A78"/>
    <w:rsid w:val="004E0D10"/>
    <w:rsid w:val="004E2DE0"/>
    <w:rsid w:val="004F05DF"/>
    <w:rsid w:val="004F2157"/>
    <w:rsid w:val="004F3148"/>
    <w:rsid w:val="004F4D9D"/>
    <w:rsid w:val="00500DBB"/>
    <w:rsid w:val="00500E3B"/>
    <w:rsid w:val="00503F91"/>
    <w:rsid w:val="005049B6"/>
    <w:rsid w:val="00505AFA"/>
    <w:rsid w:val="005064FF"/>
    <w:rsid w:val="00507250"/>
    <w:rsid w:val="005104FE"/>
    <w:rsid w:val="00521619"/>
    <w:rsid w:val="0052642D"/>
    <w:rsid w:val="005279A7"/>
    <w:rsid w:val="005320B4"/>
    <w:rsid w:val="0053349C"/>
    <w:rsid w:val="00533E5F"/>
    <w:rsid w:val="00534B14"/>
    <w:rsid w:val="00535EB1"/>
    <w:rsid w:val="00535F93"/>
    <w:rsid w:val="005379C4"/>
    <w:rsid w:val="0054064F"/>
    <w:rsid w:val="00541A1F"/>
    <w:rsid w:val="0054506B"/>
    <w:rsid w:val="005500F7"/>
    <w:rsid w:val="005529ED"/>
    <w:rsid w:val="0056123F"/>
    <w:rsid w:val="005655D8"/>
    <w:rsid w:val="00565D81"/>
    <w:rsid w:val="00572639"/>
    <w:rsid w:val="00572708"/>
    <w:rsid w:val="00572D55"/>
    <w:rsid w:val="00575EC1"/>
    <w:rsid w:val="0057614A"/>
    <w:rsid w:val="00576A92"/>
    <w:rsid w:val="00577B49"/>
    <w:rsid w:val="0058240D"/>
    <w:rsid w:val="00582A68"/>
    <w:rsid w:val="00582D02"/>
    <w:rsid w:val="0058333D"/>
    <w:rsid w:val="00584FD2"/>
    <w:rsid w:val="00585011"/>
    <w:rsid w:val="00586BAF"/>
    <w:rsid w:val="00595E12"/>
    <w:rsid w:val="005960E1"/>
    <w:rsid w:val="0059640F"/>
    <w:rsid w:val="005969E3"/>
    <w:rsid w:val="00596CDB"/>
    <w:rsid w:val="00597383"/>
    <w:rsid w:val="005A2ACF"/>
    <w:rsid w:val="005A3B91"/>
    <w:rsid w:val="005A7014"/>
    <w:rsid w:val="005B4ED1"/>
    <w:rsid w:val="005B4F83"/>
    <w:rsid w:val="005B7C08"/>
    <w:rsid w:val="005C0C32"/>
    <w:rsid w:val="005C2731"/>
    <w:rsid w:val="005C3046"/>
    <w:rsid w:val="005C39FA"/>
    <w:rsid w:val="005C4727"/>
    <w:rsid w:val="005C5A5C"/>
    <w:rsid w:val="005C6648"/>
    <w:rsid w:val="005D0157"/>
    <w:rsid w:val="005D0F48"/>
    <w:rsid w:val="005D42F9"/>
    <w:rsid w:val="005D68AC"/>
    <w:rsid w:val="005E23AE"/>
    <w:rsid w:val="005E4D1F"/>
    <w:rsid w:val="005E7635"/>
    <w:rsid w:val="005F3F75"/>
    <w:rsid w:val="005F400C"/>
    <w:rsid w:val="005F45E2"/>
    <w:rsid w:val="005F51C9"/>
    <w:rsid w:val="005F5344"/>
    <w:rsid w:val="005F5657"/>
    <w:rsid w:val="005F5EAF"/>
    <w:rsid w:val="005F6675"/>
    <w:rsid w:val="005F6A5D"/>
    <w:rsid w:val="00602645"/>
    <w:rsid w:val="00602F1A"/>
    <w:rsid w:val="00604E28"/>
    <w:rsid w:val="00605C63"/>
    <w:rsid w:val="00606539"/>
    <w:rsid w:val="00621815"/>
    <w:rsid w:val="0062284F"/>
    <w:rsid w:val="006234D9"/>
    <w:rsid w:val="006236CC"/>
    <w:rsid w:val="00631222"/>
    <w:rsid w:val="006405D5"/>
    <w:rsid w:val="0064261A"/>
    <w:rsid w:val="006513A2"/>
    <w:rsid w:val="00651E20"/>
    <w:rsid w:val="00652C24"/>
    <w:rsid w:val="00652E9D"/>
    <w:rsid w:val="006545FA"/>
    <w:rsid w:val="0065613D"/>
    <w:rsid w:val="006562A0"/>
    <w:rsid w:val="0066030B"/>
    <w:rsid w:val="00661A44"/>
    <w:rsid w:val="00664F8B"/>
    <w:rsid w:val="00667034"/>
    <w:rsid w:val="00667DB6"/>
    <w:rsid w:val="00670DE3"/>
    <w:rsid w:val="006738E9"/>
    <w:rsid w:val="0067459A"/>
    <w:rsid w:val="00674939"/>
    <w:rsid w:val="00675FE7"/>
    <w:rsid w:val="006775C1"/>
    <w:rsid w:val="00682328"/>
    <w:rsid w:val="006832F1"/>
    <w:rsid w:val="00683E1A"/>
    <w:rsid w:val="0068573A"/>
    <w:rsid w:val="006875C9"/>
    <w:rsid w:val="00692762"/>
    <w:rsid w:val="00693668"/>
    <w:rsid w:val="006A370D"/>
    <w:rsid w:val="006A4B8A"/>
    <w:rsid w:val="006A5CA1"/>
    <w:rsid w:val="006B0564"/>
    <w:rsid w:val="006B2E78"/>
    <w:rsid w:val="006B5E7E"/>
    <w:rsid w:val="006C0100"/>
    <w:rsid w:val="006C2D4E"/>
    <w:rsid w:val="006C3E8E"/>
    <w:rsid w:val="006C3EBA"/>
    <w:rsid w:val="006C66D0"/>
    <w:rsid w:val="006D2BC0"/>
    <w:rsid w:val="006D4AC3"/>
    <w:rsid w:val="006D4D20"/>
    <w:rsid w:val="006D65E9"/>
    <w:rsid w:val="006E1F14"/>
    <w:rsid w:val="006E39E4"/>
    <w:rsid w:val="006E5AC1"/>
    <w:rsid w:val="006E7DB1"/>
    <w:rsid w:val="006F0CD0"/>
    <w:rsid w:val="006F2869"/>
    <w:rsid w:val="006F678D"/>
    <w:rsid w:val="00701C6D"/>
    <w:rsid w:val="00702C9D"/>
    <w:rsid w:val="00703B65"/>
    <w:rsid w:val="00706A19"/>
    <w:rsid w:val="007072DF"/>
    <w:rsid w:val="007130C8"/>
    <w:rsid w:val="00714891"/>
    <w:rsid w:val="0071563F"/>
    <w:rsid w:val="007178DC"/>
    <w:rsid w:val="00720C1F"/>
    <w:rsid w:val="00720F3F"/>
    <w:rsid w:val="00722C1C"/>
    <w:rsid w:val="007239A3"/>
    <w:rsid w:val="00724802"/>
    <w:rsid w:val="00732CF9"/>
    <w:rsid w:val="0073478E"/>
    <w:rsid w:val="00740155"/>
    <w:rsid w:val="00741CAD"/>
    <w:rsid w:val="0074318E"/>
    <w:rsid w:val="00744119"/>
    <w:rsid w:val="00744476"/>
    <w:rsid w:val="00747549"/>
    <w:rsid w:val="00752C24"/>
    <w:rsid w:val="00753725"/>
    <w:rsid w:val="007562DC"/>
    <w:rsid w:val="00757EF2"/>
    <w:rsid w:val="00761B84"/>
    <w:rsid w:val="00762D93"/>
    <w:rsid w:val="00762DAA"/>
    <w:rsid w:val="0076363B"/>
    <w:rsid w:val="00763CDD"/>
    <w:rsid w:val="0076613F"/>
    <w:rsid w:val="007661A1"/>
    <w:rsid w:val="00766613"/>
    <w:rsid w:val="00771010"/>
    <w:rsid w:val="007715AC"/>
    <w:rsid w:val="007749B9"/>
    <w:rsid w:val="00774F6B"/>
    <w:rsid w:val="00776220"/>
    <w:rsid w:val="00780505"/>
    <w:rsid w:val="00784A0B"/>
    <w:rsid w:val="00785349"/>
    <w:rsid w:val="0078744A"/>
    <w:rsid w:val="00787780"/>
    <w:rsid w:val="00787791"/>
    <w:rsid w:val="0079116A"/>
    <w:rsid w:val="007934FD"/>
    <w:rsid w:val="00793D4B"/>
    <w:rsid w:val="00796694"/>
    <w:rsid w:val="007A03AE"/>
    <w:rsid w:val="007A0B30"/>
    <w:rsid w:val="007A2D8F"/>
    <w:rsid w:val="007A5E4B"/>
    <w:rsid w:val="007B1468"/>
    <w:rsid w:val="007C397F"/>
    <w:rsid w:val="007C3D15"/>
    <w:rsid w:val="007D158F"/>
    <w:rsid w:val="007D2384"/>
    <w:rsid w:val="007D257B"/>
    <w:rsid w:val="007D2D4B"/>
    <w:rsid w:val="007D38DB"/>
    <w:rsid w:val="007D444B"/>
    <w:rsid w:val="007D4D9E"/>
    <w:rsid w:val="007D6909"/>
    <w:rsid w:val="007E07B2"/>
    <w:rsid w:val="007E270C"/>
    <w:rsid w:val="007E2C6B"/>
    <w:rsid w:val="007E3375"/>
    <w:rsid w:val="007E4CB4"/>
    <w:rsid w:val="007E5B52"/>
    <w:rsid w:val="007E7D51"/>
    <w:rsid w:val="007F0B2C"/>
    <w:rsid w:val="007F1B6B"/>
    <w:rsid w:val="007F5D85"/>
    <w:rsid w:val="007F7A46"/>
    <w:rsid w:val="0080739D"/>
    <w:rsid w:val="00816558"/>
    <w:rsid w:val="0081729B"/>
    <w:rsid w:val="00817B18"/>
    <w:rsid w:val="00821430"/>
    <w:rsid w:val="008233EA"/>
    <w:rsid w:val="008249ED"/>
    <w:rsid w:val="00824DA4"/>
    <w:rsid w:val="00827BF8"/>
    <w:rsid w:val="00827E82"/>
    <w:rsid w:val="0083015F"/>
    <w:rsid w:val="00833513"/>
    <w:rsid w:val="00835646"/>
    <w:rsid w:val="008357FD"/>
    <w:rsid w:val="00836943"/>
    <w:rsid w:val="008374F0"/>
    <w:rsid w:val="00841242"/>
    <w:rsid w:val="0084506D"/>
    <w:rsid w:val="00850ADC"/>
    <w:rsid w:val="00851DCF"/>
    <w:rsid w:val="00852B44"/>
    <w:rsid w:val="008552C7"/>
    <w:rsid w:val="00855EDC"/>
    <w:rsid w:val="00855FC4"/>
    <w:rsid w:val="00856761"/>
    <w:rsid w:val="008572F1"/>
    <w:rsid w:val="008574EF"/>
    <w:rsid w:val="008622A6"/>
    <w:rsid w:val="00863324"/>
    <w:rsid w:val="00863483"/>
    <w:rsid w:val="008657FA"/>
    <w:rsid w:val="00867B61"/>
    <w:rsid w:val="008741E1"/>
    <w:rsid w:val="008742E2"/>
    <w:rsid w:val="00874D2C"/>
    <w:rsid w:val="008802C0"/>
    <w:rsid w:val="00883CFF"/>
    <w:rsid w:val="008844FF"/>
    <w:rsid w:val="00887F2E"/>
    <w:rsid w:val="00890350"/>
    <w:rsid w:val="0089077C"/>
    <w:rsid w:val="00892DC7"/>
    <w:rsid w:val="0089754C"/>
    <w:rsid w:val="008A2DD7"/>
    <w:rsid w:val="008A30D3"/>
    <w:rsid w:val="008A3795"/>
    <w:rsid w:val="008A3B29"/>
    <w:rsid w:val="008A4043"/>
    <w:rsid w:val="008A49A5"/>
    <w:rsid w:val="008A5AB9"/>
    <w:rsid w:val="008B0EFD"/>
    <w:rsid w:val="008B1960"/>
    <w:rsid w:val="008B4B57"/>
    <w:rsid w:val="008C42EF"/>
    <w:rsid w:val="008C7CA1"/>
    <w:rsid w:val="008D0202"/>
    <w:rsid w:val="008D2E9B"/>
    <w:rsid w:val="008E1591"/>
    <w:rsid w:val="008E3A27"/>
    <w:rsid w:val="008E516A"/>
    <w:rsid w:val="008F01E1"/>
    <w:rsid w:val="008F27EB"/>
    <w:rsid w:val="008F2A43"/>
    <w:rsid w:val="008F2EFF"/>
    <w:rsid w:val="00903069"/>
    <w:rsid w:val="00904F43"/>
    <w:rsid w:val="009054CF"/>
    <w:rsid w:val="009071F1"/>
    <w:rsid w:val="00907895"/>
    <w:rsid w:val="00907F8D"/>
    <w:rsid w:val="00913F95"/>
    <w:rsid w:val="00917846"/>
    <w:rsid w:val="00920097"/>
    <w:rsid w:val="00920FCE"/>
    <w:rsid w:val="00921BE7"/>
    <w:rsid w:val="00924C8D"/>
    <w:rsid w:val="00926F2E"/>
    <w:rsid w:val="00936211"/>
    <w:rsid w:val="00937380"/>
    <w:rsid w:val="00941C0D"/>
    <w:rsid w:val="00942357"/>
    <w:rsid w:val="00950A14"/>
    <w:rsid w:val="00951824"/>
    <w:rsid w:val="00952E25"/>
    <w:rsid w:val="00953E69"/>
    <w:rsid w:val="009540EA"/>
    <w:rsid w:val="00956A7B"/>
    <w:rsid w:val="00957139"/>
    <w:rsid w:val="0096014C"/>
    <w:rsid w:val="009623E2"/>
    <w:rsid w:val="00963F9A"/>
    <w:rsid w:val="00967803"/>
    <w:rsid w:val="00971E98"/>
    <w:rsid w:val="00974895"/>
    <w:rsid w:val="00975140"/>
    <w:rsid w:val="00976B03"/>
    <w:rsid w:val="00976C6A"/>
    <w:rsid w:val="00977158"/>
    <w:rsid w:val="0098075B"/>
    <w:rsid w:val="0098220B"/>
    <w:rsid w:val="00984CE4"/>
    <w:rsid w:val="009857A6"/>
    <w:rsid w:val="00992830"/>
    <w:rsid w:val="00995F8E"/>
    <w:rsid w:val="009A0731"/>
    <w:rsid w:val="009A119A"/>
    <w:rsid w:val="009A3244"/>
    <w:rsid w:val="009A3F1E"/>
    <w:rsid w:val="009A4501"/>
    <w:rsid w:val="009C15ED"/>
    <w:rsid w:val="009C5D56"/>
    <w:rsid w:val="009C6156"/>
    <w:rsid w:val="009C787E"/>
    <w:rsid w:val="009D0922"/>
    <w:rsid w:val="009D407A"/>
    <w:rsid w:val="009D5102"/>
    <w:rsid w:val="009D7EBE"/>
    <w:rsid w:val="009E05AE"/>
    <w:rsid w:val="009E0607"/>
    <w:rsid w:val="009E385D"/>
    <w:rsid w:val="009E54AD"/>
    <w:rsid w:val="009F26BC"/>
    <w:rsid w:val="009F4DF0"/>
    <w:rsid w:val="009F6B5B"/>
    <w:rsid w:val="009F76A5"/>
    <w:rsid w:val="00A0230B"/>
    <w:rsid w:val="00A02C20"/>
    <w:rsid w:val="00A04ECE"/>
    <w:rsid w:val="00A052FA"/>
    <w:rsid w:val="00A1190D"/>
    <w:rsid w:val="00A160BD"/>
    <w:rsid w:val="00A167B2"/>
    <w:rsid w:val="00A208DC"/>
    <w:rsid w:val="00A247AF"/>
    <w:rsid w:val="00A24DE4"/>
    <w:rsid w:val="00A24E71"/>
    <w:rsid w:val="00A2578F"/>
    <w:rsid w:val="00A25AF5"/>
    <w:rsid w:val="00A30486"/>
    <w:rsid w:val="00A34710"/>
    <w:rsid w:val="00A36064"/>
    <w:rsid w:val="00A365CB"/>
    <w:rsid w:val="00A426B2"/>
    <w:rsid w:val="00A43D1B"/>
    <w:rsid w:val="00A45C25"/>
    <w:rsid w:val="00A47C13"/>
    <w:rsid w:val="00A50DC1"/>
    <w:rsid w:val="00A52827"/>
    <w:rsid w:val="00A53DF7"/>
    <w:rsid w:val="00A54EAC"/>
    <w:rsid w:val="00A562B6"/>
    <w:rsid w:val="00A6463C"/>
    <w:rsid w:val="00A652B2"/>
    <w:rsid w:val="00A67A0A"/>
    <w:rsid w:val="00A70872"/>
    <w:rsid w:val="00A73659"/>
    <w:rsid w:val="00A7427F"/>
    <w:rsid w:val="00A74E2B"/>
    <w:rsid w:val="00A77BAB"/>
    <w:rsid w:val="00A83A5C"/>
    <w:rsid w:val="00A85303"/>
    <w:rsid w:val="00A86475"/>
    <w:rsid w:val="00A86F93"/>
    <w:rsid w:val="00A9041A"/>
    <w:rsid w:val="00A90905"/>
    <w:rsid w:val="00A9511F"/>
    <w:rsid w:val="00A957D1"/>
    <w:rsid w:val="00AA05DD"/>
    <w:rsid w:val="00AA0DFF"/>
    <w:rsid w:val="00AA23C5"/>
    <w:rsid w:val="00AA731C"/>
    <w:rsid w:val="00AB1B93"/>
    <w:rsid w:val="00AC0C4A"/>
    <w:rsid w:val="00AC7DD7"/>
    <w:rsid w:val="00AD03F8"/>
    <w:rsid w:val="00AD1A3D"/>
    <w:rsid w:val="00AD1FEC"/>
    <w:rsid w:val="00AD272B"/>
    <w:rsid w:val="00AD3CC3"/>
    <w:rsid w:val="00AD54BE"/>
    <w:rsid w:val="00AD63FF"/>
    <w:rsid w:val="00AD65EE"/>
    <w:rsid w:val="00AE09CD"/>
    <w:rsid w:val="00AE276A"/>
    <w:rsid w:val="00AE7011"/>
    <w:rsid w:val="00AF5230"/>
    <w:rsid w:val="00AF6F42"/>
    <w:rsid w:val="00B021F7"/>
    <w:rsid w:val="00B0799F"/>
    <w:rsid w:val="00B11388"/>
    <w:rsid w:val="00B11733"/>
    <w:rsid w:val="00B121D9"/>
    <w:rsid w:val="00B14192"/>
    <w:rsid w:val="00B15973"/>
    <w:rsid w:val="00B15ED7"/>
    <w:rsid w:val="00B217C3"/>
    <w:rsid w:val="00B21C3A"/>
    <w:rsid w:val="00B22178"/>
    <w:rsid w:val="00B22CF0"/>
    <w:rsid w:val="00B24B65"/>
    <w:rsid w:val="00B37C55"/>
    <w:rsid w:val="00B41482"/>
    <w:rsid w:val="00B52E47"/>
    <w:rsid w:val="00B54142"/>
    <w:rsid w:val="00B5675C"/>
    <w:rsid w:val="00B630D4"/>
    <w:rsid w:val="00B66C74"/>
    <w:rsid w:val="00B7013C"/>
    <w:rsid w:val="00B72771"/>
    <w:rsid w:val="00B76192"/>
    <w:rsid w:val="00B768AC"/>
    <w:rsid w:val="00B8576F"/>
    <w:rsid w:val="00B92108"/>
    <w:rsid w:val="00B935A9"/>
    <w:rsid w:val="00B95A30"/>
    <w:rsid w:val="00B95AD1"/>
    <w:rsid w:val="00B95F19"/>
    <w:rsid w:val="00B97C71"/>
    <w:rsid w:val="00BA0C02"/>
    <w:rsid w:val="00BA5D01"/>
    <w:rsid w:val="00BA65E4"/>
    <w:rsid w:val="00BB3755"/>
    <w:rsid w:val="00BB4E45"/>
    <w:rsid w:val="00BC2216"/>
    <w:rsid w:val="00BC2B5D"/>
    <w:rsid w:val="00BC3550"/>
    <w:rsid w:val="00BC47A1"/>
    <w:rsid w:val="00BC47C0"/>
    <w:rsid w:val="00BC583C"/>
    <w:rsid w:val="00BC7C71"/>
    <w:rsid w:val="00BD099F"/>
    <w:rsid w:val="00BD733A"/>
    <w:rsid w:val="00BF31DC"/>
    <w:rsid w:val="00BF40F3"/>
    <w:rsid w:val="00BF59EA"/>
    <w:rsid w:val="00C02302"/>
    <w:rsid w:val="00C04E11"/>
    <w:rsid w:val="00C07841"/>
    <w:rsid w:val="00C1288A"/>
    <w:rsid w:val="00C156EA"/>
    <w:rsid w:val="00C218AD"/>
    <w:rsid w:val="00C226B4"/>
    <w:rsid w:val="00C23117"/>
    <w:rsid w:val="00C231DA"/>
    <w:rsid w:val="00C23AAD"/>
    <w:rsid w:val="00C24C97"/>
    <w:rsid w:val="00C24FEB"/>
    <w:rsid w:val="00C26C00"/>
    <w:rsid w:val="00C26D05"/>
    <w:rsid w:val="00C302BD"/>
    <w:rsid w:val="00C303AF"/>
    <w:rsid w:val="00C30D16"/>
    <w:rsid w:val="00C32116"/>
    <w:rsid w:val="00C347D1"/>
    <w:rsid w:val="00C36484"/>
    <w:rsid w:val="00C3790F"/>
    <w:rsid w:val="00C420C6"/>
    <w:rsid w:val="00C43E7D"/>
    <w:rsid w:val="00C44490"/>
    <w:rsid w:val="00C44904"/>
    <w:rsid w:val="00C502F2"/>
    <w:rsid w:val="00C504E9"/>
    <w:rsid w:val="00C51C27"/>
    <w:rsid w:val="00C52759"/>
    <w:rsid w:val="00C65ACF"/>
    <w:rsid w:val="00C65E10"/>
    <w:rsid w:val="00C726F4"/>
    <w:rsid w:val="00C746B3"/>
    <w:rsid w:val="00C75C15"/>
    <w:rsid w:val="00C76787"/>
    <w:rsid w:val="00C81950"/>
    <w:rsid w:val="00C82750"/>
    <w:rsid w:val="00C82B2A"/>
    <w:rsid w:val="00C91092"/>
    <w:rsid w:val="00C940E1"/>
    <w:rsid w:val="00C9770B"/>
    <w:rsid w:val="00CA318B"/>
    <w:rsid w:val="00CA46F6"/>
    <w:rsid w:val="00CA6BBD"/>
    <w:rsid w:val="00CB2B83"/>
    <w:rsid w:val="00CC1E95"/>
    <w:rsid w:val="00CC69A9"/>
    <w:rsid w:val="00CC7CD3"/>
    <w:rsid w:val="00CC7CFA"/>
    <w:rsid w:val="00CD083B"/>
    <w:rsid w:val="00CD21D7"/>
    <w:rsid w:val="00CD2744"/>
    <w:rsid w:val="00CD319F"/>
    <w:rsid w:val="00CD4387"/>
    <w:rsid w:val="00CD4F60"/>
    <w:rsid w:val="00CE43D1"/>
    <w:rsid w:val="00CE78EC"/>
    <w:rsid w:val="00CF02BB"/>
    <w:rsid w:val="00CF0A75"/>
    <w:rsid w:val="00CF1DCD"/>
    <w:rsid w:val="00CF25F0"/>
    <w:rsid w:val="00CF2BD8"/>
    <w:rsid w:val="00CF3FC2"/>
    <w:rsid w:val="00CF413F"/>
    <w:rsid w:val="00CF4B86"/>
    <w:rsid w:val="00CF73DA"/>
    <w:rsid w:val="00CF7E13"/>
    <w:rsid w:val="00D00B4C"/>
    <w:rsid w:val="00D0136A"/>
    <w:rsid w:val="00D06906"/>
    <w:rsid w:val="00D11680"/>
    <w:rsid w:val="00D13204"/>
    <w:rsid w:val="00D16507"/>
    <w:rsid w:val="00D261A9"/>
    <w:rsid w:val="00D33AFC"/>
    <w:rsid w:val="00D34A68"/>
    <w:rsid w:val="00D366EE"/>
    <w:rsid w:val="00D36837"/>
    <w:rsid w:val="00D405F6"/>
    <w:rsid w:val="00D41BFA"/>
    <w:rsid w:val="00D41CAA"/>
    <w:rsid w:val="00D42EBF"/>
    <w:rsid w:val="00D42FF9"/>
    <w:rsid w:val="00D430AD"/>
    <w:rsid w:val="00D43173"/>
    <w:rsid w:val="00D451CE"/>
    <w:rsid w:val="00D516E5"/>
    <w:rsid w:val="00D519E2"/>
    <w:rsid w:val="00D51F4B"/>
    <w:rsid w:val="00D55250"/>
    <w:rsid w:val="00D5651C"/>
    <w:rsid w:val="00D62B08"/>
    <w:rsid w:val="00D63076"/>
    <w:rsid w:val="00D64ACB"/>
    <w:rsid w:val="00D65EAF"/>
    <w:rsid w:val="00D6687E"/>
    <w:rsid w:val="00D67AD9"/>
    <w:rsid w:val="00D67CB6"/>
    <w:rsid w:val="00D71E4C"/>
    <w:rsid w:val="00D73097"/>
    <w:rsid w:val="00D74136"/>
    <w:rsid w:val="00D748FB"/>
    <w:rsid w:val="00D77AAE"/>
    <w:rsid w:val="00D81103"/>
    <w:rsid w:val="00D82A1C"/>
    <w:rsid w:val="00D83E8D"/>
    <w:rsid w:val="00D87AA2"/>
    <w:rsid w:val="00D91719"/>
    <w:rsid w:val="00D92BC7"/>
    <w:rsid w:val="00D93996"/>
    <w:rsid w:val="00D94818"/>
    <w:rsid w:val="00D94D54"/>
    <w:rsid w:val="00D973A6"/>
    <w:rsid w:val="00DA185C"/>
    <w:rsid w:val="00DA3FA9"/>
    <w:rsid w:val="00DA476C"/>
    <w:rsid w:val="00DA6492"/>
    <w:rsid w:val="00DB173E"/>
    <w:rsid w:val="00DB199C"/>
    <w:rsid w:val="00DB2F8F"/>
    <w:rsid w:val="00DB30AF"/>
    <w:rsid w:val="00DB4D87"/>
    <w:rsid w:val="00DC0A08"/>
    <w:rsid w:val="00DC3243"/>
    <w:rsid w:val="00DC3494"/>
    <w:rsid w:val="00DC70C2"/>
    <w:rsid w:val="00DC7301"/>
    <w:rsid w:val="00DC7494"/>
    <w:rsid w:val="00DD3815"/>
    <w:rsid w:val="00DD4C20"/>
    <w:rsid w:val="00DD4CCE"/>
    <w:rsid w:val="00DD6707"/>
    <w:rsid w:val="00DE1D21"/>
    <w:rsid w:val="00DE323E"/>
    <w:rsid w:val="00DF26E7"/>
    <w:rsid w:val="00DF5B39"/>
    <w:rsid w:val="00DF6660"/>
    <w:rsid w:val="00E00213"/>
    <w:rsid w:val="00E00341"/>
    <w:rsid w:val="00E00C5B"/>
    <w:rsid w:val="00E00CD6"/>
    <w:rsid w:val="00E035EC"/>
    <w:rsid w:val="00E0733A"/>
    <w:rsid w:val="00E11CEF"/>
    <w:rsid w:val="00E12BAF"/>
    <w:rsid w:val="00E14858"/>
    <w:rsid w:val="00E1649E"/>
    <w:rsid w:val="00E234D7"/>
    <w:rsid w:val="00E2392D"/>
    <w:rsid w:val="00E26B95"/>
    <w:rsid w:val="00E27B20"/>
    <w:rsid w:val="00E31653"/>
    <w:rsid w:val="00E31897"/>
    <w:rsid w:val="00E32377"/>
    <w:rsid w:val="00E34297"/>
    <w:rsid w:val="00E34788"/>
    <w:rsid w:val="00E362D4"/>
    <w:rsid w:val="00E377DD"/>
    <w:rsid w:val="00E37D72"/>
    <w:rsid w:val="00E40057"/>
    <w:rsid w:val="00E428C7"/>
    <w:rsid w:val="00E51751"/>
    <w:rsid w:val="00E54BC7"/>
    <w:rsid w:val="00E63BCA"/>
    <w:rsid w:val="00E7318C"/>
    <w:rsid w:val="00E74FF2"/>
    <w:rsid w:val="00E800C1"/>
    <w:rsid w:val="00E81991"/>
    <w:rsid w:val="00E83480"/>
    <w:rsid w:val="00E83B72"/>
    <w:rsid w:val="00E846F2"/>
    <w:rsid w:val="00E84C25"/>
    <w:rsid w:val="00E86352"/>
    <w:rsid w:val="00E90732"/>
    <w:rsid w:val="00E9126B"/>
    <w:rsid w:val="00E94406"/>
    <w:rsid w:val="00E94FAC"/>
    <w:rsid w:val="00E97B5F"/>
    <w:rsid w:val="00EA069D"/>
    <w:rsid w:val="00EA0802"/>
    <w:rsid w:val="00EA2355"/>
    <w:rsid w:val="00EA2CF8"/>
    <w:rsid w:val="00EA2EDF"/>
    <w:rsid w:val="00EA3899"/>
    <w:rsid w:val="00EA671D"/>
    <w:rsid w:val="00EB166C"/>
    <w:rsid w:val="00EB1B4C"/>
    <w:rsid w:val="00EB3F06"/>
    <w:rsid w:val="00EB4386"/>
    <w:rsid w:val="00EB6C03"/>
    <w:rsid w:val="00EC1651"/>
    <w:rsid w:val="00EC2AF8"/>
    <w:rsid w:val="00EC32A7"/>
    <w:rsid w:val="00EC482C"/>
    <w:rsid w:val="00EC6AE6"/>
    <w:rsid w:val="00ED05A0"/>
    <w:rsid w:val="00ED079C"/>
    <w:rsid w:val="00ED47E3"/>
    <w:rsid w:val="00ED4B3E"/>
    <w:rsid w:val="00EE271C"/>
    <w:rsid w:val="00EE27F0"/>
    <w:rsid w:val="00EE2A23"/>
    <w:rsid w:val="00EE31B1"/>
    <w:rsid w:val="00EE3637"/>
    <w:rsid w:val="00EE3CD4"/>
    <w:rsid w:val="00EF6E22"/>
    <w:rsid w:val="00F014AB"/>
    <w:rsid w:val="00F12AAC"/>
    <w:rsid w:val="00F134A2"/>
    <w:rsid w:val="00F14177"/>
    <w:rsid w:val="00F15056"/>
    <w:rsid w:val="00F169ED"/>
    <w:rsid w:val="00F2393B"/>
    <w:rsid w:val="00F23D20"/>
    <w:rsid w:val="00F23D80"/>
    <w:rsid w:val="00F2433C"/>
    <w:rsid w:val="00F2490D"/>
    <w:rsid w:val="00F323AD"/>
    <w:rsid w:val="00F3259B"/>
    <w:rsid w:val="00F362A9"/>
    <w:rsid w:val="00F36614"/>
    <w:rsid w:val="00F37DB9"/>
    <w:rsid w:val="00F40EFB"/>
    <w:rsid w:val="00F42B53"/>
    <w:rsid w:val="00F42D62"/>
    <w:rsid w:val="00F43655"/>
    <w:rsid w:val="00F45426"/>
    <w:rsid w:val="00F5070C"/>
    <w:rsid w:val="00F53727"/>
    <w:rsid w:val="00F5442D"/>
    <w:rsid w:val="00F54913"/>
    <w:rsid w:val="00F55A54"/>
    <w:rsid w:val="00F57364"/>
    <w:rsid w:val="00F577EE"/>
    <w:rsid w:val="00F57DBC"/>
    <w:rsid w:val="00F60360"/>
    <w:rsid w:val="00F60D38"/>
    <w:rsid w:val="00F62203"/>
    <w:rsid w:val="00F76152"/>
    <w:rsid w:val="00F76229"/>
    <w:rsid w:val="00F85630"/>
    <w:rsid w:val="00F85E2A"/>
    <w:rsid w:val="00F90515"/>
    <w:rsid w:val="00F937DC"/>
    <w:rsid w:val="00F94063"/>
    <w:rsid w:val="00F9629F"/>
    <w:rsid w:val="00F97905"/>
    <w:rsid w:val="00FA1BD0"/>
    <w:rsid w:val="00FA5993"/>
    <w:rsid w:val="00FA751E"/>
    <w:rsid w:val="00FA764B"/>
    <w:rsid w:val="00FA7B19"/>
    <w:rsid w:val="00FA7E47"/>
    <w:rsid w:val="00FB0915"/>
    <w:rsid w:val="00FB502F"/>
    <w:rsid w:val="00FB5D69"/>
    <w:rsid w:val="00FB70DF"/>
    <w:rsid w:val="00FC0A82"/>
    <w:rsid w:val="00FC10BD"/>
    <w:rsid w:val="00FC47FF"/>
    <w:rsid w:val="00FC6BD9"/>
    <w:rsid w:val="00FD0BEC"/>
    <w:rsid w:val="00FD224D"/>
    <w:rsid w:val="00FD4BEA"/>
    <w:rsid w:val="00FD7673"/>
    <w:rsid w:val="00FD7A48"/>
    <w:rsid w:val="00FE0A57"/>
    <w:rsid w:val="00FF0C6C"/>
    <w:rsid w:val="00FF0F23"/>
    <w:rsid w:val="00FF2238"/>
    <w:rsid w:val="00FF341A"/>
    <w:rsid w:val="00FF4E62"/>
    <w:rsid w:val="07B098CD"/>
    <w:rsid w:val="094C692E"/>
    <w:rsid w:val="09721C3C"/>
    <w:rsid w:val="0ACF1132"/>
    <w:rsid w:val="0C27FB84"/>
    <w:rsid w:val="0EDE8776"/>
    <w:rsid w:val="0F96368D"/>
    <w:rsid w:val="1A3D278E"/>
    <w:rsid w:val="1B0D0125"/>
    <w:rsid w:val="1F506D66"/>
    <w:rsid w:val="271BAA96"/>
    <w:rsid w:val="30CA7A62"/>
    <w:rsid w:val="32D9F50A"/>
    <w:rsid w:val="34021B24"/>
    <w:rsid w:val="36B06D4A"/>
    <w:rsid w:val="388026CD"/>
    <w:rsid w:val="3935D2D9"/>
    <w:rsid w:val="3A715CA8"/>
    <w:rsid w:val="3EA256D2"/>
    <w:rsid w:val="3EA44123"/>
    <w:rsid w:val="403E2733"/>
    <w:rsid w:val="404016CA"/>
    <w:rsid w:val="47BA5407"/>
    <w:rsid w:val="568BA552"/>
    <w:rsid w:val="5F31C9CB"/>
    <w:rsid w:val="684E95CC"/>
    <w:rsid w:val="6ACD2CD1"/>
    <w:rsid w:val="73259FBC"/>
    <w:rsid w:val="76C28B31"/>
    <w:rsid w:val="7978C0C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5173AE8"/>
  <w15:docId w15:val="{461CD3E2-D668-4D10-9BC9-081261B39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Dutch801SWC" w:eastAsia="Times New Roman" w:hAnsi="Dutch801SWC" w:cs="Times New Roman"/>
        <w:lang w:val="en-GB"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C3D15"/>
    <w:pPr>
      <w:spacing w:line="360" w:lineRule="auto"/>
    </w:pPr>
    <w:rPr>
      <w:rFonts w:ascii="Calibri" w:hAnsi="Calibri"/>
      <w:sz w:val="24"/>
      <w:lang w:eastAsia="en-GB"/>
    </w:rPr>
  </w:style>
  <w:style w:type="paragraph" w:styleId="Heading1">
    <w:name w:val="heading 1"/>
    <w:basedOn w:val="Normal"/>
    <w:next w:val="Normal"/>
    <w:link w:val="Heading1Char"/>
    <w:autoRedefine/>
    <w:uiPriority w:val="9"/>
    <w:qFormat/>
    <w:rsid w:val="00C30D16"/>
    <w:pPr>
      <w:outlineLvl w:val="0"/>
    </w:pPr>
    <w:rPr>
      <w:rFonts w:asciiTheme="majorHAnsi" w:hAnsiTheme="majorHAnsi"/>
      <w:b/>
      <w:caps/>
      <w:sz w:val="28"/>
    </w:rPr>
  </w:style>
  <w:style w:type="paragraph" w:styleId="Heading2">
    <w:name w:val="heading 2"/>
    <w:basedOn w:val="Normal"/>
    <w:next w:val="Normal"/>
    <w:qFormat/>
    <w:rsid w:val="00850ADC"/>
    <w:pPr>
      <w:outlineLvl w:val="1"/>
    </w:pPr>
    <w:rPr>
      <w:b/>
    </w:rPr>
  </w:style>
  <w:style w:type="paragraph" w:styleId="Heading3">
    <w:name w:val="heading 3"/>
    <w:basedOn w:val="Normal"/>
    <w:next w:val="NormalIndent"/>
    <w:autoRedefine/>
    <w:qFormat/>
    <w:rsid w:val="008C7CA1"/>
    <w:pPr>
      <w:outlineLvl w:val="2"/>
    </w:pPr>
    <w:rPr>
      <w:rFonts w:asciiTheme="majorHAnsi" w:hAnsiTheme="majorHAns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Indent">
    <w:name w:val="Normal Indent"/>
    <w:basedOn w:val="Normal"/>
    <w:rsid w:val="00850ADC"/>
    <w:pPr>
      <w:ind w:left="720"/>
    </w:pPr>
  </w:style>
  <w:style w:type="paragraph" w:styleId="Footer">
    <w:name w:val="footer"/>
    <w:basedOn w:val="Normal"/>
    <w:rsid w:val="00850ADC"/>
    <w:pPr>
      <w:tabs>
        <w:tab w:val="center" w:pos="4819"/>
        <w:tab w:val="right" w:pos="9071"/>
      </w:tabs>
    </w:pPr>
  </w:style>
  <w:style w:type="paragraph" w:customStyle="1" w:styleId="Numberedlist">
    <w:name w:val="Numbered list"/>
    <w:basedOn w:val="Normal"/>
    <w:rsid w:val="00850ADC"/>
    <w:pPr>
      <w:ind w:left="720" w:hanging="720"/>
    </w:pPr>
  </w:style>
  <w:style w:type="paragraph" w:customStyle="1" w:styleId="Doubleindent">
    <w:name w:val="Double indent"/>
    <w:basedOn w:val="Normal"/>
    <w:rsid w:val="00850ADC"/>
    <w:pPr>
      <w:ind w:left="1440"/>
    </w:pPr>
  </w:style>
  <w:style w:type="paragraph" w:customStyle="1" w:styleId="Tiltle1">
    <w:name w:val="Tiltle 1"/>
    <w:basedOn w:val="Normal"/>
    <w:rsid w:val="00850ADC"/>
    <w:pPr>
      <w:jc w:val="center"/>
    </w:pPr>
    <w:rPr>
      <w:b/>
      <w:caps/>
    </w:rPr>
  </w:style>
  <w:style w:type="paragraph" w:customStyle="1" w:styleId="Tiltle2">
    <w:name w:val="Tiltle 2"/>
    <w:basedOn w:val="Normal"/>
    <w:rsid w:val="00850ADC"/>
    <w:pPr>
      <w:jc w:val="center"/>
    </w:pPr>
    <w:rPr>
      <w:b/>
    </w:rPr>
  </w:style>
  <w:style w:type="paragraph" w:customStyle="1" w:styleId="Minutes">
    <w:name w:val="Minutes"/>
    <w:basedOn w:val="Normal"/>
    <w:rsid w:val="00850ADC"/>
    <w:pPr>
      <w:tabs>
        <w:tab w:val="left" w:pos="1080"/>
      </w:tabs>
      <w:ind w:left="2160" w:hanging="2160"/>
    </w:pPr>
  </w:style>
  <w:style w:type="paragraph" w:customStyle="1" w:styleId="logo">
    <w:name w:val="logo"/>
    <w:basedOn w:val="Normal"/>
    <w:next w:val="Normal"/>
    <w:rsid w:val="00850ADC"/>
    <w:rPr>
      <w:rFonts w:ascii="LogoCentre" w:hAnsi="LogoCentre"/>
      <w:sz w:val="100"/>
    </w:rPr>
  </w:style>
  <w:style w:type="paragraph" w:styleId="Header">
    <w:name w:val="header"/>
    <w:basedOn w:val="Normal"/>
    <w:link w:val="HeaderChar"/>
    <w:rsid w:val="00855FC4"/>
    <w:pPr>
      <w:tabs>
        <w:tab w:val="center" w:pos="4153"/>
        <w:tab w:val="right" w:pos="8306"/>
      </w:tabs>
    </w:pPr>
  </w:style>
  <w:style w:type="character" w:styleId="PageNumber">
    <w:name w:val="page number"/>
    <w:basedOn w:val="DefaultParagraphFont"/>
    <w:rsid w:val="00855FC4"/>
  </w:style>
  <w:style w:type="character" w:customStyle="1" w:styleId="HeaderChar">
    <w:name w:val="Header Char"/>
    <w:link w:val="Header"/>
    <w:rsid w:val="00A36064"/>
    <w:rPr>
      <w:rFonts w:ascii="Times New Roman" w:hAnsi="Times New Roman"/>
    </w:rPr>
  </w:style>
  <w:style w:type="paragraph" w:styleId="BalloonText">
    <w:name w:val="Balloon Text"/>
    <w:basedOn w:val="Normal"/>
    <w:link w:val="BalloonTextChar"/>
    <w:rsid w:val="00A36064"/>
    <w:rPr>
      <w:rFonts w:ascii="Tahoma" w:hAnsi="Tahoma" w:cs="Tahoma"/>
      <w:sz w:val="16"/>
      <w:szCs w:val="16"/>
    </w:rPr>
  </w:style>
  <w:style w:type="character" w:customStyle="1" w:styleId="BalloonTextChar">
    <w:name w:val="Balloon Text Char"/>
    <w:link w:val="BalloonText"/>
    <w:rsid w:val="00A36064"/>
    <w:rPr>
      <w:rFonts w:ascii="Tahoma" w:hAnsi="Tahoma" w:cs="Tahoma"/>
      <w:sz w:val="16"/>
      <w:szCs w:val="16"/>
    </w:rPr>
  </w:style>
  <w:style w:type="paragraph" w:styleId="FootnoteText">
    <w:name w:val="footnote text"/>
    <w:basedOn w:val="Normal"/>
    <w:link w:val="FootnoteTextChar"/>
    <w:rsid w:val="008741E1"/>
  </w:style>
  <w:style w:type="character" w:customStyle="1" w:styleId="FootnoteTextChar">
    <w:name w:val="Footnote Text Char"/>
    <w:basedOn w:val="DefaultParagraphFont"/>
    <w:link w:val="FootnoteText"/>
    <w:rsid w:val="008741E1"/>
    <w:rPr>
      <w:rFonts w:ascii="Times New Roman" w:hAnsi="Times New Roman"/>
      <w:lang w:eastAsia="en-GB"/>
    </w:rPr>
  </w:style>
  <w:style w:type="character" w:styleId="FootnoteReference">
    <w:name w:val="footnote reference"/>
    <w:basedOn w:val="DefaultParagraphFont"/>
    <w:rsid w:val="008741E1"/>
    <w:rPr>
      <w:vertAlign w:val="superscript"/>
    </w:rPr>
  </w:style>
  <w:style w:type="paragraph" w:styleId="NoSpacing">
    <w:name w:val="No Spacing"/>
    <w:link w:val="NoSpacingChar"/>
    <w:uiPriority w:val="1"/>
    <w:qFormat/>
    <w:rsid w:val="00B121D9"/>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B121D9"/>
    <w:rPr>
      <w:rFonts w:asciiTheme="minorHAnsi" w:eastAsiaTheme="minorEastAsia" w:hAnsiTheme="minorHAnsi" w:cstheme="minorBidi"/>
      <w:sz w:val="22"/>
      <w:szCs w:val="22"/>
      <w:lang w:val="en-US" w:eastAsia="en-US"/>
    </w:rPr>
  </w:style>
  <w:style w:type="character" w:customStyle="1" w:styleId="Heading1Char">
    <w:name w:val="Heading 1 Char"/>
    <w:basedOn w:val="DefaultParagraphFont"/>
    <w:link w:val="Heading1"/>
    <w:uiPriority w:val="9"/>
    <w:rsid w:val="003862DE"/>
    <w:rPr>
      <w:rFonts w:asciiTheme="majorHAnsi" w:hAnsiTheme="majorHAnsi"/>
      <w:b/>
      <w:caps/>
      <w:sz w:val="28"/>
      <w:lang w:eastAsia="en-GB"/>
    </w:rPr>
  </w:style>
  <w:style w:type="paragraph" w:styleId="Bibliography">
    <w:name w:val="Bibliography"/>
    <w:basedOn w:val="Normal"/>
    <w:next w:val="Normal"/>
    <w:rsid w:val="00386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15855">
      <w:bodyDiv w:val="1"/>
      <w:marLeft w:val="0"/>
      <w:marRight w:val="0"/>
      <w:marTop w:val="0"/>
      <w:marBottom w:val="0"/>
      <w:divBdr>
        <w:top w:val="none" w:sz="0" w:space="0" w:color="auto"/>
        <w:left w:val="none" w:sz="0" w:space="0" w:color="auto"/>
        <w:bottom w:val="none" w:sz="0" w:space="0" w:color="auto"/>
        <w:right w:val="none" w:sz="0" w:space="0" w:color="auto"/>
      </w:divBdr>
    </w:div>
    <w:div w:id="24868501">
      <w:bodyDiv w:val="1"/>
      <w:marLeft w:val="0"/>
      <w:marRight w:val="0"/>
      <w:marTop w:val="0"/>
      <w:marBottom w:val="0"/>
      <w:divBdr>
        <w:top w:val="none" w:sz="0" w:space="0" w:color="auto"/>
        <w:left w:val="none" w:sz="0" w:space="0" w:color="auto"/>
        <w:bottom w:val="none" w:sz="0" w:space="0" w:color="auto"/>
        <w:right w:val="none" w:sz="0" w:space="0" w:color="auto"/>
      </w:divBdr>
    </w:div>
    <w:div w:id="98573915">
      <w:bodyDiv w:val="1"/>
      <w:marLeft w:val="0"/>
      <w:marRight w:val="0"/>
      <w:marTop w:val="0"/>
      <w:marBottom w:val="0"/>
      <w:divBdr>
        <w:top w:val="none" w:sz="0" w:space="0" w:color="auto"/>
        <w:left w:val="none" w:sz="0" w:space="0" w:color="auto"/>
        <w:bottom w:val="none" w:sz="0" w:space="0" w:color="auto"/>
        <w:right w:val="none" w:sz="0" w:space="0" w:color="auto"/>
      </w:divBdr>
    </w:div>
    <w:div w:id="118572188">
      <w:bodyDiv w:val="1"/>
      <w:marLeft w:val="0"/>
      <w:marRight w:val="0"/>
      <w:marTop w:val="0"/>
      <w:marBottom w:val="0"/>
      <w:divBdr>
        <w:top w:val="none" w:sz="0" w:space="0" w:color="auto"/>
        <w:left w:val="none" w:sz="0" w:space="0" w:color="auto"/>
        <w:bottom w:val="none" w:sz="0" w:space="0" w:color="auto"/>
        <w:right w:val="none" w:sz="0" w:space="0" w:color="auto"/>
      </w:divBdr>
    </w:div>
    <w:div w:id="119880844">
      <w:bodyDiv w:val="1"/>
      <w:marLeft w:val="0"/>
      <w:marRight w:val="0"/>
      <w:marTop w:val="0"/>
      <w:marBottom w:val="0"/>
      <w:divBdr>
        <w:top w:val="none" w:sz="0" w:space="0" w:color="auto"/>
        <w:left w:val="none" w:sz="0" w:space="0" w:color="auto"/>
        <w:bottom w:val="none" w:sz="0" w:space="0" w:color="auto"/>
        <w:right w:val="none" w:sz="0" w:space="0" w:color="auto"/>
      </w:divBdr>
    </w:div>
    <w:div w:id="122693238">
      <w:bodyDiv w:val="1"/>
      <w:marLeft w:val="0"/>
      <w:marRight w:val="0"/>
      <w:marTop w:val="0"/>
      <w:marBottom w:val="0"/>
      <w:divBdr>
        <w:top w:val="none" w:sz="0" w:space="0" w:color="auto"/>
        <w:left w:val="none" w:sz="0" w:space="0" w:color="auto"/>
        <w:bottom w:val="none" w:sz="0" w:space="0" w:color="auto"/>
        <w:right w:val="none" w:sz="0" w:space="0" w:color="auto"/>
      </w:divBdr>
    </w:div>
    <w:div w:id="122962177">
      <w:bodyDiv w:val="1"/>
      <w:marLeft w:val="0"/>
      <w:marRight w:val="0"/>
      <w:marTop w:val="0"/>
      <w:marBottom w:val="0"/>
      <w:divBdr>
        <w:top w:val="none" w:sz="0" w:space="0" w:color="auto"/>
        <w:left w:val="none" w:sz="0" w:space="0" w:color="auto"/>
        <w:bottom w:val="none" w:sz="0" w:space="0" w:color="auto"/>
        <w:right w:val="none" w:sz="0" w:space="0" w:color="auto"/>
      </w:divBdr>
    </w:div>
    <w:div w:id="125590941">
      <w:bodyDiv w:val="1"/>
      <w:marLeft w:val="0"/>
      <w:marRight w:val="0"/>
      <w:marTop w:val="0"/>
      <w:marBottom w:val="0"/>
      <w:divBdr>
        <w:top w:val="none" w:sz="0" w:space="0" w:color="auto"/>
        <w:left w:val="none" w:sz="0" w:space="0" w:color="auto"/>
        <w:bottom w:val="none" w:sz="0" w:space="0" w:color="auto"/>
        <w:right w:val="none" w:sz="0" w:space="0" w:color="auto"/>
      </w:divBdr>
    </w:div>
    <w:div w:id="163055701">
      <w:bodyDiv w:val="1"/>
      <w:marLeft w:val="0"/>
      <w:marRight w:val="0"/>
      <w:marTop w:val="0"/>
      <w:marBottom w:val="0"/>
      <w:divBdr>
        <w:top w:val="none" w:sz="0" w:space="0" w:color="auto"/>
        <w:left w:val="none" w:sz="0" w:space="0" w:color="auto"/>
        <w:bottom w:val="none" w:sz="0" w:space="0" w:color="auto"/>
        <w:right w:val="none" w:sz="0" w:space="0" w:color="auto"/>
      </w:divBdr>
    </w:div>
    <w:div w:id="213464200">
      <w:bodyDiv w:val="1"/>
      <w:marLeft w:val="0"/>
      <w:marRight w:val="0"/>
      <w:marTop w:val="0"/>
      <w:marBottom w:val="0"/>
      <w:divBdr>
        <w:top w:val="none" w:sz="0" w:space="0" w:color="auto"/>
        <w:left w:val="none" w:sz="0" w:space="0" w:color="auto"/>
        <w:bottom w:val="none" w:sz="0" w:space="0" w:color="auto"/>
        <w:right w:val="none" w:sz="0" w:space="0" w:color="auto"/>
      </w:divBdr>
    </w:div>
    <w:div w:id="227152273">
      <w:bodyDiv w:val="1"/>
      <w:marLeft w:val="0"/>
      <w:marRight w:val="0"/>
      <w:marTop w:val="0"/>
      <w:marBottom w:val="0"/>
      <w:divBdr>
        <w:top w:val="none" w:sz="0" w:space="0" w:color="auto"/>
        <w:left w:val="none" w:sz="0" w:space="0" w:color="auto"/>
        <w:bottom w:val="none" w:sz="0" w:space="0" w:color="auto"/>
        <w:right w:val="none" w:sz="0" w:space="0" w:color="auto"/>
      </w:divBdr>
    </w:div>
    <w:div w:id="237599785">
      <w:bodyDiv w:val="1"/>
      <w:marLeft w:val="0"/>
      <w:marRight w:val="0"/>
      <w:marTop w:val="0"/>
      <w:marBottom w:val="0"/>
      <w:divBdr>
        <w:top w:val="none" w:sz="0" w:space="0" w:color="auto"/>
        <w:left w:val="none" w:sz="0" w:space="0" w:color="auto"/>
        <w:bottom w:val="none" w:sz="0" w:space="0" w:color="auto"/>
        <w:right w:val="none" w:sz="0" w:space="0" w:color="auto"/>
      </w:divBdr>
    </w:div>
    <w:div w:id="238250068">
      <w:bodyDiv w:val="1"/>
      <w:marLeft w:val="0"/>
      <w:marRight w:val="0"/>
      <w:marTop w:val="0"/>
      <w:marBottom w:val="0"/>
      <w:divBdr>
        <w:top w:val="none" w:sz="0" w:space="0" w:color="auto"/>
        <w:left w:val="none" w:sz="0" w:space="0" w:color="auto"/>
        <w:bottom w:val="none" w:sz="0" w:space="0" w:color="auto"/>
        <w:right w:val="none" w:sz="0" w:space="0" w:color="auto"/>
      </w:divBdr>
    </w:div>
    <w:div w:id="247156672">
      <w:bodyDiv w:val="1"/>
      <w:marLeft w:val="0"/>
      <w:marRight w:val="0"/>
      <w:marTop w:val="0"/>
      <w:marBottom w:val="0"/>
      <w:divBdr>
        <w:top w:val="none" w:sz="0" w:space="0" w:color="auto"/>
        <w:left w:val="none" w:sz="0" w:space="0" w:color="auto"/>
        <w:bottom w:val="none" w:sz="0" w:space="0" w:color="auto"/>
        <w:right w:val="none" w:sz="0" w:space="0" w:color="auto"/>
      </w:divBdr>
    </w:div>
    <w:div w:id="266891278">
      <w:bodyDiv w:val="1"/>
      <w:marLeft w:val="0"/>
      <w:marRight w:val="0"/>
      <w:marTop w:val="0"/>
      <w:marBottom w:val="0"/>
      <w:divBdr>
        <w:top w:val="none" w:sz="0" w:space="0" w:color="auto"/>
        <w:left w:val="none" w:sz="0" w:space="0" w:color="auto"/>
        <w:bottom w:val="none" w:sz="0" w:space="0" w:color="auto"/>
        <w:right w:val="none" w:sz="0" w:space="0" w:color="auto"/>
      </w:divBdr>
    </w:div>
    <w:div w:id="267007289">
      <w:bodyDiv w:val="1"/>
      <w:marLeft w:val="0"/>
      <w:marRight w:val="0"/>
      <w:marTop w:val="0"/>
      <w:marBottom w:val="0"/>
      <w:divBdr>
        <w:top w:val="none" w:sz="0" w:space="0" w:color="auto"/>
        <w:left w:val="none" w:sz="0" w:space="0" w:color="auto"/>
        <w:bottom w:val="none" w:sz="0" w:space="0" w:color="auto"/>
        <w:right w:val="none" w:sz="0" w:space="0" w:color="auto"/>
      </w:divBdr>
    </w:div>
    <w:div w:id="276449234">
      <w:bodyDiv w:val="1"/>
      <w:marLeft w:val="0"/>
      <w:marRight w:val="0"/>
      <w:marTop w:val="0"/>
      <w:marBottom w:val="0"/>
      <w:divBdr>
        <w:top w:val="none" w:sz="0" w:space="0" w:color="auto"/>
        <w:left w:val="none" w:sz="0" w:space="0" w:color="auto"/>
        <w:bottom w:val="none" w:sz="0" w:space="0" w:color="auto"/>
        <w:right w:val="none" w:sz="0" w:space="0" w:color="auto"/>
      </w:divBdr>
    </w:div>
    <w:div w:id="306325209">
      <w:bodyDiv w:val="1"/>
      <w:marLeft w:val="0"/>
      <w:marRight w:val="0"/>
      <w:marTop w:val="0"/>
      <w:marBottom w:val="0"/>
      <w:divBdr>
        <w:top w:val="none" w:sz="0" w:space="0" w:color="auto"/>
        <w:left w:val="none" w:sz="0" w:space="0" w:color="auto"/>
        <w:bottom w:val="none" w:sz="0" w:space="0" w:color="auto"/>
        <w:right w:val="none" w:sz="0" w:space="0" w:color="auto"/>
      </w:divBdr>
    </w:div>
    <w:div w:id="310447748">
      <w:bodyDiv w:val="1"/>
      <w:marLeft w:val="0"/>
      <w:marRight w:val="0"/>
      <w:marTop w:val="0"/>
      <w:marBottom w:val="0"/>
      <w:divBdr>
        <w:top w:val="none" w:sz="0" w:space="0" w:color="auto"/>
        <w:left w:val="none" w:sz="0" w:space="0" w:color="auto"/>
        <w:bottom w:val="none" w:sz="0" w:space="0" w:color="auto"/>
        <w:right w:val="none" w:sz="0" w:space="0" w:color="auto"/>
      </w:divBdr>
    </w:div>
    <w:div w:id="313874443">
      <w:bodyDiv w:val="1"/>
      <w:marLeft w:val="0"/>
      <w:marRight w:val="0"/>
      <w:marTop w:val="0"/>
      <w:marBottom w:val="0"/>
      <w:divBdr>
        <w:top w:val="none" w:sz="0" w:space="0" w:color="auto"/>
        <w:left w:val="none" w:sz="0" w:space="0" w:color="auto"/>
        <w:bottom w:val="none" w:sz="0" w:space="0" w:color="auto"/>
        <w:right w:val="none" w:sz="0" w:space="0" w:color="auto"/>
      </w:divBdr>
    </w:div>
    <w:div w:id="314842441">
      <w:bodyDiv w:val="1"/>
      <w:marLeft w:val="0"/>
      <w:marRight w:val="0"/>
      <w:marTop w:val="0"/>
      <w:marBottom w:val="0"/>
      <w:divBdr>
        <w:top w:val="none" w:sz="0" w:space="0" w:color="auto"/>
        <w:left w:val="none" w:sz="0" w:space="0" w:color="auto"/>
        <w:bottom w:val="none" w:sz="0" w:space="0" w:color="auto"/>
        <w:right w:val="none" w:sz="0" w:space="0" w:color="auto"/>
      </w:divBdr>
    </w:div>
    <w:div w:id="315382842">
      <w:bodyDiv w:val="1"/>
      <w:marLeft w:val="0"/>
      <w:marRight w:val="0"/>
      <w:marTop w:val="0"/>
      <w:marBottom w:val="0"/>
      <w:divBdr>
        <w:top w:val="none" w:sz="0" w:space="0" w:color="auto"/>
        <w:left w:val="none" w:sz="0" w:space="0" w:color="auto"/>
        <w:bottom w:val="none" w:sz="0" w:space="0" w:color="auto"/>
        <w:right w:val="none" w:sz="0" w:space="0" w:color="auto"/>
      </w:divBdr>
    </w:div>
    <w:div w:id="324941731">
      <w:bodyDiv w:val="1"/>
      <w:marLeft w:val="0"/>
      <w:marRight w:val="0"/>
      <w:marTop w:val="0"/>
      <w:marBottom w:val="0"/>
      <w:divBdr>
        <w:top w:val="none" w:sz="0" w:space="0" w:color="auto"/>
        <w:left w:val="none" w:sz="0" w:space="0" w:color="auto"/>
        <w:bottom w:val="none" w:sz="0" w:space="0" w:color="auto"/>
        <w:right w:val="none" w:sz="0" w:space="0" w:color="auto"/>
      </w:divBdr>
    </w:div>
    <w:div w:id="332075340">
      <w:bodyDiv w:val="1"/>
      <w:marLeft w:val="0"/>
      <w:marRight w:val="0"/>
      <w:marTop w:val="0"/>
      <w:marBottom w:val="0"/>
      <w:divBdr>
        <w:top w:val="none" w:sz="0" w:space="0" w:color="auto"/>
        <w:left w:val="none" w:sz="0" w:space="0" w:color="auto"/>
        <w:bottom w:val="none" w:sz="0" w:space="0" w:color="auto"/>
        <w:right w:val="none" w:sz="0" w:space="0" w:color="auto"/>
      </w:divBdr>
    </w:div>
    <w:div w:id="345716172">
      <w:bodyDiv w:val="1"/>
      <w:marLeft w:val="0"/>
      <w:marRight w:val="0"/>
      <w:marTop w:val="0"/>
      <w:marBottom w:val="0"/>
      <w:divBdr>
        <w:top w:val="none" w:sz="0" w:space="0" w:color="auto"/>
        <w:left w:val="none" w:sz="0" w:space="0" w:color="auto"/>
        <w:bottom w:val="none" w:sz="0" w:space="0" w:color="auto"/>
        <w:right w:val="none" w:sz="0" w:space="0" w:color="auto"/>
      </w:divBdr>
    </w:div>
    <w:div w:id="355616332">
      <w:bodyDiv w:val="1"/>
      <w:marLeft w:val="0"/>
      <w:marRight w:val="0"/>
      <w:marTop w:val="0"/>
      <w:marBottom w:val="0"/>
      <w:divBdr>
        <w:top w:val="none" w:sz="0" w:space="0" w:color="auto"/>
        <w:left w:val="none" w:sz="0" w:space="0" w:color="auto"/>
        <w:bottom w:val="none" w:sz="0" w:space="0" w:color="auto"/>
        <w:right w:val="none" w:sz="0" w:space="0" w:color="auto"/>
      </w:divBdr>
    </w:div>
    <w:div w:id="392772425">
      <w:bodyDiv w:val="1"/>
      <w:marLeft w:val="0"/>
      <w:marRight w:val="0"/>
      <w:marTop w:val="0"/>
      <w:marBottom w:val="0"/>
      <w:divBdr>
        <w:top w:val="none" w:sz="0" w:space="0" w:color="auto"/>
        <w:left w:val="none" w:sz="0" w:space="0" w:color="auto"/>
        <w:bottom w:val="none" w:sz="0" w:space="0" w:color="auto"/>
        <w:right w:val="none" w:sz="0" w:space="0" w:color="auto"/>
      </w:divBdr>
    </w:div>
    <w:div w:id="417673014">
      <w:bodyDiv w:val="1"/>
      <w:marLeft w:val="0"/>
      <w:marRight w:val="0"/>
      <w:marTop w:val="0"/>
      <w:marBottom w:val="0"/>
      <w:divBdr>
        <w:top w:val="none" w:sz="0" w:space="0" w:color="auto"/>
        <w:left w:val="none" w:sz="0" w:space="0" w:color="auto"/>
        <w:bottom w:val="none" w:sz="0" w:space="0" w:color="auto"/>
        <w:right w:val="none" w:sz="0" w:space="0" w:color="auto"/>
      </w:divBdr>
    </w:div>
    <w:div w:id="422146907">
      <w:bodyDiv w:val="1"/>
      <w:marLeft w:val="0"/>
      <w:marRight w:val="0"/>
      <w:marTop w:val="0"/>
      <w:marBottom w:val="0"/>
      <w:divBdr>
        <w:top w:val="none" w:sz="0" w:space="0" w:color="auto"/>
        <w:left w:val="none" w:sz="0" w:space="0" w:color="auto"/>
        <w:bottom w:val="none" w:sz="0" w:space="0" w:color="auto"/>
        <w:right w:val="none" w:sz="0" w:space="0" w:color="auto"/>
      </w:divBdr>
    </w:div>
    <w:div w:id="429396305">
      <w:bodyDiv w:val="1"/>
      <w:marLeft w:val="0"/>
      <w:marRight w:val="0"/>
      <w:marTop w:val="0"/>
      <w:marBottom w:val="0"/>
      <w:divBdr>
        <w:top w:val="none" w:sz="0" w:space="0" w:color="auto"/>
        <w:left w:val="none" w:sz="0" w:space="0" w:color="auto"/>
        <w:bottom w:val="none" w:sz="0" w:space="0" w:color="auto"/>
        <w:right w:val="none" w:sz="0" w:space="0" w:color="auto"/>
      </w:divBdr>
    </w:div>
    <w:div w:id="442770120">
      <w:bodyDiv w:val="1"/>
      <w:marLeft w:val="0"/>
      <w:marRight w:val="0"/>
      <w:marTop w:val="0"/>
      <w:marBottom w:val="0"/>
      <w:divBdr>
        <w:top w:val="none" w:sz="0" w:space="0" w:color="auto"/>
        <w:left w:val="none" w:sz="0" w:space="0" w:color="auto"/>
        <w:bottom w:val="none" w:sz="0" w:space="0" w:color="auto"/>
        <w:right w:val="none" w:sz="0" w:space="0" w:color="auto"/>
      </w:divBdr>
    </w:div>
    <w:div w:id="443690807">
      <w:bodyDiv w:val="1"/>
      <w:marLeft w:val="0"/>
      <w:marRight w:val="0"/>
      <w:marTop w:val="0"/>
      <w:marBottom w:val="0"/>
      <w:divBdr>
        <w:top w:val="none" w:sz="0" w:space="0" w:color="auto"/>
        <w:left w:val="none" w:sz="0" w:space="0" w:color="auto"/>
        <w:bottom w:val="none" w:sz="0" w:space="0" w:color="auto"/>
        <w:right w:val="none" w:sz="0" w:space="0" w:color="auto"/>
      </w:divBdr>
    </w:div>
    <w:div w:id="460610293">
      <w:bodyDiv w:val="1"/>
      <w:marLeft w:val="0"/>
      <w:marRight w:val="0"/>
      <w:marTop w:val="0"/>
      <w:marBottom w:val="0"/>
      <w:divBdr>
        <w:top w:val="none" w:sz="0" w:space="0" w:color="auto"/>
        <w:left w:val="none" w:sz="0" w:space="0" w:color="auto"/>
        <w:bottom w:val="none" w:sz="0" w:space="0" w:color="auto"/>
        <w:right w:val="none" w:sz="0" w:space="0" w:color="auto"/>
      </w:divBdr>
    </w:div>
    <w:div w:id="466169663">
      <w:bodyDiv w:val="1"/>
      <w:marLeft w:val="0"/>
      <w:marRight w:val="0"/>
      <w:marTop w:val="0"/>
      <w:marBottom w:val="0"/>
      <w:divBdr>
        <w:top w:val="none" w:sz="0" w:space="0" w:color="auto"/>
        <w:left w:val="none" w:sz="0" w:space="0" w:color="auto"/>
        <w:bottom w:val="none" w:sz="0" w:space="0" w:color="auto"/>
        <w:right w:val="none" w:sz="0" w:space="0" w:color="auto"/>
      </w:divBdr>
    </w:div>
    <w:div w:id="470485726">
      <w:bodyDiv w:val="1"/>
      <w:marLeft w:val="0"/>
      <w:marRight w:val="0"/>
      <w:marTop w:val="0"/>
      <w:marBottom w:val="0"/>
      <w:divBdr>
        <w:top w:val="none" w:sz="0" w:space="0" w:color="auto"/>
        <w:left w:val="none" w:sz="0" w:space="0" w:color="auto"/>
        <w:bottom w:val="none" w:sz="0" w:space="0" w:color="auto"/>
        <w:right w:val="none" w:sz="0" w:space="0" w:color="auto"/>
      </w:divBdr>
    </w:div>
    <w:div w:id="473761973">
      <w:bodyDiv w:val="1"/>
      <w:marLeft w:val="0"/>
      <w:marRight w:val="0"/>
      <w:marTop w:val="0"/>
      <w:marBottom w:val="0"/>
      <w:divBdr>
        <w:top w:val="none" w:sz="0" w:space="0" w:color="auto"/>
        <w:left w:val="none" w:sz="0" w:space="0" w:color="auto"/>
        <w:bottom w:val="none" w:sz="0" w:space="0" w:color="auto"/>
        <w:right w:val="none" w:sz="0" w:space="0" w:color="auto"/>
      </w:divBdr>
    </w:div>
    <w:div w:id="519204403">
      <w:bodyDiv w:val="1"/>
      <w:marLeft w:val="0"/>
      <w:marRight w:val="0"/>
      <w:marTop w:val="0"/>
      <w:marBottom w:val="0"/>
      <w:divBdr>
        <w:top w:val="none" w:sz="0" w:space="0" w:color="auto"/>
        <w:left w:val="none" w:sz="0" w:space="0" w:color="auto"/>
        <w:bottom w:val="none" w:sz="0" w:space="0" w:color="auto"/>
        <w:right w:val="none" w:sz="0" w:space="0" w:color="auto"/>
      </w:divBdr>
    </w:div>
    <w:div w:id="537861785">
      <w:bodyDiv w:val="1"/>
      <w:marLeft w:val="0"/>
      <w:marRight w:val="0"/>
      <w:marTop w:val="0"/>
      <w:marBottom w:val="0"/>
      <w:divBdr>
        <w:top w:val="none" w:sz="0" w:space="0" w:color="auto"/>
        <w:left w:val="none" w:sz="0" w:space="0" w:color="auto"/>
        <w:bottom w:val="none" w:sz="0" w:space="0" w:color="auto"/>
        <w:right w:val="none" w:sz="0" w:space="0" w:color="auto"/>
      </w:divBdr>
    </w:div>
    <w:div w:id="539710368">
      <w:bodyDiv w:val="1"/>
      <w:marLeft w:val="0"/>
      <w:marRight w:val="0"/>
      <w:marTop w:val="0"/>
      <w:marBottom w:val="0"/>
      <w:divBdr>
        <w:top w:val="none" w:sz="0" w:space="0" w:color="auto"/>
        <w:left w:val="none" w:sz="0" w:space="0" w:color="auto"/>
        <w:bottom w:val="none" w:sz="0" w:space="0" w:color="auto"/>
        <w:right w:val="none" w:sz="0" w:space="0" w:color="auto"/>
      </w:divBdr>
    </w:div>
    <w:div w:id="567805899">
      <w:bodyDiv w:val="1"/>
      <w:marLeft w:val="0"/>
      <w:marRight w:val="0"/>
      <w:marTop w:val="0"/>
      <w:marBottom w:val="0"/>
      <w:divBdr>
        <w:top w:val="none" w:sz="0" w:space="0" w:color="auto"/>
        <w:left w:val="none" w:sz="0" w:space="0" w:color="auto"/>
        <w:bottom w:val="none" w:sz="0" w:space="0" w:color="auto"/>
        <w:right w:val="none" w:sz="0" w:space="0" w:color="auto"/>
      </w:divBdr>
    </w:div>
    <w:div w:id="569926649">
      <w:bodyDiv w:val="1"/>
      <w:marLeft w:val="0"/>
      <w:marRight w:val="0"/>
      <w:marTop w:val="0"/>
      <w:marBottom w:val="0"/>
      <w:divBdr>
        <w:top w:val="none" w:sz="0" w:space="0" w:color="auto"/>
        <w:left w:val="none" w:sz="0" w:space="0" w:color="auto"/>
        <w:bottom w:val="none" w:sz="0" w:space="0" w:color="auto"/>
        <w:right w:val="none" w:sz="0" w:space="0" w:color="auto"/>
      </w:divBdr>
    </w:div>
    <w:div w:id="582297901">
      <w:bodyDiv w:val="1"/>
      <w:marLeft w:val="0"/>
      <w:marRight w:val="0"/>
      <w:marTop w:val="0"/>
      <w:marBottom w:val="0"/>
      <w:divBdr>
        <w:top w:val="none" w:sz="0" w:space="0" w:color="auto"/>
        <w:left w:val="none" w:sz="0" w:space="0" w:color="auto"/>
        <w:bottom w:val="none" w:sz="0" w:space="0" w:color="auto"/>
        <w:right w:val="none" w:sz="0" w:space="0" w:color="auto"/>
      </w:divBdr>
    </w:div>
    <w:div w:id="588079271">
      <w:bodyDiv w:val="1"/>
      <w:marLeft w:val="0"/>
      <w:marRight w:val="0"/>
      <w:marTop w:val="0"/>
      <w:marBottom w:val="0"/>
      <w:divBdr>
        <w:top w:val="none" w:sz="0" w:space="0" w:color="auto"/>
        <w:left w:val="none" w:sz="0" w:space="0" w:color="auto"/>
        <w:bottom w:val="none" w:sz="0" w:space="0" w:color="auto"/>
        <w:right w:val="none" w:sz="0" w:space="0" w:color="auto"/>
      </w:divBdr>
    </w:div>
    <w:div w:id="592784435">
      <w:bodyDiv w:val="1"/>
      <w:marLeft w:val="0"/>
      <w:marRight w:val="0"/>
      <w:marTop w:val="0"/>
      <w:marBottom w:val="0"/>
      <w:divBdr>
        <w:top w:val="none" w:sz="0" w:space="0" w:color="auto"/>
        <w:left w:val="none" w:sz="0" w:space="0" w:color="auto"/>
        <w:bottom w:val="none" w:sz="0" w:space="0" w:color="auto"/>
        <w:right w:val="none" w:sz="0" w:space="0" w:color="auto"/>
      </w:divBdr>
    </w:div>
    <w:div w:id="605426153">
      <w:bodyDiv w:val="1"/>
      <w:marLeft w:val="0"/>
      <w:marRight w:val="0"/>
      <w:marTop w:val="0"/>
      <w:marBottom w:val="0"/>
      <w:divBdr>
        <w:top w:val="none" w:sz="0" w:space="0" w:color="auto"/>
        <w:left w:val="none" w:sz="0" w:space="0" w:color="auto"/>
        <w:bottom w:val="none" w:sz="0" w:space="0" w:color="auto"/>
        <w:right w:val="none" w:sz="0" w:space="0" w:color="auto"/>
      </w:divBdr>
    </w:div>
    <w:div w:id="618150337">
      <w:bodyDiv w:val="1"/>
      <w:marLeft w:val="0"/>
      <w:marRight w:val="0"/>
      <w:marTop w:val="0"/>
      <w:marBottom w:val="0"/>
      <w:divBdr>
        <w:top w:val="none" w:sz="0" w:space="0" w:color="auto"/>
        <w:left w:val="none" w:sz="0" w:space="0" w:color="auto"/>
        <w:bottom w:val="none" w:sz="0" w:space="0" w:color="auto"/>
        <w:right w:val="none" w:sz="0" w:space="0" w:color="auto"/>
      </w:divBdr>
    </w:div>
    <w:div w:id="634141962">
      <w:bodyDiv w:val="1"/>
      <w:marLeft w:val="0"/>
      <w:marRight w:val="0"/>
      <w:marTop w:val="0"/>
      <w:marBottom w:val="0"/>
      <w:divBdr>
        <w:top w:val="none" w:sz="0" w:space="0" w:color="auto"/>
        <w:left w:val="none" w:sz="0" w:space="0" w:color="auto"/>
        <w:bottom w:val="none" w:sz="0" w:space="0" w:color="auto"/>
        <w:right w:val="none" w:sz="0" w:space="0" w:color="auto"/>
      </w:divBdr>
    </w:div>
    <w:div w:id="642469849">
      <w:bodyDiv w:val="1"/>
      <w:marLeft w:val="0"/>
      <w:marRight w:val="0"/>
      <w:marTop w:val="0"/>
      <w:marBottom w:val="0"/>
      <w:divBdr>
        <w:top w:val="none" w:sz="0" w:space="0" w:color="auto"/>
        <w:left w:val="none" w:sz="0" w:space="0" w:color="auto"/>
        <w:bottom w:val="none" w:sz="0" w:space="0" w:color="auto"/>
        <w:right w:val="none" w:sz="0" w:space="0" w:color="auto"/>
      </w:divBdr>
    </w:div>
    <w:div w:id="645477082">
      <w:bodyDiv w:val="1"/>
      <w:marLeft w:val="0"/>
      <w:marRight w:val="0"/>
      <w:marTop w:val="0"/>
      <w:marBottom w:val="0"/>
      <w:divBdr>
        <w:top w:val="none" w:sz="0" w:space="0" w:color="auto"/>
        <w:left w:val="none" w:sz="0" w:space="0" w:color="auto"/>
        <w:bottom w:val="none" w:sz="0" w:space="0" w:color="auto"/>
        <w:right w:val="none" w:sz="0" w:space="0" w:color="auto"/>
      </w:divBdr>
    </w:div>
    <w:div w:id="696585718">
      <w:bodyDiv w:val="1"/>
      <w:marLeft w:val="0"/>
      <w:marRight w:val="0"/>
      <w:marTop w:val="0"/>
      <w:marBottom w:val="0"/>
      <w:divBdr>
        <w:top w:val="none" w:sz="0" w:space="0" w:color="auto"/>
        <w:left w:val="none" w:sz="0" w:space="0" w:color="auto"/>
        <w:bottom w:val="none" w:sz="0" w:space="0" w:color="auto"/>
        <w:right w:val="none" w:sz="0" w:space="0" w:color="auto"/>
      </w:divBdr>
    </w:div>
    <w:div w:id="710303707">
      <w:bodyDiv w:val="1"/>
      <w:marLeft w:val="0"/>
      <w:marRight w:val="0"/>
      <w:marTop w:val="0"/>
      <w:marBottom w:val="0"/>
      <w:divBdr>
        <w:top w:val="none" w:sz="0" w:space="0" w:color="auto"/>
        <w:left w:val="none" w:sz="0" w:space="0" w:color="auto"/>
        <w:bottom w:val="none" w:sz="0" w:space="0" w:color="auto"/>
        <w:right w:val="none" w:sz="0" w:space="0" w:color="auto"/>
      </w:divBdr>
    </w:div>
    <w:div w:id="719061536">
      <w:bodyDiv w:val="1"/>
      <w:marLeft w:val="0"/>
      <w:marRight w:val="0"/>
      <w:marTop w:val="0"/>
      <w:marBottom w:val="0"/>
      <w:divBdr>
        <w:top w:val="none" w:sz="0" w:space="0" w:color="auto"/>
        <w:left w:val="none" w:sz="0" w:space="0" w:color="auto"/>
        <w:bottom w:val="none" w:sz="0" w:space="0" w:color="auto"/>
        <w:right w:val="none" w:sz="0" w:space="0" w:color="auto"/>
      </w:divBdr>
    </w:div>
    <w:div w:id="737747542">
      <w:bodyDiv w:val="1"/>
      <w:marLeft w:val="0"/>
      <w:marRight w:val="0"/>
      <w:marTop w:val="0"/>
      <w:marBottom w:val="0"/>
      <w:divBdr>
        <w:top w:val="none" w:sz="0" w:space="0" w:color="auto"/>
        <w:left w:val="none" w:sz="0" w:space="0" w:color="auto"/>
        <w:bottom w:val="none" w:sz="0" w:space="0" w:color="auto"/>
        <w:right w:val="none" w:sz="0" w:space="0" w:color="auto"/>
      </w:divBdr>
    </w:div>
    <w:div w:id="754207788">
      <w:bodyDiv w:val="1"/>
      <w:marLeft w:val="0"/>
      <w:marRight w:val="0"/>
      <w:marTop w:val="0"/>
      <w:marBottom w:val="0"/>
      <w:divBdr>
        <w:top w:val="none" w:sz="0" w:space="0" w:color="auto"/>
        <w:left w:val="none" w:sz="0" w:space="0" w:color="auto"/>
        <w:bottom w:val="none" w:sz="0" w:space="0" w:color="auto"/>
        <w:right w:val="none" w:sz="0" w:space="0" w:color="auto"/>
      </w:divBdr>
    </w:div>
    <w:div w:id="786200393">
      <w:bodyDiv w:val="1"/>
      <w:marLeft w:val="0"/>
      <w:marRight w:val="0"/>
      <w:marTop w:val="0"/>
      <w:marBottom w:val="0"/>
      <w:divBdr>
        <w:top w:val="none" w:sz="0" w:space="0" w:color="auto"/>
        <w:left w:val="none" w:sz="0" w:space="0" w:color="auto"/>
        <w:bottom w:val="none" w:sz="0" w:space="0" w:color="auto"/>
        <w:right w:val="none" w:sz="0" w:space="0" w:color="auto"/>
      </w:divBdr>
    </w:div>
    <w:div w:id="788402538">
      <w:bodyDiv w:val="1"/>
      <w:marLeft w:val="0"/>
      <w:marRight w:val="0"/>
      <w:marTop w:val="0"/>
      <w:marBottom w:val="0"/>
      <w:divBdr>
        <w:top w:val="none" w:sz="0" w:space="0" w:color="auto"/>
        <w:left w:val="none" w:sz="0" w:space="0" w:color="auto"/>
        <w:bottom w:val="none" w:sz="0" w:space="0" w:color="auto"/>
        <w:right w:val="none" w:sz="0" w:space="0" w:color="auto"/>
      </w:divBdr>
    </w:div>
    <w:div w:id="820075128">
      <w:bodyDiv w:val="1"/>
      <w:marLeft w:val="0"/>
      <w:marRight w:val="0"/>
      <w:marTop w:val="0"/>
      <w:marBottom w:val="0"/>
      <w:divBdr>
        <w:top w:val="none" w:sz="0" w:space="0" w:color="auto"/>
        <w:left w:val="none" w:sz="0" w:space="0" w:color="auto"/>
        <w:bottom w:val="none" w:sz="0" w:space="0" w:color="auto"/>
        <w:right w:val="none" w:sz="0" w:space="0" w:color="auto"/>
      </w:divBdr>
    </w:div>
    <w:div w:id="832185778">
      <w:bodyDiv w:val="1"/>
      <w:marLeft w:val="0"/>
      <w:marRight w:val="0"/>
      <w:marTop w:val="0"/>
      <w:marBottom w:val="0"/>
      <w:divBdr>
        <w:top w:val="none" w:sz="0" w:space="0" w:color="auto"/>
        <w:left w:val="none" w:sz="0" w:space="0" w:color="auto"/>
        <w:bottom w:val="none" w:sz="0" w:space="0" w:color="auto"/>
        <w:right w:val="none" w:sz="0" w:space="0" w:color="auto"/>
      </w:divBdr>
    </w:div>
    <w:div w:id="843327344">
      <w:bodyDiv w:val="1"/>
      <w:marLeft w:val="0"/>
      <w:marRight w:val="0"/>
      <w:marTop w:val="0"/>
      <w:marBottom w:val="0"/>
      <w:divBdr>
        <w:top w:val="none" w:sz="0" w:space="0" w:color="auto"/>
        <w:left w:val="none" w:sz="0" w:space="0" w:color="auto"/>
        <w:bottom w:val="none" w:sz="0" w:space="0" w:color="auto"/>
        <w:right w:val="none" w:sz="0" w:space="0" w:color="auto"/>
      </w:divBdr>
    </w:div>
    <w:div w:id="857502464">
      <w:bodyDiv w:val="1"/>
      <w:marLeft w:val="0"/>
      <w:marRight w:val="0"/>
      <w:marTop w:val="0"/>
      <w:marBottom w:val="0"/>
      <w:divBdr>
        <w:top w:val="none" w:sz="0" w:space="0" w:color="auto"/>
        <w:left w:val="none" w:sz="0" w:space="0" w:color="auto"/>
        <w:bottom w:val="none" w:sz="0" w:space="0" w:color="auto"/>
        <w:right w:val="none" w:sz="0" w:space="0" w:color="auto"/>
      </w:divBdr>
    </w:div>
    <w:div w:id="888760613">
      <w:bodyDiv w:val="1"/>
      <w:marLeft w:val="0"/>
      <w:marRight w:val="0"/>
      <w:marTop w:val="0"/>
      <w:marBottom w:val="0"/>
      <w:divBdr>
        <w:top w:val="none" w:sz="0" w:space="0" w:color="auto"/>
        <w:left w:val="none" w:sz="0" w:space="0" w:color="auto"/>
        <w:bottom w:val="none" w:sz="0" w:space="0" w:color="auto"/>
        <w:right w:val="none" w:sz="0" w:space="0" w:color="auto"/>
      </w:divBdr>
    </w:div>
    <w:div w:id="897741816">
      <w:bodyDiv w:val="1"/>
      <w:marLeft w:val="0"/>
      <w:marRight w:val="0"/>
      <w:marTop w:val="0"/>
      <w:marBottom w:val="0"/>
      <w:divBdr>
        <w:top w:val="none" w:sz="0" w:space="0" w:color="auto"/>
        <w:left w:val="none" w:sz="0" w:space="0" w:color="auto"/>
        <w:bottom w:val="none" w:sz="0" w:space="0" w:color="auto"/>
        <w:right w:val="none" w:sz="0" w:space="0" w:color="auto"/>
      </w:divBdr>
    </w:div>
    <w:div w:id="909968903">
      <w:bodyDiv w:val="1"/>
      <w:marLeft w:val="0"/>
      <w:marRight w:val="0"/>
      <w:marTop w:val="0"/>
      <w:marBottom w:val="0"/>
      <w:divBdr>
        <w:top w:val="none" w:sz="0" w:space="0" w:color="auto"/>
        <w:left w:val="none" w:sz="0" w:space="0" w:color="auto"/>
        <w:bottom w:val="none" w:sz="0" w:space="0" w:color="auto"/>
        <w:right w:val="none" w:sz="0" w:space="0" w:color="auto"/>
      </w:divBdr>
    </w:div>
    <w:div w:id="932082129">
      <w:bodyDiv w:val="1"/>
      <w:marLeft w:val="0"/>
      <w:marRight w:val="0"/>
      <w:marTop w:val="0"/>
      <w:marBottom w:val="0"/>
      <w:divBdr>
        <w:top w:val="none" w:sz="0" w:space="0" w:color="auto"/>
        <w:left w:val="none" w:sz="0" w:space="0" w:color="auto"/>
        <w:bottom w:val="none" w:sz="0" w:space="0" w:color="auto"/>
        <w:right w:val="none" w:sz="0" w:space="0" w:color="auto"/>
      </w:divBdr>
    </w:div>
    <w:div w:id="967129761">
      <w:bodyDiv w:val="1"/>
      <w:marLeft w:val="0"/>
      <w:marRight w:val="0"/>
      <w:marTop w:val="0"/>
      <w:marBottom w:val="0"/>
      <w:divBdr>
        <w:top w:val="none" w:sz="0" w:space="0" w:color="auto"/>
        <w:left w:val="none" w:sz="0" w:space="0" w:color="auto"/>
        <w:bottom w:val="none" w:sz="0" w:space="0" w:color="auto"/>
        <w:right w:val="none" w:sz="0" w:space="0" w:color="auto"/>
      </w:divBdr>
    </w:div>
    <w:div w:id="988437882">
      <w:bodyDiv w:val="1"/>
      <w:marLeft w:val="0"/>
      <w:marRight w:val="0"/>
      <w:marTop w:val="0"/>
      <w:marBottom w:val="0"/>
      <w:divBdr>
        <w:top w:val="none" w:sz="0" w:space="0" w:color="auto"/>
        <w:left w:val="none" w:sz="0" w:space="0" w:color="auto"/>
        <w:bottom w:val="none" w:sz="0" w:space="0" w:color="auto"/>
        <w:right w:val="none" w:sz="0" w:space="0" w:color="auto"/>
      </w:divBdr>
    </w:div>
    <w:div w:id="1011760886">
      <w:bodyDiv w:val="1"/>
      <w:marLeft w:val="0"/>
      <w:marRight w:val="0"/>
      <w:marTop w:val="0"/>
      <w:marBottom w:val="0"/>
      <w:divBdr>
        <w:top w:val="none" w:sz="0" w:space="0" w:color="auto"/>
        <w:left w:val="none" w:sz="0" w:space="0" w:color="auto"/>
        <w:bottom w:val="none" w:sz="0" w:space="0" w:color="auto"/>
        <w:right w:val="none" w:sz="0" w:space="0" w:color="auto"/>
      </w:divBdr>
    </w:div>
    <w:div w:id="1084229422">
      <w:bodyDiv w:val="1"/>
      <w:marLeft w:val="0"/>
      <w:marRight w:val="0"/>
      <w:marTop w:val="0"/>
      <w:marBottom w:val="0"/>
      <w:divBdr>
        <w:top w:val="none" w:sz="0" w:space="0" w:color="auto"/>
        <w:left w:val="none" w:sz="0" w:space="0" w:color="auto"/>
        <w:bottom w:val="none" w:sz="0" w:space="0" w:color="auto"/>
        <w:right w:val="none" w:sz="0" w:space="0" w:color="auto"/>
      </w:divBdr>
    </w:div>
    <w:div w:id="1092706104">
      <w:bodyDiv w:val="1"/>
      <w:marLeft w:val="0"/>
      <w:marRight w:val="0"/>
      <w:marTop w:val="0"/>
      <w:marBottom w:val="0"/>
      <w:divBdr>
        <w:top w:val="none" w:sz="0" w:space="0" w:color="auto"/>
        <w:left w:val="none" w:sz="0" w:space="0" w:color="auto"/>
        <w:bottom w:val="none" w:sz="0" w:space="0" w:color="auto"/>
        <w:right w:val="none" w:sz="0" w:space="0" w:color="auto"/>
      </w:divBdr>
    </w:div>
    <w:div w:id="1110005614">
      <w:bodyDiv w:val="1"/>
      <w:marLeft w:val="0"/>
      <w:marRight w:val="0"/>
      <w:marTop w:val="0"/>
      <w:marBottom w:val="0"/>
      <w:divBdr>
        <w:top w:val="none" w:sz="0" w:space="0" w:color="auto"/>
        <w:left w:val="none" w:sz="0" w:space="0" w:color="auto"/>
        <w:bottom w:val="none" w:sz="0" w:space="0" w:color="auto"/>
        <w:right w:val="none" w:sz="0" w:space="0" w:color="auto"/>
      </w:divBdr>
    </w:div>
    <w:div w:id="1112238040">
      <w:bodyDiv w:val="1"/>
      <w:marLeft w:val="0"/>
      <w:marRight w:val="0"/>
      <w:marTop w:val="0"/>
      <w:marBottom w:val="0"/>
      <w:divBdr>
        <w:top w:val="none" w:sz="0" w:space="0" w:color="auto"/>
        <w:left w:val="none" w:sz="0" w:space="0" w:color="auto"/>
        <w:bottom w:val="none" w:sz="0" w:space="0" w:color="auto"/>
        <w:right w:val="none" w:sz="0" w:space="0" w:color="auto"/>
      </w:divBdr>
    </w:div>
    <w:div w:id="1127897526">
      <w:bodyDiv w:val="1"/>
      <w:marLeft w:val="0"/>
      <w:marRight w:val="0"/>
      <w:marTop w:val="0"/>
      <w:marBottom w:val="0"/>
      <w:divBdr>
        <w:top w:val="none" w:sz="0" w:space="0" w:color="auto"/>
        <w:left w:val="none" w:sz="0" w:space="0" w:color="auto"/>
        <w:bottom w:val="none" w:sz="0" w:space="0" w:color="auto"/>
        <w:right w:val="none" w:sz="0" w:space="0" w:color="auto"/>
      </w:divBdr>
    </w:div>
    <w:div w:id="1135023036">
      <w:bodyDiv w:val="1"/>
      <w:marLeft w:val="0"/>
      <w:marRight w:val="0"/>
      <w:marTop w:val="0"/>
      <w:marBottom w:val="0"/>
      <w:divBdr>
        <w:top w:val="none" w:sz="0" w:space="0" w:color="auto"/>
        <w:left w:val="none" w:sz="0" w:space="0" w:color="auto"/>
        <w:bottom w:val="none" w:sz="0" w:space="0" w:color="auto"/>
        <w:right w:val="none" w:sz="0" w:space="0" w:color="auto"/>
      </w:divBdr>
    </w:div>
    <w:div w:id="1145782100">
      <w:bodyDiv w:val="1"/>
      <w:marLeft w:val="0"/>
      <w:marRight w:val="0"/>
      <w:marTop w:val="0"/>
      <w:marBottom w:val="0"/>
      <w:divBdr>
        <w:top w:val="none" w:sz="0" w:space="0" w:color="auto"/>
        <w:left w:val="none" w:sz="0" w:space="0" w:color="auto"/>
        <w:bottom w:val="none" w:sz="0" w:space="0" w:color="auto"/>
        <w:right w:val="none" w:sz="0" w:space="0" w:color="auto"/>
      </w:divBdr>
    </w:div>
    <w:div w:id="1147556400">
      <w:bodyDiv w:val="1"/>
      <w:marLeft w:val="0"/>
      <w:marRight w:val="0"/>
      <w:marTop w:val="0"/>
      <w:marBottom w:val="0"/>
      <w:divBdr>
        <w:top w:val="none" w:sz="0" w:space="0" w:color="auto"/>
        <w:left w:val="none" w:sz="0" w:space="0" w:color="auto"/>
        <w:bottom w:val="none" w:sz="0" w:space="0" w:color="auto"/>
        <w:right w:val="none" w:sz="0" w:space="0" w:color="auto"/>
      </w:divBdr>
    </w:div>
    <w:div w:id="1178736864">
      <w:bodyDiv w:val="1"/>
      <w:marLeft w:val="0"/>
      <w:marRight w:val="0"/>
      <w:marTop w:val="0"/>
      <w:marBottom w:val="0"/>
      <w:divBdr>
        <w:top w:val="none" w:sz="0" w:space="0" w:color="auto"/>
        <w:left w:val="none" w:sz="0" w:space="0" w:color="auto"/>
        <w:bottom w:val="none" w:sz="0" w:space="0" w:color="auto"/>
        <w:right w:val="none" w:sz="0" w:space="0" w:color="auto"/>
      </w:divBdr>
    </w:div>
    <w:div w:id="1206793322">
      <w:bodyDiv w:val="1"/>
      <w:marLeft w:val="0"/>
      <w:marRight w:val="0"/>
      <w:marTop w:val="0"/>
      <w:marBottom w:val="0"/>
      <w:divBdr>
        <w:top w:val="none" w:sz="0" w:space="0" w:color="auto"/>
        <w:left w:val="none" w:sz="0" w:space="0" w:color="auto"/>
        <w:bottom w:val="none" w:sz="0" w:space="0" w:color="auto"/>
        <w:right w:val="none" w:sz="0" w:space="0" w:color="auto"/>
      </w:divBdr>
    </w:div>
    <w:div w:id="1231386287">
      <w:bodyDiv w:val="1"/>
      <w:marLeft w:val="0"/>
      <w:marRight w:val="0"/>
      <w:marTop w:val="0"/>
      <w:marBottom w:val="0"/>
      <w:divBdr>
        <w:top w:val="none" w:sz="0" w:space="0" w:color="auto"/>
        <w:left w:val="none" w:sz="0" w:space="0" w:color="auto"/>
        <w:bottom w:val="none" w:sz="0" w:space="0" w:color="auto"/>
        <w:right w:val="none" w:sz="0" w:space="0" w:color="auto"/>
      </w:divBdr>
    </w:div>
    <w:div w:id="1250967903">
      <w:bodyDiv w:val="1"/>
      <w:marLeft w:val="0"/>
      <w:marRight w:val="0"/>
      <w:marTop w:val="0"/>
      <w:marBottom w:val="0"/>
      <w:divBdr>
        <w:top w:val="none" w:sz="0" w:space="0" w:color="auto"/>
        <w:left w:val="none" w:sz="0" w:space="0" w:color="auto"/>
        <w:bottom w:val="none" w:sz="0" w:space="0" w:color="auto"/>
        <w:right w:val="none" w:sz="0" w:space="0" w:color="auto"/>
      </w:divBdr>
    </w:div>
    <w:div w:id="1255819777">
      <w:bodyDiv w:val="1"/>
      <w:marLeft w:val="0"/>
      <w:marRight w:val="0"/>
      <w:marTop w:val="0"/>
      <w:marBottom w:val="0"/>
      <w:divBdr>
        <w:top w:val="none" w:sz="0" w:space="0" w:color="auto"/>
        <w:left w:val="none" w:sz="0" w:space="0" w:color="auto"/>
        <w:bottom w:val="none" w:sz="0" w:space="0" w:color="auto"/>
        <w:right w:val="none" w:sz="0" w:space="0" w:color="auto"/>
      </w:divBdr>
    </w:div>
    <w:div w:id="1275290738">
      <w:bodyDiv w:val="1"/>
      <w:marLeft w:val="0"/>
      <w:marRight w:val="0"/>
      <w:marTop w:val="0"/>
      <w:marBottom w:val="0"/>
      <w:divBdr>
        <w:top w:val="none" w:sz="0" w:space="0" w:color="auto"/>
        <w:left w:val="none" w:sz="0" w:space="0" w:color="auto"/>
        <w:bottom w:val="none" w:sz="0" w:space="0" w:color="auto"/>
        <w:right w:val="none" w:sz="0" w:space="0" w:color="auto"/>
      </w:divBdr>
    </w:div>
    <w:div w:id="1284457336">
      <w:bodyDiv w:val="1"/>
      <w:marLeft w:val="0"/>
      <w:marRight w:val="0"/>
      <w:marTop w:val="0"/>
      <w:marBottom w:val="0"/>
      <w:divBdr>
        <w:top w:val="none" w:sz="0" w:space="0" w:color="auto"/>
        <w:left w:val="none" w:sz="0" w:space="0" w:color="auto"/>
        <w:bottom w:val="none" w:sz="0" w:space="0" w:color="auto"/>
        <w:right w:val="none" w:sz="0" w:space="0" w:color="auto"/>
      </w:divBdr>
    </w:div>
    <w:div w:id="1286961177">
      <w:bodyDiv w:val="1"/>
      <w:marLeft w:val="0"/>
      <w:marRight w:val="0"/>
      <w:marTop w:val="0"/>
      <w:marBottom w:val="0"/>
      <w:divBdr>
        <w:top w:val="none" w:sz="0" w:space="0" w:color="auto"/>
        <w:left w:val="none" w:sz="0" w:space="0" w:color="auto"/>
        <w:bottom w:val="none" w:sz="0" w:space="0" w:color="auto"/>
        <w:right w:val="none" w:sz="0" w:space="0" w:color="auto"/>
      </w:divBdr>
    </w:div>
    <w:div w:id="1328702484">
      <w:bodyDiv w:val="1"/>
      <w:marLeft w:val="0"/>
      <w:marRight w:val="0"/>
      <w:marTop w:val="0"/>
      <w:marBottom w:val="0"/>
      <w:divBdr>
        <w:top w:val="none" w:sz="0" w:space="0" w:color="auto"/>
        <w:left w:val="none" w:sz="0" w:space="0" w:color="auto"/>
        <w:bottom w:val="none" w:sz="0" w:space="0" w:color="auto"/>
        <w:right w:val="none" w:sz="0" w:space="0" w:color="auto"/>
      </w:divBdr>
    </w:div>
    <w:div w:id="1349677223">
      <w:bodyDiv w:val="1"/>
      <w:marLeft w:val="0"/>
      <w:marRight w:val="0"/>
      <w:marTop w:val="0"/>
      <w:marBottom w:val="0"/>
      <w:divBdr>
        <w:top w:val="none" w:sz="0" w:space="0" w:color="auto"/>
        <w:left w:val="none" w:sz="0" w:space="0" w:color="auto"/>
        <w:bottom w:val="none" w:sz="0" w:space="0" w:color="auto"/>
        <w:right w:val="none" w:sz="0" w:space="0" w:color="auto"/>
      </w:divBdr>
    </w:div>
    <w:div w:id="1356007463">
      <w:bodyDiv w:val="1"/>
      <w:marLeft w:val="0"/>
      <w:marRight w:val="0"/>
      <w:marTop w:val="0"/>
      <w:marBottom w:val="0"/>
      <w:divBdr>
        <w:top w:val="none" w:sz="0" w:space="0" w:color="auto"/>
        <w:left w:val="none" w:sz="0" w:space="0" w:color="auto"/>
        <w:bottom w:val="none" w:sz="0" w:space="0" w:color="auto"/>
        <w:right w:val="none" w:sz="0" w:space="0" w:color="auto"/>
      </w:divBdr>
    </w:div>
    <w:div w:id="1356153339">
      <w:bodyDiv w:val="1"/>
      <w:marLeft w:val="0"/>
      <w:marRight w:val="0"/>
      <w:marTop w:val="0"/>
      <w:marBottom w:val="0"/>
      <w:divBdr>
        <w:top w:val="none" w:sz="0" w:space="0" w:color="auto"/>
        <w:left w:val="none" w:sz="0" w:space="0" w:color="auto"/>
        <w:bottom w:val="none" w:sz="0" w:space="0" w:color="auto"/>
        <w:right w:val="none" w:sz="0" w:space="0" w:color="auto"/>
      </w:divBdr>
    </w:div>
    <w:div w:id="1369065067">
      <w:bodyDiv w:val="1"/>
      <w:marLeft w:val="0"/>
      <w:marRight w:val="0"/>
      <w:marTop w:val="0"/>
      <w:marBottom w:val="0"/>
      <w:divBdr>
        <w:top w:val="none" w:sz="0" w:space="0" w:color="auto"/>
        <w:left w:val="none" w:sz="0" w:space="0" w:color="auto"/>
        <w:bottom w:val="none" w:sz="0" w:space="0" w:color="auto"/>
        <w:right w:val="none" w:sz="0" w:space="0" w:color="auto"/>
      </w:divBdr>
    </w:div>
    <w:div w:id="1406494120">
      <w:bodyDiv w:val="1"/>
      <w:marLeft w:val="0"/>
      <w:marRight w:val="0"/>
      <w:marTop w:val="0"/>
      <w:marBottom w:val="0"/>
      <w:divBdr>
        <w:top w:val="none" w:sz="0" w:space="0" w:color="auto"/>
        <w:left w:val="none" w:sz="0" w:space="0" w:color="auto"/>
        <w:bottom w:val="none" w:sz="0" w:space="0" w:color="auto"/>
        <w:right w:val="none" w:sz="0" w:space="0" w:color="auto"/>
      </w:divBdr>
    </w:div>
    <w:div w:id="1418357641">
      <w:bodyDiv w:val="1"/>
      <w:marLeft w:val="0"/>
      <w:marRight w:val="0"/>
      <w:marTop w:val="0"/>
      <w:marBottom w:val="0"/>
      <w:divBdr>
        <w:top w:val="none" w:sz="0" w:space="0" w:color="auto"/>
        <w:left w:val="none" w:sz="0" w:space="0" w:color="auto"/>
        <w:bottom w:val="none" w:sz="0" w:space="0" w:color="auto"/>
        <w:right w:val="none" w:sz="0" w:space="0" w:color="auto"/>
      </w:divBdr>
    </w:div>
    <w:div w:id="1452436730">
      <w:bodyDiv w:val="1"/>
      <w:marLeft w:val="0"/>
      <w:marRight w:val="0"/>
      <w:marTop w:val="0"/>
      <w:marBottom w:val="0"/>
      <w:divBdr>
        <w:top w:val="none" w:sz="0" w:space="0" w:color="auto"/>
        <w:left w:val="none" w:sz="0" w:space="0" w:color="auto"/>
        <w:bottom w:val="none" w:sz="0" w:space="0" w:color="auto"/>
        <w:right w:val="none" w:sz="0" w:space="0" w:color="auto"/>
      </w:divBdr>
    </w:div>
    <w:div w:id="1459446899">
      <w:bodyDiv w:val="1"/>
      <w:marLeft w:val="0"/>
      <w:marRight w:val="0"/>
      <w:marTop w:val="0"/>
      <w:marBottom w:val="0"/>
      <w:divBdr>
        <w:top w:val="none" w:sz="0" w:space="0" w:color="auto"/>
        <w:left w:val="none" w:sz="0" w:space="0" w:color="auto"/>
        <w:bottom w:val="none" w:sz="0" w:space="0" w:color="auto"/>
        <w:right w:val="none" w:sz="0" w:space="0" w:color="auto"/>
      </w:divBdr>
    </w:div>
    <w:div w:id="1462453603">
      <w:bodyDiv w:val="1"/>
      <w:marLeft w:val="0"/>
      <w:marRight w:val="0"/>
      <w:marTop w:val="0"/>
      <w:marBottom w:val="0"/>
      <w:divBdr>
        <w:top w:val="none" w:sz="0" w:space="0" w:color="auto"/>
        <w:left w:val="none" w:sz="0" w:space="0" w:color="auto"/>
        <w:bottom w:val="none" w:sz="0" w:space="0" w:color="auto"/>
        <w:right w:val="none" w:sz="0" w:space="0" w:color="auto"/>
      </w:divBdr>
    </w:div>
    <w:div w:id="1520925873">
      <w:bodyDiv w:val="1"/>
      <w:marLeft w:val="0"/>
      <w:marRight w:val="0"/>
      <w:marTop w:val="0"/>
      <w:marBottom w:val="0"/>
      <w:divBdr>
        <w:top w:val="none" w:sz="0" w:space="0" w:color="auto"/>
        <w:left w:val="none" w:sz="0" w:space="0" w:color="auto"/>
        <w:bottom w:val="none" w:sz="0" w:space="0" w:color="auto"/>
        <w:right w:val="none" w:sz="0" w:space="0" w:color="auto"/>
      </w:divBdr>
    </w:div>
    <w:div w:id="1533608661">
      <w:bodyDiv w:val="1"/>
      <w:marLeft w:val="0"/>
      <w:marRight w:val="0"/>
      <w:marTop w:val="0"/>
      <w:marBottom w:val="0"/>
      <w:divBdr>
        <w:top w:val="none" w:sz="0" w:space="0" w:color="auto"/>
        <w:left w:val="none" w:sz="0" w:space="0" w:color="auto"/>
        <w:bottom w:val="none" w:sz="0" w:space="0" w:color="auto"/>
        <w:right w:val="none" w:sz="0" w:space="0" w:color="auto"/>
      </w:divBdr>
    </w:div>
    <w:div w:id="1598060548">
      <w:bodyDiv w:val="1"/>
      <w:marLeft w:val="0"/>
      <w:marRight w:val="0"/>
      <w:marTop w:val="0"/>
      <w:marBottom w:val="0"/>
      <w:divBdr>
        <w:top w:val="none" w:sz="0" w:space="0" w:color="auto"/>
        <w:left w:val="none" w:sz="0" w:space="0" w:color="auto"/>
        <w:bottom w:val="none" w:sz="0" w:space="0" w:color="auto"/>
        <w:right w:val="none" w:sz="0" w:space="0" w:color="auto"/>
      </w:divBdr>
    </w:div>
    <w:div w:id="1598172406">
      <w:bodyDiv w:val="1"/>
      <w:marLeft w:val="0"/>
      <w:marRight w:val="0"/>
      <w:marTop w:val="0"/>
      <w:marBottom w:val="0"/>
      <w:divBdr>
        <w:top w:val="none" w:sz="0" w:space="0" w:color="auto"/>
        <w:left w:val="none" w:sz="0" w:space="0" w:color="auto"/>
        <w:bottom w:val="none" w:sz="0" w:space="0" w:color="auto"/>
        <w:right w:val="none" w:sz="0" w:space="0" w:color="auto"/>
      </w:divBdr>
    </w:div>
    <w:div w:id="1620336479">
      <w:bodyDiv w:val="1"/>
      <w:marLeft w:val="0"/>
      <w:marRight w:val="0"/>
      <w:marTop w:val="0"/>
      <w:marBottom w:val="0"/>
      <w:divBdr>
        <w:top w:val="none" w:sz="0" w:space="0" w:color="auto"/>
        <w:left w:val="none" w:sz="0" w:space="0" w:color="auto"/>
        <w:bottom w:val="none" w:sz="0" w:space="0" w:color="auto"/>
        <w:right w:val="none" w:sz="0" w:space="0" w:color="auto"/>
      </w:divBdr>
    </w:div>
    <w:div w:id="1681082409">
      <w:bodyDiv w:val="1"/>
      <w:marLeft w:val="0"/>
      <w:marRight w:val="0"/>
      <w:marTop w:val="0"/>
      <w:marBottom w:val="0"/>
      <w:divBdr>
        <w:top w:val="none" w:sz="0" w:space="0" w:color="auto"/>
        <w:left w:val="none" w:sz="0" w:space="0" w:color="auto"/>
        <w:bottom w:val="none" w:sz="0" w:space="0" w:color="auto"/>
        <w:right w:val="none" w:sz="0" w:space="0" w:color="auto"/>
      </w:divBdr>
    </w:div>
    <w:div w:id="1692871774">
      <w:bodyDiv w:val="1"/>
      <w:marLeft w:val="0"/>
      <w:marRight w:val="0"/>
      <w:marTop w:val="0"/>
      <w:marBottom w:val="0"/>
      <w:divBdr>
        <w:top w:val="none" w:sz="0" w:space="0" w:color="auto"/>
        <w:left w:val="none" w:sz="0" w:space="0" w:color="auto"/>
        <w:bottom w:val="none" w:sz="0" w:space="0" w:color="auto"/>
        <w:right w:val="none" w:sz="0" w:space="0" w:color="auto"/>
      </w:divBdr>
    </w:div>
    <w:div w:id="1696153684">
      <w:bodyDiv w:val="1"/>
      <w:marLeft w:val="0"/>
      <w:marRight w:val="0"/>
      <w:marTop w:val="0"/>
      <w:marBottom w:val="0"/>
      <w:divBdr>
        <w:top w:val="none" w:sz="0" w:space="0" w:color="auto"/>
        <w:left w:val="none" w:sz="0" w:space="0" w:color="auto"/>
        <w:bottom w:val="none" w:sz="0" w:space="0" w:color="auto"/>
        <w:right w:val="none" w:sz="0" w:space="0" w:color="auto"/>
      </w:divBdr>
    </w:div>
    <w:div w:id="1703247615">
      <w:bodyDiv w:val="1"/>
      <w:marLeft w:val="0"/>
      <w:marRight w:val="0"/>
      <w:marTop w:val="0"/>
      <w:marBottom w:val="0"/>
      <w:divBdr>
        <w:top w:val="none" w:sz="0" w:space="0" w:color="auto"/>
        <w:left w:val="none" w:sz="0" w:space="0" w:color="auto"/>
        <w:bottom w:val="none" w:sz="0" w:space="0" w:color="auto"/>
        <w:right w:val="none" w:sz="0" w:space="0" w:color="auto"/>
      </w:divBdr>
    </w:div>
    <w:div w:id="1705211937">
      <w:bodyDiv w:val="1"/>
      <w:marLeft w:val="0"/>
      <w:marRight w:val="0"/>
      <w:marTop w:val="0"/>
      <w:marBottom w:val="0"/>
      <w:divBdr>
        <w:top w:val="none" w:sz="0" w:space="0" w:color="auto"/>
        <w:left w:val="none" w:sz="0" w:space="0" w:color="auto"/>
        <w:bottom w:val="none" w:sz="0" w:space="0" w:color="auto"/>
        <w:right w:val="none" w:sz="0" w:space="0" w:color="auto"/>
      </w:divBdr>
    </w:div>
    <w:div w:id="1708409447">
      <w:bodyDiv w:val="1"/>
      <w:marLeft w:val="0"/>
      <w:marRight w:val="0"/>
      <w:marTop w:val="0"/>
      <w:marBottom w:val="0"/>
      <w:divBdr>
        <w:top w:val="none" w:sz="0" w:space="0" w:color="auto"/>
        <w:left w:val="none" w:sz="0" w:space="0" w:color="auto"/>
        <w:bottom w:val="none" w:sz="0" w:space="0" w:color="auto"/>
        <w:right w:val="none" w:sz="0" w:space="0" w:color="auto"/>
      </w:divBdr>
    </w:div>
    <w:div w:id="1719010866">
      <w:bodyDiv w:val="1"/>
      <w:marLeft w:val="0"/>
      <w:marRight w:val="0"/>
      <w:marTop w:val="0"/>
      <w:marBottom w:val="0"/>
      <w:divBdr>
        <w:top w:val="none" w:sz="0" w:space="0" w:color="auto"/>
        <w:left w:val="none" w:sz="0" w:space="0" w:color="auto"/>
        <w:bottom w:val="none" w:sz="0" w:space="0" w:color="auto"/>
        <w:right w:val="none" w:sz="0" w:space="0" w:color="auto"/>
      </w:divBdr>
    </w:div>
    <w:div w:id="1720007333">
      <w:bodyDiv w:val="1"/>
      <w:marLeft w:val="0"/>
      <w:marRight w:val="0"/>
      <w:marTop w:val="0"/>
      <w:marBottom w:val="0"/>
      <w:divBdr>
        <w:top w:val="none" w:sz="0" w:space="0" w:color="auto"/>
        <w:left w:val="none" w:sz="0" w:space="0" w:color="auto"/>
        <w:bottom w:val="none" w:sz="0" w:space="0" w:color="auto"/>
        <w:right w:val="none" w:sz="0" w:space="0" w:color="auto"/>
      </w:divBdr>
    </w:div>
    <w:div w:id="1734935142">
      <w:bodyDiv w:val="1"/>
      <w:marLeft w:val="0"/>
      <w:marRight w:val="0"/>
      <w:marTop w:val="0"/>
      <w:marBottom w:val="0"/>
      <w:divBdr>
        <w:top w:val="none" w:sz="0" w:space="0" w:color="auto"/>
        <w:left w:val="none" w:sz="0" w:space="0" w:color="auto"/>
        <w:bottom w:val="none" w:sz="0" w:space="0" w:color="auto"/>
        <w:right w:val="none" w:sz="0" w:space="0" w:color="auto"/>
      </w:divBdr>
    </w:div>
    <w:div w:id="1748500492">
      <w:bodyDiv w:val="1"/>
      <w:marLeft w:val="0"/>
      <w:marRight w:val="0"/>
      <w:marTop w:val="0"/>
      <w:marBottom w:val="0"/>
      <w:divBdr>
        <w:top w:val="none" w:sz="0" w:space="0" w:color="auto"/>
        <w:left w:val="none" w:sz="0" w:space="0" w:color="auto"/>
        <w:bottom w:val="none" w:sz="0" w:space="0" w:color="auto"/>
        <w:right w:val="none" w:sz="0" w:space="0" w:color="auto"/>
      </w:divBdr>
    </w:div>
    <w:div w:id="1759011438">
      <w:bodyDiv w:val="1"/>
      <w:marLeft w:val="0"/>
      <w:marRight w:val="0"/>
      <w:marTop w:val="0"/>
      <w:marBottom w:val="0"/>
      <w:divBdr>
        <w:top w:val="none" w:sz="0" w:space="0" w:color="auto"/>
        <w:left w:val="none" w:sz="0" w:space="0" w:color="auto"/>
        <w:bottom w:val="none" w:sz="0" w:space="0" w:color="auto"/>
        <w:right w:val="none" w:sz="0" w:space="0" w:color="auto"/>
      </w:divBdr>
    </w:div>
    <w:div w:id="1760522931">
      <w:bodyDiv w:val="1"/>
      <w:marLeft w:val="0"/>
      <w:marRight w:val="0"/>
      <w:marTop w:val="0"/>
      <w:marBottom w:val="0"/>
      <w:divBdr>
        <w:top w:val="none" w:sz="0" w:space="0" w:color="auto"/>
        <w:left w:val="none" w:sz="0" w:space="0" w:color="auto"/>
        <w:bottom w:val="none" w:sz="0" w:space="0" w:color="auto"/>
        <w:right w:val="none" w:sz="0" w:space="0" w:color="auto"/>
      </w:divBdr>
    </w:div>
    <w:div w:id="1774130314">
      <w:bodyDiv w:val="1"/>
      <w:marLeft w:val="0"/>
      <w:marRight w:val="0"/>
      <w:marTop w:val="0"/>
      <w:marBottom w:val="0"/>
      <w:divBdr>
        <w:top w:val="none" w:sz="0" w:space="0" w:color="auto"/>
        <w:left w:val="none" w:sz="0" w:space="0" w:color="auto"/>
        <w:bottom w:val="none" w:sz="0" w:space="0" w:color="auto"/>
        <w:right w:val="none" w:sz="0" w:space="0" w:color="auto"/>
      </w:divBdr>
    </w:div>
    <w:div w:id="1782139376">
      <w:bodyDiv w:val="1"/>
      <w:marLeft w:val="0"/>
      <w:marRight w:val="0"/>
      <w:marTop w:val="0"/>
      <w:marBottom w:val="0"/>
      <w:divBdr>
        <w:top w:val="none" w:sz="0" w:space="0" w:color="auto"/>
        <w:left w:val="none" w:sz="0" w:space="0" w:color="auto"/>
        <w:bottom w:val="none" w:sz="0" w:space="0" w:color="auto"/>
        <w:right w:val="none" w:sz="0" w:space="0" w:color="auto"/>
      </w:divBdr>
    </w:div>
    <w:div w:id="1789466861">
      <w:bodyDiv w:val="1"/>
      <w:marLeft w:val="0"/>
      <w:marRight w:val="0"/>
      <w:marTop w:val="0"/>
      <w:marBottom w:val="0"/>
      <w:divBdr>
        <w:top w:val="none" w:sz="0" w:space="0" w:color="auto"/>
        <w:left w:val="none" w:sz="0" w:space="0" w:color="auto"/>
        <w:bottom w:val="none" w:sz="0" w:space="0" w:color="auto"/>
        <w:right w:val="none" w:sz="0" w:space="0" w:color="auto"/>
      </w:divBdr>
    </w:div>
    <w:div w:id="1790273001">
      <w:bodyDiv w:val="1"/>
      <w:marLeft w:val="0"/>
      <w:marRight w:val="0"/>
      <w:marTop w:val="0"/>
      <w:marBottom w:val="0"/>
      <w:divBdr>
        <w:top w:val="none" w:sz="0" w:space="0" w:color="auto"/>
        <w:left w:val="none" w:sz="0" w:space="0" w:color="auto"/>
        <w:bottom w:val="none" w:sz="0" w:space="0" w:color="auto"/>
        <w:right w:val="none" w:sz="0" w:space="0" w:color="auto"/>
      </w:divBdr>
    </w:div>
    <w:div w:id="1837527314">
      <w:bodyDiv w:val="1"/>
      <w:marLeft w:val="0"/>
      <w:marRight w:val="0"/>
      <w:marTop w:val="0"/>
      <w:marBottom w:val="0"/>
      <w:divBdr>
        <w:top w:val="none" w:sz="0" w:space="0" w:color="auto"/>
        <w:left w:val="none" w:sz="0" w:space="0" w:color="auto"/>
        <w:bottom w:val="none" w:sz="0" w:space="0" w:color="auto"/>
        <w:right w:val="none" w:sz="0" w:space="0" w:color="auto"/>
      </w:divBdr>
    </w:div>
    <w:div w:id="1842306718">
      <w:bodyDiv w:val="1"/>
      <w:marLeft w:val="0"/>
      <w:marRight w:val="0"/>
      <w:marTop w:val="0"/>
      <w:marBottom w:val="0"/>
      <w:divBdr>
        <w:top w:val="none" w:sz="0" w:space="0" w:color="auto"/>
        <w:left w:val="none" w:sz="0" w:space="0" w:color="auto"/>
        <w:bottom w:val="none" w:sz="0" w:space="0" w:color="auto"/>
        <w:right w:val="none" w:sz="0" w:space="0" w:color="auto"/>
      </w:divBdr>
    </w:div>
    <w:div w:id="1849559686">
      <w:bodyDiv w:val="1"/>
      <w:marLeft w:val="0"/>
      <w:marRight w:val="0"/>
      <w:marTop w:val="0"/>
      <w:marBottom w:val="0"/>
      <w:divBdr>
        <w:top w:val="none" w:sz="0" w:space="0" w:color="auto"/>
        <w:left w:val="none" w:sz="0" w:space="0" w:color="auto"/>
        <w:bottom w:val="none" w:sz="0" w:space="0" w:color="auto"/>
        <w:right w:val="none" w:sz="0" w:space="0" w:color="auto"/>
      </w:divBdr>
    </w:div>
    <w:div w:id="1869487003">
      <w:bodyDiv w:val="1"/>
      <w:marLeft w:val="0"/>
      <w:marRight w:val="0"/>
      <w:marTop w:val="0"/>
      <w:marBottom w:val="0"/>
      <w:divBdr>
        <w:top w:val="none" w:sz="0" w:space="0" w:color="auto"/>
        <w:left w:val="none" w:sz="0" w:space="0" w:color="auto"/>
        <w:bottom w:val="none" w:sz="0" w:space="0" w:color="auto"/>
        <w:right w:val="none" w:sz="0" w:space="0" w:color="auto"/>
      </w:divBdr>
    </w:div>
    <w:div w:id="1884705034">
      <w:bodyDiv w:val="1"/>
      <w:marLeft w:val="0"/>
      <w:marRight w:val="0"/>
      <w:marTop w:val="0"/>
      <w:marBottom w:val="0"/>
      <w:divBdr>
        <w:top w:val="none" w:sz="0" w:space="0" w:color="auto"/>
        <w:left w:val="none" w:sz="0" w:space="0" w:color="auto"/>
        <w:bottom w:val="none" w:sz="0" w:space="0" w:color="auto"/>
        <w:right w:val="none" w:sz="0" w:space="0" w:color="auto"/>
      </w:divBdr>
    </w:div>
    <w:div w:id="1893808739">
      <w:bodyDiv w:val="1"/>
      <w:marLeft w:val="0"/>
      <w:marRight w:val="0"/>
      <w:marTop w:val="0"/>
      <w:marBottom w:val="0"/>
      <w:divBdr>
        <w:top w:val="none" w:sz="0" w:space="0" w:color="auto"/>
        <w:left w:val="none" w:sz="0" w:space="0" w:color="auto"/>
        <w:bottom w:val="none" w:sz="0" w:space="0" w:color="auto"/>
        <w:right w:val="none" w:sz="0" w:space="0" w:color="auto"/>
      </w:divBdr>
    </w:div>
    <w:div w:id="1910339098">
      <w:bodyDiv w:val="1"/>
      <w:marLeft w:val="0"/>
      <w:marRight w:val="0"/>
      <w:marTop w:val="0"/>
      <w:marBottom w:val="0"/>
      <w:divBdr>
        <w:top w:val="none" w:sz="0" w:space="0" w:color="auto"/>
        <w:left w:val="none" w:sz="0" w:space="0" w:color="auto"/>
        <w:bottom w:val="none" w:sz="0" w:space="0" w:color="auto"/>
        <w:right w:val="none" w:sz="0" w:space="0" w:color="auto"/>
      </w:divBdr>
    </w:div>
    <w:div w:id="1921979904">
      <w:bodyDiv w:val="1"/>
      <w:marLeft w:val="0"/>
      <w:marRight w:val="0"/>
      <w:marTop w:val="0"/>
      <w:marBottom w:val="0"/>
      <w:divBdr>
        <w:top w:val="none" w:sz="0" w:space="0" w:color="auto"/>
        <w:left w:val="none" w:sz="0" w:space="0" w:color="auto"/>
        <w:bottom w:val="none" w:sz="0" w:space="0" w:color="auto"/>
        <w:right w:val="none" w:sz="0" w:space="0" w:color="auto"/>
      </w:divBdr>
    </w:div>
    <w:div w:id="1935630532">
      <w:bodyDiv w:val="1"/>
      <w:marLeft w:val="0"/>
      <w:marRight w:val="0"/>
      <w:marTop w:val="0"/>
      <w:marBottom w:val="0"/>
      <w:divBdr>
        <w:top w:val="none" w:sz="0" w:space="0" w:color="auto"/>
        <w:left w:val="none" w:sz="0" w:space="0" w:color="auto"/>
        <w:bottom w:val="none" w:sz="0" w:space="0" w:color="auto"/>
        <w:right w:val="none" w:sz="0" w:space="0" w:color="auto"/>
      </w:divBdr>
    </w:div>
    <w:div w:id="1947537400">
      <w:bodyDiv w:val="1"/>
      <w:marLeft w:val="0"/>
      <w:marRight w:val="0"/>
      <w:marTop w:val="0"/>
      <w:marBottom w:val="0"/>
      <w:divBdr>
        <w:top w:val="none" w:sz="0" w:space="0" w:color="auto"/>
        <w:left w:val="none" w:sz="0" w:space="0" w:color="auto"/>
        <w:bottom w:val="none" w:sz="0" w:space="0" w:color="auto"/>
        <w:right w:val="none" w:sz="0" w:space="0" w:color="auto"/>
      </w:divBdr>
    </w:div>
    <w:div w:id="1960186948">
      <w:bodyDiv w:val="1"/>
      <w:marLeft w:val="0"/>
      <w:marRight w:val="0"/>
      <w:marTop w:val="0"/>
      <w:marBottom w:val="0"/>
      <w:divBdr>
        <w:top w:val="none" w:sz="0" w:space="0" w:color="auto"/>
        <w:left w:val="none" w:sz="0" w:space="0" w:color="auto"/>
        <w:bottom w:val="none" w:sz="0" w:space="0" w:color="auto"/>
        <w:right w:val="none" w:sz="0" w:space="0" w:color="auto"/>
      </w:divBdr>
    </w:div>
    <w:div w:id="1961837583">
      <w:bodyDiv w:val="1"/>
      <w:marLeft w:val="0"/>
      <w:marRight w:val="0"/>
      <w:marTop w:val="0"/>
      <w:marBottom w:val="0"/>
      <w:divBdr>
        <w:top w:val="none" w:sz="0" w:space="0" w:color="auto"/>
        <w:left w:val="none" w:sz="0" w:space="0" w:color="auto"/>
        <w:bottom w:val="none" w:sz="0" w:space="0" w:color="auto"/>
        <w:right w:val="none" w:sz="0" w:space="0" w:color="auto"/>
      </w:divBdr>
    </w:div>
    <w:div w:id="2020346181">
      <w:bodyDiv w:val="1"/>
      <w:marLeft w:val="0"/>
      <w:marRight w:val="0"/>
      <w:marTop w:val="0"/>
      <w:marBottom w:val="0"/>
      <w:divBdr>
        <w:top w:val="none" w:sz="0" w:space="0" w:color="auto"/>
        <w:left w:val="none" w:sz="0" w:space="0" w:color="auto"/>
        <w:bottom w:val="none" w:sz="0" w:space="0" w:color="auto"/>
        <w:right w:val="none" w:sz="0" w:space="0" w:color="auto"/>
      </w:divBdr>
    </w:div>
    <w:div w:id="2022123986">
      <w:bodyDiv w:val="1"/>
      <w:marLeft w:val="0"/>
      <w:marRight w:val="0"/>
      <w:marTop w:val="0"/>
      <w:marBottom w:val="0"/>
      <w:divBdr>
        <w:top w:val="none" w:sz="0" w:space="0" w:color="auto"/>
        <w:left w:val="none" w:sz="0" w:space="0" w:color="auto"/>
        <w:bottom w:val="none" w:sz="0" w:space="0" w:color="auto"/>
        <w:right w:val="none" w:sz="0" w:space="0" w:color="auto"/>
      </w:divBdr>
    </w:div>
    <w:div w:id="2023387576">
      <w:bodyDiv w:val="1"/>
      <w:marLeft w:val="0"/>
      <w:marRight w:val="0"/>
      <w:marTop w:val="0"/>
      <w:marBottom w:val="0"/>
      <w:divBdr>
        <w:top w:val="none" w:sz="0" w:space="0" w:color="auto"/>
        <w:left w:val="none" w:sz="0" w:space="0" w:color="auto"/>
        <w:bottom w:val="none" w:sz="0" w:space="0" w:color="auto"/>
        <w:right w:val="none" w:sz="0" w:space="0" w:color="auto"/>
      </w:divBdr>
    </w:div>
    <w:div w:id="2063753548">
      <w:bodyDiv w:val="1"/>
      <w:marLeft w:val="0"/>
      <w:marRight w:val="0"/>
      <w:marTop w:val="0"/>
      <w:marBottom w:val="0"/>
      <w:divBdr>
        <w:top w:val="none" w:sz="0" w:space="0" w:color="auto"/>
        <w:left w:val="none" w:sz="0" w:space="0" w:color="auto"/>
        <w:bottom w:val="none" w:sz="0" w:space="0" w:color="auto"/>
        <w:right w:val="none" w:sz="0" w:space="0" w:color="auto"/>
      </w:divBdr>
    </w:div>
    <w:div w:id="2088309933">
      <w:bodyDiv w:val="1"/>
      <w:marLeft w:val="0"/>
      <w:marRight w:val="0"/>
      <w:marTop w:val="0"/>
      <w:marBottom w:val="0"/>
      <w:divBdr>
        <w:top w:val="none" w:sz="0" w:space="0" w:color="auto"/>
        <w:left w:val="none" w:sz="0" w:space="0" w:color="auto"/>
        <w:bottom w:val="none" w:sz="0" w:space="0" w:color="auto"/>
        <w:right w:val="none" w:sz="0" w:space="0" w:color="auto"/>
      </w:divBdr>
    </w:div>
    <w:div w:id="2101834340">
      <w:bodyDiv w:val="1"/>
      <w:marLeft w:val="0"/>
      <w:marRight w:val="0"/>
      <w:marTop w:val="0"/>
      <w:marBottom w:val="0"/>
      <w:divBdr>
        <w:top w:val="none" w:sz="0" w:space="0" w:color="auto"/>
        <w:left w:val="none" w:sz="0" w:space="0" w:color="auto"/>
        <w:bottom w:val="none" w:sz="0" w:space="0" w:color="auto"/>
        <w:right w:val="none" w:sz="0" w:space="0" w:color="auto"/>
      </w:divBdr>
    </w:div>
    <w:div w:id="2106489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Uni23</b:Tag>
    <b:SourceType>InternetSite</b:SourceType>
    <b:Guid>{903A626B-E877-4AB5-82C1-46D3F27D0C56}</b:Guid>
    <b:Author>
      <b:Author>
        <b:Corporate>United Nations</b:Corporate>
      </b:Author>
    </b:Author>
    <b:Title>Youth</b:Title>
    <b:Year>2023</b:Year>
    <b:YearAccessed>2023</b:YearAccessed>
    <b:MonthAccessed>December</b:MonthAccessed>
    <b:DayAccessed>15</b:DayAccessed>
    <b:URL>https://www.un.org/en/global-issues/youth#:~:text=Who%20Are%20the%20Youth%3F,of%2015%20and%2024%20years.</b:URL>
    <b:RefOrder>9</b:RefOrder>
  </b:Source>
  <b:Source>
    <b:Tag>Off23</b:Tag>
    <b:SourceType>InternetSite</b:SourceType>
    <b:Guid>{CC93EA28-6020-43A7-8370-B11D98EC2779}</b:Guid>
    <b:Author>
      <b:Author>
        <b:Corporate>Office for National Statistics</b:Corporate>
      </b:Author>
    </b:Author>
    <b:Title>Young people not in education, employment or training (NEET), UK: February 2023</b:Title>
    <b:Year>2023</b:Year>
    <b:YearAccessed>2023</b:YearAccessed>
    <b:MonthAccessed>December</b:MonthAccessed>
    <b:DayAccessed>15</b:DayAccessed>
    <b:URL>https://www.ons.gov.uk/employmentandlabourmarket/peoplenotinwork/unemployment/bulletins/youngpeoplenotineducationemploymentortrainingneet/february2023#:~:text=For%20this%20release%2C%20young%20people,and%2023%20to%2024%20years.</b:URL>
    <b:RefOrder>10</b:RefOrder>
  </b:Source>
  <b:Source>
    <b:Tag>The23</b:Tag>
    <b:SourceType>InternetSite</b:SourceType>
    <b:Guid>{A9DDE1B9-60B4-48D9-845F-9F43768B0F2C}</b:Guid>
    <b:Author>
      <b:Author>
        <b:Corporate>The Scout Association</b:Corporate>
      </b:Author>
    </b:Author>
    <b:Title>Policy, Organisation and Rules Chapter 16</b:Title>
    <b:Year>2023</b:Year>
    <b:YearAccessed>2023</b:YearAccessed>
    <b:MonthAccessed>December</b:MonthAccessed>
    <b:DayAccessed>15</b:DayAccessed>
    <b:URL>https://www.scouts.org.uk/por/16-adult-roles/</b:URL>
    <b:RefOrder>11</b:RefOrder>
  </b:Source>
  <b:Source>
    <b:Tag>Jef14</b:Tag>
    <b:SourceType>JournalArticle</b:SourceType>
    <b:Guid>{D4E42A1C-2476-4CB2-AC8A-F201D621E4F1}</b:Guid>
    <b:Title>Models of Volunteer Management: Professional Volunteer Program Management in Social Work</b:Title>
    <b:Year>2014</b:Year>
    <b:Author>
      <b:Author>
        <b:NameList>
          <b:Person>
            <b:Last>Brudney</b:Last>
            <b:First>Jeffery</b:First>
            <b:Middle>L.</b:Middle>
          </b:Person>
          <b:Person>
            <b:Last>Meijs</b:Last>
            <b:First>Lucas</b:First>
            <b:Middle>C.P.M.</b:Middle>
          </b:Person>
        </b:NameList>
      </b:Author>
    </b:Author>
    <b:JournalName>Human Service Organizations: Management, Leadership &amp; Governance</b:JournalName>
    <b:Pages>297-309</b:Pages>
    <b:Volume>38</b:Volume>
    <b:RefOrder>6</b:RefOrder>
  </b:Source>
  <b:Source>
    <b:Tag>Dju24</b:Tag>
    <b:SourceType>JournalArticle</b:SourceType>
    <b:Guid>{4686E409-ED98-4E39-9BC6-B3543223E512}</b:Guid>
    <b:Title>Exploring VolunteerTurnover Reasons,Intentions, and Behavior</b:Title>
    <b:Year>2024</b:Year>
    <b:Author>
      <b:Author>
        <b:NameList>
          <b:Person>
            <b:Last>Holtrop</b:Last>
            <b:First>Djurre</b:First>
          </b:Person>
          <b:Person>
            <b:Last>Soo</b:Last>
            <b:First>Christine</b:First>
          </b:Person>
          <b:Person>
            <b:Last>Gagne</b:Last>
            <b:First>Marylène</b:First>
          </b:Person>
          <b:Person>
            <b:Last>DarjaKragt</b:Last>
          </b:Person>
          <b:Person>
            <b:Last>Dunlop</b:Last>
            <b:First>Patrick</b:First>
            <b:Middle>D.</b:Middle>
          </b:Person>
          <b:Person>
            <b:Last>Luksyte</b:Last>
            <b:First>Aleksandra</b:First>
          </b:Person>
        </b:NameList>
      </b:Author>
    </b:Author>
    <b:JournalName>Group &amp; Organization Management</b:JournalName>
    <b:Pages>1-45</b:Pages>
    <b:Volume>0</b:Volume>
    <b:Issue>0</b:Issue>
    <b:RefOrder>12</b:RefOrder>
  </b:Source>
  <b:Source>
    <b:Tag>Wel23</b:Tag>
    <b:SourceType>InternetSite</b:SourceType>
    <b:Guid>{9752072C-1DB8-4242-AE1B-267D55A7852F}</b:Guid>
    <b:Title>Volunteering (National Survey for Wales): April 2022 to March 2023</b:Title>
    <b:Year>2023</b:Year>
    <b:Author>
      <b:Author>
        <b:Corporate>Welsh Government</b:Corporate>
      </b:Author>
    </b:Author>
    <b:YearAccessed>2024</b:YearAccessed>
    <b:MonthAccessed>March</b:MonthAccessed>
    <b:DayAccessed>27</b:DayAccessed>
    <b:URL>https://www.gov.wales/volunteering-national-survey-wales-april-2022-march-2023-html</b:URL>
    <b:RefOrder>13</b:RefOrder>
  </b:Source>
  <b:Source>
    <b:Tag>UKG23</b:Tag>
    <b:SourceType>InternetSite</b:SourceType>
    <b:Guid>{73E27AB7-40DA-44E9-8AAB-EDB9880C65C4}</b:Guid>
    <b:Author>
      <b:Author>
        <b:Corporate>UK Government</b:Corporate>
      </b:Author>
    </b:Author>
    <b:Title>Volunteering</b:Title>
    <b:Year>2023</b:Year>
    <b:YearAccessed>2024</b:YearAccessed>
    <b:MonthAccessed>March</b:MonthAccessed>
    <b:DayAccessed>27</b:DayAccessed>
    <b:URL>https://www.ethnicity-facts-figures.service.gov.uk/culture-and-community/civic-participation/volunteering/latest/</b:URL>
    <b:RefOrder>14</b:RefOrder>
  </b:Source>
  <b:Source>
    <b:Tag>Col21</b:Tag>
    <b:SourceType>BookSection</b:SourceType>
    <b:Guid>{D90527E8-1CD2-444B-983D-858422A080E0}</b:Guid>
    <b:Title>TRENDS IN VOLUNTEERING</b:Title>
    <b:Year>2021</b:Year>
    <b:Author>
      <b:Author>
        <b:NameList>
          <b:Person>
            <b:Last>Rochester</b:Last>
            <b:First>Colin</b:First>
          </b:Person>
        </b:NameList>
      </b:Author>
      <b:Editor>
        <b:NameList>
          <b:Person>
            <b:Last>Holmes</b:Last>
            <b:First>Kirsten</b:First>
          </b:Person>
          <b:Person>
            <b:Last>Lockstone-Binney</b:Last>
            <b:First>Leonie</b:First>
          </b:Person>
          <b:Person>
            <b:Last>Smith</b:Last>
            <b:First>Karen</b:First>
            <b:Middle>A.</b:Middle>
          </b:Person>
          <b:Person>
            <b:Last>Shipway</b:Last>
            <b:First>Richard</b:First>
          </b:Person>
        </b:NameList>
      </b:Editor>
    </b:Author>
    <b:BookTitle>The Routledge Handbook of Volunteering in Events, Sport and Tourism</b:BookTitle>
    <b:Pages>460-472</b:Pages>
    <b:City>Abingdon</b:City>
    <b:Publisher>Routledge</b:Publisher>
    <b:RefOrder>15</b:RefOrder>
  </b:Source>
  <b:Source>
    <b:Tag>Ber21</b:Tag>
    <b:SourceType>JournalArticle</b:SourceType>
    <b:Guid>{959FA83D-25CF-4881-B5AE-4FBAFED7BE43}</b:Guid>
    <b:Title>Explaining the Varieties of Volunteering in Europe: A Capability Approach</b:Title>
    <b:Year>2021</b:Year>
    <b:Pages>1187-1212</b:Pages>
    <b:Author>
      <b:Author>
        <b:NameList>
          <b:Person>
            <b:Last>Enjolras</b:Last>
            <b:First>Bernard</b:First>
          </b:Person>
        </b:NameList>
      </b:Author>
    </b:Author>
    <b:JournalName>Voluntas</b:JournalName>
    <b:Volume>32</b:Volume>
    <b:RefOrder>16</b:RefOrder>
  </b:Source>
  <b:Source>
    <b:Tag>Kie22</b:Tag>
    <b:SourceType>JournalArticle</b:SourceType>
    <b:Guid>{B252182F-6D42-4BF9-B531-5DE70BAFBFDF}</b:Guid>
    <b:Author>
      <b:Author>
        <b:NameList>
          <b:Person>
            <b:Last>Dempsey-Brench</b:Last>
            <b:First>Kiera</b:First>
          </b:Person>
          <b:Person>
            <b:Last>Shantz</b:Last>
            <b:First>Amanda</b:First>
          </b:Person>
        </b:NameList>
      </b:Author>
    </b:Author>
    <b:Title>Skills-based volunteering: A systematic literature review of the intersection of skills and employee volunteering</b:Title>
    <b:JournalName>Human Resource Management Review</b:JournalName>
    <b:Year>2022</b:Year>
    <b:Pages>1-20</b:Pages>
    <b:Volume>32</b:Volume>
    <b:RefOrder>17</b:RefOrder>
  </b:Source>
  <b:Source>
    <b:Tag>Les22</b:Tag>
    <b:SourceType>JournalArticle</b:SourceType>
    <b:Guid>{647739C8-9CC8-4603-9430-63E86FFABC7C}</b:Guid>
    <b:Author>
      <b:Author>
        <b:NameList>
          <b:Person>
            <b:Last>Hustinx</b:Last>
            <b:First>Lesley</b:First>
          </b:Person>
          <b:Person>
            <b:Last>Grubb</b:Last>
            <b:First>Ane</b:First>
          </b:Person>
          <b:Person>
            <b:Last>Rameder</b:Last>
            <b:First>•</b:First>
            <b:Middle>Paul</b:Middle>
          </b:Person>
          <b:Person>
            <b:Last>Shachar</b:Last>
            <b:First>Itamar</b:First>
            <b:Middle>Y.</b:Middle>
          </b:Person>
        </b:NameList>
      </b:Author>
    </b:Author>
    <b:Title>Inequality in Volunteering: Building a New Research Front</b:Title>
    <b:JournalName>Voluntas</b:JournalName>
    <b:Year>2022</b:Year>
    <b:Pages>1-17</b:Pages>
    <b:Volume>33</b:Volume>
    <b:RefOrder>18</b:RefOrder>
  </b:Source>
  <b:Source>
    <b:Tag>The</b:Tag>
    <b:SourceType>InternetSite</b:SourceType>
    <b:Guid>{07255A20-5A0D-4432-A3D7-8AE6A088145D}</b:Guid>
    <b:Author>
      <b:Author>
        <b:Corporate>The Scout Association</b:Corporate>
      </b:Author>
    </b:Author>
    <b:Title>Volunteer with Scouts</b:Title>
    <b:Year>2024 a</b:Year>
    <b:YearAccessed>2024</b:YearAccessed>
    <b:MonthAccessed>March</b:MonthAccessed>
    <b:DayAccessed>28</b:DayAccessed>
    <b:URL>https://www.scouts.org.uk/volunteer/volunteering-with-scouts/</b:URL>
    <b:RefOrder>1</b:RefOrder>
  </b:Source>
  <b:Source>
    <b:Tag>The4b</b:Tag>
    <b:SourceType>InternetSite</b:SourceType>
    <b:Guid>{67B514E4-7385-4AC2-BC4B-7DAFF909E65E}</b:Guid>
    <b:Author>
      <b:Author>
        <b:Corporate>The Scout Association</b:Corporate>
      </b:Author>
    </b:Author>
    <b:Title>Transforming our volunteer experience</b:Title>
    <b:Year>2024 b</b:Year>
    <b:YearAccessed>2024</b:YearAccessed>
    <b:MonthAccessed>March</b:MonthAccessed>
    <b:DayAccessed>28</b:DayAccessed>
    <b:URL>https://www.scouts.org.uk/volunteers/volunteer-experience/</b:URL>
    <b:RefOrder>19</b:RefOrder>
  </b:Source>
  <b:Source>
    <b:Tag>Kir21</b:Tag>
    <b:SourceType>InternetSite</b:SourceType>
    <b:Guid>{C2AFD8B5-4F19-475D-AC4A-6784F4AE313B}</b:Guid>
    <b:Author>
      <b:Author>
        <b:NameList>
          <b:Person>
            <b:Last>Weakley</b:Last>
            <b:First>Kirsty</b:First>
          </b:Person>
        </b:NameList>
      </b:Author>
    </b:Author>
    <b:Title>Scouts begin volunteer recruitment campaign after 15,000 left during pandemic</b:Title>
    <b:Year>2021</b:Year>
    <b:YearAccessed>2024</b:YearAccessed>
    <b:MonthAccessed>March</b:MonthAccessed>
    <b:DayAccessed>28</b:DayAccessed>
    <b:URL>https://www.civilsociety.co.uk/news/scouts-begin-volunteer-recruitment-campaign-after-15-000-left-during-pandemic.html#:~:text=Adult%20volunteer%20numbers%20are%20also,200%2C000%20between%202006%20and%202020.</b:URL>
    <b:RefOrder>20</b:RefOrder>
  </b:Source>
  <b:Source>
    <b:Tag>Cra24</b:Tag>
    <b:SourceType>ConferenceProceedings</b:SourceType>
    <b:Guid>{A25B3369-AA15-4A87-BC57-59B94AFD6A32}</b:Guid>
    <b:Title>Why are we transforming volunteering?</b:Title>
    <b:Year>2024</b:Year>
    <b:Author>
      <b:Author>
        <b:NameList>
          <b:Person>
            <b:Last>Turpie</b:Last>
            <b:First>Craig</b:First>
          </b:Person>
        </b:NameList>
      </b:Author>
    </b:Author>
    <b:City>Cardiff</b:City>
    <b:Publisher>The Scout Association</b:Publisher>
    <b:RefOrder>2</b:RefOrder>
  </b:Source>
  <b:Source>
    <b:Tag>Fer17</b:Tag>
    <b:SourceType>JournalArticle</b:SourceType>
    <b:Guid>{E2643CE0-838A-47DB-A865-CBE9A1602986}</b:Guid>
    <b:Title>Volunteer Functions Inventory: A systematic review</b:Title>
    <b:Year>2017</b:Year>
    <b:Author>
      <b:Author>
        <b:NameList>
          <b:Person>
            <b:Last>Chacón</b:Last>
            <b:First>Fernando</b:First>
          </b:Person>
          <b:Person>
            <b:Last>Gutiérrez</b:Last>
            <b:First>Gema</b:First>
          </b:Person>
          <b:Person>
            <b:Last>Sauto</b:Last>
            <b:First>Verónica</b:First>
          </b:Person>
          <b:Person>
            <b:Last>Vecina</b:Last>
            <b:First>María</b:First>
            <b:Middle>Luisa</b:Middle>
          </b:Person>
          <b:Person>
            <b:Last>Pérez</b:Last>
            <b:First>Alfonso</b:First>
          </b:Person>
        </b:NameList>
      </b:Author>
    </b:Author>
    <b:JournalName>Psicothema </b:JournalName>
    <b:Pages>306-316</b:Pages>
    <b:Volume>29</b:Volume>
    <b:Issue>3</b:Issue>
    <b:RefOrder>21</b:RefOrder>
  </b:Source>
  <b:Source>
    <b:Tag>Ros18</b:Tag>
    <b:SourceType>BookSection</b:SourceType>
    <b:Guid>{D8266C4C-9686-4A50-B7A2-988ED38D92C2}</b:Guid>
    <b:Title>Why people volunteer: contextualising motivation</b:Title>
    <b:Year>2018</b:Year>
    <b:Pages>113-132</b:Pages>
    <b:Author>
      <b:Author>
        <b:NameList>
          <b:Person>
            <b:Last>Lindsey</b:Last>
            <b:First>Rose</b:First>
          </b:Person>
          <b:Person>
            <b:Last>Mohan</b:Last>
            <b:First>John</b:First>
          </b:Person>
          <b:Person>
            <b:Last>Bulloch</b:Last>
            <b:First>Sarah</b:First>
          </b:Person>
          <b:Person>
            <b:Last>Metcalfe</b:Last>
            <b:First>Elizabeth</b:First>
          </b:Person>
        </b:NameList>
      </b:Author>
      <b:Editor>
        <b:NameList>
          <b:Person>
            <b:Last>Lindsey</b:Last>
            <b:First>Rose</b:First>
          </b:Person>
          <b:Person>
            <b:Last>Mohan</b:Last>
            <b:First>John</b:First>
          </b:Person>
          <b:Person>
            <b:Last>Bulloch</b:Last>
            <b:First>Sarah</b:First>
          </b:Person>
          <b:Person>
            <b:Last>Metcalfe</b:Last>
            <b:First>Elizabeth</b:First>
          </b:Person>
        </b:NameList>
      </b:Editor>
    </b:Author>
    <b:BookTitle>Continuity and change in voluntary action: Patterns, trends and understandings</b:BookTitle>
    <b:City>Bristol University Press</b:City>
    <b:Publisher>Bristol</b:Publisher>
    <b:RefOrder>22</b:RefOrder>
  </b:Source>
  <b:Source>
    <b:Tag>Chr19</b:Tag>
    <b:SourceType>JournalArticle</b:SourceType>
    <b:Guid>{C4C457CC-67B9-4EE0-B0DB-B5D8675E17B1}</b:Guid>
    <b:Title>Getting into the ‘Giving Habit’: The Dynamics of Volunteering</b:Title>
    <b:Year>2019</b:Year>
    <b:Pages>1006-1021</b:Pages>
    <b:Author>
      <b:Author>
        <b:NameList>
          <b:Person>
            <b:Last>Dawson</b:Last>
            <b:First>Chris</b:First>
          </b:Person>
          <b:Person>
            <b:Last>Baker</b:Last>
            <b:First>Paul</b:First>
            <b:Middle>L.</b:Middle>
          </b:Person>
          <b:Person>
            <b:Last>Dowell</b:Last>
            <b:First>David</b:First>
          </b:Person>
        </b:NameList>
      </b:Author>
    </b:Author>
    <b:JournalName>Voluntas</b:JournalName>
    <b:Volume>30</b:Volume>
    <b:RefOrder>23</b:RefOrder>
  </b:Source>
  <b:Source>
    <b:Tag>Fio00</b:Tag>
    <b:SourceType>JournalArticle</b:SourceType>
    <b:Guid>{8F04CAEA-74F7-474C-859E-A624BECC723C}</b:Guid>
    <b:Author>
      <b:Author>
        <b:NameList>
          <b:Person>
            <b:Last>Wardell</b:Last>
            <b:First>Fiona</b:First>
          </b:Person>
          <b:Person>
            <b:Last>Lishman</b:Last>
            <b:First>Joyce</b:First>
          </b:Person>
          <b:Person>
            <b:Last>Whalley</b:Last>
            <b:First>Lawrence</b:First>
            <b:Middle>J.</b:Middle>
          </b:Person>
        </b:NameList>
      </b:Author>
    </b:Author>
    <b:Title>Who Volunteers?</b:Title>
    <b:JournalName>British Journal of Social Work</b:JournalName>
    <b:Year>2000</b:Year>
    <b:Pages>227-248</b:Pages>
    <b:Volume>30</b:Volume>
    <b:RefOrder>24</b:RefOrder>
  </b:Source>
  <b:Source>
    <b:Tag>Jur17</b:Tag>
    <b:SourceType>JournalArticle</b:SourceType>
    <b:Guid>{6A117A24-FD4E-49AB-BDCD-302ED2B3B6FE}</b:Guid>
    <b:Author>
      <b:Author>
        <b:NameList>
          <b:Person>
            <b:Last>Willems</b:Last>
            <b:First>Jurgen</b:First>
          </b:Person>
          <b:Person>
            <b:Last>Dury</b:Last>
            <b:First>Sarah</b:First>
          </b:Person>
        </b:NameList>
      </b:Author>
    </b:Author>
    <b:Title>Reasons for not volunteering: overcoming boundaries toattract volunteers</b:Title>
    <b:JournalName>The Service Industry Journal</b:JournalName>
    <b:Year>2017</b:Year>
    <b:Pages>726-745</b:Pages>
    <b:Volume>31</b:Volume>
    <b:Issue>11-12</b:Issue>
    <b:RefOrder>25</b:RefOrder>
  </b:Source>
  <b:Source>
    <b:Tag>Joh99</b:Tag>
    <b:SourceType>JournalArticle</b:SourceType>
    <b:Guid>{4FB747D7-B1D0-42A9-A9E2-4A2B7F5865A4}</b:Guid>
    <b:Author>
      <b:Author>
        <b:NameList>
          <b:Person>
            <b:Last>Wilson</b:Last>
            <b:First>John</b:First>
          </b:Person>
          <b:Person>
            <b:Last>Musick</b:Last>
            <b:First>Marc</b:First>
            <b:Middle>A.</b:Middle>
          </b:Person>
        </b:NameList>
      </b:Author>
    </b:Author>
    <b:Title>Attachment to volunteering</b:Title>
    <b:JournalName>Sociological Forum</b:JournalName>
    <b:Year>1999</b:Year>
    <b:Pages>243-272</b:Pages>
    <b:Volume>14</b:Volume>
    <b:Issue>2</b:Issue>
    <b:RefOrder>26</b:RefOrder>
  </b:Source>
  <b:Source>
    <b:Tag>Ste20</b:Tag>
    <b:SourceType>JournalArticle</b:SourceType>
    <b:Guid>{FE89CE7A-25D5-4E5C-AE73-11D2125C4556}</b:Guid>
    <b:Author>
      <b:Author>
        <b:NameList>
          <b:Person>
            <b:Last>Livi</b:Last>
            <b:First>Stefano</b:First>
          </b:Person>
          <b:Person>
            <b:Last>Cristofaro</b:Last>
            <b:First>Valeria</b:First>
            <b:Middle>De</b:Middle>
          </b:Person>
          <b:Person>
            <b:Last>Theodorou</b:Last>
            <b:First>Annalisa</b:First>
          </b:Person>
          <b:Person>
            <b:Last>Rullo</b:Last>
            <b:First>Marika</b:First>
          </b:Person>
          <b:Person>
            <b:Last>Piccioli</b:Last>
            <b:First>Valerio</b:First>
          </b:Person>
          <b:Person>
            <b:Last>Pozzi</b:Last>
            <b:First>Maura</b:First>
          </b:Person>
        </b:NameList>
      </b:Author>
    </b:Author>
    <b:Title>When motivation is not enough: Effects of prosociality and organizational socialization in volunteers’ intention to continue volunteering</b:Title>
    <b:JournalName>Journal of Community &amp; Applied Social Psychology</b:JournalName>
    <b:Year>2020</b:Year>
    <b:Pages>247-338</b:Pages>
    <b:Volume>30</b:Volume>
    <b:Issue>3</b:Issue>
    <b:RefOrder>27</b:RefOrder>
  </b:Source>
  <b:Source>
    <b:Tag>The4c</b:Tag>
    <b:SourceType>InternetSite</b:SourceType>
    <b:Guid>{BCCCF864-1FF3-4940-A973-175FDBABC32A}</b:Guid>
    <b:Title>Gain skills for life</b:Title>
    <b:Year>2024 c</b:Year>
    <b:Author>
      <b:Author>
        <b:Corporate>The Scout Association</b:Corporate>
      </b:Author>
    </b:Author>
    <b:YearAccessed>2024</b:YearAccessed>
    <b:MonthAccessed>April</b:MonthAccessed>
    <b:DayAccessed>11</b:DayAccessed>
    <b:URL>https://www.scouts.org.uk/information-for-parents/gain-skills-for-life/</b:URL>
    <b:RefOrder>28</b:RefOrder>
  </b:Source>
  <b:Source>
    <b:Tag>Lea19</b:Tag>
    <b:SourceType>JournalArticle</b:SourceType>
    <b:Guid>{F9E524E5-9AAF-49FF-92B4-A56836F15699}</b:Guid>
    <b:Title>Antecedents of affective and normative commitment of organisational volunteers</b:Title>
    <b:Year>2019</b:Year>
    <b:Author>
      <b:Author>
        <b:NameList>
          <b:Person>
            <b:Last>McCormick</b:Last>
            <b:First>Leanne</b:First>
          </b:Person>
          <b:Person>
            <b:Last>Donohue</b:Last>
            <b:First>Ross</b:First>
          </b:Person>
        </b:NameList>
      </b:Author>
    </b:Author>
    <b:JournalName>The InternatIonal Journal of Human Resource Management</b:JournalName>
    <b:Pages>2581-2604</b:Pages>
    <b:Volume>30</b:Volume>
    <b:Issue>18</b:Issue>
    <b:RefOrder>29</b:RefOrder>
  </b:Source>
  <b:Source>
    <b:Tag>Lam19</b:Tag>
    <b:SourceType>JournalArticle</b:SourceType>
    <b:Guid>{FDFC5FEA-E8DE-448A-9022-F10B7048D298}</b:Guid>
    <b:Author>
      <b:Author>
        <b:NameList>
          <b:Person>
            <b:Last>Zollo</b:Last>
            <b:First>Lamberto</b:First>
          </b:Person>
          <b:Person>
            <b:Last>Laudano</b:Last>
            <b:First>Maria</b:First>
            <b:Middle>Carmen</b:Middle>
          </b:Person>
          <b:Person>
            <b:Last>Boccardi</b:Last>
            <b:First>Andrea</b:First>
          </b:Person>
          <b:Person>
            <b:Last>Ciappei</b:Last>
            <b:First>Cristiano</b:First>
          </b:Person>
        </b:NameList>
      </b:Author>
    </b:Author>
    <b:Title>From governance to organizational efectiveness: the role of organizational identity and volunteers’ commitment</b:Title>
    <b:JournalName>Journal of Management and Governance</b:JournalName>
    <b:Year>2019</b:Year>
    <b:Pages>111-137</b:Pages>
    <b:Volume>23</b:Volume>
    <b:RefOrder>30</b:RefOrder>
  </b:Source>
  <b:Source>
    <b:Tag>Ric21</b:Tag>
    <b:SourceType>JournalArticle</b:SourceType>
    <b:Guid>{B53F0029-9A02-408E-8A45-353F85E77349}</b:Guid>
    <b:Author>
      <b:Author>
        <b:NameList>
          <b:Person>
            <b:Last>Lawton</b:Last>
            <b:First>Ricky</b:First>
            <b:Middle>N.</b:Middle>
          </b:Person>
          <b:Person>
            <b:Last>Gramatki</b:Last>
            <b:First>Iulian</b:First>
          </b:Person>
          <b:Person>
            <b:Last>Watt</b:Last>
            <b:First>Will</b:First>
          </b:Person>
          <b:Person>
            <b:Last>Fujiwara</b:Last>
            <b:First>Daniel</b:First>
          </b:Person>
        </b:NameList>
      </b:Author>
    </b:Author>
    <b:Title>Does Volunteering Make Us Happier, or Are Happier People More Likely to Volunteer? Addressing the Problem of Reverse Causality When Estimating the Wellbeing Impacts of Volunteering</b:Title>
    <b:JournalName>Journal of Happiness Studies </b:JournalName>
    <b:Year>2021</b:Year>
    <b:Pages>599-624</b:Pages>
    <b:Volume>22</b:Volume>
    <b:RefOrder>31</b:RefOrder>
  </b:Source>
  <b:Source>
    <b:Tag>Kri19</b:Tag>
    <b:SourceType>JournalArticle</b:SourceType>
    <b:Guid>{00C08956-24C5-4466-B944-7B54BE628C55}</b:Guid>
    <b:Author>
      <b:Author>
        <b:NameList>
          <b:Person>
            <b:Last>Southby</b:Last>
            <b:First>Kris</b:First>
          </b:Person>
          <b:Person>
            <b:Last>South</b:Last>
            <b:First>Jane</b:First>
          </b:Person>
          <b:Person>
            <b:Last>Bagnall</b:Last>
            <b:First>Anne-Marie</b:First>
          </b:Person>
        </b:NameList>
      </b:Author>
    </b:Author>
    <b:Title>A Rapid Review of Barriers to Volunteering for Potentially Disadvantaged Groups and Implications for Health Inequalities</b:Title>
    <b:JournalName>Voluntas</b:JournalName>
    <b:Year>2019</b:Year>
    <b:Pages>907-920</b:Pages>
    <b:Volume>30</b:Volume>
    <b:RefOrder>32</b:RefOrder>
  </b:Source>
  <b:Source>
    <b:Tag>Tom21</b:Tag>
    <b:SourceType>JournalArticle</b:SourceType>
    <b:Guid>{A8E00110-A071-43A4-BF7A-7220840D717A}</b:Guid>
    <b:Author>
      <b:Author>
        <b:NameList>
          <b:Person>
            <b:Last>De Clerck</b:Last>
            <b:First>Tom</b:First>
          </b:Person>
          <b:Person>
            <b:Last>Willem</b:Last>
            <b:First>Annick</b:First>
          </b:Person>
          <b:Person>
            <b:Last>Aelterman</b:Last>
            <b:First>Nathalie</b:First>
          </b:Person>
          <b:Person>
            <b:Last>Haerens</b:Last>
            <b:First>Leen</b:First>
          </b:Person>
        </b:NameList>
      </b:Author>
    </b:Author>
    <b:Title>Volunteers Managing Volunteers: The Role of Volunteer Board Members’ Motivating and Demotivating Style in Relation to Volunteers’ Motives to Stay Volunteer</b:Title>
    <b:JournalName>Voluntas</b:JournalName>
    <b:Year>2021</b:Year>
    <b:Pages>1271-1248</b:Pages>
    <b:Volume>32</b:Volume>
    <b:RefOrder>33</b:RefOrder>
  </b:Source>
  <b:Source>
    <b:Tag>Dor14</b:Tag>
    <b:SourceType>JournalArticle</b:SourceType>
    <b:Guid>{AD926960-A65A-467F-A908-FAB1F89BA783}</b:Guid>
    <b:Author>
      <b:Author>
        <b:NameList>
          <b:Person>
            <b:Last>Vanhercke</b:Last>
            <b:First>Dorien</b:First>
          </b:Person>
          <b:Person>
            <b:Last>Cuyper</b:Last>
            <b:First>Nele</b:First>
            <b:Middle>De</b:Middle>
          </b:Person>
          <b:Person>
            <b:Last>Peeters</b:Last>
            <b:First>Ellen</b:First>
          </b:Person>
          <b:Person>
            <b:Last>Witte</b:Last>
            <b:First>Hans</b:First>
            <b:Middle>De</b:Middle>
          </b:Person>
        </b:NameList>
      </b:Author>
    </b:Author>
    <b:Title>Defining perceived employability: a psychological approach</b:Title>
    <b:JournalName>Personnel Review</b:JournalName>
    <b:Year>2014</b:Year>
    <b:Pages>592-605</b:Pages>
    <b:Volume>43</b:Volume>
    <b:Issue>4</b:Issue>
    <b:RefOrder>34</b:RefOrder>
  </b:Source>
  <b:Source>
    <b:Tag>Ron05</b:Tag>
    <b:SourceType>JournalArticle</b:SourceType>
    <b:Guid>{7466B060-4D55-4B78-ABE3-F618809718BF}</b:Guid>
    <b:Author>
      <b:Author>
        <b:NameList>
          <b:Person>
            <b:Last>McQuaid</b:Last>
            <b:First>Ronald</b:First>
            <b:Middle>W.</b:Middle>
          </b:Person>
          <b:Person>
            <b:Last>Lindsay</b:Last>
            <b:First>Colin</b:First>
          </b:Person>
        </b:NameList>
      </b:Author>
    </b:Author>
    <b:Title>The Concept of Employability</b:Title>
    <b:JournalName>Urban Studies</b:JournalName>
    <b:Year>2005</b:Year>
    <b:Pages>197-219</b:Pages>
    <b:Volume>42</b:Volume>
    <b:Issue>2</b:Issue>
    <b:RefOrder>35</b:RefOrder>
  </b:Source>
  <b:Source>
    <b:Tag>Hei20</b:Tag>
    <b:SourceType>JournalArticle</b:SourceType>
    <b:Guid>{3EC026FB-47E1-40B6-9543-17B81E243EE9}</b:Guid>
    <b:Author>
      <b:Author>
        <b:NameList>
          <b:Person>
            <b:Last>Behle</b:Last>
            <b:First>Heike</b:First>
          </b:Person>
        </b:NameList>
      </b:Author>
    </b:Author>
    <b:Title>Students’ and graduates’ employability. A framework to classify and measure employability gain</b:Title>
    <b:JournalName>POLICY REVIEWS IN HIGHER EDUCATION</b:JournalName>
    <b:Year>2020</b:Year>
    <b:Pages>105-130</b:Pages>
    <b:Volume>4</b:Volume>
    <b:Issue>1</b:Issue>
    <b:RefOrder>36</b:RefOrder>
  </b:Source>
  <b:Source>
    <b:Tag>Ing20</b:Tag>
    <b:SourceType>JournalArticle</b:SourceType>
    <b:Guid>{D44BCA65-04E9-42FF-B82E-1B9F59A13800}</b:Guid>
    <b:Author>
      <b:Author>
        <b:NameList>
          <b:Person>
            <b:Last>Römgens</b:Last>
            <b:First>Inge</b:First>
          </b:Person>
          <b:Person>
            <b:Last>Scoupe</b:Last>
            <b:First>Rémi</b:First>
          </b:Person>
          <b:Person>
            <b:Last>Beausaert</b:Last>
            <b:First>Simon</b:First>
          </b:Person>
        </b:NameList>
      </b:Author>
    </b:Author>
    <b:Title>Unraveling the concept of employability, bringing together research on employability in higher education and the workplace</b:Title>
    <b:JournalName>Studies in Higher Education</b:JournalName>
    <b:Year>2020</b:Year>
    <b:Pages>2588-2603</b:Pages>
    <b:Volume>45</b:Volume>
    <b:Issue>12</b:Issue>
    <b:RefOrder>37</b:RefOrder>
  </b:Source>
  <b:Source>
    <b:Tag>Deb22</b:Tag>
    <b:SourceType>Book</b:SourceType>
    <b:Guid>{8D594059-F158-4079-BA39-F419ADC022FF}</b:Guid>
    <b:Title>STRATEGIC PROJECT MANAGEMENT: THEORY AND PRACTICE FOR HUMAN RESOURCE PROFESSIONALS</b:Title>
    <b:Year>2022</b:Year>
    <b:Author>
      <b:Author>
        <b:NameList>
          <b:Person>
            <b:Last>Patterson</b:Last>
            <b:First>Debra</b:First>
          </b:Person>
        </b:NameList>
      </b:Author>
    </b:Author>
    <b:City>London</b:City>
    <b:Publisher>Fanshawe College Pressbooks</b:Publisher>
    <b:RefOrder>7</b:RefOrder>
  </b:Source>
  <b:Source>
    <b:Tag>Bru65</b:Tag>
    <b:SourceType>JournalArticle</b:SourceType>
    <b:Guid>{1F5B5777-BF3D-41FF-8395-5FD55DA05B22}</b:Guid>
    <b:Title>Stages of Small-Group Development Revisited</b:Title>
    <b:Year>1977</b:Year>
    <b:Author>
      <b:Author>
        <b:NameList>
          <b:Person>
            <b:Last>Tuckman</b:Last>
            <b:First>Bruce</b:First>
            <b:Middle>W.</b:Middle>
          </b:Person>
          <b:Person>
            <b:Last>Jensen</b:Last>
            <b:First>Mary</b:First>
            <b:Middle>Ann C.</b:Middle>
          </b:Person>
        </b:NameList>
      </b:Author>
    </b:Author>
    <b:JournalName>Group and Organization Studies</b:JournalName>
    <b:Pages>419-427</b:Pages>
    <b:Volume>2</b:Volume>
    <b:Issue>4</b:Issue>
    <b:RefOrder>3</b:RefOrder>
  </b:Source>
  <b:Source>
    <b:Tag>Chr18</b:Tag>
    <b:SourceType>JournalArticle</b:SourceType>
    <b:Guid>{3A5B6650-E062-4B68-B821-DCE9B6E09BD5}</b:Guid>
    <b:Author>
      <b:Author>
        <b:NameList>
          <b:Person>
            <b:Last>Lacerenza</b:Last>
            <b:First>Christina</b:First>
            <b:Middle>N.</b:Middle>
          </b:Person>
          <b:Person>
            <b:Last>Marlow</b:Last>
            <b:First>Shannon</b:First>
            <b:Middle>L.</b:Middle>
          </b:Person>
          <b:Person>
            <b:Last>Tannenbaum</b:Last>
            <b:First>Scott</b:First>
            <b:Middle>I.</b:Middle>
          </b:Person>
          <b:Person>
            <b:Last>Salas</b:Last>
            <b:First>Eduardo</b:First>
          </b:Person>
        </b:NameList>
      </b:Author>
    </b:Author>
    <b:Title>Team development interventions: Evidence-based approaches for improving teamwork.</b:Title>
    <b:JournalName>American Psychologist</b:JournalName>
    <b:Year>2018</b:Year>
    <b:Pages>517-531</b:Pages>
    <b:Volume>73</b:Volume>
    <b:Issue>4</b:Issue>
    <b:RefOrder>38</b:RefOrder>
  </b:Source>
  <b:Source>
    <b:Tag>Ron21</b:Tag>
    <b:SourceType>JournalArticle</b:SourceType>
    <b:Guid>{D4B736CC-0795-4FC9-BFE9-FADA2F07299C}</b:Guid>
    <b:Author>
      <b:Author>
        <b:NameList>
          <b:Person>
            <b:Last>Rojas</b:Last>
            <b:First>Ronald</b:First>
            <b:Middle>R.</b:Middle>
          </b:Person>
        </b:NameList>
      </b:Author>
    </b:Author>
    <b:Title>Enhancing Organizational Workgroups: A Relational View of Tuckman’s Team Development Model </b:Title>
    <b:JournalName>Organizational Cultures</b:JournalName>
    <b:Year>2021</b:Year>
    <b:Pages>103-117</b:Pages>
    <b:Volume>21</b:Volume>
    <b:Issue>2</b:Issue>
    <b:RefOrder>39</b:RefOrder>
  </b:Source>
  <b:Source>
    <b:Tag>Hay20</b:Tag>
    <b:SourceType>JournalArticle</b:SourceType>
    <b:Guid>{3B24B65B-C3E7-4C8D-BFDE-93B5BFA0FFB1}</b:Guid>
    <b:Author>
      <b:Author>
        <b:NameList>
          <b:Person>
            <b:Last>Trainer</b:Last>
            <b:First>Hayley</b:First>
            <b:Middle>M.</b:Middle>
          </b:Person>
          <b:Person>
            <b:Last>Jones</b:Last>
            <b:First>Justin</b:First>
            <b:Middle>M.</b:Middle>
          </b:Person>
          <b:Person>
            <b:Last>Pendergraft</b:Last>
            <b:First>Jacob</b:First>
            <b:Middle>G.</b:Middle>
          </b:Person>
          <b:Person>
            <b:Last>Maupin</b:Last>
            <b:First>Cynthia</b:First>
            <b:Middle>K.</b:Middle>
          </b:Person>
          <b:Person>
            <b:Last>Carter</b:Last>
            <b:First>Dorothy</b:First>
            <b:Middle>R.</b:Middle>
          </b:Person>
        </b:NameList>
      </b:Author>
    </b:Author>
    <b:Title>Team Membership Change "Events": A Review and Reconceptualization</b:Title>
    <b:JournalName>Group &amp; Organization Management</b:JournalName>
    <b:Year>2020</b:Year>
    <b:Pages>219-251</b:Pages>
    <b:Volume>45</b:Volume>
    <b:Issue>2</b:Issue>
    <b:RefOrder>8</b:RefOrder>
  </b:Source>
  <b:Source>
    <b:Tag>Fen22</b:Tag>
    <b:SourceType>DocumentFromInternetSite</b:SourceType>
    <b:Guid>{D933FD0E-59B2-4D77-8D04-50D96EFBFD92}</b:Guid>
    <b:Title>Flat teams drive scientific innovation</b:Title>
    <b:Year>2022</b:Year>
    <b:Author>
      <b:Author>
        <b:NameList>
          <b:Person>
            <b:Last>Xua</b:Last>
            <b:First>Fengli</b:First>
          </b:Person>
          <b:Person>
            <b:Last>Wu</b:Last>
            <b:First>Lingfei</b:First>
          </b:Person>
          <b:Person>
            <b:Last>Evans</b:Last>
            <b:First>James</b:First>
          </b:Person>
        </b:NameList>
      </b:Author>
    </b:Author>
    <b:Month>March</b:Month>
    <b:YearAccessed>2024</b:YearAccessed>
    <b:MonthAccessed>April</b:MonthAccessed>
    <b:DayAccessed>19</b:DayAccessed>
    <b:URL>https://www.pnas.org/doi/pdf/10.1073/pnas.2200927119</b:URL>
    <b:RefOrder>40</b:RefOrder>
  </b:Source>
  <b:Source>
    <b:Tag>Lee22</b:Tag>
    <b:SourceType>DocumentFromInternetSite</b:SourceType>
    <b:Guid>{58B934E4-A773-4BB2-955A-E153CF6E24E0}</b:Guid>
    <b:Title>Is Flat for Everyone? Investigating Who Thrives and Who Struggles in Decentralized Structures</b:Title>
    <b:Year>2022</b:Year>
    <b:Month>September </b:Month>
    <b:Day>16</b:Day>
    <b:YearAccessed>2024</b:YearAccessed>
    <b:MonthAccessed>April</b:MonthAccessed>
    <b:DayAccessed>19</b:DayAccessed>
    <b:URL>https://papers.ssrn.com/sol3/papers.cfm?abstract_id=4077075</b:URL>
    <b:Author>
      <b:Author>
        <b:NameList>
          <b:Person>
            <b:Last>Lee</b:Last>
            <b:First>Michael</b:First>
            <b:Middle>Y.</b:Middle>
          </b:Person>
          <b:Person>
            <b:Last>Green</b:Last>
            <b:First>Paul</b:First>
            <b:Middle>I.</b:Middle>
          </b:Person>
        </b:NameList>
      </b:Author>
    </b:Author>
    <b:JournalName>Insead</b:JournalName>
    <b:RefOrder>41</b:RefOrder>
  </b:Source>
  <b:Source>
    <b:Tag>Tha21</b:Tag>
    <b:SourceType>JournalArticle</b:SourceType>
    <b:Guid>{7A004278-AFD7-49A3-BE22-400C6AA338CA}</b:Guid>
    <b:Title>High performance teams: an investigation of the effect on self-management towards performance</b:Title>
    <b:Year>2021</b:Year>
    <b:Author>
      <b:Author>
        <b:NameList>
          <b:Person>
            <b:Last>Pfutzenreutera</b:Last>
            <b:First>Thais</b:First>
            <b:Middle>Carreira</b:Middle>
          </b:Person>
          <b:Person>
            <b:Last>Lima</b:Last>
            <b:First>Edson</b:First>
            <b:Middle>Pinheiro de</b:Middle>
          </b:Person>
          <b:Person>
            <b:Last>Frega</b:Last>
            <b:First>José</b:First>
            <b:Middle>Roberto</b:Middle>
          </b:Person>
        </b:NameList>
      </b:Author>
    </b:Author>
    <b:JournalName>Production</b:JournalName>
    <b:Pages>1-14</b:Pages>
    <b:Volume>31</b:Volume>
    <b:RefOrder>42</b:RefOrder>
  </b:Source>
  <b:Source>
    <b:Tag>Mit18</b:Tag>
    <b:SourceType>JournalArticle</b:SourceType>
    <b:Guid>{9FFEFBB4-98D5-4646-9DC4-CC64CF06A3DF}</b:Guid>
    <b:Author>
      <b:Author>
        <b:NameList>
          <b:Person>
            <b:Last>Tripathy</b:Last>
            <b:First>Mitashree</b:First>
          </b:Person>
        </b:NameList>
      </b:Author>
    </b:Author>
    <b:Title>Building Quality Teamwork to Achieve Excellence in Business Orgnizations</b:Title>
    <b:JournalName>International Research Journal of Management, IT &amp; Social Sciences</b:JournalName>
    <b:Year>2018</b:Year>
    <b:Pages>1-7</b:Pages>
    <b:Volume>5</b:Volume>
    <b:Issue>3</b:Issue>
    <b:RefOrder>43</b:RefOrder>
  </b:Source>
  <b:Source>
    <b:Tag>Lyn19</b:Tag>
    <b:SourceType>JournalArticle</b:SourceType>
    <b:Guid>{71CC9CBB-08DD-415B-885D-33FC0FA794BE}</b:Guid>
    <b:Author>
      <b:Author>
        <b:NameList>
          <b:Person>
            <b:Last>Roy</b:Last>
            <b:First>Lynne</b:First>
            <b:Middle>T.</b:Middle>
          </b:Person>
        </b:NameList>
      </b:Author>
    </b:Author>
    <b:Title>A Team Approach to Professional Development and Accountability</b:Title>
    <b:JournalName>PROFESSIONAL DEVELOPMENT</b:JournalName>
    <b:Year>2019</b:Year>
    <b:Pages>332-335</b:Pages>
    <b:Volume>47</b:Volume>
    <b:RefOrder>44</b:RefOrder>
  </b:Source>
  <b:Source>
    <b:Tag>Den21</b:Tag>
    <b:SourceType>JournalArticle</b:SourceType>
    <b:Guid>{ADF68AC9-F1FF-4193-9F52-7ED22E2EF725}</b:Guid>
    <b:Author>
      <b:Author>
        <b:NameList>
          <b:Person>
            <b:Last>Jackson</b:Last>
            <b:First>Denise</b:First>
          </b:Person>
          <b:Person>
            <b:Last>Bridgstock</b:Last>
            <b:First>Ruth</b:First>
          </b:Person>
        </b:NameList>
      </b:Author>
    </b:Author>
    <b:Title>What actually works to enhance graduate employability? The relative value of curricular,co-curricular, and extra-curricular learning and paid work</b:Title>
    <b:JournalName>Higher Education</b:JournalName>
    <b:Year>2021</b:Year>
    <b:Pages>723-739</b:Pages>
    <b:Volume>81</b:Volume>
    <b:RefOrder>45</b:RefOrder>
  </b:Source>
  <b:Source>
    <b:Tag>Adr19</b:Tag>
    <b:SourceType>JournalArticle</b:SourceType>
    <b:Guid>{7A540F6E-AD2F-4A1F-B0DC-3D4616C66261}</b:Guid>
    <b:Author>
      <b:Author>
        <b:NameList>
          <b:Person>
            <b:Last>Ornellas</b:Last>
            <b:First>Adriana</b:First>
          </b:Person>
          <b:Person>
            <b:Last>Falkner</b:Last>
            <b:First>Kajsa</b:First>
          </b:Person>
          <b:Person>
            <b:Last>Stålbrandt</b:Last>
            <b:First>Eva</b:First>
            <b:Middle>Edman</b:Middle>
          </b:Person>
        </b:NameList>
      </b:Author>
    </b:Author>
    <b:Title>Enhancing graduates’ employability skills through authentic learning approaches</b:Title>
    <b:JournalName>Higher Education, Skills and Work-Based Learning</b:JournalName>
    <b:Year>2019</b:Year>
    <b:Pages>107-120</b:Pages>
    <b:Volume>9</b:Volume>
    <b:Issue>1</b:Issue>
    <b:RefOrder>46</b:RefOrder>
  </b:Source>
  <b:Source>
    <b:Tag>Bil22</b:Tag>
    <b:SourceType>JournalArticle</b:SourceType>
    <b:Guid>{4B94DE6E-8582-42E3-9399-D2066C585C73}</b:Guid>
    <b:Author>
      <b:Author>
        <b:NameList>
          <b:Person>
            <b:Last>Wong</b:Last>
            <b:First>Billy</b:First>
          </b:Person>
          <b:Person>
            <b:Last>Chiu</b:Last>
            <b:First>Yuan-Li</b:First>
            <b:Middle>Tiffany</b:Middle>
          </b:Person>
          <b:Person>
            <b:Last>Copsey-Blake</b:Last>
            <b:First>Meggie</b:First>
          </b:Person>
          <b:Person>
            <b:Last>Nikolopoulou</b:Last>
            <b:First>Myrto</b:First>
          </b:Person>
        </b:NameList>
      </b:Author>
    </b:Author>
    <b:Title>A mapping of graduate attributes: what can we expect from UK university students?</b:Title>
    <b:JournalName>HIGHER EDUCATION RESEARCH &amp; DEVELOPMENT</b:JournalName>
    <b:Year>2022</b:Year>
    <b:Pages>1340-1355</b:Pages>
    <b:Volume>41</b:Volume>
    <b:Issue>4</b:Issue>
    <b:RefOrder>47</b:RefOrder>
  </b:Source>
  <b:Source>
    <b:Tag>Nei22</b:Tag>
    <b:SourceType>JournalArticle</b:SourceType>
    <b:Guid>{969180DA-DF5A-41B0-BD57-7535B9E62348}</b:Guid>
    <b:Author>
      <b:Author>
        <b:NameList>
          <b:Person>
            <b:Last>Guppy</b:Last>
            <b:First>Neil</b:First>
          </b:Person>
          <b:Person>
            <b:Last>Boud</b:Last>
            <b:First>David</b:First>
          </b:Person>
          <b:Person>
            <b:Last>Heap</b:Last>
            <b:First>Tania</b:First>
          </b:Person>
          <b:Person>
            <b:Last>Verpoorten</b:Last>
            <b:First>Dominique</b:First>
          </b:Person>
          <b:Person>
            <b:Last>Matzat</b:Last>
            <b:First>Uwe</b:First>
          </b:Person>
          <b:Person>
            <b:Last>Tai</b:Last>
            <b:First>Joanna</b:First>
          </b:Person>
          <b:Person>
            <b:Last>Lutze‑Mann</b:Last>
            <b:First>Louise</b:First>
          </b:Person>
          <b:Person>
            <b:Last>Roth</b:Last>
            <b:First>Mary</b:First>
          </b:Person>
          <b:Person>
            <b:Last>Polly</b:Last>
            <b:First>Patsie</b:First>
          </b:Person>
          <b:Person>
            <b:Last>Burgess</b:Last>
            <b:First>Jamie‑Lee</b:First>
          </b:Person>
          <b:Person>
            <b:Last>Agapito</b:Last>
            <b:First>Jenilyn</b:First>
          </b:Person>
          <b:Person>
            <b:Last>Bartolic</b:Last>
            <b:First>Silvia</b:First>
          </b:Person>
        </b:NameList>
      </b:Author>
    </b:Author>
    <b:Title>Teaching and learning under COVID-19 public health edicts: the role of household lockdowns and prior technology usage</b:Title>
    <b:JournalName>Higher Education</b:JournalName>
    <b:Year>2022</b:Year>
    <b:Pages>487-504</b:Pages>
    <b:Volume>84</b:Volume>
    <b:RefOrder>48</b:RefOrder>
  </b:Source>
  <b:Source>
    <b:Tag>Sil22</b:Tag>
    <b:SourceType>JournalArticle</b:SourceType>
    <b:Guid>{3A8C8150-7734-4306-BABF-E17199CFE9F4}</b:Guid>
    <b:Author>
      <b:Author>
        <b:NameList>
          <b:Person>
            <b:Last>Bartolic</b:Last>
            <b:First>Silvia</b:First>
          </b:Person>
          <b:Person>
            <b:Last>Matzat</b:Last>
            <b:First>Uwe</b:First>
          </b:Person>
          <b:Person>
            <b:Last>Tai</b:Last>
            <b:First>Joanna</b:First>
          </b:Person>
          <b:Person>
            <b:Last>Burgess</b:Last>
            <b:First>Jamie-Lee</b:First>
          </b:Person>
          <b:Person>
            <b:Last>Boud</b:Last>
            <b:First>David</b:First>
          </b:Person>
          <b:Person>
            <b:Last>Craig</b:Last>
            <b:First>Hailey</b:First>
          </b:Person>
          <b:Person>
            <b:Last>Archibald</b:Last>
            <b:First>Audon</b:First>
          </b:Person>
          <b:Person>
            <b:Last>Jaeger</b:Last>
            <b:First>Amy</b:First>
            <b:Middle>De</b:Middle>
          </b:Person>
          <b:Person>
            <b:Last>Kaplan-Rakowski</b:Last>
            <b:First>Regina</b:First>
          </b:Person>
          <b:Person>
            <b:Last>Lutze-Mann</b:Last>
            <b:First>Louise</b:First>
          </b:Person>
          <b:Person>
            <b:Last>Polly</b:Last>
            <b:First>Patsie</b:First>
          </b:Person>
          <b:Person>
            <b:Last>Roth</b:Last>
            <b:First>Mary</b:First>
          </b:Person>
          <b:Person>
            <b:Last>Heap</b:Last>
            <b:First>Tania</b:First>
          </b:Person>
          <b:Person>
            <b:Last>Agapito</b:Last>
            <b:First>Jenilyn</b:First>
          </b:Person>
          <b:Person>
            <b:Last>Guppy</b:Last>
            <b:First>Neil</b:First>
          </b:Person>
        </b:NameList>
      </b:Author>
    </b:Author>
    <b:Title>Student vulnerabilities and confidence in learning in the contextof the COVID-19 pandemic</b:Title>
    <b:JournalName>STUDIES IN HIGHER EDUCATION</b:JournalName>
    <b:Year>2022</b:Year>
    <b:Pages>2460-2472</b:Pages>
    <b:Volume>47</b:Volume>
    <b:Issue>12</b:Issue>
    <b:RefOrder>4</b:RefOrder>
  </b:Source>
  <b:Source>
    <b:Tag>Lea13</b:Tag>
    <b:SourceType>JournalArticle</b:SourceType>
    <b:Guid>{F61E6158-F9CD-4042-A885-B881971C15E1}</b:Guid>
    <b:Author>
      <b:Author>
        <b:NameList>
          <b:Person>
            <b:Last>Thompson</b:Last>
            <b:First>Leanne</b:First>
            <b:Middle>J</b:Middle>
          </b:Person>
          <b:Person>
            <b:Last>Clark</b:Last>
            <b:First>Gordon</b:First>
          </b:Person>
          <b:Person>
            <b:Last>Walker</b:Last>
            <b:First>Marion</b:First>
          </b:Person>
          <b:Person>
            <b:Last>Whyatt</b:Last>
            <b:First>J</b:First>
            <b:Middle>Duncan</b:Middle>
          </b:Person>
        </b:NameList>
      </b:Author>
    </b:Author>
    <b:Title>‘It’s just like an extra string to your bow’: Exploring higher education students’ perceptions and experiences of extracurricular activity and employability</b:Title>
    <b:JournalName>Active Learning in Higher Education</b:JournalName>
    <b:Year>2013</b:Year>
    <b:Pages>135-147</b:Pages>
    <b:Volume>14</b:Volume>
    <b:Issue>2</b:Issue>
    <b:RefOrder>49</b:RefOrder>
  </b:Source>
  <b:Source>
    <b:Tag>Luc20</b:Tag>
    <b:SourceType>BookSection</b:SourceType>
    <b:Guid>{EB7C8069-227F-4136-BDF6-2D80B71FC115}</b:Guid>
    <b:Title>Demystifying reflective writing in teacher education with semantic gravity</b:Title>
    <b:Year>2020</b:Year>
    <b:Pages>19-36</b:Pages>
    <b:Author>
      <b:Author>
        <b:NameList>
          <b:Person>
            <b:Last>Macnaught</b:Last>
            <b:First>Lucy</b:First>
          </b:Person>
        </b:NameList>
      </b:Author>
      <b:Editor>
        <b:NameList>
          <b:Person>
            <b:Last>Windberg</b:Last>
            <b:First>C.</b:First>
          </b:Person>
          <b:Person>
            <b:Last>McKenna</b:Last>
            <b:First>S.</b:First>
          </b:Person>
          <b:Person>
            <b:Last>Wilmot</b:Last>
            <b:First>K.</b:First>
          </b:Person>
        </b:NameList>
      </b:Editor>
    </b:Author>
    <b:BookTitle>Building knowledge in higher education: New directions in teaching and learning</b:BookTitle>
    <b:City>New York</b:City>
    <b:Publisher>Routledge</b:Publisher>
    <b:RefOrder>50</b:RefOrder>
  </b:Source>
  <b:Source>
    <b:Tag>Kan18</b:Tag>
    <b:SourceType>JournalArticle</b:SourceType>
    <b:Guid>{E9C8AE7B-5B21-4E44-BD43-CB1A33420FD6}</b:Guid>
    <b:Title>Facilitation of Reflective Learning in Nursing: Reflective Teaching Practices of Educators</b:Title>
    <b:Year>2018</b:Year>
    <b:Pages>2-14</b:Pages>
    <b:Author>
      <b:Author>
        <b:NameList>
          <b:Person>
            <b:Last>Naicker</b:Last>
            <b:First>Kannagi</b:First>
          </b:Person>
          <b:Person>
            <b:Last>Rensburg</b:Last>
            <b:First>Gisela</b:First>
            <b:Middle>H. van</b:Middle>
          </b:Person>
        </b:NameList>
      </b:Author>
    </b:Author>
    <b:JournalName>Africa Journal of Nursing and Midwifery</b:JournalName>
    <b:Volume>20</b:Volume>
    <b:Issue>2</b:Issue>
    <b:RefOrder>51</b:RefOrder>
  </b:Source>
  <b:Source>
    <b:Tag>Deb221</b:Tag>
    <b:SourceType>Book</b:SourceType>
    <b:Guid>{E8C930CF-04AB-4DC0-928C-D69D3B7DE48F}</b:Guid>
    <b:Title>Getting Ready for Work-Integrated Learning</b:Title>
    <b:Year>2022</b:Year>
    <b:Author>
      <b:Author>
        <b:NameList>
          <b:Person>
            <b:Last>Nielsen</b:Last>
            <b:First>Deb</b:First>
          </b:Person>
          <b:Person>
            <b:Last>Ballantyne</b:Last>
            <b:First>Emily</b:First>
          </b:Person>
          <b:Person>
            <b:Last>Murad</b:Last>
            <b:First>Faatimah</b:First>
          </b:Person>
          <b:Person>
            <b:Last>Fournier</b:Last>
            <b:First>Melissa</b:First>
          </b:Person>
        </b:NameList>
      </b:Author>
    </b:Author>
    <b:City>Victoria</b:City>
    <b:Publisher>BCcampus</b:Publisher>
    <b:RefOrder>52</b:RefOrder>
  </b:Source>
  <b:Source>
    <b:Tag>Far19</b:Tag>
    <b:SourceType>JournalArticle</b:SourceType>
    <b:Guid>{9AA939F0-A374-4413-A89E-B7DF71206A5D}</b:Guid>
    <b:Title>Integrating case-based learning with collective reflection: outcomes of inter-professional continuing education</b:Title>
    <b:Year>2019</b:Year>
    <b:Author>
      <b:Author>
        <b:NameList>
          <b:Person>
            <b:Last>Golaghaie</b:Last>
            <b:First>Farzaneh</b:First>
          </b:Person>
          <b:Person>
            <b:Last>Asgari</b:Last>
            <b:First>Shadi</b:First>
          </b:Person>
          <b:Person>
            <b:Last>Khosravi</b:Last>
            <b:First>Sharareh</b:First>
          </b:Person>
          <b:Person>
            <b:Last>Ebrahimimonfared</b:Last>
            <b:First>Mohsen</b:First>
          </b:Person>
          <b:Person>
            <b:Last>Mohtarami</b:Last>
            <b:First>Abolfazl</b:First>
          </b:Person>
          <b:Person>
            <b:Last>Rafiei</b:Last>
            <b:First>Fatemeh</b:First>
          </b:Person>
        </b:NameList>
      </b:Author>
    </b:Author>
    <b:JournalName>REFLECTIVE PRACTICE</b:JournalName>
    <b:Pages>42-55</b:Pages>
    <b:Volume>20</b:Volume>
    <b:Issue>1</b:Issue>
    <b:RefOrder>53</b:RefOrder>
  </b:Source>
  <b:Source>
    <b:Tag>Jes22</b:Tag>
    <b:SourceType>InternetSite</b:SourceType>
    <b:Guid>{D14FEC0B-B9F5-49BE-8B74-6912CCED4318}</b:Guid>
    <b:Title>Meticulous Explanation of Driscoll Model of Reflection</b:Title>
    <b:Year>2022</b:Year>
    <b:Author>
      <b:Author>
        <b:NameList>
          <b:Person>
            <b:Last>Robinson</b:Last>
            <b:First>Jessica</b:First>
          </b:Person>
        </b:NameList>
      </b:Author>
    </b:Author>
    <b:YearAccessed>2024</b:YearAccessed>
    <b:MonthAccessed>April</b:MonthAccessed>
    <b:DayAccessed>21</b:DayAccessed>
    <b:URL>https://crowjack.com/blog/strategy/reflection-models/driscoll-model-of-reflection</b:URL>
    <b:RefOrder>54</b:RefOrder>
  </b:Source>
  <b:Source>
    <b:Tag>Joe20</b:Tag>
    <b:SourceType>BookSection</b:SourceType>
    <b:Guid>{E1EB0DAB-E96D-48AC-B061-28C5F7B1DFAD}</b:Guid>
    <b:Title>John Driscoll’s “What?” Cycle of Reflection</b:Title>
    <b:Year>2020</b:Year>
    <b:Author>
      <b:Author>
        <b:NameList>
          <b:Person>
            <b:Last>Gladd</b:Last>
            <b:First>Joel</b:First>
          </b:Person>
        </b:NameList>
      </b:Author>
      <b:Editor>
        <b:NameList>
          <b:Person>
            <b:Last>LONG</b:Last>
            <b:First>LIZA</b:First>
          </b:Person>
          <b:Person>
            <b:Last>MINERVINI</b:Last>
            <b:First>AMY</b:First>
          </b:Person>
          <b:Person>
            <b:Last>JOELGLADD</b:Last>
          </b:Person>
        </b:NameList>
      </b:Editor>
    </b:Author>
    <b:BookTitle>Write What Matters</b:BookTitle>
    <b:Pages>769-779</b:Pages>
    <b:City>Boise</b:City>
    <b:Publisher>MSL ACADEMIC ENDEAVORS</b:Publisher>
    <b:RefOrder>55</b:RefOrder>
  </b:Source>
  <b:Source>
    <b:Tag>Cri15</b:Tag>
    <b:SourceType>JournalArticle</b:SourceType>
    <b:Guid>{35B19789-10DD-4699-8FEC-E314C84028A1}</b:Guid>
    <b:Title>Knowing and/or experiencing: a critical examination of thereflective models of John Dewey and Donald Schön</b:Title>
    <b:Year>2015</b:Year>
    <b:Pages>361–371</b:Pages>
    <b:Author>
      <b:Author>
        <b:NameList>
          <b:Person>
            <b:Last>Hébert</b:Last>
            <b:First>Cristyne</b:First>
          </b:Person>
        </b:NameList>
      </b:Author>
    </b:Author>
    <b:JournalName>Reflective Practice</b:JournalName>
    <b:Volume>16</b:Volume>
    <b:Issue>3</b:Issue>
    <b:RefOrder>5</b:RefOrder>
  </b:Source>
  <b:Source>
    <b:Tag>Gil21</b:Tag>
    <b:SourceType>JournalArticle</b:SourceType>
    <b:Guid>{1ECF3B29-F9DB-42AA-8EB7-D84A5E8D3DEE}</b:Guid>
    <b:Author>
      <b:Author>
        <b:NameList>
          <b:Person>
            <b:Last>Crosby</b:Last>
            <b:First>Gilmore</b:First>
          </b:Person>
        </b:NameList>
      </b:Author>
    </b:Author>
    <b:Title>Lewin’s Democratic Style  of Situational Leadership:  A Fresh Look at a Powerful OD Model</b:Title>
    <b:JournalName>The Journal of Applied Behavioral Science</b:JournalName>
    <b:Year>2021</b:Year>
    <b:Pages>398-401</b:Pages>
    <b:Volume>57</b:Volume>
    <b:Issue>3</b:Issue>
    <b:RefOrder>56</b:RefOrder>
  </b:Source>
  <b:Source>
    <b:Tag>Cha24</b:Tag>
    <b:SourceType>InternetSite</b:SourceType>
    <b:Guid>{BB90493C-7480-4863-BBAE-FAB03B94F0E7}</b:Guid>
    <b:Title>Leadership Styles And Frameworks You Should Know</b:Title>
    <b:Year>2024</b:Year>
    <b:Author>
      <b:Author>
        <b:NameList>
          <b:Person>
            <b:Last>Nickerson</b:Last>
            <b:First>Charlotte</b:First>
          </b:Person>
        </b:NameList>
      </b:Author>
    </b:Author>
    <b:YearAccessed>2024</b:YearAccessed>
    <b:MonthAccessed>April</b:MonthAccessed>
    <b:DayAccessed>22</b:DayAccessed>
    <b:URL>https://www.simplypsychology.org/leadership-styles.html</b:URL>
    <b:RefOrder>57</b:RefOrder>
  </b:Source>
  <b:Source>
    <b:Tag>Bir10</b:Tag>
    <b:SourceType>JournalArticle</b:SourceType>
    <b:Guid>{D560427F-2C03-4FC1-857F-24830EFAF5D1}</b:Guid>
    <b:Title>Critique and review of leader–member exchange theory: Issues of agreement, consensus, and excellence</b:Title>
    <b:Year>2010</b:Year>
    <b:Author>
      <b:Author>
        <b:NameList>
          <b:Person>
            <b:Last>Schyns</b:Last>
            <b:First>Birgit</b:First>
          </b:Person>
          <b:Person>
            <b:Last>Day</b:Last>
            <b:First>David</b:First>
          </b:Person>
        </b:NameList>
      </b:Author>
    </b:Author>
    <b:JournalName>EUROPEAN JOURNAL OF WORK AND ORGANIZATIONAL PSYCHOLOGY</b:JournalName>
    <b:Pages>1-29</b:Pages>
    <b:Volume>19</b:Volume>
    <b:Issue>1</b:Issue>
    <b:RefOrder>58</b:RefOrder>
  </b:Source>
  <b:Source>
    <b:Tag>Rob13</b:Tag>
    <b:SourceType>JournalArticle</b:SourceType>
    <b:Guid>{BD1ED5F8-F19C-48A9-B24C-9391AFEABF7C}</b:Guid>
    <b:Author>
      <b:Author>
        <b:NameList>
          <b:Person>
            <b:Last>Power</b:Last>
            <b:First>Robert</b:First>
            <b:Middle>Leo</b:Middle>
          </b:Person>
        </b:NameList>
      </b:Author>
    </b:Author>
    <b:Title>Leader-Member Exchange Theory in Higher and Distance Education</b:Title>
    <b:JournalName>International Review of Research in Open and Distributed Learning</b:JournalName>
    <b:Year>2013</b:Year>
    <b:Pages>277-284</b:Pages>
    <b:Volume>14</b:Volume>
    <b:Issue>4</b:Issue>
    <b:RefOrder>59</b:RefOrder>
  </b:Source>
  <b:Source>
    <b:Tag>Ing201</b:Tag>
    <b:SourceType>JournalArticle</b:SourceType>
    <b:Guid>{307C57BB-ACA1-47DD-ADFC-F73DA83D5054}</b:Guid>
    <b:Author>
      <b:Author>
        <b:NameList>
          <b:Person>
            <b:Last>Anderson</b:Last>
            <b:First>Ingvild</b:First>
          </b:Person>
          <b:Person>
            <b:Last>Buch</b:Last>
            <b:First>Robert</b:First>
          </b:Person>
          <b:Person>
            <b:Last>Kuvaas</b:Last>
            <b:First>Bård</b:First>
          </b:Person>
        </b:NameList>
      </b:Author>
    </b:Author>
    <b:Title>A Literature Review of Social and Economic Leader–Member Exchange</b:Title>
    <b:JournalName>Frontiers in Psychology</b:JournalName>
    <b:Year>2020</b:Year>
    <b:Pages>1-12</b:Pages>
    <b:Volume>11</b:Volume>
    <b:RefOrder>60</b:RefOrder>
  </b:Source>
  <b:Source>
    <b:Tag>Gre22</b:Tag>
    <b:SourceType>JournalArticle</b:SourceType>
    <b:Guid>{363CF427-2923-41A0-B5EB-1FA8B2C8545D}</b:Guid>
    <b:Author>
      <b:Author>
        <b:NameList>
          <b:Person>
            <b:Last>Demetriou</b:Last>
            <b:First>Gregoris</b:First>
          </b:Person>
          <b:Person>
            <b:Last>Papageorgiou</b:Last>
            <b:First>George</b:First>
          </b:Person>
          <b:Person>
            <b:Last>Efstathiades</b:Last>
            <b:First>Andreas</b:First>
          </b:Person>
        </b:NameList>
      </b:Author>
    </b:Author>
    <b:Title>Effects of learning style and learning source preferences on organizational learning capability</b:Title>
    <b:JournalName>DEVELOPMENT AND LEARNING INORGANIZATIONS: AN INTERNATIONAL JOURNAL</b:JournalName>
    <b:Year>2022</b:Year>
    <b:Pages>14-17</b:Pages>
    <b:Volume>36</b:Volume>
    <b:Issue>2</b:Issue>
    <b:RefOrder>61</b:RefOrder>
  </b:Source>
  <b:Source>
    <b:Tag>Sau23</b:Tag>
    <b:SourceType>JournalArticle</b:SourceType>
    <b:Guid>{89D9204F-FF78-4D9B-AB6D-B47CA29026C1}</b:Guid>
    <b:Author>
      <b:Author>
        <b:NameList>
          <b:Person>
            <b:Last>Shrivastava</b:Last>
            <b:First>Saurabh</b:First>
            <b:Middle>RamBihariLal</b:Middle>
          </b:Person>
          <b:Person>
            <b:Last>Shrivastava</b:Last>
            <b:First>Prateek</b:First>
            <b:Middle>Saurabh</b:Middle>
          </b:Person>
        </b:NameList>
      </b:Author>
    </b:Author>
    <b:Title>The Fallacy of Learning Styles in Medical Education: An Evidence‑Based Critique</b:Title>
    <b:JournalName>Archives of Medicine and Health Sciences</b:JournalName>
    <b:Year>2023</b:Year>
    <b:Pages>1-3</b:Pages>
    <b:Volume>0</b:Volume>
    <b:RefOrder>62</b:RefOrder>
  </b:Source>
  <b:Source>
    <b:Tag>Jon21</b:Tag>
    <b:SourceType>DocumentFromInternetSite</b:SourceType>
    <b:Guid>{9410DDAC-53EA-4069-889D-FF3100E1A73B}</b:Guid>
    <b:Title>Formative assessment that bites</b:Title>
    <b:Year>2021</b:Year>
    <b:Author>
      <b:Author>
        <b:NameList>
          <b:Person>
            <b:Last>Haynes</b:Last>
            <b:First>Jonathan</b:First>
          </b:Person>
        </b:NameList>
      </b:Author>
    </b:Author>
    <b:YearAccessed>2024</b:YearAccessed>
    <b:MonthAccessed>April</b:MonthAccessed>
    <b:DayAccessed>22</b:DayAccessed>
    <b:URL>https://salford-repository.worktribe.com/preview/1487196/Formative%20assessment%20that%20bites%20submission.pdf</b:URL>
    <b:RefOrder>63</b:RefOrder>
  </b:Source>
  <b:Source>
    <b:Tag>Rac18</b:Tag>
    <b:SourceType>JournalArticle</b:SourceType>
    <b:Guid>{95DF570B-7AC0-4D39-8692-AE7B18DE73AF}</b:Guid>
    <b:Title>The Socratic Method of Instruction: An Experience With a Reading Comprehension Course</b:Title>
    <b:Year>2018</b:Year>
    <b:Author>
      <b:Author>
        <b:NameList>
          <b:Person>
            <b:Last>Acim</b:Last>
            <b:First>Rachid</b:First>
          </b:Person>
        </b:NameList>
      </b:Author>
    </b:Author>
    <b:JournalName>Journal of Educational Research and Practice</b:JournalName>
    <b:Pages>41-53</b:Pages>
    <b:Volume>8</b:Volume>
    <b:Issue>1</b:Issue>
    <b:RefOrder>64</b:RefOrder>
  </b:Source>
  <b:Source>
    <b:Tag>Rob18</b:Tag>
    <b:SourceType>DocumentFromInternetSite</b:SourceType>
    <b:Guid>{9E91C883-8F58-4E63-A30F-F65DA52D0C96}</b:Guid>
    <b:Title>Learning Without Teaching The Practice and Benefits of the Nelson-Heckmann Method of Socratic Dialogue</b:Title>
    <b:Year>2018</b:Year>
    <b:Author>
      <b:Author>
        <b:NameList>
          <b:Person>
            <b:Last>Farmer</b:Last>
            <b:First>Robert</b:First>
            <b:Middle>James</b:Middle>
          </b:Person>
        </b:NameList>
      </b:Author>
    </b:Author>
    <b:Month>May</b:Month>
    <b:YearAccessed>2024</b:YearAccessed>
    <b:MonthAccessed>April</b:MonthAccessed>
    <b:DayAccessed>22</b:DayAccessed>
    <b:URL>http://nectar.northampton.ac.uk/13126/1/Farmer_Robert_2018_Learning_Without_Teaching_The_Practice_and_Benefits_of_the_Nelson_Heckmann_Method_of_Socratic_Dialogue.pdf</b:URL>
    <b:RefOrder>65</b:RefOrder>
  </b:Source>
  <b:Source>
    <b:Tag>Seb06</b:Tag>
    <b:SourceType>JournalArticle</b:SourceType>
    <b:Guid>{6467E5D4-FE70-45D4-B9D6-8DBA4C841173}</b:Guid>
    <b:Title>Socratic Dialogue, the Humanities and the Art of the Question</b:Title>
    <b:Year>2006</b:Year>
    <b:Author>
      <b:Author>
        <b:NameList>
          <b:Person>
            <b:Last>Mitchell</b:Last>
            <b:First>Sebastian</b:First>
          </b:Person>
        </b:NameList>
      </b:Author>
    </b:Author>
    <b:JournalName>Arts &amp; Humanities in Higher Education</b:JournalName>
    <b:Pages>181-197</b:Pages>
    <b:Volume>5</b:Volume>
    <b:Issue>2</b:Issue>
    <b:RefOrder>66</b:RefOrder>
  </b:Source>
  <b:Source>
    <b:Tag>Han19</b:Tag>
    <b:SourceType>JournalArticle</b:SourceType>
    <b:Guid>{12E76E71-195D-458B-B6D5-AB77921E87DC}</b:Guid>
    <b:Author>
      <b:Author>
        <b:NameList>
          <b:Person>
            <b:Last>Altorf</b:Last>
            <b:First>Hannah</b:First>
            <b:Middle>Marije</b:Middle>
          </b:Person>
        </b:NameList>
      </b:Author>
    </b:Author>
    <b:Title>Dialogue and discussion: Reflections on a Socratic method</b:Title>
    <b:JournalName>Arts &amp; Humanities in Higher Education</b:JournalName>
    <b:Year>2019</b:Year>
    <b:Pages>60-75</b:Pages>
    <b:Volume>18</b:Volume>
    <b:Issue>1</b:Issue>
    <b:RefOrder>67</b:RefOrder>
  </b:Source>
  <b:Source>
    <b:Tag>Eli22</b:Tag>
    <b:SourceType>JournalArticle</b:SourceType>
    <b:Guid>{0ED3B808-3F05-4113-80CA-7A89F8D6FA26}</b:Guid>
    <b:Author>
      <b:Author>
        <b:NameList>
          <b:Person>
            <b:Last>Bree</b:Last>
            <b:First>Elise</b:First>
            <b:Middle>H. de</b:Middle>
          </b:Person>
          <b:Person>
            <b:Last>Boer</b:Last>
            <b:First>Madelon</b:First>
            <b:Middle>van den</b:Middle>
          </b:Person>
          <b:Person>
            <b:Last>Toering</b:Last>
            <b:First>Boukje</b:First>
            <b:Middle>M.</b:Middle>
          </b:Person>
          <b:Person>
            <b:Last>Jong</b:Last>
            <b:First>Peter</b:First>
            <b:Middle>F. de</b:Middle>
          </b:Person>
        </b:NameList>
      </b:Author>
    </b:Author>
    <b:Title>A stitch in time…: Comparing late-identified, late-emerging and early-identified dyslexia</b:Title>
    <b:JournalName>Dyslexia</b:JournalName>
    <b:Year>2022</b:Year>
    <b:Pages>276-292</b:Pages>
    <b:Volume>28</b:Volume>
    <b:RefOrder>68</b:RefOrder>
  </b:Source>
  <b:Source>
    <b:Tag>Loe20</b:Tag>
    <b:SourceType>JournalArticle</b:SourceType>
    <b:Guid>{55C56886-4D1E-4208-B3DC-455B8B3B3447}</b:Guid>
    <b:Author>
      <b:Author>
        <b:NameList>
          <b:Person>
            <b:Last>Bazen</b:Last>
            <b:First>Loes</b:First>
          </b:Person>
          <b:Person>
            <b:Last>Boer</b:Last>
            <b:First>Madelon</b:First>
            <b:Middle>van den</b:Middle>
          </b:Person>
          <b:Person>
            <b:Last>Jong</b:Last>
            <b:First>Peter</b:First>
            <b:Middle>F. de</b:Middle>
          </b:Person>
          <b:Person>
            <b:Last>Bree</b:Last>
            <b:First>Elise</b:First>
            <b:Middle>H. de</b:Middle>
          </b:Person>
        </b:NameList>
      </b:Author>
    </b:Author>
    <b:Title>Early and late diagnosed dyslexia in secondary school: Performance on literacy skills and cognitive correlates</b:Title>
    <b:JournalName>Dyslexia</b:JournalName>
    <b:Year>2020</b:Year>
    <b:Pages>359-376</b:Pages>
    <b:Volume>26</b:Volume>
    <b:RefOrder>69</b:RefOrder>
  </b:Source>
  <b:Source>
    <b:Tag>Col18</b:Tag>
    <b:SourceType>JournalArticle</b:SourceType>
    <b:Guid>{05EFFC75-B08E-4F89-905D-8DFA4D34AF73}</b:Guid>
    <b:Author>
      <b:Author>
        <b:NameList>
          <b:Person>
            <b:Last>Colenbrander</b:Last>
            <b:First>D.</b:First>
          </b:Person>
          <b:Person>
            <b:Last>Ricketts</b:Last>
            <b:First>J.</b:First>
          </b:Person>
          <b:Person>
            <b:Last>Breadmore</b:Last>
            <b:First>H.</b:First>
          </b:Person>
        </b:NameList>
      </b:Author>
    </b:Author>
    <b:Title>Early identification of dyslexia: Understanding the issues</b:Title>
    <b:JournalName>Language, Speech, and Hearing Services in Schools</b:JournalName>
    <b:Year>2018</b:Year>
    <b:Pages>817-828</b:Pages>
    <b:Volume>49</b:Volume>
    <b:RefOrder>70</b:RefOrder>
  </b:Source>
  <b:Source>
    <b:Tag>And21</b:Tag>
    <b:SourceType>JournalArticle</b:SourceType>
    <b:Guid>{460A026D-9C91-46CB-9D35-D4B517B9EC42}</b:Guid>
    <b:Author>
      <b:Author>
        <b:NameList>
          <b:Person>
            <b:Last>Sadusky</b:Last>
            <b:First>Andrea</b:First>
          </b:Person>
          <b:Person>
            <b:Last>Reupert</b:Last>
            <b:First>Andrea</b:First>
            <b:Middle>E.</b:Middle>
          </b:Person>
          <b:Person>
            <b:Last>Freeman</b:Last>
            <b:First>Nerelie</b:First>
            <b:Middle>C.</b:Middle>
          </b:Person>
          <b:Person>
            <b:Last>Berger</b:Last>
            <b:First>Emily</b:First>
            <b:Middle>P.</b:Middle>
          </b:Person>
        </b:NameList>
      </b:Author>
    </b:Author>
    <b:Title>Diagnosing adults with dyslexia: Psychologists'experiences and practices</b:Title>
    <b:JournalName>Dyslexia</b:JournalName>
    <b:Year>2021</b:Year>
    <b:Pages>468-485</b:Pages>
    <b:Volume>27</b:Volume>
    <b:RefOrder>71</b:RefOrder>
  </b:Source>
  <b:Source>
    <b:Tag>Dia18</b:Tag>
    <b:SourceType>JournalArticle</b:SourceType>
    <b:Guid>{854D0AFF-3B6B-4727-A411-9880B95DCE38}</b:Guid>
    <b:Author>
      <b:Author>
        <b:NameList>
          <b:Person>
            <b:Last>Döhla</b:Last>
            <b:First>Diana</b:First>
          </b:Person>
          <b:Person>
            <b:Last>Willmes</b:Last>
            <b:First>Klaus</b:First>
          </b:Person>
          <b:Person>
            <b:Last>Heim</b:Last>
            <b:First>Stefan</b:First>
          </b:Person>
        </b:NameList>
      </b:Author>
    </b:Author>
    <b:Title>Cognitive Profiles of Developmental Dysgraphia</b:Title>
    <b:JournalName>Frontiers in Psychology</b:JournalName>
    <b:Year>2018</b:Year>
    <b:Pages>1-12</b:Pages>
    <b:Volume>9</b:Volume>
    <b:RefOrder>72</b:RefOrder>
  </b:Source>
  <b:Source>
    <b:Tag>Moh22</b:Tag>
    <b:SourceType>JournalArticle</b:SourceType>
    <b:Guid>{FE5C69A6-F798-4550-8FEA-731BA37FA072}</b:Guid>
    <b:Author>
      <b:Author>
        <b:NameList>
          <b:Person>
            <b:Last>Amini</b:Last>
            <b:First>Mohammad</b:First>
          </b:Person>
          <b:Person>
            <b:Last>Targhi</b:Last>
            <b:First>Alireza</b:First>
            <b:Middle>Tavakoli</b:Middle>
          </b:Person>
          <b:Person>
            <b:Last>Hosseinzadeh</b:Last>
            <b:First>Mehdi</b:First>
          </b:Person>
          <b:Person>
            <b:Last>Farivar</b:Last>
            <b:First>Faezeh</b:First>
          </b:Person>
          <b:Person>
            <b:Last>Bidaki</b:Last>
            <b:First>Reza</b:First>
          </b:Person>
        </b:NameList>
      </b:Author>
    </b:Author>
    <b:Title>Identifications of developmental dysgraphia on the basis of dynamic handwriting features</b:Title>
    <b:JournalName>Int. J. Nonlinear Anal. Appl.</b:JournalName>
    <b:Year>2022</b:Year>
    <b:Pages>3179–3188</b:Pages>
    <b:RefOrder>73</b:RefOrder>
  </b:Source>
</b:Sources>
</file>

<file path=customXml/itemProps1.xml><?xml version="1.0" encoding="utf-8"?>
<ds:datastoreItem xmlns:ds="http://schemas.openxmlformats.org/officeDocument/2006/customXml" ds:itemID="{E35F194C-AEA1-40BB-A5CA-C691B9803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19508</TotalTime>
  <Pages>23</Pages>
  <Words>7226</Words>
  <Characters>39675</Characters>
  <Application>Microsoft Office Word</Application>
  <DocSecurity>0</DocSecurity>
  <Lines>862</Lines>
  <Paragraphs>174</Paragraphs>
  <ScaleCrop>false</ScaleCrop>
  <Company>dexform.com</Company>
  <LinksUpToDate>false</LinksUpToDate>
  <CharactersWithSpaces>46727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
  <dc:creator>Ross Phillips</dc:creator>
  <cp:keywords/>
  <dc:description/>
  <cp:lastModifiedBy>Ross Phillips (P143604)</cp:lastModifiedBy>
  <cp:revision>991</cp:revision>
  <cp:lastPrinted>2016-07-20T07:43:00Z</cp:lastPrinted>
  <dcterms:created xsi:type="dcterms:W3CDTF">2023-10-20T10:31:00Z</dcterms:created>
  <dcterms:modified xsi:type="dcterms:W3CDTF">2024-04-22T13:25:00Z</dcterms:modified>
</cp:coreProperties>
</file>