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footer10.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Normal (Web)"/>
        <w:spacing w:before="0" w:after="0"/>
      </w:pPr>
    </w:p>
    <w:p>
      <w:pPr>
        <w:pStyle w:val="Normal (Web)"/>
        <w:spacing w:before="0" w:after="0"/>
        <w:jc w:val="center"/>
      </w:pPr>
    </w:p>
    <w:p>
      <w:pPr>
        <w:pStyle w:val="Normal (Web)"/>
        <w:spacing w:before="0" w:after="0"/>
        <w:jc w:val="center"/>
      </w:pPr>
    </w:p>
    <w:p>
      <w:pPr>
        <w:pStyle w:val="Normal (Web)"/>
        <w:spacing w:before="0" w:after="0"/>
        <w:jc w:val="center"/>
      </w:pPr>
      <w:r>
        <w:rPr>
          <w:rFonts w:ascii="Arial" w:hAnsi="Arial"/>
          <w:b w:val="1"/>
          <w:bCs w:val="1"/>
          <w:sz w:val="28"/>
          <w:szCs w:val="28"/>
          <w:rtl w:val="0"/>
          <w:lang w:val="en-US"/>
        </w:rPr>
        <w:t xml:space="preserve">Postgraduate/Distance Learning </w:t>
      </w:r>
    </w:p>
    <w:p>
      <w:pPr>
        <w:pStyle w:val="Normal (Web)"/>
        <w:spacing w:before="0" w:after="0"/>
        <w:jc w:val="center"/>
        <w:rPr>
          <w:rFonts w:ascii="Arial" w:cs="Arial" w:hAnsi="Arial" w:eastAsia="Arial"/>
          <w:b w:val="1"/>
          <w:bCs w:val="1"/>
          <w:sz w:val="28"/>
          <w:szCs w:val="28"/>
        </w:rPr>
      </w:pPr>
      <w:r>
        <w:rPr>
          <w:rFonts w:ascii="Arial" w:hAnsi="Arial"/>
          <w:b w:val="1"/>
          <w:bCs w:val="1"/>
          <w:sz w:val="28"/>
          <w:szCs w:val="28"/>
          <w:rtl w:val="0"/>
          <w:lang w:val="en-US"/>
        </w:rPr>
        <w:t>Assignment coversheet &amp; feedback form</w:t>
      </w:r>
    </w:p>
    <w:p>
      <w:pPr>
        <w:pStyle w:val="Normal (Web)"/>
        <w:spacing w:before="0" w:after="0"/>
        <w:jc w:val="center"/>
        <w:rPr>
          <w:rFonts w:ascii="Arial" w:cs="Arial" w:hAnsi="Arial" w:eastAsia="Arial"/>
        </w:rPr>
      </w:pPr>
    </w:p>
    <w:p>
      <w:pPr>
        <w:pStyle w:val="Heading 3"/>
        <w:keepNext w:val="0"/>
        <w:jc w:val="left"/>
        <w:rPr>
          <w:sz w:val="14"/>
          <w:szCs w:val="14"/>
        </w:rPr>
      </w:pPr>
      <w:r>
        <w:rPr>
          <w:sz w:val="14"/>
          <w:szCs w:val="14"/>
          <w:rtl w:val="0"/>
          <w:lang w:val="en-US"/>
        </w:rPr>
        <w:t>THIS SHEET MUST BE</w:t>
      </w:r>
      <w:r>
        <w:drawing xmlns:a="http://schemas.openxmlformats.org/drawingml/2006/main">
          <wp:anchor distT="0" distB="0" distL="0" distR="0" simplePos="0" relativeHeight="251659264" behindDoc="0" locked="0" layoutInCell="1" allowOverlap="1">
            <wp:simplePos x="0" y="0"/>
            <wp:positionH relativeFrom="page">
              <wp:posOffset>460875</wp:posOffset>
            </wp:positionH>
            <wp:positionV relativeFrom="page">
              <wp:posOffset>402182</wp:posOffset>
            </wp:positionV>
            <wp:extent cx="1907540" cy="635635"/>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TSD_logo2010.png"/>
                    <pic:cNvPicPr>
                      <a:picLocks noChangeAspect="1"/>
                    </pic:cNvPicPr>
                  </pic:nvPicPr>
                  <pic:blipFill>
                    <a:blip r:embed="rId4">
                      <a:extLst/>
                    </a:blip>
                    <a:stretch>
                      <a:fillRect/>
                    </a:stretch>
                  </pic:blipFill>
                  <pic:spPr>
                    <a:xfrm>
                      <a:off x="0" y="0"/>
                      <a:ext cx="1907540" cy="635635"/>
                    </a:xfrm>
                    <a:prstGeom prst="rect">
                      <a:avLst/>
                    </a:prstGeom>
                    <a:ln w="12700" cap="flat">
                      <a:noFill/>
                      <a:miter lim="400000"/>
                    </a:ln>
                    <a:effectLst/>
                  </pic:spPr>
                </pic:pic>
              </a:graphicData>
            </a:graphic>
          </wp:anchor>
        </w:drawing>
      </w:r>
      <w:r>
        <w:rPr>
          <w:sz w:val="14"/>
          <w:szCs w:val="14"/>
          <w:rtl w:val="0"/>
          <w:lang w:val="en-US"/>
        </w:rPr>
        <w:t xml:space="preserve"> THE FIRST PAGE OF THE ASSIGNMENT YOU ARE SUBMITTING  (DO NOT SEND AS A SEPARATE FILE)</w:t>
      </w:r>
    </w:p>
    <w:p>
      <w:pPr>
        <w:pStyle w:val="Heading 3"/>
        <w:keepNext w:val="0"/>
        <w:jc w:val="left"/>
        <w:rPr>
          <w:rFonts w:ascii="Trebuchet MS" w:cs="Trebuchet MS" w:hAnsi="Trebuchet MS" w:eastAsia="Trebuchet MS"/>
          <w:b w:val="1"/>
          <w:bCs w:val="1"/>
          <w:sz w:val="14"/>
          <w:szCs w:val="14"/>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pPr>
            <w:r>
              <w:rPr>
                <w:rFonts w:ascii="Arial" w:hAnsi="Arial"/>
                <w:b w:val="1"/>
                <w:bCs w:val="1"/>
                <w:sz w:val="22"/>
                <w:szCs w:val="22"/>
                <w:shd w:val="nil" w:color="auto" w:fill="auto"/>
                <w:rtl w:val="0"/>
                <w:lang w:val="en-US"/>
              </w:rPr>
              <w:t>For completion by the student</w:t>
            </w:r>
            <w:r>
              <w:rPr>
                <w:rFonts w:ascii="Arial" w:hAnsi="Arial"/>
                <w:sz w:val="22"/>
                <w:szCs w:val="22"/>
                <w:shd w:val="nil" w:color="auto" w:fill="auto"/>
                <w:rtl w:val="0"/>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de-DE"/>
              </w:rPr>
              <w:t>Student Name:</w:t>
            </w:r>
            <w:r>
              <w:rPr>
                <w:rFonts w:ascii="Arial" w:hAnsi="Arial"/>
                <w:sz w:val="22"/>
                <w:szCs w:val="22"/>
                <w:shd w:val="nil" w:color="auto" w:fill="auto"/>
                <w:rtl w:val="0"/>
                <w:lang w:val="en-US"/>
              </w:rPr>
              <w:t xml:space="preserve">  Tina Jensen Friis Auster</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de-DE"/>
              </w:rPr>
              <w:t xml:space="preserve">Student </w:t>
            </w:r>
            <w:r>
              <w:rPr>
                <w:rFonts w:ascii="Arial" w:hAnsi="Arial"/>
                <w:b w:val="1"/>
                <w:bCs w:val="1"/>
                <w:sz w:val="22"/>
                <w:szCs w:val="22"/>
                <w:u w:val="single"/>
                <w:shd w:val="nil" w:color="auto" w:fill="auto"/>
                <w:rtl w:val="0"/>
                <w:lang w:val="en-US"/>
              </w:rPr>
              <w:t>University</w:t>
            </w:r>
            <w:r>
              <w:rPr>
                <w:rFonts w:ascii="Arial" w:hAnsi="Arial"/>
                <w:sz w:val="22"/>
                <w:szCs w:val="22"/>
                <w:u w:val="single"/>
                <w:shd w:val="nil" w:color="auto" w:fill="auto"/>
                <w:rtl w:val="0"/>
              </w:rPr>
              <w:t xml:space="preserve"> </w:t>
            </w:r>
            <w:r>
              <w:rPr>
                <w:rFonts w:ascii="Arial" w:hAnsi="Arial"/>
                <w:sz w:val="22"/>
                <w:szCs w:val="22"/>
                <w:shd w:val="nil" w:color="auto" w:fill="auto"/>
                <w:rtl w:val="0"/>
              </w:rPr>
              <w:t xml:space="preserve">Email: </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nl-NL"/>
              </w:rPr>
              <w:t>2024510@student.uwtsd.ac.uk</w:t>
            </w:r>
          </w:p>
        </w:tc>
      </w:tr>
      <w:tr>
        <w:tblPrEx>
          <w:shd w:val="clear" w:color="auto" w:fill="ced7e7"/>
        </w:tblPrEx>
        <w:trPr>
          <w:trHeight w:val="72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Module code:</w:t>
            </w:r>
            <w:r>
              <w:rPr>
                <w:rFonts w:ascii="Arial" w:hAnsi="Arial"/>
                <w:sz w:val="22"/>
                <w:szCs w:val="22"/>
                <w:shd w:val="nil" w:color="auto" w:fill="auto"/>
                <w:rtl w:val="0"/>
                <w:lang w:val="en-US"/>
              </w:rPr>
              <w:t xml:space="preserve">  </w:t>
            </w:r>
            <w:r>
              <w:rPr>
                <w:rFonts w:ascii="Arial" w:hAnsi="Arial"/>
                <w:sz w:val="22"/>
                <w:szCs w:val="22"/>
                <w:shd w:val="nil" w:color="auto" w:fill="auto"/>
                <w:rtl w:val="0"/>
              </w:rPr>
              <w:t>HPCA701</w:t>
            </w:r>
            <w:r>
              <w:rPr>
                <w:rFonts w:ascii="Arial" w:hAnsi="Arial"/>
                <w:sz w:val="22"/>
                <w:szCs w:val="22"/>
                <w:shd w:val="nil" w:color="auto" w:fill="auto"/>
                <w:rtl w:val="0"/>
                <w:lang w:val="en-US"/>
              </w:rPr>
              <w:t>6</w:t>
            </w:r>
          </w:p>
          <w:p>
            <w:pPr>
              <w:pStyle w:val="Normal (Web)"/>
              <w:bidi w:val="0"/>
              <w:spacing w:before="0" w:after="0"/>
              <w:ind w:left="0" w:right="34" w:firstLine="0"/>
              <w:jc w:val="left"/>
              <w:rPr>
                <w:rtl w:val="0"/>
              </w:rPr>
            </w:pPr>
            <w:r>
              <w:rPr>
                <w:rFonts w:ascii="Arial" w:hAnsi="Arial"/>
                <w:sz w:val="22"/>
                <w:szCs w:val="22"/>
                <w:shd w:val="nil" w:color="auto" w:fill="auto"/>
                <w:rtl w:val="0"/>
                <w:lang w:val="en-US"/>
              </w:rPr>
              <w:t>Module title:</w:t>
            </w:r>
            <w:r>
              <w:rPr>
                <w:rFonts w:ascii="Arial" w:hAnsi="Arial"/>
                <w:sz w:val="22"/>
                <w:szCs w:val="22"/>
                <w:shd w:val="nil" w:color="auto" w:fill="auto"/>
                <w:rtl w:val="0"/>
                <w:lang w:val="en-US"/>
              </w:rPr>
              <w:t xml:space="preserve">  </w:t>
            </w:r>
            <w:r>
              <w:rPr>
                <w:rFonts w:ascii="Arial" w:hAnsi="Arial"/>
                <w:sz w:val="22"/>
                <w:szCs w:val="22"/>
                <w:rtl w:val="0"/>
                <w:lang w:val="en-US"/>
              </w:rPr>
              <w:t>Researching Contemporary Cosmologies</w:t>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rFonts w:ascii="Arial" w:cs="Arial" w:hAnsi="Arial" w:eastAsia="Arial"/>
                <w:sz w:val="22"/>
                <w:szCs w:val="22"/>
                <w:shd w:val="nil" w:color="auto" w:fill="auto"/>
              </w:rPr>
            </w:pPr>
            <w:r>
              <w:rPr>
                <w:rFonts w:ascii="Arial" w:hAnsi="Arial"/>
                <w:sz w:val="22"/>
                <w:szCs w:val="22"/>
                <w:shd w:val="nil" w:color="auto" w:fill="auto"/>
                <w:rtl w:val="0"/>
                <w:lang w:val="en-US"/>
              </w:rPr>
              <w:t>Student ID number:</w:t>
            </w:r>
          </w:p>
          <w:p>
            <w:pPr>
              <w:pStyle w:val="Normal (Web)"/>
              <w:spacing w:before="0" w:after="0"/>
              <w:ind w:right="34"/>
              <w:rPr>
                <w:rFonts w:ascii="Arial" w:cs="Arial" w:hAnsi="Arial" w:eastAsia="Arial"/>
                <w:sz w:val="22"/>
                <w:szCs w:val="22"/>
                <w:shd w:val="nil" w:color="auto" w:fill="auto"/>
              </w:rPr>
            </w:pPr>
          </w:p>
          <w:p>
            <w:pPr>
              <w:pStyle w:val="Normal (Web)"/>
              <w:spacing w:before="0" w:after="0"/>
              <w:ind w:right="34"/>
            </w:pPr>
            <w:r>
              <w:rPr>
                <w:rFonts w:ascii="Arial" w:hAnsi="Arial"/>
                <w:sz w:val="22"/>
                <w:szCs w:val="22"/>
                <w:shd w:val="nil" w:color="auto" w:fill="auto"/>
                <w:rtl w:val="0"/>
                <w:lang w:val="en-US"/>
              </w:rPr>
              <w:t>2024510</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Educational support needs:</w:t>
            </w:r>
          </w:p>
          <w:p>
            <w:pPr>
              <w:pStyle w:val="Normal (Web)"/>
              <w:bidi w:val="0"/>
              <w:spacing w:before="0" w:after="0"/>
              <w:ind w:left="0" w:right="34" w:firstLine="0"/>
              <w:jc w:val="left"/>
              <w:rPr>
                <w:rtl w:val="0"/>
              </w:rPr>
            </w:pPr>
            <w:r>
              <w:rPr>
                <w:rFonts w:ascii="Arial" w:hAnsi="Arial"/>
                <w:sz w:val="22"/>
                <w:szCs w:val="22"/>
                <w:shd w:val="nil" w:color="auto" w:fill="auto"/>
                <w:rtl w:val="0"/>
              </w:rPr>
              <w:t>No</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Assignment title:</w:t>
            </w:r>
            <w:r>
              <w:rPr>
                <w:rFonts w:ascii="Arial" w:hAnsi="Arial"/>
                <w:sz w:val="22"/>
                <w:szCs w:val="22"/>
                <w:shd w:val="nil" w:color="auto" w:fill="auto"/>
                <w:rtl w:val="0"/>
                <w:lang w:val="en-US"/>
              </w:rPr>
              <w:t xml:space="preserve">  </w:t>
            </w:r>
            <w:r>
              <w:rPr>
                <w:rFonts w:ascii="Arial" w:hAnsi="Arial"/>
                <w:sz w:val="22"/>
                <w:szCs w:val="22"/>
                <w:shd w:val="nil" w:color="auto" w:fill="auto"/>
                <w:rtl w:val="0"/>
                <w:lang w:val="en-US"/>
              </w:rPr>
              <w:t>A Critical Comparison of two Secondary Sources</w:t>
            </w:r>
          </w:p>
          <w:p>
            <w:pPr>
              <w:pStyle w:val="Normal (Web)"/>
              <w:spacing w:before="0" w:after="0"/>
              <w:ind w:right="34"/>
              <w:rPr>
                <w:rFonts w:ascii="Arial" w:cs="Arial" w:hAnsi="Arial" w:eastAsia="Arial"/>
                <w:sz w:val="22"/>
                <w:szCs w:val="22"/>
                <w:shd w:val="nil" w:color="auto" w:fill="auto"/>
              </w:rPr>
            </w:pPr>
          </w:p>
          <w:p>
            <w:pPr>
              <w:pStyle w:val="Normal (Web)"/>
              <w:bidi w:val="0"/>
              <w:spacing w:before="0" w:after="0"/>
              <w:ind w:left="0" w:right="34" w:firstLine="0"/>
              <w:jc w:val="left"/>
              <w:rPr>
                <w:rtl w:val="0"/>
              </w:rPr>
            </w:pPr>
            <w:r>
              <w:rPr>
                <w:rFonts w:ascii="Arial" w:hAnsi="Arial"/>
                <w:sz w:val="22"/>
                <w:szCs w:val="22"/>
                <w:shd w:val="nil" w:color="auto" w:fill="auto"/>
                <w:rtl w:val="0"/>
                <w:lang w:val="en-US"/>
              </w:rPr>
              <w:t>Assignment due date:</w:t>
            </w:r>
            <w:r>
              <w:rPr>
                <w:rFonts w:ascii="Arial" w:hAnsi="Arial"/>
                <w:sz w:val="22"/>
                <w:szCs w:val="22"/>
                <w:shd w:val="nil" w:color="auto" w:fill="auto"/>
                <w:rtl w:val="0"/>
                <w:lang w:val="en-US"/>
              </w:rPr>
              <w:t xml:space="preserve">  31st March 2021</w:t>
            </w:r>
          </w:p>
        </w:tc>
      </w:tr>
      <w:tr>
        <w:tblPrEx>
          <w:shd w:val="clear" w:color="auto" w:fill="ced7e7"/>
        </w:tblPrEx>
        <w:trPr>
          <w:trHeight w:val="2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en-US"/>
              </w:rPr>
              <w:t>This assignment is for the       1</w:t>
            </w:r>
            <w:r>
              <w:rPr>
                <w:rFonts w:ascii="Arial" w:hAnsi="Arial"/>
                <w:sz w:val="22"/>
                <w:szCs w:val="22"/>
                <w:u w:color="000000"/>
                <w:shd w:val="nil" w:color="auto" w:fill="auto"/>
                <w:vertAlign w:val="superscript"/>
                <w:rtl w:val="0"/>
              </w:rPr>
              <w:t xml:space="preserve">st </w:t>
            </w:r>
            <w:r>
              <w:rPr>
                <w:rFonts w:ascii="Arial" w:hAnsi="Arial"/>
                <w:sz w:val="22"/>
                <w:szCs w:val="22"/>
                <w:u w:color="000000"/>
                <w:shd w:val="nil" w:color="auto" w:fill="auto"/>
                <w:rtl w:val="0"/>
              </w:rPr>
              <w:t xml:space="preserve">  </w:t>
            </w:r>
            <w:r>
              <w:rPr>
                <w:rFonts w:ascii="Arial" w:hAnsi="Arial"/>
                <w:b w:val="1"/>
                <w:bCs w:val="1"/>
                <w:sz w:val="22"/>
                <w:szCs w:val="22"/>
                <w:u w:color="000000"/>
                <w:shd w:val="nil" w:color="auto" w:fill="auto"/>
                <w:rtl w:val="0"/>
              </w:rPr>
              <w:t xml:space="preserve">   </w:t>
            </w:r>
            <w:r>
              <w:rPr>
                <w:rFonts w:ascii="Arial" w:hAnsi="Arial"/>
                <w:sz w:val="22"/>
                <w:szCs w:val="22"/>
                <w:u w:color="000000"/>
                <w:shd w:val="nil" w:color="auto" w:fill="auto"/>
                <w:rtl w:val="0"/>
                <w:lang w:val="en-US"/>
              </w:rPr>
              <w:t>module of the degree</w:t>
            </w:r>
          </w:p>
        </w:tc>
      </w:tr>
      <w:tr>
        <w:tblPrEx>
          <w:shd w:val="clear" w:color="auto" w:fill="ced7e7"/>
        </w:tblPrEx>
        <w:trPr>
          <w:trHeight w:val="16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Normal (Web)"/>
              <w:spacing w:before="0" w:after="0"/>
              <w:ind w:right="34"/>
              <w:rPr>
                <w:shd w:val="nil" w:color="auto" w:fill="auto"/>
              </w:rPr>
            </w:pPr>
            <w:r>
              <w:rPr>
                <w:rFonts w:ascii="Arial" w:hAnsi="Arial"/>
                <w:sz w:val="22"/>
                <w:szCs w:val="22"/>
                <w:shd w:val="nil" w:color="auto" w:fill="auto"/>
                <w:rtl w:val="0"/>
                <w:lang w:val="en-US"/>
              </w:rPr>
              <w:t>I confirm that this is my original work and that I have adhered to the University policy on plagiarism.</w:t>
            </w:r>
          </w:p>
          <w:p>
            <w:pPr>
              <w:pStyle w:val="Normal (Web)"/>
              <w:bidi w:val="0"/>
              <w:spacing w:before="0" w:after="0"/>
              <w:ind w:left="0" w:right="34" w:firstLine="0"/>
              <w:jc w:val="left"/>
              <w:rPr>
                <w:rFonts w:ascii="Georgia" w:cs="Georgia" w:hAnsi="Georgia" w:eastAsia="Georgia"/>
                <w:sz w:val="22"/>
                <w:szCs w:val="22"/>
                <w:shd w:val="nil" w:color="auto" w:fill="auto"/>
                <w:rtl w:val="0"/>
              </w:rPr>
            </w:pPr>
          </w:p>
          <w:p>
            <w:pPr>
              <w:pStyle w:val="Normal (Web)"/>
              <w:bidi w:val="0"/>
              <w:spacing w:before="0" w:after="0"/>
              <w:ind w:left="0" w:right="34"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 xml:space="preserve">Signed </w:t>
            </w:r>
            <w:r>
              <w:rPr>
                <w:rFonts w:ascii="Arial" w:hAnsi="Arial" w:hint="default"/>
                <w:sz w:val="22"/>
                <w:szCs w:val="22"/>
                <w:shd w:val="nil" w:color="auto" w:fill="auto"/>
                <w:rtl w:val="0"/>
              </w:rPr>
              <w:t>……</w:t>
            </w:r>
            <w:r>
              <w:rPr>
                <w:rFonts w:ascii="Arial" w:hAnsi="Arial"/>
                <w:sz w:val="22"/>
                <w:szCs w:val="22"/>
                <w:shd w:val="nil" w:color="auto" w:fill="auto"/>
                <w:rtl w:val="0"/>
                <w:lang w:val="en-US"/>
              </w:rPr>
              <w:t>Tina Jensen Friis Auster</w:t>
            </w:r>
            <w:r>
              <w:rPr>
                <w:rFonts w:ascii="Arial" w:hAnsi="Arial" w:hint="default"/>
                <w:sz w:val="22"/>
                <w:szCs w:val="22"/>
                <w:shd w:val="nil" w:color="auto" w:fill="auto"/>
                <w:rtl w:val="0"/>
              </w:rPr>
              <w:t>………………………………………………………</w:t>
            </w:r>
          </w:p>
          <w:p>
            <w:pPr>
              <w:pStyle w:val="Normal (Web)"/>
              <w:bidi w:val="0"/>
              <w:spacing w:before="0" w:after="0"/>
              <w:ind w:left="0" w:right="34" w:firstLine="0"/>
              <w:jc w:val="left"/>
              <w:rPr>
                <w:rFonts w:ascii="Arial" w:cs="Arial" w:hAnsi="Arial" w:eastAsia="Arial"/>
                <w:sz w:val="22"/>
                <w:szCs w:val="22"/>
                <w:shd w:val="nil" w:color="auto" w:fill="auto"/>
                <w:rtl w:val="0"/>
              </w:rPr>
            </w:pPr>
          </w:p>
          <w:p>
            <w:pPr>
              <w:pStyle w:val="Normal (Web)"/>
              <w:bidi w:val="0"/>
              <w:spacing w:before="0" w:after="0" w:line="168" w:lineRule="auto"/>
              <w:ind w:left="0" w:right="34" w:firstLine="0"/>
              <w:jc w:val="left"/>
              <w:rPr>
                <w:rFonts w:ascii="Calibri" w:cs="Calibri" w:hAnsi="Calibri" w:eastAsia="Calibri"/>
                <w:b w:val="1"/>
                <w:bCs w:val="1"/>
                <w:sz w:val="44"/>
                <w:szCs w:val="44"/>
                <w:shd w:val="nil" w:color="auto" w:fill="auto"/>
                <w:rtl w:val="0"/>
              </w:rPr>
            </w:pPr>
            <w:r>
              <w:rPr>
                <w:rFonts w:ascii="Calibri" w:hAnsi="Calibri"/>
                <w:b w:val="1"/>
                <w:bCs w:val="1"/>
                <w:sz w:val="24"/>
                <w:szCs w:val="24"/>
                <w:shd w:val="nil" w:color="auto" w:fill="auto"/>
                <w:rtl w:val="0"/>
                <w:lang w:val="en-US"/>
              </w:rPr>
              <w:t xml:space="preserve">Email submission:if you are submitting this form via email, please tick this box </w:t>
            </w:r>
          </w:p>
          <w:p>
            <w:pPr>
              <w:pStyle w:val="Normal (Web)"/>
              <w:bidi w:val="0"/>
              <w:spacing w:before="0" w:after="0" w:line="168" w:lineRule="auto"/>
              <w:ind w:left="0" w:right="34" w:firstLine="0"/>
              <w:jc w:val="left"/>
              <w:rPr>
                <w:rtl w:val="0"/>
              </w:rPr>
            </w:pPr>
            <w:r>
              <w:rPr>
                <w:rFonts w:ascii="Calibri" w:hAnsi="Calibri"/>
                <w:b w:val="1"/>
                <w:bCs w:val="1"/>
                <w:sz w:val="24"/>
                <w:szCs w:val="24"/>
                <w:shd w:val="nil" w:color="auto" w:fill="auto"/>
                <w:rtl w:val="0"/>
                <w:lang w:val="en-US"/>
              </w:rPr>
              <w:t>(as a substitute for your signature) to confirm that you agree to the above declaration.</w:t>
            </w:r>
          </w:p>
        </w:tc>
      </w:tr>
      <w:tr>
        <w:tblPrEx>
          <w:shd w:val="clear" w:color="auto" w:fill="ced7e7"/>
        </w:tblPrEx>
        <w:trPr>
          <w:trHeight w:val="443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before="0"/>
              <w:jc w:val="left"/>
              <w:rPr>
                <w:rFonts w:ascii="Arial" w:cs="Arial" w:hAnsi="Arial" w:eastAsia="Arial"/>
                <w:u w:color="000000"/>
                <w:shd w:val="nil" w:color="auto" w:fill="auto"/>
              </w:rPr>
            </w:pPr>
            <w:r>
              <w:rPr>
                <w:rFonts w:ascii="Arial" w:hAnsi="Arial"/>
                <w:b w:val="1"/>
                <w:bCs w:val="1"/>
                <w:u w:color="000000"/>
                <w:shd w:val="nil" w:color="auto" w:fill="auto"/>
                <w:rtl w:val="0"/>
                <w:lang w:val="en-US"/>
              </w:rPr>
              <w:t>Assignment Mark</w:t>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1</w:t>
            </w:r>
            <w:r>
              <w:rPr>
                <w:rFonts w:ascii="Arial" w:hAnsi="Arial"/>
                <w:sz w:val="20"/>
                <w:szCs w:val="20"/>
                <w:u w:color="000000"/>
                <w:shd w:val="nil" w:color="auto" w:fill="auto"/>
                <w:vertAlign w:val="superscript"/>
                <w:rtl w:val="0"/>
              </w:rPr>
              <w:t>st</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rPr>
              <w:t>2</w:t>
            </w:r>
            <w:r>
              <w:rPr>
                <w:rFonts w:ascii="Arial" w:hAnsi="Arial"/>
                <w:sz w:val="20"/>
                <w:szCs w:val="20"/>
                <w:u w:color="000000"/>
                <w:shd w:val="nil" w:color="auto" w:fill="auto"/>
                <w:vertAlign w:val="superscript"/>
                <w:rtl w:val="0"/>
              </w:rPr>
              <w:t>nd</w:t>
            </w:r>
            <w:r>
              <w:rPr>
                <w:rFonts w:ascii="Arial" w:hAnsi="Arial"/>
                <w:sz w:val="20"/>
                <w:szCs w:val="20"/>
                <w:u w:color="000000"/>
                <w:shd w:val="nil" w:color="auto" w:fill="auto"/>
                <w:rtl w:val="0"/>
              </w:rPr>
              <w:t xml:space="preserve"> Marker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it-IT"/>
              </w:rPr>
              <w:t>s/Moderator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provisional mark</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Arial" w:hAnsi="Arial"/>
                <w:sz w:val="20"/>
                <w:szCs w:val="20"/>
                <w:u w:color="000000"/>
                <w:shd w:val="nil" w:color="auto" w:fill="auto"/>
                <w:rtl w:val="0"/>
                <w:lang w:val="pt-PT"/>
              </w:rPr>
              <w:t>External Examiner</w:t>
            </w:r>
            <w:r>
              <w:rPr>
                <w:rFonts w:ascii="Arial" w:hAnsi="Arial" w:hint="default"/>
                <w:sz w:val="20"/>
                <w:szCs w:val="20"/>
                <w:u w:color="000000"/>
                <w:shd w:val="nil" w:color="auto" w:fill="auto"/>
                <w:rtl w:val="1"/>
              </w:rPr>
              <w:t>’</w:t>
            </w:r>
            <w:r>
              <w:rPr>
                <w:rFonts w:ascii="Arial" w:hAnsi="Arial"/>
                <w:sz w:val="20"/>
                <w:szCs w:val="20"/>
                <w:u w:color="000000"/>
                <w:shd w:val="nil" w:color="auto" w:fill="auto"/>
                <w:rtl w:val="0"/>
                <w:lang w:val="en-US"/>
              </w:rPr>
              <w:t>s mark (if relevant)</w:t>
              <w:tab/>
            </w:r>
          </w:p>
          <w:p>
            <w:pPr>
              <w:pStyle w:val="Body"/>
              <w:bidi w:val="0"/>
              <w:spacing w:before="0"/>
              <w:ind w:left="0" w:right="0" w:firstLine="0"/>
              <w:jc w:val="left"/>
              <w:rPr>
                <w:rFonts w:ascii="Arial" w:cs="Arial" w:hAnsi="Arial" w:eastAsia="Arial"/>
                <w:sz w:val="20"/>
                <w:szCs w:val="20"/>
                <w:u w:color="000000"/>
                <w:shd w:val="nil" w:color="auto" w:fill="auto"/>
                <w:rtl w:val="0"/>
              </w:rPr>
            </w:pPr>
          </w:p>
          <w:p>
            <w:pPr>
              <w:pStyle w:val="Body"/>
              <w:bidi w:val="0"/>
              <w:spacing w:before="0"/>
              <w:ind w:left="0" w:right="0" w:firstLine="0"/>
              <w:jc w:val="left"/>
              <w:rPr>
                <w:rFonts w:ascii="Times New Roman" w:cs="Times New Roman" w:hAnsi="Times New Roman" w:eastAsia="Times New Roman"/>
                <w:u w:color="000000"/>
                <w:shd w:val="nil" w:color="auto" w:fill="auto"/>
                <w:rtl w:val="0"/>
              </w:rPr>
            </w:pPr>
            <w:r>
              <w:rPr>
                <w:rFonts w:ascii="Arial" w:hAnsi="Arial"/>
                <w:b w:val="1"/>
                <w:bCs w:val="1"/>
                <w:sz w:val="20"/>
                <w:szCs w:val="20"/>
                <w:u w:color="000000"/>
                <w:shd w:val="nil" w:color="auto" w:fill="auto"/>
                <w:rtl w:val="0"/>
                <w:lang w:val="pt-PT"/>
              </w:rPr>
              <w:t>Final Mark</w:t>
            </w:r>
          </w:p>
          <w:p>
            <w:pPr>
              <w:pStyle w:val="Body"/>
              <w:bidi w:val="0"/>
              <w:spacing w:before="0"/>
              <w:ind w:left="0" w:right="0" w:firstLine="0"/>
              <w:jc w:val="left"/>
              <w:rPr>
                <w:rFonts w:ascii="Arial" w:cs="Arial" w:hAnsi="Arial" w:eastAsia="Arial"/>
                <w:sz w:val="20"/>
                <w:szCs w:val="20"/>
                <w:u w:color="000000"/>
                <w:shd w:val="nil" w:color="auto" w:fill="auto"/>
                <w:rtl w:val="0"/>
              </w:rPr>
            </w:pPr>
            <w:r>
              <w:rPr>
                <w:rFonts w:ascii="Times New Roman" w:cs="Times New Roman" w:hAnsi="Times New Roman" w:eastAsia="Times New Roman"/>
                <w:sz w:val="20"/>
                <w:szCs w:val="20"/>
                <w:u w:color="000000"/>
                <w:shd w:val="nil" w:color="auto" w:fill="auto"/>
                <w:rtl w:val="0"/>
              </w:rPr>
              <w:tab/>
            </w:r>
          </w:p>
          <w:p>
            <w:pPr>
              <w:pStyle w:val="Normal (Web)"/>
              <w:bidi w:val="0"/>
              <w:spacing w:before="0" w:after="0"/>
              <w:ind w:left="142" w:right="0" w:firstLine="0"/>
              <w:jc w:val="left"/>
              <w:rPr>
                <w:rFonts w:ascii="Arial" w:cs="Arial" w:hAnsi="Arial" w:eastAsia="Arial"/>
                <w:sz w:val="22"/>
                <w:szCs w:val="22"/>
                <w:shd w:val="nil" w:color="auto" w:fill="auto"/>
                <w:rtl w:val="0"/>
              </w:rPr>
            </w:pPr>
            <w:r>
              <w:rPr>
                <w:rFonts w:ascii="Arial" w:hAnsi="Arial"/>
                <w:b w:val="1"/>
                <w:bCs w:val="1"/>
                <w:sz w:val="22"/>
                <w:szCs w:val="22"/>
                <w:shd w:val="nil" w:color="auto" w:fill="auto"/>
                <w:rtl w:val="0"/>
                <w:lang w:val="en-US"/>
              </w:rPr>
              <w:t>NB.</w:t>
            </w:r>
            <w:r>
              <w:rPr>
                <w:rFonts w:ascii="Arial" w:hAnsi="Arial"/>
                <w:sz w:val="22"/>
                <w:szCs w:val="22"/>
                <w:shd w:val="nil" w:color="auto" w:fill="auto"/>
                <w:rtl w:val="0"/>
                <w:lang w:val="en-US"/>
              </w:rPr>
              <w:t xml:space="preserve">  All marks are provisional until confirmed by the Final Examination Board.</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            ALL COMMENTS ARE  ON THE PDF OF YOUR PAPER IN TURNITIN </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1 :</w:t>
            </w:r>
          </w:p>
          <w:p>
            <w:pPr>
              <w:pStyle w:val="Normal (Web)"/>
              <w:bidi w:val="0"/>
              <w:spacing w:before="0" w:after="0"/>
              <w:ind w:left="0" w:right="0" w:firstLine="0"/>
              <w:jc w:val="left"/>
              <w:rPr>
                <w:rFonts w:ascii="Georgia" w:cs="Georgia" w:hAnsi="Georgia" w:eastAsia="Georgia"/>
                <w:sz w:val="22"/>
                <w:szCs w:val="22"/>
                <w:shd w:val="nil" w:color="auto" w:fill="auto"/>
                <w:rtl w:val="0"/>
              </w:rPr>
            </w:pPr>
          </w:p>
          <w:p>
            <w:pPr>
              <w:pStyle w:val="Normal (Web)"/>
              <w:bidi w:val="0"/>
              <w:spacing w:before="0" w:after="0"/>
              <w:ind w:left="0" w:right="0" w:firstLine="0"/>
              <w:jc w:val="left"/>
              <w:rPr>
                <w:rFonts w:ascii="Arial" w:cs="Arial" w:hAnsi="Arial" w:eastAsia="Arial"/>
                <w:sz w:val="22"/>
                <w:szCs w:val="22"/>
                <w:shd w:val="nil" w:color="auto" w:fill="auto"/>
                <w:rtl w:val="0"/>
              </w:rPr>
            </w:pPr>
            <w:r>
              <w:rPr>
                <w:rFonts w:ascii="Arial" w:hAnsi="Arial"/>
                <w:sz w:val="22"/>
                <w:szCs w:val="22"/>
                <w:shd w:val="nil" w:color="auto" w:fill="auto"/>
                <w:rtl w:val="0"/>
                <w:lang w:val="en-US"/>
              </w:rPr>
              <w:t>Comments:</w:t>
            </w:r>
          </w:p>
          <w:p>
            <w:pPr>
              <w:pStyle w:val="Normal (Web)"/>
              <w:spacing w:before="0" w:after="0"/>
            </w:pPr>
            <w:r>
              <w:rPr>
                <w:shd w:val="nil" w:color="auto" w:fill="auto"/>
              </w:rPr>
            </w:r>
          </w:p>
        </w:tc>
      </w:tr>
      <w:tr>
        <w:tblPrEx>
          <w:shd w:val="clear" w:color="auto" w:fill="ced7e7"/>
        </w:tblPrEx>
        <w:trPr>
          <w:trHeight w:val="243"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80"/>
            </w:tcMar>
            <w:vAlign w:val="top"/>
          </w:tcPr>
          <w:p>
            <w:pPr>
              <w:pStyle w:val="Normal (Web)"/>
              <w:spacing w:before="0" w:after="0"/>
              <w:ind w:left="142" w:firstLine="0"/>
            </w:pPr>
            <w:r>
              <w:rPr>
                <w:rFonts w:ascii="Arial" w:hAnsi="Arial"/>
                <w:sz w:val="22"/>
                <w:szCs w:val="22"/>
                <w:shd w:val="nil" w:color="auto" w:fill="auto"/>
                <w:rtl w:val="0"/>
                <w:lang w:val="de-DE"/>
              </w:rPr>
              <w:t>Date:</w:t>
            </w:r>
          </w:p>
        </w:tc>
      </w:tr>
      <w:tr>
        <w:tblPrEx>
          <w:shd w:val="clear" w:color="auto" w:fill="ced7e7"/>
        </w:tblPrEx>
        <w:trPr>
          <w:trHeight w:val="120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bidi w:val="0"/>
              <w:spacing w:before="0" w:after="0"/>
              <w:ind w:left="0" w:right="0" w:firstLine="0"/>
              <w:jc w:val="left"/>
              <w:rPr>
                <w:shd w:val="nil" w:color="auto" w:fill="auto"/>
                <w:rtl w:val="0"/>
              </w:rPr>
            </w:pPr>
            <w:r>
              <w:rPr>
                <w:rFonts w:ascii="Arial" w:hAnsi="Arial"/>
                <w:b w:val="1"/>
                <w:bCs w:val="1"/>
                <w:sz w:val="22"/>
                <w:szCs w:val="22"/>
                <w:shd w:val="nil" w:color="auto" w:fill="auto"/>
                <w:rtl w:val="0"/>
                <w:lang w:val="en-US"/>
              </w:rPr>
              <w:t>For completion by Marker 2/Moderator:</w:t>
            </w:r>
          </w:p>
          <w:p>
            <w:pPr>
              <w:pStyle w:val="Normal (Web)"/>
              <w:spacing w:before="0" w:after="0"/>
              <w:rPr>
                <w:rFonts w:ascii="Arial" w:cs="Arial" w:hAnsi="Arial" w:eastAsia="Arial"/>
                <w:b w:val="1"/>
                <w:bCs w:val="1"/>
                <w:sz w:val="22"/>
                <w:szCs w:val="22"/>
                <w:shd w:val="nil" w:color="auto" w:fill="auto"/>
              </w:rPr>
            </w:pPr>
          </w:p>
          <w:p>
            <w:pPr>
              <w:pStyle w:val="Normal (Web)"/>
              <w:bidi w:val="0"/>
              <w:spacing w:before="0" w:after="0"/>
              <w:ind w:left="0" w:right="0" w:firstLine="0"/>
              <w:jc w:val="left"/>
              <w:rPr>
                <w:shd w:val="nil" w:color="auto" w:fill="auto"/>
                <w:rtl w:val="0"/>
              </w:rPr>
            </w:pPr>
            <w:r>
              <w:rPr>
                <w:rFonts w:ascii="Arial" w:hAnsi="Arial"/>
                <w:sz w:val="22"/>
                <w:szCs w:val="22"/>
                <w:shd w:val="nil" w:color="auto" w:fill="auto"/>
                <w:rtl w:val="0"/>
                <w:lang w:val="en-US"/>
              </w:rPr>
              <w:t>Comments:</w:t>
            </w:r>
          </w:p>
          <w:p>
            <w:pPr>
              <w:pStyle w:val="Normal (Web)"/>
              <w:spacing w:before="0" w:after="0"/>
            </w:pPr>
            <w:r>
              <w:rPr>
                <w:rFonts w:ascii="Arial" w:cs="Arial" w:hAnsi="Arial" w:eastAsia="Arial"/>
                <w:sz w:val="22"/>
                <w:szCs w:val="22"/>
                <w:shd w:val="nil" w:color="auto" w:fill="auto"/>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rPr>
              <w:t>Marker</w:t>
            </w:r>
            <w:r>
              <w:rPr>
                <w:rFonts w:ascii="Arial" w:hAnsi="Arial" w:hint="default"/>
                <w:sz w:val="22"/>
                <w:szCs w:val="22"/>
                <w:shd w:val="nil" w:color="auto" w:fill="auto"/>
                <w:rtl w:val="1"/>
              </w:rPr>
              <w:t>’</w:t>
            </w:r>
            <w:r>
              <w:rPr>
                <w:rFonts w:ascii="Arial" w:hAnsi="Arial"/>
                <w:sz w:val="22"/>
                <w:szCs w:val="22"/>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Normal (Web)"/>
              <w:spacing w:before="0" w:after="0"/>
            </w:pPr>
            <w:r>
              <w:rPr>
                <w:rFonts w:ascii="Arial" w:hAnsi="Arial"/>
                <w:sz w:val="22"/>
                <w:szCs w:val="22"/>
                <w:shd w:val="nil" w:color="auto" w:fill="auto"/>
                <w:rtl w:val="0"/>
                <w:lang w:val="de-DE"/>
              </w:rPr>
              <w:t>Date:</w:t>
            </w:r>
          </w:p>
        </w:tc>
      </w:tr>
      <w:tr>
        <w:tblPrEx>
          <w:shd w:val="clear" w:color="auto" w:fill="ced7e7"/>
        </w:tblPrEx>
        <w:trPr>
          <w:trHeight w:val="56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b w:val="1"/>
                <w:bCs w:val="1"/>
                <w:sz w:val="22"/>
                <w:szCs w:val="22"/>
                <w:u w:color="000000"/>
                <w:shd w:val="nil" w:color="auto" w:fill="auto"/>
                <w:rtl w:val="0"/>
                <w:lang w:val="pt-PT"/>
              </w:rPr>
              <w:t>External Examiner</w:t>
            </w:r>
            <w:r>
              <w:rPr>
                <w:rFonts w:ascii="Arial" w:hAnsi="Arial" w:hint="default"/>
                <w:b w:val="1"/>
                <w:bCs w:val="1"/>
                <w:sz w:val="22"/>
                <w:szCs w:val="22"/>
                <w:u w:color="000000"/>
                <w:shd w:val="nil" w:color="auto" w:fill="auto"/>
                <w:rtl w:val="1"/>
              </w:rPr>
              <w:t>’</w:t>
            </w:r>
            <w:r>
              <w:rPr>
                <w:rFonts w:ascii="Arial" w:hAnsi="Arial"/>
                <w:b w:val="1"/>
                <w:bCs w:val="1"/>
                <w:sz w:val="22"/>
                <w:szCs w:val="22"/>
                <w:u w:color="000000"/>
                <w:shd w:val="nil" w:color="auto" w:fill="auto"/>
                <w:rtl w:val="0"/>
                <w:lang w:val="en-US"/>
              </w:rPr>
              <w:t>s comments (if relevant)</w:t>
            </w:r>
            <w:r>
              <w:rPr>
                <w:rFonts w:ascii="Times New Roman" w:cs="Times New Roman" w:hAnsi="Times New Roman" w:eastAsia="Times New Roman"/>
                <w:u w:color="000000"/>
                <w:shd w:val="nil" w:color="auto" w:fill="auto"/>
                <w:rtl w:val="0"/>
              </w:rPr>
            </w:r>
          </w:p>
        </w:tc>
      </w:tr>
      <w:tr>
        <w:tblPrEx>
          <w:shd w:val="clear" w:color="auto" w:fill="ced7e7"/>
        </w:tblPrEx>
        <w:trPr>
          <w:trHeight w:val="243"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pt-PT"/>
              </w:rPr>
              <w:t>External Examiner</w:t>
            </w:r>
            <w:r>
              <w:rPr>
                <w:rFonts w:ascii="Arial" w:hAnsi="Arial" w:hint="default"/>
                <w:sz w:val="22"/>
                <w:szCs w:val="22"/>
                <w:u w:color="000000"/>
                <w:shd w:val="nil" w:color="auto" w:fill="auto"/>
                <w:rtl w:val="1"/>
              </w:rPr>
              <w:t>’</w:t>
            </w:r>
            <w:r>
              <w:rPr>
                <w:rFonts w:ascii="Arial" w:hAnsi="Arial"/>
                <w:sz w:val="22"/>
                <w:szCs w:val="22"/>
                <w:u w:color="000000"/>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bidi w:val="0"/>
              <w:spacing w:before="0"/>
              <w:ind w:left="0" w:right="0" w:firstLine="0"/>
              <w:jc w:val="left"/>
              <w:rPr>
                <w:rtl w:val="0"/>
              </w:rPr>
            </w:pPr>
            <w:r>
              <w:rPr>
                <w:rFonts w:ascii="Arial" w:hAnsi="Arial"/>
                <w:sz w:val="22"/>
                <w:szCs w:val="22"/>
                <w:u w:color="000000"/>
                <w:shd w:val="nil" w:color="auto" w:fill="auto"/>
                <w:rtl w:val="0"/>
                <w:lang w:val="de-DE"/>
              </w:rPr>
              <w:t>Date:</w:t>
            </w:r>
          </w:p>
        </w:tc>
      </w:tr>
    </w:tbl>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center"/>
        <w:rPr>
          <w:rFonts w:ascii="Trebuchet MS" w:cs="Trebuchet MS" w:hAnsi="Trebuchet MS" w:eastAsia="Trebuchet MS"/>
          <w:b w:val="1"/>
          <w:bCs w:val="1"/>
        </w:rPr>
      </w:pPr>
    </w:p>
    <w:p>
      <w:pPr>
        <w:pStyle w:val="Heading 3"/>
        <w:keepNext w:val="0"/>
        <w:widowControl w:val="0"/>
        <w:ind w:left="0" w:firstLine="0"/>
        <w:jc w:val="center"/>
        <w:rPr>
          <w:rFonts w:ascii="Trebuchet MS" w:cs="Trebuchet MS" w:hAnsi="Trebuchet MS" w:eastAsia="Trebuchet MS"/>
          <w:b w:val="1"/>
          <w:bCs w:val="1"/>
        </w:rPr>
      </w:pPr>
    </w:p>
    <w:p>
      <w:pPr>
        <w:pStyle w:val="Heading 3"/>
        <w:widowControl w:val="0"/>
        <w:ind w:left="0" w:firstLine="0"/>
        <w:jc w:val="center"/>
        <w:rPr>
          <w:rFonts w:ascii="Trebuchet MS" w:cs="Trebuchet MS" w:hAnsi="Trebuchet MS" w:eastAsia="Trebuchet MS"/>
          <w:b w:val="1"/>
          <w:bCs w:val="1"/>
        </w:rPr>
      </w:pPr>
    </w:p>
    <w:p>
      <w:pPr>
        <w:pStyle w:val="Heading 3"/>
        <w:widowControl w:val="0"/>
        <w:ind w:left="0" w:firstLine="0"/>
        <w:jc w:val="center"/>
        <w:sectPr>
          <w:headerReference w:type="default" r:id="rId5"/>
          <w:footerReference w:type="default" r:id="rId6"/>
          <w:pgSz w:w="12240" w:h="15840" w:orient="portrait"/>
          <w:pgMar w:top="1134" w:right="1134" w:bottom="1134" w:left="1134" w:header="567" w:footer="720"/>
          <w:pgNumType w:start="1"/>
          <w:bidi w:val="0"/>
        </w:sect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32"/>
          <w:szCs w:val="32"/>
        </w:rPr>
      </w:pPr>
      <w:r>
        <w:rPr>
          <w:rFonts w:ascii="Palatino" w:hAnsi="Palatino"/>
          <w:sz w:val="32"/>
          <w:szCs w:val="32"/>
          <w:rtl w:val="0"/>
          <w:lang w:val="en-US"/>
        </w:rPr>
        <w:t>A Critical Comparison of two Secondary Sources</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6"/>
          <w:szCs w:val="26"/>
        </w:rPr>
      </w:pPr>
      <w:r>
        <w:rPr>
          <w:rFonts w:ascii="Palatino" w:hAnsi="Palatino"/>
          <w:sz w:val="26"/>
          <w:szCs w:val="26"/>
          <w:rtl w:val="0"/>
          <w:lang w:val="en-US"/>
        </w:rPr>
        <w:t>Tina Jensen Friis Auster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Sophia Centre for the Study of Cosmology in Culture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University of Wales Trinity Saint David, Institute of Education and Humanities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32"/>
          <w:szCs w:val="3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32"/>
          <w:szCs w:val="3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Introduction</w:t>
      </w:r>
    </w:p>
    <w:p>
      <w:pPr>
        <w:pStyle w:val="Body"/>
        <w:spacing w:before="0"/>
        <w:rPr>
          <w:rFonts w:ascii="Palatino" w:cs="Palatino" w:hAnsi="Palatino" w:eastAsia="Palatino"/>
          <w:sz w:val="22"/>
          <w:szCs w:val="22"/>
        </w:rPr>
      </w:pPr>
      <w:r>
        <w:rPr>
          <w:rFonts w:ascii="Palatino" w:hAnsi="Palatino"/>
          <w:sz w:val="22"/>
          <w:szCs w:val="22"/>
          <w:rtl w:val="0"/>
          <w:lang w:val="en-US"/>
        </w:rPr>
        <w:t>This essay critically compares and contrasts Gillian Bennet</w:t>
      </w:r>
      <w:r>
        <w:rPr>
          <w:rFonts w:ascii="Palatino" w:hAnsi="Palatino" w:hint="default"/>
          <w:sz w:val="22"/>
          <w:szCs w:val="22"/>
          <w:rtl w:val="0"/>
          <w:lang w:val="en-US"/>
        </w:rPr>
        <w:t>’</w:t>
      </w:r>
      <w:r>
        <w:rPr>
          <w:rFonts w:ascii="Palatino" w:hAnsi="Palatino"/>
          <w:sz w:val="22"/>
          <w:szCs w:val="22"/>
          <w:rtl w:val="0"/>
          <w:lang w:val="en-US"/>
        </w:rPr>
        <w:t xml:space="preserve">s paper </w:t>
      </w:r>
      <w:r>
        <w:rPr>
          <w:rFonts w:ascii="Palatino" w:hAnsi="Palatino" w:hint="default"/>
          <w:sz w:val="22"/>
          <w:szCs w:val="22"/>
          <w:rtl w:val="0"/>
          <w:lang w:val="en-US"/>
        </w:rPr>
        <w:t>‘“</w:t>
      </w:r>
      <w:r>
        <w:rPr>
          <w:rFonts w:ascii="Palatino" w:hAnsi="Palatino"/>
          <w:sz w:val="22"/>
          <w:szCs w:val="22"/>
          <w:rtl w:val="0"/>
          <w:lang w:val="en-US"/>
        </w:rPr>
        <w:t xml:space="preserve">If I Knew You </w:t>
      </w:r>
      <w:r>
        <w:rPr>
          <w:rFonts w:ascii="Palatino" w:hAnsi="Palatino"/>
          <w:sz w:val="22"/>
          <w:szCs w:val="22"/>
          <w:rtl w:val="0"/>
          <w:lang w:val="en-US"/>
        </w:rPr>
        <w:t>W</w:t>
      </w:r>
      <w:r>
        <w:rPr>
          <w:rFonts w:ascii="Palatino" w:hAnsi="Palatino"/>
          <w:sz w:val="22"/>
          <w:szCs w:val="22"/>
          <w:rtl w:val="0"/>
          <w:lang w:val="en-US"/>
        </w:rPr>
        <w:t>ere Coming I'd Have Baked a Cake</w:t>
      </w:r>
      <w:r>
        <w:rPr>
          <w:rFonts w:ascii="Palatino" w:hAnsi="Palatino" w:hint="default"/>
          <w:sz w:val="22"/>
          <w:szCs w:val="22"/>
          <w:rtl w:val="0"/>
          <w:lang w:val="en-US"/>
        </w:rPr>
        <w:t>”</w:t>
      </w:r>
      <w:r>
        <w:rPr>
          <w:rFonts w:ascii="Palatino" w:hAnsi="Palatino"/>
          <w:sz w:val="22"/>
          <w:szCs w:val="22"/>
          <w:rtl w:val="0"/>
          <w:lang w:val="en-US"/>
        </w:rPr>
        <w:t>: The Folklore of Foreknowledge in a Neighborhood Group</w:t>
      </w:r>
      <w:r>
        <w:rPr>
          <w:rFonts w:ascii="Palatino" w:hAnsi="Palatino" w:hint="default"/>
          <w:sz w:val="22"/>
          <w:szCs w:val="22"/>
          <w:rtl w:val="0"/>
          <w:lang w:val="en-US"/>
        </w:rPr>
        <w:t xml:space="preserve">’ </w:t>
      </w:r>
      <w:r>
        <w:rPr>
          <w:rFonts w:ascii="Palatino" w:hAnsi="Palatino"/>
          <w:sz w:val="22"/>
          <w:szCs w:val="22"/>
          <w:rtl w:val="0"/>
          <w:lang w:val="en-US"/>
        </w:rPr>
        <w:t xml:space="preserve">with Jenny </w:t>
      </w:r>
      <w:r>
        <w:rPr>
          <w:rFonts w:ascii="Palatino" w:hAnsi="Palatino"/>
          <w:sz w:val="22"/>
          <w:szCs w:val="22"/>
          <w:rtl w:val="0"/>
        </w:rPr>
        <w:t>Blain</w:t>
      </w:r>
      <w:r>
        <w:rPr>
          <w:rFonts w:ascii="Palatino" w:hAnsi="Palatino" w:hint="default"/>
          <w:sz w:val="22"/>
          <w:szCs w:val="22"/>
          <w:rtl w:val="0"/>
          <w:lang w:val="en-US"/>
        </w:rPr>
        <w:t>’</w:t>
      </w:r>
      <w:r>
        <w:rPr>
          <w:rFonts w:ascii="Palatino" w:hAnsi="Palatino"/>
          <w:sz w:val="22"/>
          <w:szCs w:val="22"/>
          <w:rtl w:val="0"/>
          <w:lang w:val="en-US"/>
        </w:rPr>
        <w:t xml:space="preserve">s paper </w:t>
      </w:r>
      <w:r>
        <w:rPr>
          <w:rFonts w:ascii="Palatino" w:hAnsi="Palatino" w:hint="default"/>
          <w:sz w:val="22"/>
          <w:szCs w:val="22"/>
          <w:rtl w:val="0"/>
          <w:lang w:val="en-US"/>
        </w:rPr>
        <w:t>‘</w:t>
      </w:r>
      <w:r>
        <w:rPr>
          <w:rFonts w:ascii="Palatino" w:hAnsi="Palatino"/>
          <w:sz w:val="22"/>
          <w:szCs w:val="22"/>
          <w:rtl w:val="0"/>
          <w:lang w:val="en-US"/>
        </w:rPr>
        <w:t>Speaking Shamanistically: Seidr, Academia and Rationality</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1"/>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Both papers discussed aspects of a culture, folklore, through study and stories.  </w:t>
      </w:r>
      <w:r>
        <w:rPr>
          <w:rFonts w:ascii="Palatino" w:hAnsi="Palatino"/>
          <w:sz w:val="22"/>
          <w:szCs w:val="22"/>
          <w:rtl w:val="0"/>
          <w:lang w:val="en-US"/>
        </w:rPr>
        <w:t xml:space="preserve">The essay will discuss the similarities and differences within the two sources, with particular focus on methodology, the insider/outsider continuum and </w:t>
      </w:r>
      <w:r>
        <w:rPr>
          <w:rFonts w:ascii="Palatino" w:hAnsi="Palatino"/>
          <w:sz w:val="22"/>
          <w:szCs w:val="22"/>
          <w:rtl w:val="0"/>
          <w:lang w:val="da-DK"/>
        </w:rPr>
        <w:t xml:space="preserve">a </w:t>
      </w:r>
      <w:r>
        <w:rPr>
          <w:rFonts w:ascii="Palatino" w:hAnsi="Palatino"/>
          <w:sz w:val="22"/>
          <w:szCs w:val="22"/>
          <w:rtl w:val="0"/>
          <w:lang w:val="en-US"/>
        </w:rPr>
        <w:t xml:space="preserve">literature review </w:t>
      </w:r>
      <w:r>
        <w:rPr>
          <w:rFonts w:ascii="Palatino" w:hAnsi="Palatino"/>
          <w:sz w:val="22"/>
          <w:szCs w:val="22"/>
          <w:rtl w:val="0"/>
          <w:lang w:val="en-US"/>
        </w:rPr>
        <w:t xml:space="preserve">from the aspect of the authors intentions, as described in the sources on qualitative research. </w:t>
      </w:r>
      <w:r>
        <w:rPr>
          <w:rFonts w:ascii="Palatino" w:cs="Palatino" w:hAnsi="Palatino" w:eastAsia="Palatino"/>
          <w:sz w:val="22"/>
          <w:szCs w:val="22"/>
          <w:vertAlign w:val="superscript"/>
        </w:rPr>
        <w:footnoteReference w:id="2"/>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Context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7"/>
          <w:footerReference w:type="default" r:id="rId8"/>
          <w:pgSz w:w="12240" w:h="15840" w:orient="portrait"/>
          <w:pgMar w:top="1134" w:right="1134" w:bottom="1134" w:left="1134" w:header="567" w:footer="720"/>
          <w:pgNumType w:start="1"/>
          <w:bidi w:val="0"/>
        </w:sectPr>
      </w:pPr>
      <w:r>
        <w:rPr>
          <w:rFonts w:ascii="Palatino" w:hAnsi="Palatino"/>
          <w:sz w:val="22"/>
          <w:szCs w:val="22"/>
          <w:rtl w:val="0"/>
          <w:lang w:val="en-US"/>
        </w:rPr>
        <w:t>Gillian Bennett</w:t>
      </w:r>
      <w:r>
        <w:rPr>
          <w:rFonts w:ascii="Palatino" w:hAnsi="Palatino" w:hint="default"/>
          <w:sz w:val="22"/>
          <w:szCs w:val="22"/>
          <w:rtl w:val="0"/>
          <w:lang w:val="en-US"/>
        </w:rPr>
        <w:t>’</w:t>
      </w:r>
      <w:r>
        <w:rPr>
          <w:rFonts w:ascii="Palatino" w:hAnsi="Palatino"/>
          <w:sz w:val="22"/>
          <w:szCs w:val="22"/>
          <w:rtl w:val="0"/>
          <w:lang w:val="en-US"/>
        </w:rPr>
        <w:t xml:space="preserve">s paper can be found in a book published in 1995, which is proceedings from the </w:t>
      </w:r>
      <w:r>
        <w:rPr>
          <w:rFonts w:ascii="Palatino" w:hAnsi="Palatino"/>
          <w:sz w:val="22"/>
          <w:szCs w:val="22"/>
          <w:rtl w:val="0"/>
          <w:lang w:val="en-US"/>
        </w:rPr>
        <w:t>Utah State University</w:t>
      </w:r>
      <w:r>
        <w:rPr>
          <w:rFonts w:ascii="Palatino" w:hAnsi="Palatino" w:hint="default"/>
          <w:sz w:val="22"/>
          <w:szCs w:val="22"/>
          <w:rtl w:val="0"/>
          <w:lang w:val="en-US"/>
        </w:rPr>
        <w:t>’</w:t>
      </w:r>
      <w:r>
        <w:rPr>
          <w:rFonts w:ascii="Palatino" w:hAnsi="Palatino"/>
          <w:sz w:val="22"/>
          <w:szCs w:val="22"/>
          <w:rtl w:val="0"/>
          <w:lang w:val="en-US"/>
        </w:rPr>
        <w:t>s</w:t>
      </w:r>
      <w:r>
        <w:rPr>
          <w:rFonts w:ascii="Palatino" w:hAnsi="Palatino"/>
          <w:sz w:val="22"/>
          <w:szCs w:val="22"/>
          <w:rtl w:val="0"/>
          <w:lang w:val="en-US"/>
        </w:rPr>
        <w:t xml:space="preserve"> 1991 Fife Conference on folklore and the supernatural. </w:t>
      </w:r>
      <w:r>
        <w:rPr>
          <w:rFonts w:ascii="Palatino" w:cs="Palatino" w:hAnsi="Palatino" w:eastAsia="Palatino"/>
          <w:sz w:val="22"/>
          <w:szCs w:val="22"/>
          <w:vertAlign w:val="superscript"/>
        </w:rPr>
        <w:footnoteReference w:id="3"/>
      </w:r>
      <w:r>
        <w:rPr>
          <w:rFonts w:ascii="Palatino" w:hAnsi="Palatino"/>
          <w:sz w:val="22"/>
          <w:szCs w:val="22"/>
          <w:rtl w:val="0"/>
          <w:lang w:val="en-US"/>
        </w:rPr>
        <w:t xml:space="preserve">  The paper discussed the foreknowledge and folklore between a group of elderly women </w:t>
      </w:r>
      <w:r>
        <w:rPr>
          <w:rFonts w:ascii="Palatino" w:hAnsi="Palatino"/>
          <w:sz w:val="22"/>
          <w:szCs w:val="22"/>
          <w:rtl w:val="0"/>
          <w:lang w:val="en-US"/>
        </w:rPr>
        <w:t>in the author</w:t>
      </w:r>
      <w:r>
        <w:rPr>
          <w:rFonts w:ascii="Palatino" w:hAnsi="Palatino" w:hint="default"/>
          <w:sz w:val="22"/>
          <w:szCs w:val="22"/>
          <w:rtl w:val="0"/>
          <w:lang w:val="en-US"/>
        </w:rPr>
        <w:t>’</w:t>
      </w:r>
      <w:r>
        <w:rPr>
          <w:rFonts w:ascii="Palatino" w:hAnsi="Palatino"/>
          <w:sz w:val="22"/>
          <w:szCs w:val="22"/>
          <w:rtl w:val="0"/>
          <w:lang w:val="en-US"/>
        </w:rPr>
        <w:t>s hometown</w:t>
      </w:r>
      <w:r>
        <w:rPr>
          <w:rFonts w:ascii="Palatino" w:hAnsi="Palatino"/>
          <w:sz w:val="22"/>
          <w:szCs w:val="22"/>
          <w:rtl w:val="0"/>
          <w:lang w:val="en-US"/>
        </w:rPr>
        <w:t>.  The 120 participants were interviewed at the podiatrist clinic of the author</w:t>
      </w:r>
      <w:r>
        <w:rPr>
          <w:rFonts w:ascii="Palatino" w:hAnsi="Palatino" w:hint="default"/>
          <w:sz w:val="22"/>
          <w:szCs w:val="22"/>
          <w:rtl w:val="0"/>
          <w:lang w:val="en-US"/>
        </w:rPr>
        <w:t>’</w:t>
      </w:r>
      <w:r>
        <w:rPr>
          <w:rFonts w:ascii="Palatino" w:hAnsi="Palatino"/>
          <w:sz w:val="22"/>
          <w:szCs w:val="22"/>
          <w:rtl w:val="0"/>
          <w:lang w:val="en-US"/>
        </w:rPr>
        <w:t xml:space="preserve">s father, during treatment.  It </w:t>
      </w:r>
      <w:r>
        <w:rPr>
          <w:rFonts w:ascii="Palatino" w:hAnsi="Palatino"/>
          <w:sz w:val="22"/>
          <w:szCs w:val="22"/>
          <w:rtl w:val="0"/>
          <w:lang w:val="en-US"/>
        </w:rPr>
        <w:t>further discussed how the author expected the women</w:t>
      </w:r>
      <w:r>
        <w:rPr>
          <w:rFonts w:ascii="Palatino" w:hAnsi="Palatino" w:hint="default"/>
          <w:sz w:val="22"/>
          <w:szCs w:val="22"/>
          <w:rtl w:val="0"/>
          <w:lang w:val="en-US"/>
        </w:rPr>
        <w:t>’</w:t>
      </w:r>
      <w:r>
        <w:rPr>
          <w:rFonts w:ascii="Palatino" w:hAnsi="Palatino"/>
          <w:sz w:val="22"/>
          <w:szCs w:val="22"/>
          <w:rtl w:val="0"/>
          <w:lang w:val="en-US"/>
        </w:rPr>
        <w:t>s life to shape their shared folklore.  The author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has published other works on folklore, storytelling and belief since the nineteen-eighties. </w:t>
      </w:r>
      <w:r>
        <w:rPr>
          <w:rFonts w:ascii="Palatino" w:cs="Palatino" w:hAnsi="Palatino" w:eastAsia="Palatino"/>
          <w:sz w:val="22"/>
          <w:szCs w:val="22"/>
          <w:vertAlign w:val="superscript"/>
        </w:rPr>
        <w:footnoteReference w:id="4"/>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Jenny Blain</w:t>
      </w:r>
      <w:r>
        <w:rPr>
          <w:rFonts w:ascii="Palatino" w:hAnsi="Palatino" w:hint="default"/>
          <w:sz w:val="22"/>
          <w:szCs w:val="22"/>
          <w:rtl w:val="0"/>
          <w:lang w:val="en-US"/>
        </w:rPr>
        <w:t>’</w:t>
      </w:r>
      <w:r>
        <w:rPr>
          <w:rFonts w:ascii="Palatino" w:hAnsi="Palatino"/>
          <w:sz w:val="22"/>
          <w:szCs w:val="22"/>
          <w:rtl w:val="0"/>
          <w:lang w:val="en-US"/>
        </w:rPr>
        <w:t xml:space="preserve">s paper was published in the journal </w:t>
      </w:r>
      <w:r>
        <w:rPr>
          <w:rFonts w:ascii="Palatino" w:hAnsi="Palatino"/>
          <w:i w:val="1"/>
          <w:iCs w:val="1"/>
          <w:sz w:val="22"/>
          <w:szCs w:val="22"/>
          <w:rtl w:val="0"/>
          <w:lang w:val="en-US"/>
        </w:rPr>
        <w:t>Diskus</w:t>
      </w:r>
      <w:r>
        <w:rPr>
          <w:rFonts w:ascii="Palatino" w:hAnsi="Palatino"/>
          <w:sz w:val="22"/>
          <w:szCs w:val="22"/>
          <w:rtl w:val="0"/>
          <w:lang w:val="en-US"/>
        </w:rPr>
        <w:t xml:space="preserve"> in 2000. </w:t>
      </w:r>
      <w:r>
        <w:rPr>
          <w:rFonts w:ascii="Palatino" w:cs="Palatino" w:hAnsi="Palatino" w:eastAsia="Palatino"/>
          <w:sz w:val="22"/>
          <w:szCs w:val="22"/>
          <w:vertAlign w:val="superscript"/>
        </w:rPr>
        <w:footnoteReference w:id="5"/>
      </w:r>
      <w:r>
        <w:rPr>
          <w:rFonts w:ascii="Palatino" w:hAnsi="Palatino"/>
          <w:sz w:val="22"/>
          <w:szCs w:val="22"/>
          <w:rtl w:val="0"/>
          <w:lang w:val="en-US"/>
        </w:rPr>
        <w:t xml:space="preserve">  A previous version of the paper was</w:t>
      </w:r>
      <w:r>
        <w:rPr>
          <w:rFonts w:ascii="Palatino" w:hAnsi="Palatino"/>
          <w:sz w:val="22"/>
          <w:szCs w:val="22"/>
          <w:rtl w:val="0"/>
          <w:lang w:val="da-DK"/>
        </w:rPr>
        <w:t>,</w:t>
      </w:r>
      <w:r>
        <w:rPr>
          <w:rFonts w:ascii="Palatino" w:hAnsi="Palatino"/>
          <w:sz w:val="22"/>
          <w:szCs w:val="22"/>
          <w:rtl w:val="0"/>
          <w:lang w:val="en-US"/>
        </w:rPr>
        <w:t xml:space="preserve"> however</w:t>
      </w:r>
      <w:r>
        <w:rPr>
          <w:rFonts w:ascii="Palatino" w:hAnsi="Palatino"/>
          <w:sz w:val="22"/>
          <w:szCs w:val="22"/>
          <w:rtl w:val="0"/>
          <w:lang w:val="da-DK"/>
        </w:rPr>
        <w:t>,</w:t>
      </w:r>
      <w:r>
        <w:rPr>
          <w:rFonts w:ascii="Palatino" w:hAnsi="Palatino"/>
          <w:sz w:val="22"/>
          <w:szCs w:val="22"/>
          <w:rtl w:val="0"/>
          <w:lang w:val="en-US"/>
        </w:rPr>
        <w:t xml:space="preserve"> given at a folklore conference in 1999.  The paper discussed the practices of </w:t>
      </w:r>
      <w:r>
        <w:rPr>
          <w:rFonts w:ascii="Palatino" w:hAnsi="Palatino" w:hint="default"/>
          <w:sz w:val="22"/>
          <w:szCs w:val="22"/>
          <w:rtl w:val="0"/>
          <w:lang w:val="en-US"/>
        </w:rPr>
        <w:t>‘</w:t>
      </w:r>
      <w:r>
        <w:rPr>
          <w:rFonts w:ascii="Palatino" w:hAnsi="Palatino"/>
          <w:sz w:val="22"/>
          <w:szCs w:val="22"/>
          <w:rtl w:val="0"/>
          <w:lang w:val="en-US"/>
        </w:rPr>
        <w:t>Seidr</w:t>
      </w:r>
      <w:r>
        <w:rPr>
          <w:rFonts w:ascii="Palatino" w:hAnsi="Palatino" w:hint="default"/>
          <w:sz w:val="22"/>
          <w:szCs w:val="22"/>
          <w:rtl w:val="0"/>
          <w:lang w:val="en-US"/>
        </w:rPr>
        <w:t>’</w:t>
      </w:r>
      <w:r>
        <w:rPr>
          <w:rFonts w:ascii="Palatino" w:hAnsi="Palatino"/>
          <w:sz w:val="22"/>
          <w:szCs w:val="22"/>
          <w:rtl w:val="0"/>
          <w:lang w:val="en-US"/>
        </w:rPr>
        <w:t xml:space="preserve">, a nordic shamanic practice, being reconstituted in North America and Europe.  The author addressed the seance practice and theory as well as the methodology relating to ethnography/anthropology, and explored the insider and outsider position through personal experience.   The paper was written when the author was a senior lecturer in sociology at Sheffield Hallam University, followed by other papers published up to </w:t>
      </w:r>
      <w:r>
        <w:rPr>
          <w:rFonts w:ascii="Palatino" w:hAnsi="Palatino"/>
          <w:sz w:val="22"/>
          <w:szCs w:val="22"/>
          <w:rtl w:val="0"/>
          <w:lang w:val="da-DK"/>
        </w:rPr>
        <w:t xml:space="preserve">the </w:t>
      </w:r>
      <w:r>
        <w:rPr>
          <w:rFonts w:ascii="Palatino" w:hAnsi="Palatino"/>
          <w:sz w:val="22"/>
          <w:szCs w:val="22"/>
          <w:rtl w:val="0"/>
          <w:lang w:val="en-US"/>
        </w:rPr>
        <w:t xml:space="preserve">present day. </w:t>
      </w:r>
      <w:r>
        <w:rPr>
          <w:rFonts w:ascii="Palatino" w:cs="Palatino" w:hAnsi="Palatino" w:eastAsia="Palatino"/>
          <w:sz w:val="22"/>
          <w:szCs w:val="22"/>
          <w:vertAlign w:val="superscript"/>
        </w:rPr>
        <w:footnoteReference w:id="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Summary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The paper by Bennet initially offered a historical perspective of British traditions through texts and other studies. </w:t>
      </w:r>
      <w:r>
        <w:rPr>
          <w:rFonts w:ascii="Palatino" w:cs="Palatino" w:hAnsi="Palatino" w:eastAsia="Palatino"/>
          <w:sz w:val="22"/>
          <w:szCs w:val="22"/>
          <w:vertAlign w:val="superscript"/>
        </w:rPr>
        <w:footnoteReference w:id="7"/>
      </w:r>
      <w:r>
        <w:rPr>
          <w:rFonts w:ascii="Palatino" w:hAnsi="Palatino"/>
          <w:sz w:val="22"/>
          <w:szCs w:val="22"/>
          <w:rtl w:val="0"/>
          <w:lang w:val="en-US"/>
        </w:rPr>
        <w:t xml:space="preserve">  Having presented the interview methodology used in the study, the author discussed the findings and observations relating to foreknowledge among the 120 interviewed women.  Aspects such as beliefs, age, values, roles, interests and attitudes were examined through narratives from the interviews, from which Bennett concluded that more studies were needed: </w:t>
      </w:r>
      <w:r>
        <w:rPr>
          <w:rFonts w:ascii="Palatino" w:hAnsi="Palatino" w:hint="default"/>
          <w:sz w:val="22"/>
          <w:szCs w:val="22"/>
          <w:rtl w:val="0"/>
          <w:lang w:val="en-US"/>
        </w:rPr>
        <w:t>‘</w:t>
      </w:r>
      <w:r>
        <w:rPr>
          <w:rFonts w:ascii="Palatino" w:hAnsi="Palatino"/>
          <w:sz w:val="22"/>
          <w:szCs w:val="22"/>
          <w:rtl w:val="0"/>
          <w:lang w:val="en-US"/>
        </w:rPr>
        <w:t>I hope that my own work may at least show what a wealth of folklore there is to be explored in even the most prosaic of everyday surroundings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8"/>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i w:val="1"/>
          <w:iCs w:val="1"/>
          <w:sz w:val="22"/>
          <w:szCs w:val="22"/>
          <w:rtl w:val="0"/>
          <w:lang w:val="en-US"/>
        </w:rPr>
        <w:t>Speaking Shamanistically</w:t>
      </w:r>
      <w:r>
        <w:rPr>
          <w:rFonts w:ascii="Palatino" w:hAnsi="Palatino"/>
          <w:sz w:val="22"/>
          <w:szCs w:val="22"/>
          <w:rtl w:val="0"/>
          <w:lang w:val="en-US"/>
        </w:rPr>
        <w:t xml:space="preserve"> described the theory and practice of </w:t>
      </w:r>
      <w:r>
        <w:rPr>
          <w:rFonts w:ascii="Palatino" w:hAnsi="Palatino" w:hint="default"/>
          <w:sz w:val="22"/>
          <w:szCs w:val="22"/>
          <w:rtl w:val="0"/>
          <w:lang w:val="en-US"/>
        </w:rPr>
        <w:t>‘</w:t>
      </w:r>
      <w:r>
        <w:rPr>
          <w:rFonts w:ascii="Palatino" w:hAnsi="Palatino"/>
          <w:sz w:val="22"/>
          <w:szCs w:val="22"/>
          <w:rtl w:val="0"/>
          <w:lang w:val="en-US"/>
        </w:rPr>
        <w:t>Seidr</w:t>
      </w:r>
      <w:r>
        <w:rPr>
          <w:rFonts w:ascii="Palatino" w:hAnsi="Palatino" w:hint="default"/>
          <w:sz w:val="22"/>
          <w:szCs w:val="22"/>
          <w:rtl w:val="0"/>
          <w:lang w:val="en-US"/>
        </w:rPr>
        <w:t xml:space="preserve">’ </w:t>
      </w:r>
      <w:r>
        <w:rPr>
          <w:rFonts w:ascii="Palatino" w:hAnsi="Palatino"/>
          <w:sz w:val="22"/>
          <w:szCs w:val="22"/>
          <w:rtl w:val="0"/>
          <w:lang w:val="en-US"/>
        </w:rPr>
        <w:t>shamanistic seances.  The author discussed the anthropologist</w:t>
      </w:r>
      <w:r>
        <w:rPr>
          <w:rFonts w:ascii="Palatino" w:hAnsi="Palatino" w:hint="default"/>
          <w:sz w:val="22"/>
          <w:szCs w:val="22"/>
          <w:rtl w:val="0"/>
          <w:lang w:val="en-US"/>
        </w:rPr>
        <w:t>’</w:t>
      </w:r>
      <w:r>
        <w:rPr>
          <w:rFonts w:ascii="Palatino" w:hAnsi="Palatino"/>
          <w:sz w:val="22"/>
          <w:szCs w:val="22"/>
          <w:rtl w:val="0"/>
          <w:lang w:val="en-US"/>
        </w:rPr>
        <w:t>s role and debated its relation to the study through</w:t>
      </w:r>
      <w:r>
        <w:rPr>
          <w:rFonts w:ascii="Palatino" w:hAnsi="Palatino"/>
          <w:sz w:val="22"/>
          <w:szCs w:val="22"/>
          <w:rtl w:val="0"/>
          <w:lang w:val="en-US"/>
        </w:rPr>
        <w:t xml:space="preserve"> the researcher</w:t>
      </w:r>
      <w:r>
        <w:rPr>
          <w:rFonts w:ascii="Palatino" w:hAnsi="Palatino" w:hint="default"/>
          <w:sz w:val="22"/>
          <w:szCs w:val="22"/>
          <w:rtl w:val="0"/>
          <w:lang w:val="en-US"/>
        </w:rPr>
        <w:t>’</w:t>
      </w:r>
      <w:r>
        <w:rPr>
          <w:rFonts w:ascii="Palatino" w:hAnsi="Palatino"/>
          <w:sz w:val="22"/>
          <w:szCs w:val="22"/>
          <w:rtl w:val="0"/>
          <w:lang w:val="en-US"/>
        </w:rPr>
        <w:t xml:space="preserve">s </w:t>
      </w:r>
      <w:r>
        <w:rPr>
          <w:rFonts w:ascii="Palatino" w:hAnsi="Palatino"/>
          <w:sz w:val="22"/>
          <w:szCs w:val="22"/>
          <w:rtl w:val="0"/>
          <w:lang w:val="en-US"/>
        </w:rPr>
        <w:t>experiences.  The paper presented narratives on seances, both those of others and the author</w:t>
      </w:r>
      <w:r>
        <w:rPr>
          <w:rFonts w:ascii="Palatino" w:hAnsi="Palatino" w:hint="default"/>
          <w:sz w:val="22"/>
          <w:szCs w:val="22"/>
          <w:rtl w:val="0"/>
          <w:lang w:val="en-US"/>
        </w:rPr>
        <w:t>’</w:t>
      </w:r>
      <w:r>
        <w:rPr>
          <w:rFonts w:ascii="Palatino" w:hAnsi="Palatino"/>
          <w:sz w:val="22"/>
          <w:szCs w:val="22"/>
          <w:rtl w:val="0"/>
          <w:lang w:val="en-US"/>
        </w:rPr>
        <w:t>s own.  The complexity of the insider</w:t>
      </w:r>
      <w:r>
        <w:rPr>
          <w:rFonts w:ascii="Palatino" w:hAnsi="Palatino" w:hint="default"/>
          <w:sz w:val="22"/>
          <w:szCs w:val="22"/>
          <w:rtl w:val="0"/>
          <w:lang w:val="en-US"/>
        </w:rPr>
        <w:t>’</w:t>
      </w:r>
      <w:r>
        <w:rPr>
          <w:rFonts w:ascii="Palatino" w:hAnsi="Palatino"/>
          <w:sz w:val="22"/>
          <w:szCs w:val="22"/>
          <w:rtl w:val="0"/>
          <w:lang w:val="en-US"/>
        </w:rPr>
        <w:t>s and outsider</w:t>
      </w:r>
      <w:r>
        <w:rPr>
          <w:rFonts w:ascii="Palatino" w:hAnsi="Palatino" w:hint="default"/>
          <w:sz w:val="22"/>
          <w:szCs w:val="22"/>
          <w:rtl w:val="0"/>
          <w:lang w:val="en-US"/>
        </w:rPr>
        <w:t>’</w:t>
      </w:r>
      <w:r>
        <w:rPr>
          <w:rFonts w:ascii="Palatino" w:hAnsi="Palatino"/>
          <w:sz w:val="22"/>
          <w:szCs w:val="22"/>
          <w:rtl w:val="0"/>
          <w:lang w:val="en-US"/>
        </w:rPr>
        <w:t>s views of the shamanistic communities were discussed through Blain</w:t>
      </w:r>
      <w:r>
        <w:rPr>
          <w:rFonts w:ascii="Palatino" w:hAnsi="Palatino" w:hint="default"/>
          <w:sz w:val="22"/>
          <w:szCs w:val="22"/>
          <w:rtl w:val="0"/>
          <w:lang w:val="en-US"/>
        </w:rPr>
        <w:t>’</w:t>
      </w:r>
      <w:r>
        <w:rPr>
          <w:rFonts w:ascii="Palatino" w:hAnsi="Palatino"/>
          <w:sz w:val="22"/>
          <w:szCs w:val="22"/>
          <w:rtl w:val="0"/>
          <w:lang w:val="en-US"/>
        </w:rPr>
        <w:t xml:space="preserve">s own role as a part of the community versus the role as a researcher.  The conclusion argued that the knowledge of the insider shaped the knowledge of the outsider, and vice versa. </w:t>
      </w:r>
      <w:r>
        <w:rPr>
          <w:rFonts w:ascii="Palatino" w:cs="Palatino" w:hAnsi="Palatino" w:eastAsia="Palatino"/>
          <w:sz w:val="22"/>
          <w:szCs w:val="22"/>
          <w:vertAlign w:val="superscript"/>
        </w:rPr>
        <w:footnoteReference w:id="9"/>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1"/>
          <w:bCs w:val="1"/>
          <w:sz w:val="22"/>
          <w:szCs w:val="22"/>
        </w:rPr>
      </w:pPr>
      <w:r>
        <w:rPr>
          <w:rFonts w:ascii="Palatino" w:hAnsi="Palatino"/>
          <w:b w:val="1"/>
          <w:bCs w:val="1"/>
          <w:sz w:val="22"/>
          <w:szCs w:val="22"/>
          <w:rtl w:val="0"/>
          <w:lang w:val="en-US"/>
        </w:rPr>
        <w:t>Analysis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Discussion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9"/>
          <w:footerReference w:type="default" r:id="rId10"/>
          <w:pgSz w:w="12240" w:h="15840" w:orient="portrait"/>
          <w:pgMar w:top="1134" w:right="1134" w:bottom="1134" w:left="1134" w:header="567" w:footer="720"/>
          <w:bidi w:val="0"/>
        </w:sectPr>
      </w:pPr>
      <w:r>
        <w:rPr>
          <w:rFonts w:ascii="Palatino" w:hAnsi="Palatino"/>
          <w:b w:val="0"/>
          <w:bCs w:val="0"/>
          <w:sz w:val="22"/>
          <w:szCs w:val="22"/>
          <w:rtl w:val="0"/>
          <w:lang w:val="en-US"/>
        </w:rPr>
        <w:t xml:space="preserve">Both authors approached their subjects from personal interest; however Blain had a deeper insider role, being both the researcher as well as narrated seances within the research.  Etherington explored the insider role as a reflexive approach, and argued that by using ourselves in research we may learn more about our subject. </w:t>
      </w:r>
      <w:r>
        <w:rPr>
          <w:rFonts w:ascii="Palatino" w:cs="Palatino" w:hAnsi="Palatino" w:eastAsia="Palatino"/>
          <w:b w:val="0"/>
          <w:bCs w:val="0"/>
          <w:sz w:val="22"/>
          <w:szCs w:val="22"/>
          <w:vertAlign w:val="superscript"/>
        </w:rPr>
        <w:footnoteReference w:id="10"/>
      </w:r>
      <w:r>
        <w:rPr>
          <w:rFonts w:ascii="Palatino" w:hAnsi="Palatino"/>
          <w:b w:val="0"/>
          <w:bCs w:val="0"/>
          <w:sz w:val="22"/>
          <w:szCs w:val="22"/>
          <w:rtl w:val="0"/>
          <w:lang w:val="en-US"/>
        </w:rPr>
        <w:t xml:space="preserve">  Corbin Dwyer and Buckle discussed the insider/outsider aspect related</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 xml:space="preserve">to the researcher and participant roles in a study. </w:t>
      </w:r>
      <w:r>
        <w:rPr>
          <w:rFonts w:ascii="Palatino" w:cs="Palatino" w:hAnsi="Palatino" w:eastAsia="Palatino"/>
          <w:b w:val="0"/>
          <w:bCs w:val="0"/>
          <w:sz w:val="22"/>
          <w:szCs w:val="22"/>
          <w:vertAlign w:val="superscript"/>
        </w:rPr>
        <w:footnoteReference w:id="11"/>
      </w:r>
      <w:r>
        <w:rPr>
          <w:rFonts w:ascii="Palatino" w:hAnsi="Palatino"/>
          <w:b w:val="0"/>
          <w:bCs w:val="0"/>
          <w:sz w:val="22"/>
          <w:szCs w:val="22"/>
          <w:rtl w:val="0"/>
          <w:lang w:val="en-US"/>
        </w:rPr>
        <w:t xml:space="preserve">  Blain</w:t>
      </w:r>
      <w:r>
        <w:rPr>
          <w:rFonts w:ascii="Palatino" w:hAnsi="Palatino" w:hint="default"/>
          <w:b w:val="0"/>
          <w:bCs w:val="0"/>
          <w:sz w:val="22"/>
          <w:szCs w:val="22"/>
          <w:rtl w:val="0"/>
          <w:lang w:val="en-US"/>
        </w:rPr>
        <w:t>’</w:t>
      </w:r>
      <w:r>
        <w:rPr>
          <w:rFonts w:ascii="Palatino" w:hAnsi="Palatino"/>
          <w:b w:val="0"/>
          <w:bCs w:val="0"/>
          <w:sz w:val="22"/>
          <w:szCs w:val="22"/>
          <w:rtl w:val="0"/>
          <w:lang w:val="en-US"/>
        </w:rPr>
        <w:t>s and Bennett</w:t>
      </w:r>
      <w:r>
        <w:rPr>
          <w:rFonts w:ascii="Palatino" w:hAnsi="Palatino" w:hint="default"/>
          <w:b w:val="0"/>
          <w:bCs w:val="0"/>
          <w:sz w:val="22"/>
          <w:szCs w:val="22"/>
          <w:rtl w:val="0"/>
          <w:lang w:val="en-US"/>
        </w:rPr>
        <w:t>’</w:t>
      </w:r>
      <w:r>
        <w:rPr>
          <w:rFonts w:ascii="Palatino" w:hAnsi="Palatino"/>
          <w:b w:val="0"/>
          <w:bCs w:val="0"/>
          <w:sz w:val="22"/>
          <w:szCs w:val="22"/>
          <w:rtl w:val="0"/>
          <w:lang w:val="en-US"/>
        </w:rPr>
        <w:t>s approach to their roles in their research will be discussed later in this essay.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cs="Palatino" w:hAnsi="Palatino" w:eastAsia="Palatino"/>
          <w:b w:val="0"/>
          <w:bCs w:val="0"/>
          <w:sz w:val="22"/>
          <w:szCs w:val="22"/>
          <w:rtl w:val="0"/>
        </w:rPr>
        <w:tab/>
        <w:t xml:space="preserve">The Bennett paper had a clear structure, that started with a historical introduction which lead into methodology, followed by analysis and conclusion.  </w:t>
      </w:r>
      <w:r>
        <w:rPr>
          <w:rFonts w:ascii="Palatino" w:hAnsi="Palatino"/>
          <w:b w:val="0"/>
          <w:bCs w:val="0"/>
          <w:sz w:val="22"/>
          <w:szCs w:val="22"/>
          <w:rtl w:val="0"/>
          <w:lang w:val="da-DK"/>
        </w:rPr>
        <w:t>By contrast</w:t>
      </w:r>
      <w:r>
        <w:rPr>
          <w:rFonts w:ascii="Palatino" w:hAnsi="Palatino"/>
          <w:b w:val="0"/>
          <w:bCs w:val="0"/>
          <w:sz w:val="22"/>
          <w:szCs w:val="22"/>
          <w:rtl w:val="0"/>
          <w:lang w:val="en-US"/>
        </w:rPr>
        <w:t>, Blain</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paper had a less clear structure; it </w:t>
      </w:r>
      <w:r>
        <w:rPr>
          <w:rFonts w:ascii="Palatino" w:hAnsi="Palatino"/>
          <w:b w:val="0"/>
          <w:bCs w:val="0"/>
          <w:sz w:val="22"/>
          <w:szCs w:val="22"/>
          <w:rtl w:val="0"/>
          <w:lang w:val="da-DK"/>
        </w:rPr>
        <w:t xml:space="preserve">started </w:t>
      </w:r>
      <w:r>
        <w:rPr>
          <w:rFonts w:ascii="Palatino" w:hAnsi="Palatino"/>
          <w:b w:val="0"/>
          <w:bCs w:val="0"/>
          <w:sz w:val="22"/>
          <w:szCs w:val="22"/>
          <w:rtl w:val="0"/>
          <w:lang w:val="en-US"/>
        </w:rPr>
        <w:t>with a incomplete narrative, which then lead into the author</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personal history and researcher perspectives of the subject.  Bell described the importance of structure when writing a research report. </w:t>
      </w:r>
      <w:r>
        <w:rPr>
          <w:rFonts w:ascii="Palatino" w:cs="Palatino" w:hAnsi="Palatino" w:eastAsia="Palatino"/>
          <w:b w:val="0"/>
          <w:bCs w:val="0"/>
          <w:sz w:val="22"/>
          <w:szCs w:val="22"/>
          <w:vertAlign w:val="superscript"/>
        </w:rPr>
        <w:footnoteReference w:id="12"/>
      </w:r>
      <w:r>
        <w:rPr>
          <w:rFonts w:ascii="Palatino" w:hAnsi="Palatino"/>
          <w:b w:val="0"/>
          <w:bCs w:val="0"/>
          <w:sz w:val="22"/>
          <w:szCs w:val="22"/>
          <w:rtl w:val="0"/>
          <w:lang w:val="en-US"/>
        </w:rPr>
        <w:t xml:space="preserve">  Key components such as titles and sections were discussed.  The paper </w:t>
      </w:r>
      <w:r>
        <w:rPr>
          <w:rFonts w:ascii="Palatino" w:hAnsi="Palatino" w:hint="default"/>
          <w:b w:val="0"/>
          <w:bCs w:val="0"/>
          <w:sz w:val="22"/>
          <w:szCs w:val="22"/>
          <w:rtl w:val="0"/>
          <w:lang w:val="en-US"/>
        </w:rPr>
        <w:t>‘</w:t>
      </w:r>
      <w:r>
        <w:rPr>
          <w:rFonts w:ascii="Palatino" w:hAnsi="Palatino"/>
          <w:b w:val="0"/>
          <w:bCs w:val="0"/>
          <w:sz w:val="22"/>
          <w:szCs w:val="22"/>
          <w:rtl w:val="0"/>
          <w:lang w:val="en-US"/>
        </w:rPr>
        <w:t>Healing in the Sami North</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demonstrated such clear structure.  Sexton and Stabbursvik introduced the subject and reasons for the study</w:t>
      </w:r>
      <w:r>
        <w:rPr>
          <w:rFonts w:ascii="Palatino" w:hAnsi="Palatino"/>
          <w:b w:val="0"/>
          <w:bCs w:val="0"/>
          <w:sz w:val="22"/>
          <w:szCs w:val="22"/>
          <w:rtl w:val="0"/>
          <w:lang w:val="da-DK"/>
        </w:rPr>
        <w:t>,</w:t>
      </w:r>
      <w:r>
        <w:rPr>
          <w:rFonts w:ascii="Palatino" w:hAnsi="Palatino"/>
          <w:b w:val="0"/>
          <w:bCs w:val="0"/>
          <w:sz w:val="22"/>
          <w:szCs w:val="22"/>
          <w:rtl w:val="0"/>
          <w:lang w:val="en-US"/>
        </w:rPr>
        <w:t xml:space="preserve"> whereafter a historical introduction, framework and background followed, all of which made the paper clear and informative. </w:t>
      </w:r>
      <w:r>
        <w:rPr>
          <w:rFonts w:ascii="Palatino" w:cs="Palatino" w:hAnsi="Palatino" w:eastAsia="Palatino"/>
          <w:b w:val="0"/>
          <w:bCs w:val="0"/>
          <w:sz w:val="22"/>
          <w:szCs w:val="22"/>
          <w:vertAlign w:val="superscript"/>
        </w:rPr>
        <w:footnoteReference w:id="13"/>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cs="Palatino" w:hAnsi="Palatino" w:eastAsia="Palatino"/>
          <w:b w:val="0"/>
          <w:bCs w:val="0"/>
          <w:sz w:val="22"/>
          <w:szCs w:val="22"/>
          <w:rtl w:val="0"/>
        </w:rPr>
        <w:tab/>
        <w:t>Both papers concluded that more studies were needed.  Furthermore, Bennett gave wide consideration to evidence in the conclusion which however was not discussed or analysed previously.  Whilst Blain</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paper contained some </w:t>
      </w:r>
      <w:r>
        <w:rPr>
          <w:rFonts w:ascii="Palatino" w:hAnsi="Palatino"/>
          <w:b w:val="0"/>
          <w:bCs w:val="0"/>
          <w:sz w:val="22"/>
          <w:szCs w:val="22"/>
          <w:rtl w:val="0"/>
          <w:lang w:val="da-DK"/>
        </w:rPr>
        <w:t>jargon</w:t>
      </w:r>
      <w:r>
        <w:rPr>
          <w:rFonts w:ascii="Palatino" w:hAnsi="Palatino"/>
          <w:b w:val="0"/>
          <w:bCs w:val="0"/>
          <w:sz w:val="22"/>
          <w:szCs w:val="22"/>
          <w:rtl w:val="0"/>
          <w:lang w:val="en-US"/>
        </w:rPr>
        <w:t>, the clearer language and style of writing in the Bennett paper were possibly due to accommodating a broader audience.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cs="Palatino" w:hAnsi="Palatino" w:eastAsia="Palatino"/>
          <w:b w:val="0"/>
          <w:bCs w:val="0"/>
          <w:sz w:val="22"/>
          <w:szCs w:val="22"/>
          <w:rtl w:val="0"/>
        </w:rPr>
        <w:tab/>
        <w:t>Both authors approached their studies from a qualitative methodology.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rPr>
      </w:pPr>
      <w:r>
        <w:rPr>
          <w:rFonts w:ascii="Palatino" w:hAnsi="Palatino"/>
          <w:b w:val="0"/>
          <w:bCs w:val="0"/>
          <w:i w:val="1"/>
          <w:iCs w:val="1"/>
          <w:sz w:val="22"/>
          <w:szCs w:val="22"/>
          <w:rtl w:val="0"/>
          <w:lang w:val="en-US"/>
        </w:rPr>
        <w:t>Methodology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The chosen qualitative approach through interviews by Bennett was opposed to that of Blain</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chosen mainly reflexive approach, where she used herself in the research. </w:t>
      </w:r>
      <w:r>
        <w:rPr>
          <w:rFonts w:ascii="Palatino" w:cs="Palatino" w:hAnsi="Palatino" w:eastAsia="Palatino"/>
          <w:b w:val="0"/>
          <w:bCs w:val="0"/>
          <w:sz w:val="22"/>
          <w:szCs w:val="22"/>
          <w:vertAlign w:val="superscript"/>
        </w:rPr>
        <w:footnoteReference w:id="14"/>
      </w:r>
      <w:r>
        <w:rPr>
          <w:rFonts w:ascii="Palatino" w:hAnsi="Palatino"/>
          <w:b w:val="0"/>
          <w:bCs w:val="0"/>
          <w:sz w:val="22"/>
          <w:szCs w:val="22"/>
          <w:rtl w:val="0"/>
          <w:lang w:val="en-US"/>
        </w:rPr>
        <w:t xml:space="preserve">  As described by Hennick et.al. and Etherington, both methods can present challenges with how the researchers own beliefs, values and experiences can effect a study.  Bennett did not express concerns with the chosen method, whereas Blain reflected on her own experiences</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effect.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Blain</w:t>
      </w:r>
      <w:r>
        <w:rPr>
          <w:rFonts w:ascii="Palatino" w:hAnsi="Palatino" w:hint="default"/>
          <w:b w:val="0"/>
          <w:bCs w:val="0"/>
          <w:sz w:val="22"/>
          <w:szCs w:val="22"/>
          <w:rtl w:val="0"/>
          <w:lang w:val="en-US"/>
        </w:rPr>
        <w:t>’</w:t>
      </w:r>
      <w:r>
        <w:rPr>
          <w:rFonts w:ascii="Palatino" w:hAnsi="Palatino"/>
          <w:b w:val="0"/>
          <w:bCs w:val="0"/>
          <w:sz w:val="22"/>
          <w:szCs w:val="22"/>
          <w:rtl w:val="0"/>
          <w:lang w:val="en-US"/>
        </w:rPr>
        <w:t>s mainly reflexive approach, as compared to Bennett</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qualitative interview approach, gave the Blain paper, in contrast, a deeper insight into the researched subjects.  This was described by Etherington: </w:t>
      </w:r>
      <w:r>
        <w:rPr>
          <w:rFonts w:ascii="Palatino" w:hAnsi="Palatino" w:hint="default"/>
          <w:b w:val="0"/>
          <w:bCs w:val="0"/>
          <w:sz w:val="22"/>
          <w:szCs w:val="22"/>
          <w:rtl w:val="0"/>
          <w:lang w:val="en-US"/>
        </w:rPr>
        <w:t>‘</w:t>
      </w:r>
      <w:r>
        <w:rPr>
          <w:rFonts w:ascii="Palatino" w:hAnsi="Palatino"/>
          <w:b w:val="0"/>
          <w:bCs w:val="0"/>
          <w:sz w:val="22"/>
          <w:szCs w:val="22"/>
          <w:rtl w:val="0"/>
          <w:lang w:val="en-US"/>
        </w:rPr>
        <w:t>By using reflexivity in research we close the illusory gap between researcher and researched and between the knower and what is known.</w:t>
      </w:r>
      <w:r>
        <w:rPr>
          <w:rFonts w:ascii="Palatino" w:hAnsi="Palatino" w:hint="default"/>
          <w:b w:val="0"/>
          <w:bCs w:val="0"/>
          <w:sz w:val="22"/>
          <w:szCs w:val="22"/>
          <w:rtl w:val="0"/>
          <w:lang w:val="en-US"/>
        </w:rPr>
        <w:t xml:space="preserve">’ </w:t>
      </w:r>
      <w:r>
        <w:rPr>
          <w:rFonts w:ascii="Palatino" w:cs="Palatino" w:hAnsi="Palatino" w:eastAsia="Palatino"/>
          <w:b w:val="0"/>
          <w:bCs w:val="0"/>
          <w:sz w:val="22"/>
          <w:szCs w:val="22"/>
          <w:vertAlign w:val="superscript"/>
        </w:rPr>
        <w:footnoteReference w:id="15"/>
      </w:r>
      <w:r>
        <w:rPr>
          <w:rFonts w:ascii="Palatino" w:hAnsi="Palatino"/>
          <w:b w:val="0"/>
          <w:bCs w:val="0"/>
          <w:sz w:val="22"/>
          <w:szCs w:val="22"/>
          <w:rtl w:val="0"/>
          <w:lang w:val="en-US"/>
        </w:rPr>
        <w:t xml:space="preserve">  Blain, however, also added a similar qualitative approach as Bennett with the narratives from other users of </w:t>
      </w:r>
      <w:r>
        <w:rPr>
          <w:rFonts w:ascii="Palatino" w:hAnsi="Palatino" w:hint="default"/>
          <w:b w:val="0"/>
          <w:bCs w:val="0"/>
          <w:sz w:val="22"/>
          <w:szCs w:val="22"/>
          <w:rtl w:val="0"/>
          <w:lang w:val="en-US"/>
        </w:rPr>
        <w:t>‘</w:t>
      </w:r>
      <w:r>
        <w:rPr>
          <w:rFonts w:ascii="Palatino" w:hAnsi="Palatino"/>
          <w:b w:val="0"/>
          <w:bCs w:val="0"/>
          <w:sz w:val="22"/>
          <w:szCs w:val="22"/>
          <w:rtl w:val="0"/>
          <w:lang w:val="en-US"/>
        </w:rPr>
        <w:t>Seidr</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  As argued by </w:t>
      </w:r>
      <w:r>
        <w:rPr>
          <w:rFonts w:ascii="Palatino" w:hAnsi="Palatino"/>
          <w:b w:val="0"/>
          <w:bCs w:val="0"/>
          <w:sz w:val="22"/>
          <w:szCs w:val="22"/>
          <w:rtl w:val="0"/>
          <w:lang w:val="de-DE"/>
        </w:rPr>
        <w:t>Wall</w:t>
      </w:r>
      <w:r>
        <w:rPr>
          <w:rFonts w:ascii="Palatino" w:hAnsi="Palatino"/>
          <w:b w:val="0"/>
          <w:bCs w:val="0"/>
          <w:sz w:val="22"/>
          <w:szCs w:val="22"/>
          <w:rtl w:val="0"/>
          <w:lang w:val="en-US"/>
        </w:rPr>
        <w:t xml:space="preserve">, the Blain paper could be seen as an </w:t>
      </w:r>
      <w:r>
        <w:rPr>
          <w:rFonts w:ascii="Palatino" w:hAnsi="Palatino"/>
          <w:b w:val="0"/>
          <w:bCs w:val="0"/>
          <w:sz w:val="22"/>
          <w:szCs w:val="22"/>
          <w:rtl w:val="0"/>
          <w:lang w:val="nl-NL"/>
        </w:rPr>
        <w:t>autoethnography</w:t>
      </w:r>
      <w:r>
        <w:rPr>
          <w:rFonts w:ascii="Palatino" w:hAnsi="Palatino"/>
          <w:b w:val="0"/>
          <w:bCs w:val="0"/>
          <w:sz w:val="22"/>
          <w:szCs w:val="22"/>
          <w:rtl w:val="0"/>
          <w:lang w:val="en-US"/>
        </w:rPr>
        <w:t xml:space="preserve"> paper as it: 1) started with a personal story, 2) described the author</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w:t>
      </w:r>
      <w:r>
        <w:rPr>
          <w:rFonts w:ascii="Palatino" w:hAnsi="Palatino"/>
          <w:b w:val="0"/>
          <w:bCs w:val="0"/>
          <w:sz w:val="22"/>
          <w:szCs w:val="22"/>
          <w:rtl w:val="0"/>
          <w:lang w:val="en-US"/>
        </w:rPr>
        <w:t xml:space="preserve">personal connection </w:t>
      </w:r>
      <w:r>
        <w:rPr>
          <w:rFonts w:ascii="Palatino" w:hAnsi="Palatino"/>
          <w:b w:val="0"/>
          <w:bCs w:val="0"/>
          <w:sz w:val="22"/>
          <w:szCs w:val="22"/>
          <w:rtl w:val="0"/>
          <w:lang w:val="en-US"/>
        </w:rPr>
        <w:t xml:space="preserve">with limited </w:t>
      </w:r>
      <w:r>
        <w:rPr>
          <w:rFonts w:ascii="Palatino" w:hAnsi="Palatino"/>
          <w:b w:val="0"/>
          <w:bCs w:val="0"/>
          <w:sz w:val="22"/>
          <w:szCs w:val="22"/>
          <w:rtl w:val="0"/>
        </w:rPr>
        <w:t>analys</w:t>
      </w:r>
      <w:r>
        <w:rPr>
          <w:rFonts w:ascii="Palatino" w:hAnsi="Palatino"/>
          <w:b w:val="0"/>
          <w:bCs w:val="0"/>
          <w:sz w:val="22"/>
          <w:szCs w:val="22"/>
          <w:rtl w:val="0"/>
          <w:lang w:val="en-US"/>
        </w:rPr>
        <w:t>ed aspects and, 3) examined</w:t>
      </w:r>
      <w:r>
        <w:rPr>
          <w:rFonts w:ascii="Palatino" w:hAnsi="Palatino"/>
          <w:b w:val="0"/>
          <w:bCs w:val="0"/>
          <w:sz w:val="22"/>
          <w:szCs w:val="22"/>
          <w:rtl w:val="0"/>
        </w:rPr>
        <w:t xml:space="preserve"> </w:t>
      </w:r>
      <w:r>
        <w:rPr>
          <w:rFonts w:ascii="Palatino" w:hAnsi="Palatino"/>
          <w:b w:val="0"/>
          <w:bCs w:val="0"/>
          <w:sz w:val="22"/>
          <w:szCs w:val="22"/>
          <w:rtl w:val="0"/>
          <w:lang w:val="en-US"/>
        </w:rPr>
        <w:t>aspects</w:t>
      </w:r>
      <w:r>
        <w:rPr>
          <w:rFonts w:ascii="Palatino" w:hAnsi="Palatino"/>
          <w:b w:val="0"/>
          <w:bCs w:val="0"/>
          <w:sz w:val="22"/>
          <w:szCs w:val="22"/>
          <w:rtl w:val="0"/>
          <w:lang w:val="en-US"/>
        </w:rPr>
        <w:t xml:space="preserve"> of</w:t>
      </w:r>
      <w:r>
        <w:rPr>
          <w:rFonts w:ascii="Palatino" w:hAnsi="Palatino"/>
          <w:b w:val="0"/>
          <w:bCs w:val="0"/>
          <w:sz w:val="22"/>
          <w:szCs w:val="22"/>
          <w:rtl w:val="0"/>
          <w:lang w:val="en-US"/>
        </w:rPr>
        <w:t xml:space="preserve"> </w:t>
      </w:r>
      <w:r>
        <w:rPr>
          <w:rFonts w:ascii="Palatino" w:hAnsi="Palatino"/>
          <w:b w:val="0"/>
          <w:bCs w:val="0"/>
          <w:sz w:val="22"/>
          <w:szCs w:val="22"/>
          <w:rtl w:val="0"/>
          <w:lang w:val="en-US"/>
        </w:rPr>
        <w:t>personal importance</w:t>
      </w:r>
      <w:r>
        <w:rPr>
          <w:rFonts w:ascii="Palatino" w:hAnsi="Palatino"/>
          <w:b w:val="0"/>
          <w:bCs w:val="0"/>
          <w:sz w:val="22"/>
          <w:szCs w:val="22"/>
          <w:rtl w:val="0"/>
          <w:lang w:val="en-US"/>
        </w:rPr>
        <w:t xml:space="preserve"> to the author</w:t>
      </w:r>
      <w:r>
        <w:rPr>
          <w:rFonts w:ascii="Palatino" w:hAnsi="Palatino"/>
          <w:b w:val="0"/>
          <w:bCs w:val="0"/>
          <w:sz w:val="22"/>
          <w:szCs w:val="22"/>
          <w:rtl w:val="0"/>
        </w:rPr>
        <w:t xml:space="preserve"> </w:t>
      </w:r>
      <w:r>
        <w:rPr>
          <w:rFonts w:ascii="Palatino" w:hAnsi="Palatino"/>
          <w:b w:val="0"/>
          <w:bCs w:val="0"/>
          <w:sz w:val="22"/>
          <w:szCs w:val="22"/>
          <w:rtl w:val="0"/>
          <w:lang w:val="en-US"/>
        </w:rPr>
        <w:t>set</w:t>
      </w:r>
      <w:r>
        <w:rPr>
          <w:rFonts w:ascii="Palatino" w:hAnsi="Palatino"/>
          <w:b w:val="0"/>
          <w:bCs w:val="0"/>
          <w:sz w:val="22"/>
          <w:szCs w:val="22"/>
          <w:rtl w:val="0"/>
        </w:rPr>
        <w:t xml:space="preserve"> </w:t>
      </w:r>
      <w:r>
        <w:rPr>
          <w:rFonts w:ascii="Palatino" w:hAnsi="Palatino"/>
          <w:b w:val="0"/>
          <w:bCs w:val="0"/>
          <w:sz w:val="22"/>
          <w:szCs w:val="22"/>
          <w:rtl w:val="0"/>
          <w:lang w:val="en-US"/>
        </w:rPr>
        <w:t>in her</w:t>
      </w:r>
      <w:r>
        <w:rPr>
          <w:rFonts w:ascii="Palatino" w:hAnsi="Palatino"/>
          <w:b w:val="0"/>
          <w:bCs w:val="0"/>
          <w:sz w:val="22"/>
          <w:szCs w:val="22"/>
          <w:rtl w:val="0"/>
        </w:rPr>
        <w:t xml:space="preserve"> </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worlds'. </w:t>
      </w:r>
      <w:r>
        <w:rPr>
          <w:rFonts w:ascii="Palatino" w:cs="Palatino" w:hAnsi="Palatino" w:eastAsia="Palatino"/>
          <w:b w:val="0"/>
          <w:bCs w:val="0"/>
          <w:sz w:val="22"/>
          <w:szCs w:val="22"/>
          <w:vertAlign w:val="superscript"/>
        </w:rPr>
        <w:footnoteReference w:id="16"/>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1"/>
          <w:footerReference w:type="default" r:id="rId12"/>
          <w:pgSz w:w="12240" w:h="15840" w:orient="portrait"/>
          <w:pgMar w:top="1134" w:right="1134" w:bottom="1134" w:left="1134" w:header="567" w:footer="720"/>
          <w:bidi w:val="0"/>
        </w:sectPr>
      </w:pPr>
      <w:r>
        <w:rPr>
          <w:rFonts w:ascii="Palatino" w:hAnsi="Palatino"/>
          <w:b w:val="0"/>
          <w:bCs w:val="0"/>
          <w:sz w:val="22"/>
          <w:szCs w:val="22"/>
          <w:rtl w:val="0"/>
          <w:lang w:val="en-US"/>
        </w:rPr>
        <w:t xml:space="preserve">Blain expressed the complexity in attending both </w:t>
      </w:r>
      <w:r>
        <w:rPr>
          <w:rFonts w:ascii="Palatino" w:hAnsi="Palatino" w:hint="default"/>
          <w:b w:val="0"/>
          <w:bCs w:val="0"/>
          <w:sz w:val="22"/>
          <w:szCs w:val="22"/>
          <w:rtl w:val="0"/>
          <w:lang w:val="en-US"/>
        </w:rPr>
        <w:t>‘</w:t>
      </w:r>
      <w:r>
        <w:rPr>
          <w:rFonts w:ascii="Palatino" w:hAnsi="Palatino"/>
          <w:b w:val="0"/>
          <w:bCs w:val="0"/>
          <w:sz w:val="22"/>
          <w:szCs w:val="22"/>
          <w:rtl w:val="0"/>
          <w:lang w:val="en-US"/>
        </w:rPr>
        <w:t>worlds</w:t>
      </w:r>
      <w:r>
        <w:rPr>
          <w:rFonts w:ascii="Palatino" w:hAnsi="Palatino" w:hint="default"/>
          <w:b w:val="0"/>
          <w:bCs w:val="0"/>
          <w:sz w:val="22"/>
          <w:szCs w:val="22"/>
          <w:rtl w:val="0"/>
          <w:lang w:val="en-US"/>
        </w:rPr>
        <w:t>’</w:t>
      </w:r>
      <w:r>
        <w:rPr>
          <w:rFonts w:ascii="Palatino" w:hAnsi="Palatino"/>
          <w:b w:val="0"/>
          <w:bCs w:val="0"/>
          <w:sz w:val="22"/>
          <w:szCs w:val="22"/>
          <w:rtl w:val="0"/>
          <w:lang w:val="en-US"/>
        </w:rPr>
        <w:t>, which the Sexton and Stabbursvik paper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 xml:space="preserve">approached in an interesting manner. </w:t>
      </w:r>
      <w:r>
        <w:rPr>
          <w:rFonts w:ascii="Palatino" w:cs="Palatino" w:hAnsi="Palatino" w:eastAsia="Palatino"/>
          <w:b w:val="0"/>
          <w:bCs w:val="0"/>
          <w:sz w:val="22"/>
          <w:szCs w:val="22"/>
          <w:vertAlign w:val="superscript"/>
        </w:rPr>
        <w:footnoteReference w:id="17"/>
      </w:r>
      <w:r>
        <w:rPr>
          <w:rFonts w:ascii="Palatino" w:hAnsi="Palatino"/>
          <w:b w:val="0"/>
          <w:bCs w:val="0"/>
          <w:sz w:val="22"/>
          <w:szCs w:val="22"/>
          <w:rtl w:val="0"/>
          <w:lang w:val="en-US"/>
        </w:rPr>
        <w:t xml:space="preserve">  Sexton and Stabbursvik approached the reflexive and qualitative mix through two authors, one from each </w:t>
      </w:r>
      <w:r>
        <w:rPr>
          <w:rFonts w:ascii="Palatino" w:hAnsi="Palatino" w:hint="default"/>
          <w:b w:val="0"/>
          <w:bCs w:val="0"/>
          <w:sz w:val="22"/>
          <w:szCs w:val="22"/>
          <w:rtl w:val="0"/>
          <w:lang w:val="en-US"/>
        </w:rPr>
        <w:t>‘</w:t>
      </w:r>
      <w:r>
        <w:rPr>
          <w:rFonts w:ascii="Palatino" w:hAnsi="Palatino"/>
          <w:b w:val="0"/>
          <w:bCs w:val="0"/>
          <w:sz w:val="22"/>
          <w:szCs w:val="22"/>
          <w:rtl w:val="0"/>
          <w:lang w:val="en-US"/>
        </w:rPr>
        <w:t>world</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 a Norwegian psychiatric researcher and a Saami health worker.  It could be argued whether the reflexive method, which Blain chose, obstructed the study, whereas the approach of Sexton and Stabbursvik could have offered alternative results.  Joy conducted a similar study, however using the method of a case study instead of a reflexive study. </w:t>
      </w:r>
      <w:r>
        <w:rPr>
          <w:rFonts w:ascii="Palatino" w:cs="Palatino" w:hAnsi="Palatino" w:eastAsia="Palatino"/>
          <w:b w:val="0"/>
          <w:bCs w:val="0"/>
          <w:sz w:val="22"/>
          <w:szCs w:val="22"/>
          <w:vertAlign w:val="superscript"/>
        </w:rPr>
        <w:footnoteReference w:id="18"/>
      </w:r>
      <w:r>
        <w:rPr>
          <w:rFonts w:ascii="Palatino" w:hAnsi="Palatino"/>
          <w:b w:val="0"/>
          <w:bCs w:val="0"/>
          <w:sz w:val="22"/>
          <w:szCs w:val="22"/>
          <w:rtl w:val="0"/>
          <w:lang w:val="en-US"/>
        </w:rPr>
        <w:t xml:space="preserve">  Joy described the work of a Saami shaman through interviews and the paper presented in-depth narratives of cosmologies, traditions and practices.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cs="Palatino" w:hAnsi="Palatino" w:eastAsia="Palatino"/>
          <w:b w:val="0"/>
          <w:bCs w:val="0"/>
          <w:sz w:val="22"/>
          <w:szCs w:val="22"/>
          <w:rtl w:val="0"/>
        </w:rPr>
        <w:tab/>
        <w:t xml:space="preserve">Where Blain accessed participants from members of the </w:t>
      </w:r>
      <w:r>
        <w:rPr>
          <w:rFonts w:ascii="Palatino" w:hAnsi="Palatino" w:hint="default"/>
          <w:b w:val="0"/>
          <w:bCs w:val="0"/>
          <w:sz w:val="22"/>
          <w:szCs w:val="22"/>
          <w:rtl w:val="0"/>
          <w:lang w:val="en-US"/>
        </w:rPr>
        <w:t>‘</w:t>
      </w:r>
      <w:r>
        <w:rPr>
          <w:rFonts w:ascii="Palatino" w:hAnsi="Palatino"/>
          <w:b w:val="0"/>
          <w:bCs w:val="0"/>
          <w:sz w:val="22"/>
          <w:szCs w:val="22"/>
          <w:rtl w:val="0"/>
          <w:lang w:val="en-US"/>
        </w:rPr>
        <w:t>Seidr</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 xml:space="preserve">community, Bennett conveyed a struggle to find participants due to what was argued to be a </w:t>
      </w:r>
      <w:r>
        <w:rPr>
          <w:rFonts w:ascii="Palatino" w:hAnsi="Palatino" w:hint="default"/>
          <w:b w:val="0"/>
          <w:bCs w:val="0"/>
          <w:sz w:val="22"/>
          <w:szCs w:val="22"/>
          <w:rtl w:val="0"/>
          <w:lang w:val="en-US"/>
        </w:rPr>
        <w:t>‘</w:t>
      </w:r>
      <w:r>
        <w:rPr>
          <w:rFonts w:ascii="Palatino" w:hAnsi="Palatino"/>
          <w:b w:val="0"/>
          <w:bCs w:val="0"/>
          <w:sz w:val="22"/>
          <w:szCs w:val="22"/>
          <w:rtl w:val="0"/>
          <w:lang w:val="en-US"/>
        </w:rPr>
        <w:t>delicate</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 xml:space="preserve">subject. </w:t>
      </w:r>
      <w:r>
        <w:rPr>
          <w:rFonts w:ascii="Palatino" w:cs="Palatino" w:hAnsi="Palatino" w:eastAsia="Palatino"/>
          <w:b w:val="0"/>
          <w:bCs w:val="0"/>
          <w:sz w:val="22"/>
          <w:szCs w:val="22"/>
          <w:vertAlign w:val="superscript"/>
        </w:rPr>
        <w:footnoteReference w:id="19"/>
      </w:r>
      <w:r>
        <w:rPr>
          <w:rFonts w:ascii="Palatino" w:hAnsi="Palatino"/>
          <w:b w:val="0"/>
          <w:bCs w:val="0"/>
          <w:sz w:val="22"/>
          <w:szCs w:val="22"/>
          <w:rtl w:val="0"/>
          <w:lang w:val="en-US"/>
        </w:rPr>
        <w:t xml:space="preserve">  Despite th</w:t>
      </w:r>
      <w:r>
        <w:rPr>
          <w:rFonts w:ascii="Palatino" w:hAnsi="Palatino"/>
          <w:b w:val="0"/>
          <w:bCs w:val="0"/>
          <w:sz w:val="22"/>
          <w:szCs w:val="22"/>
          <w:rtl w:val="0"/>
          <w:lang w:val="da-DK"/>
        </w:rPr>
        <w:t>e argued sensitivity of the subject</w:t>
      </w:r>
      <w:r>
        <w:rPr>
          <w:rFonts w:ascii="Palatino" w:hAnsi="Palatino"/>
          <w:b w:val="0"/>
          <w:bCs w:val="0"/>
          <w:sz w:val="22"/>
          <w:szCs w:val="22"/>
          <w:rtl w:val="0"/>
          <w:lang w:val="en-US"/>
        </w:rPr>
        <w:t xml:space="preserve">, </w:t>
      </w:r>
      <w:r>
        <w:rPr>
          <w:rFonts w:ascii="Palatino" w:hAnsi="Palatino"/>
          <w:b w:val="0"/>
          <w:bCs w:val="0"/>
          <w:sz w:val="22"/>
          <w:szCs w:val="22"/>
          <w:rtl w:val="0"/>
          <w:lang w:val="da-DK"/>
        </w:rPr>
        <w:t>Bennett</w:t>
      </w:r>
      <w:r>
        <w:rPr>
          <w:rFonts w:ascii="Palatino" w:hAnsi="Palatino" w:hint="default"/>
          <w:b w:val="0"/>
          <w:bCs w:val="0"/>
          <w:sz w:val="22"/>
          <w:szCs w:val="22"/>
          <w:rtl w:val="0"/>
          <w:lang w:val="en-US"/>
        </w:rPr>
        <w:t>’</w:t>
      </w:r>
      <w:r>
        <w:rPr>
          <w:rFonts w:ascii="Palatino" w:hAnsi="Palatino"/>
          <w:b w:val="0"/>
          <w:bCs w:val="0"/>
          <w:sz w:val="22"/>
          <w:szCs w:val="22"/>
          <w:rtl w:val="0"/>
          <w:lang w:val="en-US"/>
        </w:rPr>
        <w:t>s chosen participants were clients of the father; however, the methodological challenges of these participants were not addressed and neither were ethical considerations given.  Melb</w:t>
      </w:r>
      <w:r>
        <w:rPr>
          <w:rFonts w:ascii="Palatino" w:hAnsi="Palatino" w:hint="default"/>
          <w:b w:val="0"/>
          <w:bCs w:val="0"/>
          <w:sz w:val="22"/>
          <w:szCs w:val="22"/>
          <w:rtl w:val="0"/>
          <w:lang w:val="da-DK"/>
        </w:rPr>
        <w:t>ø</w:t>
      </w:r>
      <w:r>
        <w:rPr>
          <w:rFonts w:ascii="Palatino" w:hAnsi="Palatino"/>
          <w:b w:val="0"/>
          <w:bCs w:val="0"/>
          <w:sz w:val="22"/>
          <w:szCs w:val="22"/>
          <w:rtl w:val="0"/>
          <w:lang w:val="da-DK"/>
        </w:rPr>
        <w:t>e</w:t>
      </w:r>
      <w:r>
        <w:rPr>
          <w:rFonts w:ascii="Palatino" w:hAnsi="Palatino"/>
          <w:b w:val="0"/>
          <w:bCs w:val="0"/>
          <w:sz w:val="22"/>
          <w:szCs w:val="22"/>
          <w:rtl w:val="0"/>
          <w:lang w:val="en-US"/>
        </w:rPr>
        <w:t xml:space="preserve"> et.al. conducted a similarly sensitive study. </w:t>
      </w:r>
      <w:r>
        <w:rPr>
          <w:rFonts w:ascii="Palatino" w:cs="Palatino" w:hAnsi="Palatino" w:eastAsia="Palatino"/>
          <w:b w:val="0"/>
          <w:bCs w:val="0"/>
          <w:sz w:val="22"/>
          <w:szCs w:val="22"/>
          <w:vertAlign w:val="superscript"/>
        </w:rPr>
        <w:footnoteReference w:id="20"/>
      </w:r>
      <w:r>
        <w:rPr>
          <w:rFonts w:ascii="Palatino" w:hAnsi="Palatino"/>
          <w:b w:val="0"/>
          <w:bCs w:val="0"/>
          <w:sz w:val="22"/>
          <w:szCs w:val="22"/>
          <w:rtl w:val="0"/>
          <w:lang w:val="en-US"/>
        </w:rPr>
        <w:t xml:space="preserve">  As discussed in their paper, a variation of ethical and methodological challenges arose, and great care had to be taken to ensure protection of the participants.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 xml:space="preserve">Both authors chose a narrow research group, which is addressed by Blain and the limited amount of </w:t>
      </w:r>
      <w:r>
        <w:rPr>
          <w:rFonts w:ascii="Palatino" w:hAnsi="Palatino" w:hint="default"/>
          <w:b w:val="0"/>
          <w:bCs w:val="0"/>
          <w:sz w:val="22"/>
          <w:szCs w:val="22"/>
          <w:rtl w:val="0"/>
          <w:lang w:val="en-US"/>
        </w:rPr>
        <w:t>‘</w:t>
      </w:r>
      <w:r>
        <w:rPr>
          <w:rFonts w:ascii="Palatino" w:hAnsi="Palatino"/>
          <w:b w:val="0"/>
          <w:bCs w:val="0"/>
          <w:sz w:val="22"/>
          <w:szCs w:val="22"/>
          <w:rtl w:val="0"/>
          <w:lang w:val="en-US"/>
        </w:rPr>
        <w:t>Seidr</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practitioners.  Meanwhile, Bennett</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defined </w:t>
      </w:r>
      <w:r>
        <w:rPr>
          <w:rFonts w:ascii="Palatino" w:hAnsi="Palatino" w:hint="default"/>
          <w:b w:val="0"/>
          <w:bCs w:val="0"/>
          <w:sz w:val="22"/>
          <w:szCs w:val="22"/>
          <w:rtl w:val="0"/>
          <w:lang w:val="en-US"/>
        </w:rPr>
        <w:t>‘</w:t>
      </w:r>
      <w:r>
        <w:rPr>
          <w:rFonts w:ascii="Palatino" w:hAnsi="Palatino"/>
          <w:b w:val="0"/>
          <w:bCs w:val="0"/>
          <w:sz w:val="22"/>
          <w:szCs w:val="22"/>
          <w:rtl w:val="0"/>
          <w:lang w:val="en-US"/>
        </w:rPr>
        <w:t>fairly homogeneous</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 xml:space="preserve">research group was not clarified in relation to the purpose of this choice, nor the challenges it may have presented in a study and its results. </w:t>
      </w:r>
      <w:r>
        <w:rPr>
          <w:rFonts w:ascii="Palatino" w:cs="Palatino" w:hAnsi="Palatino" w:eastAsia="Palatino"/>
          <w:b w:val="0"/>
          <w:bCs w:val="0"/>
          <w:sz w:val="22"/>
          <w:szCs w:val="22"/>
          <w:vertAlign w:val="superscript"/>
        </w:rPr>
        <w:footnoteReference w:id="21"/>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cs="Palatino" w:hAnsi="Palatino" w:eastAsia="Palatino"/>
          <w:b w:val="0"/>
          <w:bCs w:val="0"/>
          <w:sz w:val="22"/>
          <w:szCs w:val="22"/>
          <w:rtl w:val="0"/>
        </w:rPr>
        <w:tab/>
        <w:t>The qualitative and the reflexive approaches were chosen for the studies.  Specific explorations of the authors</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 xml:space="preserve">choices and the challenges </w:t>
      </w:r>
      <w:r>
        <w:rPr>
          <w:rFonts w:ascii="Palatino" w:hAnsi="Palatino"/>
          <w:b w:val="0"/>
          <w:bCs w:val="0"/>
          <w:sz w:val="22"/>
          <w:szCs w:val="22"/>
          <w:rtl w:val="0"/>
          <w:lang w:val="da-DK"/>
        </w:rPr>
        <w:t>the authors found in the chosen methodolog</w:t>
      </w:r>
      <w:r>
        <w:rPr>
          <w:rFonts w:ascii="Palatino" w:hAnsi="Palatino"/>
          <w:b w:val="0"/>
          <w:bCs w:val="0"/>
          <w:sz w:val="22"/>
          <w:szCs w:val="22"/>
          <w:rtl w:val="0"/>
          <w:lang w:val="en-US"/>
        </w:rPr>
        <w:t>ies</w:t>
      </w:r>
      <w:r>
        <w:rPr>
          <w:rFonts w:ascii="Palatino" w:hAnsi="Palatino"/>
          <w:b w:val="0"/>
          <w:bCs w:val="0"/>
          <w:sz w:val="22"/>
          <w:szCs w:val="22"/>
          <w:rtl w:val="0"/>
          <w:lang w:val="da-DK"/>
        </w:rPr>
        <w:t xml:space="preserve"> </w:t>
      </w:r>
      <w:r>
        <w:rPr>
          <w:rFonts w:ascii="Palatino" w:hAnsi="Palatino"/>
          <w:b w:val="0"/>
          <w:bCs w:val="0"/>
          <w:sz w:val="22"/>
          <w:szCs w:val="22"/>
          <w:rtl w:val="0"/>
          <w:lang w:val="en-US"/>
        </w:rPr>
        <w:t>were only partially explored, mainly by Blain.  This essay f</w:t>
      </w:r>
      <w:r>
        <w:rPr>
          <w:rFonts w:ascii="Palatino" w:hAnsi="Palatino"/>
          <w:b w:val="0"/>
          <w:bCs w:val="0"/>
          <w:sz w:val="22"/>
          <w:szCs w:val="22"/>
          <w:rtl w:val="0"/>
          <w:lang w:val="da-DK"/>
        </w:rPr>
        <w:t xml:space="preserve">urther </w:t>
      </w:r>
      <w:r>
        <w:rPr>
          <w:rFonts w:ascii="Palatino" w:hAnsi="Palatino"/>
          <w:b w:val="0"/>
          <w:bCs w:val="0"/>
          <w:sz w:val="22"/>
          <w:szCs w:val="22"/>
          <w:rtl w:val="0"/>
          <w:lang w:val="en-US"/>
        </w:rPr>
        <w:t>examined the awareness of the insider/outsider aspect.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rPr>
      </w:pPr>
      <w:r>
        <w:rPr>
          <w:rFonts w:ascii="Palatino" w:hAnsi="Palatino"/>
          <w:b w:val="0"/>
          <w:bCs w:val="0"/>
          <w:i w:val="1"/>
          <w:iCs w:val="1"/>
          <w:sz w:val="22"/>
          <w:szCs w:val="22"/>
          <w:rtl w:val="0"/>
          <w:lang w:val="en-US"/>
        </w:rPr>
        <w:t>Insider/outsider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3"/>
          <w:footerReference w:type="default" r:id="rId14"/>
          <w:pgSz w:w="12240" w:h="15840" w:orient="portrait"/>
          <w:pgMar w:top="1134" w:right="1134" w:bottom="1134" w:left="1134" w:header="567" w:footer="720"/>
          <w:bidi w:val="0"/>
        </w:sectPr>
      </w:pPr>
      <w:r>
        <w:rPr>
          <w:rFonts w:ascii="Palatino" w:hAnsi="Palatino"/>
          <w:b w:val="0"/>
          <w:bCs w:val="0"/>
          <w:sz w:val="22"/>
          <w:szCs w:val="22"/>
          <w:rtl w:val="0"/>
          <w:lang w:val="en-US"/>
        </w:rPr>
        <w:t xml:space="preserve">Woods discussed the insider/outsider positioning and asked: </w:t>
      </w:r>
      <w:r>
        <w:rPr>
          <w:rFonts w:ascii="Palatino" w:hAnsi="Palatino" w:hint="default"/>
          <w:b w:val="0"/>
          <w:bCs w:val="0"/>
          <w:sz w:val="22"/>
          <w:szCs w:val="22"/>
          <w:rtl w:val="0"/>
          <w:lang w:val="en-US"/>
        </w:rPr>
        <w:t>‘</w:t>
      </w:r>
      <w:r>
        <w:rPr>
          <w:rFonts w:ascii="Palatino" w:hAnsi="Palatino"/>
          <w:b w:val="0"/>
          <w:bCs w:val="0"/>
          <w:sz w:val="22"/>
          <w:szCs w:val="22"/>
          <w:rtl w:val="0"/>
          <w:lang w:val="en-US"/>
        </w:rPr>
        <w:t>Are you one of us or one of them?</w:t>
      </w:r>
      <w:r>
        <w:rPr>
          <w:rFonts w:ascii="Palatino" w:hAnsi="Palatino" w:hint="default"/>
          <w:b w:val="0"/>
          <w:bCs w:val="0"/>
          <w:sz w:val="22"/>
          <w:szCs w:val="22"/>
          <w:rtl w:val="0"/>
          <w:lang w:val="en-US"/>
        </w:rPr>
        <w:t xml:space="preserve">’ </w:t>
      </w:r>
      <w:r>
        <w:rPr>
          <w:rFonts w:ascii="Palatino" w:cs="Palatino" w:hAnsi="Palatino" w:eastAsia="Palatino"/>
          <w:b w:val="0"/>
          <w:bCs w:val="0"/>
          <w:sz w:val="22"/>
          <w:szCs w:val="22"/>
          <w:vertAlign w:val="superscript"/>
        </w:rPr>
        <w:footnoteReference w:id="22"/>
      </w:r>
      <w:r>
        <w:rPr>
          <w:rFonts w:ascii="Palatino" w:hAnsi="Palatino"/>
          <w:b w:val="0"/>
          <w:bCs w:val="0"/>
          <w:sz w:val="22"/>
          <w:szCs w:val="22"/>
          <w:rtl w:val="0"/>
          <w:lang w:val="en-US"/>
        </w:rPr>
        <w:t xml:space="preserve">  Woods found that the importance of addressing the researcher position within a study added thoroughness to studies.  </w:t>
      </w:r>
      <w:r>
        <w:rPr>
          <w:rFonts w:ascii="Palatino" w:hAnsi="Palatino"/>
          <w:b w:val="0"/>
          <w:bCs w:val="0"/>
          <w:sz w:val="22"/>
          <w:szCs w:val="22"/>
          <w:rtl w:val="0"/>
          <w:lang w:val="da-DK"/>
        </w:rPr>
        <w:t>While Bennett</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possible only consideration in relation to the insider/outsider positioning was the </w:t>
      </w:r>
      <w:r>
        <w:rPr>
          <w:rFonts w:ascii="Palatino" w:hAnsi="Palatino" w:hint="default"/>
          <w:b w:val="0"/>
          <w:bCs w:val="0"/>
          <w:sz w:val="22"/>
          <w:szCs w:val="22"/>
          <w:rtl w:val="0"/>
          <w:lang w:val="en-US"/>
        </w:rPr>
        <w:t>‘</w:t>
      </w:r>
      <w:r>
        <w:rPr>
          <w:rFonts w:ascii="Palatino" w:hAnsi="Palatino"/>
          <w:b w:val="0"/>
          <w:bCs w:val="0"/>
          <w:sz w:val="22"/>
          <w:szCs w:val="22"/>
          <w:rtl w:val="0"/>
          <w:lang w:val="en-US"/>
        </w:rPr>
        <w:t>fairly homogenous</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 xml:space="preserve">group in the study, Blain expressed issues of the aspect as </w:t>
      </w:r>
      <w:r>
        <w:rPr>
          <w:rFonts w:ascii="Palatino" w:hAnsi="Palatino" w:hint="default"/>
          <w:b w:val="0"/>
          <w:bCs w:val="0"/>
          <w:sz w:val="22"/>
          <w:szCs w:val="22"/>
          <w:rtl w:val="0"/>
          <w:lang w:val="en-US"/>
        </w:rPr>
        <w:t>‘</w:t>
      </w:r>
      <w:r>
        <w:rPr>
          <w:rFonts w:ascii="Palatino" w:hAnsi="Palatino"/>
          <w:b w:val="0"/>
          <w:bCs w:val="0"/>
          <w:sz w:val="22"/>
          <w:szCs w:val="22"/>
          <w:rtl w:val="0"/>
          <w:lang w:val="en-US"/>
        </w:rPr>
        <w:t>two worlds</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 xml:space="preserve">and further discussed the credibility of a researcher </w:t>
      </w:r>
      <w:r>
        <w:rPr>
          <w:rFonts w:ascii="Palatino" w:hAnsi="Palatino" w:hint="default"/>
          <w:b w:val="0"/>
          <w:bCs w:val="0"/>
          <w:sz w:val="22"/>
          <w:szCs w:val="22"/>
          <w:rtl w:val="0"/>
          <w:lang w:val="en-US"/>
        </w:rPr>
        <w:t>‘</w:t>
      </w:r>
      <w:r>
        <w:rPr>
          <w:rFonts w:ascii="Palatino" w:hAnsi="Palatino"/>
          <w:b w:val="0"/>
          <w:bCs w:val="0"/>
          <w:sz w:val="22"/>
          <w:szCs w:val="22"/>
          <w:rtl w:val="0"/>
          <w:lang w:val="en-US"/>
        </w:rPr>
        <w:t>going native</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 </w:t>
      </w:r>
      <w:r>
        <w:rPr>
          <w:rFonts w:ascii="Palatino" w:cs="Palatino" w:hAnsi="Palatino" w:eastAsia="Palatino"/>
          <w:b w:val="0"/>
          <w:bCs w:val="0"/>
          <w:sz w:val="22"/>
          <w:szCs w:val="22"/>
          <w:vertAlign w:val="superscript"/>
        </w:rPr>
        <w:footnoteReference w:id="23"/>
      </w:r>
      <w:r>
        <w:rPr>
          <w:rFonts w:ascii="Palatino" w:hAnsi="Palatino"/>
          <w:b w:val="0"/>
          <w:bCs w:val="0"/>
          <w:sz w:val="22"/>
          <w:szCs w:val="22"/>
          <w:rtl w:val="0"/>
          <w:lang w:val="en-US"/>
        </w:rPr>
        <w:t xml:space="preserve">  Blain</w:t>
      </w:r>
      <w:r>
        <w:rPr>
          <w:rFonts w:ascii="Palatino" w:hAnsi="Palatino" w:hint="default"/>
          <w:b w:val="0"/>
          <w:bCs w:val="0"/>
          <w:sz w:val="22"/>
          <w:szCs w:val="22"/>
          <w:rtl w:val="0"/>
          <w:lang w:val="en-US"/>
        </w:rPr>
        <w:t>’</w:t>
      </w:r>
      <w:r>
        <w:rPr>
          <w:rFonts w:ascii="Palatino" w:hAnsi="Palatino"/>
          <w:b w:val="0"/>
          <w:bCs w:val="0"/>
          <w:sz w:val="22"/>
          <w:szCs w:val="22"/>
          <w:rtl w:val="0"/>
          <w:lang w:val="en-US"/>
        </w:rPr>
        <w:t>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 xml:space="preserve">final comment in the paper defined another insider/outsider view.  Blain argued: </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The reality of the customs officer is to me more alien than that of the dancers </w:t>
      </w:r>
      <w:r>
        <w:rPr>
          <w:rFonts w:ascii="Palatino" w:hAnsi="Palatino" w:hint="default"/>
          <w:b w:val="0"/>
          <w:bCs w:val="0"/>
          <w:sz w:val="22"/>
          <w:szCs w:val="22"/>
          <w:rtl w:val="0"/>
          <w:lang w:val="en-US"/>
        </w:rPr>
        <w:t>…’</w:t>
      </w:r>
      <w:r>
        <w:rPr>
          <w:rFonts w:ascii="Palatino" w:hAnsi="Palatino"/>
          <w:b w:val="0"/>
          <w:bCs w:val="0"/>
          <w:sz w:val="22"/>
          <w:szCs w:val="22"/>
          <w:rtl w:val="0"/>
          <w:lang w:val="en-US"/>
        </w:rPr>
        <w:t>.  The author examined her own words and thoughts in relation to this experience, however it could be argued whether Blain preconceived the customs officer</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attitudes towards </w:t>
      </w:r>
      <w:r>
        <w:rPr>
          <w:rFonts w:ascii="Palatino" w:hAnsi="Palatino" w:hint="default"/>
          <w:b w:val="0"/>
          <w:bCs w:val="0"/>
          <w:sz w:val="22"/>
          <w:szCs w:val="22"/>
          <w:rtl w:val="0"/>
          <w:lang w:val="en-US"/>
        </w:rPr>
        <w:t>‘</w:t>
      </w:r>
      <w:r>
        <w:rPr>
          <w:rFonts w:ascii="Palatino" w:hAnsi="Palatino"/>
          <w:b w:val="0"/>
          <w:bCs w:val="0"/>
          <w:sz w:val="22"/>
          <w:szCs w:val="22"/>
          <w:rtl w:val="0"/>
          <w:lang w:val="en-US"/>
        </w:rPr>
        <w:t>Seidr</w:t>
      </w:r>
      <w:r>
        <w:rPr>
          <w:rFonts w:ascii="Palatino" w:hAnsi="Palatino" w:hint="default"/>
          <w:b w:val="0"/>
          <w:bCs w:val="0"/>
          <w:sz w:val="22"/>
          <w:szCs w:val="22"/>
          <w:rtl w:val="0"/>
          <w:lang w:val="en-US"/>
        </w:rPr>
        <w:t>’</w:t>
      </w:r>
      <w:r>
        <w:rPr>
          <w:rFonts w:ascii="Palatino" w:hAnsi="Palatino"/>
          <w:b w:val="0"/>
          <w:bCs w:val="0"/>
          <w:sz w:val="22"/>
          <w:szCs w:val="22"/>
          <w:rtl w:val="0"/>
          <w:lang w:val="en-US"/>
        </w:rPr>
        <w:t>.  Despite Blain</w:t>
      </w:r>
      <w:r>
        <w:rPr>
          <w:rFonts w:ascii="Palatino" w:hAnsi="Palatino" w:hint="default"/>
          <w:b w:val="0"/>
          <w:bCs w:val="0"/>
          <w:sz w:val="22"/>
          <w:szCs w:val="22"/>
          <w:rtl w:val="0"/>
          <w:lang w:val="en-US"/>
        </w:rPr>
        <w:t>’</w:t>
      </w:r>
      <w:r>
        <w:rPr>
          <w:rFonts w:ascii="Palatino" w:hAnsi="Palatino"/>
          <w:b w:val="0"/>
          <w:bCs w:val="0"/>
          <w:sz w:val="22"/>
          <w:szCs w:val="22"/>
          <w:rtl w:val="0"/>
          <w:lang w:val="en-US"/>
        </w:rPr>
        <w:t>s complexity in addressing the insider/outsider aspect, it was however discussed by Blain, whereas the Bennett paper did not address the insider/outsider positioning.  Bennett potentially had an insider/outsider challenge by choosing to interview her father</w:t>
      </w:r>
      <w:r>
        <w:rPr>
          <w:rFonts w:ascii="Palatino" w:hAnsi="Palatino" w:hint="default"/>
          <w:b w:val="0"/>
          <w:bCs w:val="0"/>
          <w:sz w:val="22"/>
          <w:szCs w:val="22"/>
          <w:rtl w:val="0"/>
          <w:lang w:val="en-US"/>
        </w:rPr>
        <w:t>’</w:t>
      </w:r>
      <w:r>
        <w:rPr>
          <w:rFonts w:ascii="Palatino" w:hAnsi="Palatino"/>
          <w:b w:val="0"/>
          <w:bCs w:val="0"/>
          <w:sz w:val="22"/>
          <w:szCs w:val="22"/>
          <w:rtl w:val="0"/>
          <w:lang w:val="en-US"/>
        </w:rPr>
        <w:t>s clients during treatment.  The paper did not clarify how the author placed herself other than: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ind w:left="567" w:right="850" w:firstLine="0"/>
        <w:rPr>
          <w:rFonts w:ascii="Palatino" w:cs="Palatino" w:hAnsi="Palatino" w:eastAsia="Palatino"/>
          <w:b w:val="0"/>
          <w:bCs w:val="0"/>
          <w:sz w:val="22"/>
          <w:szCs w:val="22"/>
        </w:rPr>
      </w:pPr>
      <w:r>
        <w:rPr>
          <w:rFonts w:ascii="Palatino" w:hAnsi="Palatino"/>
          <w:b w:val="0"/>
          <w:bCs w:val="0"/>
          <w:sz w:val="22"/>
          <w:szCs w:val="22"/>
          <w:rtl w:val="0"/>
          <w:lang w:val="en-US"/>
        </w:rPr>
        <w:t xml:space="preserve">With their permission, I simply sat in on their treatment, told them what I was researching and how I was planning to use the material, and recorded everything that was said. </w:t>
      </w:r>
      <w:r>
        <w:rPr>
          <w:rFonts w:ascii="Palatino" w:cs="Palatino" w:hAnsi="Palatino" w:eastAsia="Palatino"/>
          <w:b w:val="0"/>
          <w:bCs w:val="0"/>
          <w:sz w:val="22"/>
          <w:szCs w:val="22"/>
          <w:vertAlign w:val="superscript"/>
        </w:rPr>
        <w:footnoteReference w:id="24"/>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The author did not clarify whether the participants knew she was the daughter of the podiatrist or whether this may have effected the study and results; neither were the aspects of the possible issues of choice of participants addressed.  Bennett did not discuss or consider her own bias, nor the participants</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relationship with the podiatrist.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 xml:space="preserve">Simonsen mentioned the importance of people having a need to talk about folklore. </w:t>
      </w:r>
      <w:r>
        <w:rPr>
          <w:rFonts w:ascii="Palatino" w:cs="Palatino" w:hAnsi="Palatino" w:eastAsia="Palatino"/>
          <w:b w:val="0"/>
          <w:bCs w:val="0"/>
          <w:sz w:val="22"/>
          <w:szCs w:val="22"/>
          <w:vertAlign w:val="superscript"/>
        </w:rPr>
        <w:footnoteReference w:id="25"/>
      </w:r>
      <w:r>
        <w:rPr>
          <w:rFonts w:ascii="Palatino" w:hAnsi="Palatino"/>
          <w:b w:val="0"/>
          <w:bCs w:val="0"/>
          <w:sz w:val="22"/>
          <w:szCs w:val="22"/>
          <w:rtl w:val="0"/>
          <w:lang w:val="en-US"/>
        </w:rPr>
        <w:t xml:space="preserve">  Bennett expressed the elderly </w:t>
      </w:r>
      <w:r>
        <w:rPr>
          <w:rFonts w:ascii="Palatino" w:hAnsi="Palatino"/>
          <w:b w:val="0"/>
          <w:bCs w:val="0"/>
          <w:sz w:val="22"/>
          <w:szCs w:val="22"/>
          <w:rtl w:val="0"/>
          <w:lang w:val="en-US"/>
        </w:rPr>
        <w:t>women</w:t>
      </w:r>
      <w:r>
        <w:rPr>
          <w:rFonts w:ascii="Palatino" w:hAnsi="Palatino" w:hint="default"/>
          <w:b w:val="0"/>
          <w:bCs w:val="0"/>
          <w:sz w:val="22"/>
          <w:szCs w:val="22"/>
          <w:rtl w:val="0"/>
          <w:lang w:val="en-US"/>
        </w:rPr>
        <w:t>’</w:t>
      </w:r>
      <w:r>
        <w:rPr>
          <w:rFonts w:ascii="Palatino" w:hAnsi="Palatino"/>
          <w:b w:val="0"/>
          <w:bCs w:val="0"/>
          <w:sz w:val="22"/>
          <w:szCs w:val="22"/>
          <w:rtl w:val="0"/>
        </w:rPr>
        <w:t>s</w:t>
      </w:r>
      <w:r>
        <w:rPr>
          <w:rFonts w:ascii="Palatino" w:hAnsi="Palatino"/>
          <w:b w:val="0"/>
          <w:bCs w:val="0"/>
          <w:sz w:val="22"/>
          <w:szCs w:val="22"/>
          <w:rtl w:val="0"/>
          <w:lang w:val="en-US"/>
        </w:rPr>
        <w:t xml:space="preserve"> willingness to share narratives </w:t>
      </w:r>
      <w:r>
        <w:rPr>
          <w:rFonts w:ascii="Palatino" w:cs="Palatino" w:hAnsi="Palatino" w:eastAsia="Palatino"/>
          <w:b w:val="0"/>
          <w:bCs w:val="0"/>
          <w:sz w:val="22"/>
          <w:szCs w:val="22"/>
          <w:vertAlign w:val="superscript"/>
        </w:rPr>
        <w:footnoteReference w:id="26"/>
      </w:r>
      <w:r>
        <w:rPr>
          <w:rFonts w:ascii="Palatino" w:hAnsi="Palatino"/>
          <w:b w:val="0"/>
          <w:bCs w:val="0"/>
          <w:sz w:val="22"/>
          <w:szCs w:val="22"/>
          <w:rtl w:val="0"/>
          <w:lang w:val="en-US"/>
        </w:rPr>
        <w:t xml:space="preserve">, but did not explore whether these narratives were affected by the circumstances of the interviews occurring during treatment.  Hennick et.al. described the importance of awareness of personal and interpersonal influences in research.  One case study showed how, even despite preparation to the insider/outsider aspect, a participant relationship was unintentionally compromised. </w:t>
      </w:r>
      <w:r>
        <w:rPr>
          <w:rFonts w:ascii="Palatino" w:cs="Palatino" w:hAnsi="Palatino" w:eastAsia="Palatino"/>
          <w:b w:val="0"/>
          <w:bCs w:val="0"/>
          <w:sz w:val="22"/>
          <w:szCs w:val="22"/>
          <w:vertAlign w:val="superscript"/>
        </w:rPr>
        <w:footnoteReference w:id="27"/>
      </w:r>
      <w:r>
        <w:rPr>
          <w:rFonts w:ascii="Palatino" w:hAnsi="Palatino"/>
          <w:b w:val="0"/>
          <w:bCs w:val="0"/>
          <w:sz w:val="22"/>
          <w:szCs w:val="22"/>
          <w:rtl w:val="0"/>
          <w:lang w:val="en-US"/>
        </w:rPr>
        <w:t xml:space="preserve">  This potentially could have occurred in Bennett</w:t>
      </w:r>
      <w:r>
        <w:rPr>
          <w:rFonts w:ascii="Palatino" w:hAnsi="Palatino" w:hint="default"/>
          <w:b w:val="0"/>
          <w:bCs w:val="0"/>
          <w:sz w:val="22"/>
          <w:szCs w:val="22"/>
          <w:rtl w:val="0"/>
          <w:lang w:val="en-US"/>
        </w:rPr>
        <w:t>’</w:t>
      </w:r>
      <w:r>
        <w:rPr>
          <w:rFonts w:ascii="Palatino" w:hAnsi="Palatino"/>
          <w:b w:val="0"/>
          <w:bCs w:val="0"/>
          <w:sz w:val="22"/>
          <w:szCs w:val="22"/>
          <w:rtl w:val="0"/>
          <w:lang w:val="en-US"/>
        </w:rPr>
        <w:t>s study, as the participants were patients of the researcher</w:t>
      </w:r>
      <w:r>
        <w:rPr>
          <w:rFonts w:ascii="Palatino" w:hAnsi="Palatino" w:hint="default"/>
          <w:b w:val="0"/>
          <w:bCs w:val="0"/>
          <w:sz w:val="22"/>
          <w:szCs w:val="22"/>
          <w:rtl w:val="0"/>
          <w:lang w:val="en-US"/>
        </w:rPr>
        <w:t>’</w:t>
      </w:r>
      <w:r>
        <w:rPr>
          <w:rFonts w:ascii="Palatino" w:hAnsi="Palatino"/>
          <w:b w:val="0"/>
          <w:bCs w:val="0"/>
          <w:sz w:val="22"/>
          <w:szCs w:val="22"/>
          <w:rtl w:val="0"/>
          <w:lang w:val="en-US"/>
        </w:rPr>
        <w:t>s father.  At the same time, this essay found some ethical concerns.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i w:val="1"/>
          <w:iCs w:val="1"/>
          <w:sz w:val="22"/>
          <w:szCs w:val="22"/>
        </w:rPr>
      </w:pPr>
      <w:r>
        <w:rPr>
          <w:rFonts w:ascii="Palatino" w:hAnsi="Palatino"/>
          <w:b w:val="0"/>
          <w:bCs w:val="0"/>
          <w:i w:val="1"/>
          <w:iCs w:val="1"/>
          <w:sz w:val="22"/>
          <w:szCs w:val="22"/>
          <w:rtl w:val="0"/>
          <w:lang w:val="en-US"/>
        </w:rPr>
        <w:t>Ethical considerations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Hennick et. al. and Melb</w:t>
      </w:r>
      <w:r>
        <w:rPr>
          <w:rFonts w:ascii="Palatino" w:hAnsi="Palatino" w:hint="default"/>
          <w:b w:val="0"/>
          <w:bCs w:val="0"/>
          <w:sz w:val="22"/>
          <w:szCs w:val="22"/>
          <w:rtl w:val="0"/>
          <w:lang w:val="da-DK"/>
        </w:rPr>
        <w:t>ø</w:t>
      </w:r>
      <w:r>
        <w:rPr>
          <w:rFonts w:ascii="Palatino" w:hAnsi="Palatino"/>
          <w:b w:val="0"/>
          <w:bCs w:val="0"/>
          <w:sz w:val="22"/>
          <w:szCs w:val="22"/>
          <w:rtl w:val="0"/>
          <w:lang w:val="da-DK"/>
        </w:rPr>
        <w:t xml:space="preserve">e </w:t>
      </w:r>
      <w:r>
        <w:rPr>
          <w:rFonts w:ascii="Palatino" w:hAnsi="Palatino"/>
          <w:b w:val="0"/>
          <w:bCs w:val="0"/>
          <w:sz w:val="22"/>
          <w:szCs w:val="22"/>
          <w:rtl w:val="0"/>
          <w:lang w:val="en-US"/>
        </w:rPr>
        <w:t>et.al. both described the challenges of ethics in research.  Hennick described the wider challenge in qualitative research related to the proposed research outcome.  Qualitative research investigate participants knowledge, attitudes and emotions, all of which must be kept secure and anonymous.  Melb</w:t>
      </w:r>
      <w:r>
        <w:rPr>
          <w:rFonts w:ascii="Palatino" w:hAnsi="Palatino" w:hint="default"/>
          <w:b w:val="0"/>
          <w:bCs w:val="0"/>
          <w:sz w:val="22"/>
          <w:szCs w:val="22"/>
          <w:rtl w:val="0"/>
          <w:lang w:val="da-DK"/>
        </w:rPr>
        <w:t>ø</w:t>
      </w:r>
      <w:r>
        <w:rPr>
          <w:rFonts w:ascii="Palatino" w:hAnsi="Palatino"/>
          <w:b w:val="0"/>
          <w:bCs w:val="0"/>
          <w:sz w:val="22"/>
          <w:szCs w:val="22"/>
          <w:rtl w:val="0"/>
          <w:lang w:val="da-DK"/>
        </w:rPr>
        <w:t xml:space="preserve">e </w:t>
      </w:r>
      <w:r>
        <w:rPr>
          <w:rFonts w:ascii="Palatino" w:hAnsi="Palatino"/>
          <w:b w:val="0"/>
          <w:bCs w:val="0"/>
          <w:sz w:val="22"/>
          <w:szCs w:val="22"/>
          <w:rtl w:val="0"/>
          <w:lang w:val="en-US"/>
        </w:rPr>
        <w:t xml:space="preserve">also discussed safeguarding aspects towards the participants and the Saami people as a whole. </w:t>
      </w:r>
      <w:r>
        <w:rPr>
          <w:rFonts w:ascii="Palatino" w:cs="Palatino" w:hAnsi="Palatino" w:eastAsia="Palatino"/>
          <w:b w:val="0"/>
          <w:bCs w:val="0"/>
          <w:sz w:val="22"/>
          <w:szCs w:val="22"/>
          <w:vertAlign w:val="superscript"/>
        </w:rPr>
        <w:footnoteReference w:id="28"/>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5"/>
          <w:footerReference w:type="default" r:id="rId16"/>
          <w:pgSz w:w="12240" w:h="15840" w:orient="portrait"/>
          <w:pgMar w:top="1134" w:right="1134" w:bottom="1134" w:left="1134" w:header="567" w:footer="720"/>
          <w:bidi w:val="0"/>
        </w:sectPr>
      </w:pPr>
      <w:r>
        <w:rPr>
          <w:rFonts w:ascii="Palatino" w:cs="Palatino" w:hAnsi="Palatino" w:eastAsia="Palatino"/>
          <w:b w:val="0"/>
          <w:bCs w:val="0"/>
          <w:sz w:val="22"/>
          <w:szCs w:val="22"/>
          <w:rtl w:val="0"/>
        </w:rPr>
        <w:tab/>
        <w:t>Neither of the compared papers in this essay discussed the aspects of ethics.  Blain</w:t>
      </w:r>
      <w:r>
        <w:rPr>
          <w:rFonts w:ascii="Palatino" w:hAnsi="Palatino" w:hint="default"/>
          <w:b w:val="0"/>
          <w:bCs w:val="0"/>
          <w:sz w:val="22"/>
          <w:szCs w:val="22"/>
          <w:rtl w:val="0"/>
          <w:lang w:val="en-US"/>
        </w:rPr>
        <w:t>’</w:t>
      </w:r>
      <w:r>
        <w:rPr>
          <w:rFonts w:ascii="Palatino" w:hAnsi="Palatino"/>
          <w:b w:val="0"/>
          <w:bCs w:val="0"/>
          <w:sz w:val="22"/>
          <w:szCs w:val="22"/>
          <w:rtl w:val="0"/>
          <w:lang w:val="en-US"/>
        </w:rPr>
        <w:t xml:space="preserve">s paper referred to the </w:t>
      </w:r>
      <w:r>
        <w:rPr>
          <w:rFonts w:ascii="Palatino" w:hAnsi="Palatino" w:hint="default"/>
          <w:b w:val="0"/>
          <w:bCs w:val="0"/>
          <w:sz w:val="22"/>
          <w:szCs w:val="22"/>
          <w:rtl w:val="0"/>
          <w:lang w:val="en-US"/>
        </w:rPr>
        <w:t>‘</w:t>
      </w:r>
      <w:r>
        <w:rPr>
          <w:rFonts w:ascii="Palatino" w:hAnsi="Palatino"/>
          <w:b w:val="0"/>
          <w:bCs w:val="0"/>
          <w:sz w:val="22"/>
          <w:szCs w:val="22"/>
          <w:rtl w:val="0"/>
          <w:lang w:val="en-US"/>
        </w:rPr>
        <w:t>Seidr</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community, naming two participants, who could possibly be identified.  Bennett</w:t>
      </w:r>
      <w:r>
        <w:rPr>
          <w:rFonts w:ascii="Palatino" w:hAnsi="Palatino" w:hint="default"/>
          <w:b w:val="0"/>
          <w:bCs w:val="0"/>
          <w:sz w:val="22"/>
          <w:szCs w:val="22"/>
          <w:rtl w:val="0"/>
          <w:lang w:val="en-US"/>
        </w:rPr>
        <w:t>’</w:t>
      </w:r>
      <w:r>
        <w:rPr>
          <w:rFonts w:ascii="Palatino" w:hAnsi="Palatino"/>
          <w:b w:val="0"/>
          <w:bCs w:val="0"/>
          <w:sz w:val="22"/>
          <w:szCs w:val="22"/>
          <w:rtl w:val="0"/>
          <w:lang w:val="en-US"/>
        </w:rPr>
        <w:t>s participants could also possibly be identified through the given podiatrist clinic information.  Personal</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0"/>
          <w:bCs w:val="0"/>
          <w:sz w:val="22"/>
          <w:szCs w:val="22"/>
          <w:rtl w:val="0"/>
          <w:lang w:val="en-US"/>
        </w:rPr>
        <w:t>information from the clinic was shared with Bennett, however it was not clarified whether this had the participants</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consent.  At the same time, some participants were mentioned by name and not their information code.  The endnotes do, however, state that the names were pseudonyms, but this was not clarified or discussed in the paper.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cs="Palatino" w:hAnsi="Palatino" w:eastAsia="Palatino"/>
          <w:b w:val="0"/>
          <w:bCs w:val="0"/>
          <w:sz w:val="22"/>
          <w:szCs w:val="22"/>
          <w:rtl w:val="0"/>
        </w:rPr>
        <w:tab/>
        <w:t xml:space="preserve">Both authors expressed some preconception.  Blain expressed the attitudes of the customs officer </w:t>
      </w:r>
      <w:r>
        <w:rPr>
          <w:rFonts w:ascii="Palatino" w:cs="Palatino" w:hAnsi="Palatino" w:eastAsia="Palatino"/>
          <w:b w:val="0"/>
          <w:bCs w:val="0"/>
          <w:sz w:val="22"/>
          <w:szCs w:val="22"/>
          <w:vertAlign w:val="superscript"/>
        </w:rPr>
        <w:footnoteReference w:id="29"/>
      </w:r>
      <w:r>
        <w:rPr>
          <w:rFonts w:ascii="Palatino" w:hAnsi="Palatino"/>
          <w:b w:val="0"/>
          <w:bCs w:val="0"/>
          <w:sz w:val="22"/>
          <w:szCs w:val="22"/>
          <w:rtl w:val="0"/>
          <w:lang w:val="en-US"/>
        </w:rPr>
        <w:t xml:space="preserve"> as well as finding it difficult to explain </w:t>
      </w:r>
      <w:r>
        <w:rPr>
          <w:rFonts w:ascii="Palatino" w:hAnsi="Palatino" w:hint="default"/>
          <w:b w:val="0"/>
          <w:bCs w:val="0"/>
          <w:sz w:val="22"/>
          <w:szCs w:val="22"/>
          <w:rtl w:val="0"/>
          <w:lang w:val="en-US"/>
        </w:rPr>
        <w:t>‘</w:t>
      </w:r>
      <w:r>
        <w:rPr>
          <w:rFonts w:ascii="Palatino" w:hAnsi="Palatino"/>
          <w:b w:val="0"/>
          <w:bCs w:val="0"/>
          <w:sz w:val="22"/>
          <w:szCs w:val="22"/>
          <w:rtl w:val="0"/>
          <w:lang w:val="en-US"/>
        </w:rPr>
        <w:t>Seidr</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 xml:space="preserve">to academics </w:t>
      </w:r>
      <w:r>
        <w:rPr>
          <w:rFonts w:ascii="Palatino" w:cs="Palatino" w:hAnsi="Palatino" w:eastAsia="Palatino"/>
          <w:b w:val="0"/>
          <w:bCs w:val="0"/>
          <w:sz w:val="22"/>
          <w:szCs w:val="22"/>
          <w:vertAlign w:val="superscript"/>
        </w:rPr>
        <w:footnoteReference w:id="30"/>
      </w:r>
      <w:r>
        <w:rPr>
          <w:rFonts w:ascii="Palatino" w:hAnsi="Palatino"/>
          <w:b w:val="0"/>
          <w:bCs w:val="0"/>
          <w:sz w:val="22"/>
          <w:szCs w:val="22"/>
          <w:rtl w:val="0"/>
          <w:lang w:val="en-US"/>
        </w:rPr>
        <w:t>, as compared to Bennett mentioning participants</w:t>
      </w:r>
      <w:r>
        <w:rPr>
          <w:rFonts w:ascii="Palatino" w:hAnsi="Palatino" w:hint="default"/>
          <w:b w:val="0"/>
          <w:bCs w:val="0"/>
          <w:sz w:val="22"/>
          <w:szCs w:val="22"/>
          <w:rtl w:val="0"/>
          <w:lang w:val="en-US"/>
        </w:rPr>
        <w:t xml:space="preserve">’ </w:t>
      </w:r>
      <w:r>
        <w:rPr>
          <w:rFonts w:ascii="Palatino" w:hAnsi="Palatino"/>
          <w:b w:val="0"/>
          <w:bCs w:val="0"/>
          <w:sz w:val="22"/>
          <w:szCs w:val="22"/>
          <w:rtl w:val="0"/>
          <w:lang w:val="en-US"/>
        </w:rPr>
        <w:t xml:space="preserve">negative attitude to astrology </w:t>
      </w:r>
      <w:r>
        <w:rPr>
          <w:rFonts w:ascii="Palatino" w:cs="Palatino" w:hAnsi="Palatino" w:eastAsia="Palatino"/>
          <w:b w:val="0"/>
          <w:bCs w:val="0"/>
          <w:sz w:val="22"/>
          <w:szCs w:val="22"/>
          <w:vertAlign w:val="superscript"/>
        </w:rPr>
        <w:footnoteReference w:id="31"/>
      </w:r>
      <w:r>
        <w:rPr>
          <w:rFonts w:ascii="Palatino" w:hAnsi="Palatino"/>
          <w:b w:val="0"/>
          <w:bCs w:val="0"/>
          <w:sz w:val="22"/>
          <w:szCs w:val="22"/>
          <w:rtl w:val="0"/>
          <w:lang w:val="en-US"/>
        </w:rPr>
        <w:t>.  These statements were not supported by evidence, neither from participants nor from the sources used in the respective papers.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i w:val="1"/>
          <w:iCs w:val="1"/>
          <w:sz w:val="22"/>
          <w:szCs w:val="22"/>
        </w:rPr>
      </w:pPr>
      <w:r>
        <w:rPr>
          <w:rFonts w:ascii="Palatino" w:hAnsi="Palatino"/>
          <w:i w:val="1"/>
          <w:iCs w:val="1"/>
          <w:sz w:val="22"/>
          <w:szCs w:val="22"/>
          <w:rtl w:val="0"/>
          <w:lang w:val="en-US"/>
        </w:rPr>
        <w:t>Literature review</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One-third</w:t>
      </w:r>
      <w:r>
        <w:rPr>
          <w:rFonts w:ascii="Palatino" w:hAnsi="Palatino"/>
          <w:sz w:val="22"/>
          <w:szCs w:val="22"/>
          <w:rtl w:val="0"/>
          <w:lang w:val="en-US"/>
        </w:rPr>
        <w:t xml:space="preserve"> of the sources in the Blain paper are the author</w:t>
      </w:r>
      <w:r>
        <w:rPr>
          <w:rFonts w:ascii="Palatino" w:hAnsi="Palatino" w:hint="default"/>
          <w:sz w:val="22"/>
          <w:szCs w:val="22"/>
          <w:rtl w:val="0"/>
          <w:lang w:val="en-US"/>
        </w:rPr>
        <w:t>’</w:t>
      </w:r>
      <w:r>
        <w:rPr>
          <w:rFonts w:ascii="Palatino" w:hAnsi="Palatino"/>
          <w:sz w:val="22"/>
          <w:szCs w:val="22"/>
          <w:rtl w:val="0"/>
          <w:lang w:val="en-US"/>
        </w:rPr>
        <w:t>s own.  The remaining main sources were drawn from books and two journals, although limited historical literature.  Further literature on the traditions were, however, available at the time.  Sommarstr</w:t>
      </w:r>
      <w:r>
        <w:rPr>
          <w:rFonts w:ascii="Palatino" w:hAnsi="Palatino" w:hint="default"/>
          <w:sz w:val="22"/>
          <w:szCs w:val="22"/>
          <w:rtl w:val="0"/>
          <w:lang w:val="da-DK"/>
        </w:rPr>
        <w:t>ö</w:t>
      </w:r>
      <w:r>
        <w:rPr>
          <w:rFonts w:ascii="Palatino" w:hAnsi="Palatino"/>
          <w:sz w:val="22"/>
          <w:szCs w:val="22"/>
          <w:rtl w:val="0"/>
          <w:lang w:val="da-DK"/>
        </w:rPr>
        <w:t>m</w:t>
      </w:r>
      <w:r>
        <w:rPr>
          <w:rFonts w:ascii="Palatino" w:hAnsi="Palatino" w:hint="default"/>
          <w:sz w:val="22"/>
          <w:szCs w:val="22"/>
          <w:rtl w:val="0"/>
          <w:lang w:val="en-US"/>
        </w:rPr>
        <w:t>’</w:t>
      </w:r>
      <w:r>
        <w:rPr>
          <w:rFonts w:ascii="Palatino" w:hAnsi="Palatino"/>
          <w:sz w:val="22"/>
          <w:szCs w:val="22"/>
          <w:rtl w:val="0"/>
          <w:lang w:val="en-US"/>
        </w:rPr>
        <w:t xml:space="preserve">s paper described the Saami culture, seances and symbols in a very detailed manner; an insightful, historical review. </w:t>
      </w:r>
      <w:r>
        <w:rPr>
          <w:rFonts w:ascii="Palatino" w:cs="Palatino" w:hAnsi="Palatino" w:eastAsia="Palatino"/>
          <w:sz w:val="22"/>
          <w:szCs w:val="22"/>
          <w:vertAlign w:val="superscript"/>
        </w:rPr>
        <w:footnoteReference w:id="32"/>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Blain focused on the ethnographical/anthropological aspects in the paper </w:t>
      </w:r>
      <w:r>
        <w:rPr>
          <w:rFonts w:ascii="Palatino" w:hAnsi="Palatino"/>
          <w:sz w:val="22"/>
          <w:szCs w:val="22"/>
          <w:rtl w:val="0"/>
          <w:lang w:val="en-US"/>
        </w:rPr>
        <w:t>through four sources relating to the subject,</w:t>
      </w:r>
      <w:r>
        <w:rPr>
          <w:rFonts w:ascii="Palatino" w:hAnsi="Palatino"/>
          <w:sz w:val="22"/>
          <w:szCs w:val="22"/>
          <w:rtl w:val="0"/>
          <w:lang w:val="en-US"/>
        </w:rPr>
        <w:t xml:space="preserve"> however the complexity of the insider/outsider positioning were not supported by sources.  Blain</w:t>
      </w:r>
      <w:r>
        <w:rPr>
          <w:rFonts w:ascii="Palatino" w:hAnsi="Palatino" w:hint="default"/>
          <w:sz w:val="22"/>
          <w:szCs w:val="22"/>
          <w:rtl w:val="0"/>
          <w:lang w:val="en-US"/>
        </w:rPr>
        <w:t>’</w:t>
      </w:r>
      <w:r>
        <w:rPr>
          <w:rFonts w:ascii="Palatino" w:hAnsi="Palatino"/>
          <w:sz w:val="22"/>
          <w:szCs w:val="22"/>
          <w:rtl w:val="0"/>
          <w:lang w:val="en-US"/>
        </w:rPr>
        <w:t xml:space="preserve">s list of references mentioned </w:t>
      </w:r>
      <w:r>
        <w:rPr>
          <w:rFonts w:ascii="Palatino" w:hAnsi="Palatino" w:hint="default"/>
          <w:sz w:val="22"/>
          <w:szCs w:val="22"/>
          <w:rtl w:val="0"/>
          <w:lang w:val="en-US"/>
        </w:rPr>
        <w:t>‘</w:t>
      </w:r>
      <w:r>
        <w:rPr>
          <w:rFonts w:ascii="Palatino" w:hAnsi="Palatino"/>
          <w:sz w:val="22"/>
          <w:szCs w:val="22"/>
          <w:rtl w:val="0"/>
          <w:lang w:val="de-DE"/>
        </w:rPr>
        <w:t>Hultkrantz 1992</w:t>
      </w:r>
      <w:r>
        <w:rPr>
          <w:rFonts w:ascii="Palatino" w:hAnsi="Palatino" w:hint="default"/>
          <w:sz w:val="22"/>
          <w:szCs w:val="22"/>
          <w:rtl w:val="0"/>
          <w:lang w:val="en-US"/>
        </w:rPr>
        <w:t>’</w:t>
      </w:r>
      <w:r>
        <w:rPr>
          <w:rFonts w:ascii="Palatino" w:hAnsi="Palatino"/>
          <w:sz w:val="22"/>
          <w:szCs w:val="22"/>
          <w:rtl w:val="0"/>
          <w:lang w:val="en-US"/>
        </w:rPr>
        <w:t xml:space="preserve"> and </w:t>
      </w:r>
      <w:r>
        <w:rPr>
          <w:rFonts w:ascii="Palatino" w:hAnsi="Palatino" w:hint="default"/>
          <w:sz w:val="22"/>
          <w:szCs w:val="22"/>
          <w:rtl w:val="0"/>
          <w:lang w:val="en-US"/>
        </w:rPr>
        <w:t>‘</w:t>
      </w:r>
      <w:r>
        <w:rPr>
          <w:rFonts w:ascii="Palatino" w:hAnsi="Palatino"/>
          <w:sz w:val="22"/>
          <w:szCs w:val="22"/>
          <w:rtl w:val="0"/>
        </w:rPr>
        <w:t>Markus, 1998</w:t>
      </w:r>
      <w:r>
        <w:rPr>
          <w:rFonts w:ascii="Palatino" w:hAnsi="Palatino" w:hint="default"/>
          <w:sz w:val="22"/>
          <w:szCs w:val="22"/>
          <w:rtl w:val="0"/>
          <w:lang w:val="en-US"/>
        </w:rPr>
        <w:t>’</w:t>
      </w:r>
      <w:r>
        <w:rPr>
          <w:rFonts w:ascii="Palatino" w:hAnsi="Palatino"/>
          <w:sz w:val="22"/>
          <w:szCs w:val="22"/>
          <w:rtl w:val="0"/>
          <w:lang w:val="en-US"/>
        </w:rPr>
        <w:t xml:space="preserve">, which were not referenced in the paper, and the paper referenced: </w:t>
      </w:r>
      <w:r>
        <w:rPr>
          <w:rFonts w:ascii="Palatino" w:hAnsi="Palatino" w:hint="default"/>
          <w:sz w:val="22"/>
          <w:szCs w:val="22"/>
          <w:rtl w:val="0"/>
          <w:lang w:val="en-US"/>
        </w:rPr>
        <w:t>‘</w:t>
      </w:r>
      <w:r>
        <w:rPr>
          <w:rFonts w:ascii="Palatino" w:hAnsi="Palatino"/>
          <w:sz w:val="22"/>
          <w:szCs w:val="22"/>
          <w:rtl w:val="0"/>
          <w:lang w:val="en-US"/>
        </w:rPr>
        <w:t>Dowson, 1996</w:t>
      </w:r>
      <w:r>
        <w:rPr>
          <w:rFonts w:ascii="Palatino" w:hAnsi="Palatino"/>
          <w:sz w:val="22"/>
          <w:szCs w:val="22"/>
          <w:rtl w:val="0"/>
          <w:lang w:val="en-US"/>
        </w:rPr>
        <w:t>'</w:t>
      </w:r>
      <w:r>
        <w:rPr>
          <w:rFonts w:ascii="Palatino" w:hAnsi="Palatino"/>
          <w:sz w:val="22"/>
          <w:szCs w:val="22"/>
          <w:rtl w:val="0"/>
          <w:lang w:val="fr-FR"/>
        </w:rPr>
        <w:t xml:space="preserve"> on page 4; </w:t>
      </w:r>
      <w:r>
        <w:rPr>
          <w:rFonts w:ascii="Palatino" w:hAnsi="Palatino" w:hint="default"/>
          <w:sz w:val="22"/>
          <w:szCs w:val="22"/>
          <w:rtl w:val="0"/>
          <w:lang w:val="en-US"/>
        </w:rPr>
        <w:t>‘</w:t>
      </w:r>
      <w:r>
        <w:rPr>
          <w:rFonts w:ascii="Palatino" w:hAnsi="Palatino"/>
          <w:sz w:val="22"/>
          <w:szCs w:val="22"/>
          <w:rtl w:val="0"/>
        </w:rPr>
        <w:t>Eliade, 1964</w:t>
      </w:r>
      <w:r>
        <w:rPr>
          <w:rFonts w:ascii="Palatino" w:hAnsi="Palatino" w:hint="default"/>
          <w:sz w:val="22"/>
          <w:szCs w:val="22"/>
          <w:rtl w:val="0"/>
          <w:lang w:val="en-US"/>
        </w:rPr>
        <w:t>’</w:t>
      </w:r>
      <w:r>
        <w:rPr>
          <w:rFonts w:ascii="Palatino" w:hAnsi="Palatino"/>
          <w:sz w:val="22"/>
          <w:szCs w:val="22"/>
          <w:rtl w:val="0"/>
          <w:lang w:val="en-US"/>
        </w:rPr>
        <w:t xml:space="preserve"> on page 5; and </w:t>
      </w:r>
      <w:r>
        <w:rPr>
          <w:rFonts w:ascii="Palatino" w:hAnsi="Palatino" w:hint="default"/>
          <w:sz w:val="22"/>
          <w:szCs w:val="22"/>
          <w:rtl w:val="0"/>
          <w:lang w:val="en-US"/>
        </w:rPr>
        <w:t>‘</w:t>
      </w:r>
      <w:r>
        <w:rPr>
          <w:rFonts w:ascii="Palatino" w:hAnsi="Palatino"/>
          <w:sz w:val="22"/>
          <w:szCs w:val="22"/>
          <w:rtl w:val="0"/>
          <w:lang w:val="da-DK"/>
        </w:rPr>
        <w:t>Diane Paxson</w:t>
      </w:r>
      <w:r>
        <w:rPr>
          <w:rFonts w:ascii="Palatino" w:hAnsi="Palatino" w:hint="default"/>
          <w:sz w:val="22"/>
          <w:szCs w:val="22"/>
          <w:rtl w:val="0"/>
          <w:lang w:val="en-US"/>
        </w:rPr>
        <w:t>’</w:t>
      </w:r>
      <w:r>
        <w:rPr>
          <w:rFonts w:ascii="Palatino" w:hAnsi="Palatino"/>
          <w:sz w:val="22"/>
          <w:szCs w:val="22"/>
          <w:rtl w:val="0"/>
          <w:lang w:val="fr-FR"/>
        </w:rPr>
        <w:t xml:space="preserve"> on page 6</w:t>
      </w:r>
      <w:r>
        <w:rPr>
          <w:rFonts w:ascii="Palatino" w:hAnsi="Palatino"/>
          <w:sz w:val="22"/>
          <w:szCs w:val="22"/>
          <w:rtl w:val="0"/>
          <w:lang w:val="en-US"/>
        </w:rPr>
        <w:t>, which were not mentioned in the references list.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Finally, the seance narratives in Blain</w:t>
      </w:r>
      <w:r>
        <w:rPr>
          <w:rFonts w:ascii="Palatino" w:hAnsi="Palatino" w:hint="default"/>
          <w:sz w:val="22"/>
          <w:szCs w:val="22"/>
          <w:rtl w:val="0"/>
          <w:lang w:val="en-US"/>
        </w:rPr>
        <w:t>’</w:t>
      </w:r>
      <w:r>
        <w:rPr>
          <w:rFonts w:ascii="Palatino" w:hAnsi="Palatino"/>
          <w:sz w:val="22"/>
          <w:szCs w:val="22"/>
          <w:rtl w:val="0"/>
          <w:lang w:val="en-US"/>
        </w:rPr>
        <w:t>s paper did not specify the narrator.  It could be suggested that the author wanted the reader to remain neutral towards the narratives, although the intention was not discussed in the paper.  The use of sources, evidence and referencing were comparatively approached differently in the Bennett paper.</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Bennett used references mainly to support the historical part of the paper.  The references were not consistently referenced by name </w:t>
      </w:r>
      <w:r>
        <w:rPr>
          <w:rFonts w:ascii="Palatino" w:hAnsi="Palatino"/>
          <w:sz w:val="22"/>
          <w:szCs w:val="22"/>
          <w:rtl w:val="0"/>
          <w:lang w:val="en-US"/>
        </w:rPr>
        <w:t xml:space="preserve">in the </w:t>
      </w:r>
      <w:r>
        <w:rPr>
          <w:rFonts w:ascii="Palatino" w:hAnsi="Palatino"/>
          <w:sz w:val="22"/>
          <w:szCs w:val="22"/>
          <w:rtl w:val="0"/>
          <w:lang w:val="en-US"/>
        </w:rPr>
        <w:t>body of the text, including references to the author</w:t>
      </w:r>
      <w:r>
        <w:rPr>
          <w:rFonts w:ascii="Palatino" w:hAnsi="Palatino" w:hint="default"/>
          <w:sz w:val="22"/>
          <w:szCs w:val="22"/>
          <w:rtl w:val="0"/>
          <w:lang w:val="en-US"/>
        </w:rPr>
        <w:t>’</w:t>
      </w:r>
      <w:r>
        <w:rPr>
          <w:rFonts w:ascii="Palatino" w:hAnsi="Palatino"/>
          <w:sz w:val="22"/>
          <w:szCs w:val="22"/>
          <w:rtl w:val="0"/>
          <w:lang w:val="en-US"/>
        </w:rPr>
        <w:t xml:space="preserve">s previous work, thus the endnotes had to consulted for evidence.  Bennett described the historical perspective through books descriptive of omens, foreknowledge and divination as well as visions, astrology and psychics.  However, resources on the historical aspect from 1925 onwards were based mainly on previously conducted surveys, and other sources were not mentioned.  The traditions discussed in the paper may have been expressed in other forms of material at the time, as discussed by Kalvig </w:t>
      </w:r>
      <w:r>
        <w:rPr>
          <w:rFonts w:ascii="Palatino" w:hAnsi="Palatino"/>
          <w:sz w:val="22"/>
          <w:szCs w:val="22"/>
          <w:rtl w:val="0"/>
        </w:rPr>
        <w:t xml:space="preserve">in </w:t>
      </w:r>
      <w:r>
        <w:rPr>
          <w:rFonts w:ascii="Palatino" w:hAnsi="Palatino"/>
          <w:sz w:val="22"/>
          <w:szCs w:val="22"/>
          <w:rtl w:val="0"/>
          <w:lang w:val="en-US"/>
        </w:rPr>
        <w:t xml:space="preserve">the </w:t>
      </w:r>
      <w:r>
        <w:rPr>
          <w:rFonts w:ascii="Palatino" w:hAnsi="Palatino"/>
          <w:sz w:val="22"/>
          <w:szCs w:val="22"/>
          <w:rtl w:val="0"/>
          <w:lang w:val="en-US"/>
        </w:rPr>
        <w:t>present culture</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33"/>
      </w:r>
      <w:r>
        <w:rPr>
          <w:rFonts w:ascii="Palatino" w:hAnsi="Palatino"/>
          <w:sz w:val="22"/>
          <w:szCs w:val="22"/>
          <w:rtl w:val="0"/>
          <w:lang w:val="en-US"/>
        </w:rPr>
        <w:t xml:space="preserve">  Kalvig</w:t>
      </w:r>
      <w:r>
        <w:rPr>
          <w:rFonts w:ascii="Palatino" w:hAnsi="Palatino" w:hint="default"/>
          <w:sz w:val="22"/>
          <w:szCs w:val="22"/>
          <w:rtl w:val="0"/>
          <w:lang w:val="en-US"/>
        </w:rPr>
        <w:t>’</w:t>
      </w:r>
      <w:r>
        <w:rPr>
          <w:rFonts w:ascii="Palatino" w:hAnsi="Palatino"/>
          <w:sz w:val="22"/>
          <w:szCs w:val="22"/>
          <w:rtl w:val="0"/>
          <w:lang w:val="en-US"/>
        </w:rPr>
        <w:t>s paper argued how a growing interest in folklore became a resource in movies, crime series and even the European Song Contest.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7"/>
          <w:footerReference w:type="default" r:id="rId18"/>
          <w:pgSz w:w="12240" w:h="15840" w:orient="portrait"/>
          <w:pgMar w:top="1134" w:right="1134" w:bottom="1134" w:left="1134" w:header="567" w:footer="720"/>
          <w:bidi w:val="0"/>
        </w:sectPr>
      </w:pPr>
      <w:r>
        <w:rPr>
          <w:rFonts w:ascii="Palatino" w:hAnsi="Palatino"/>
          <w:sz w:val="22"/>
          <w:szCs w:val="22"/>
          <w:rtl w:val="0"/>
          <w:lang w:val="en-US"/>
        </w:rPr>
        <w:t>In the paper</w:t>
      </w:r>
      <w:r>
        <w:rPr>
          <w:rFonts w:ascii="Palatino" w:hAnsi="Palatino" w:hint="default"/>
          <w:sz w:val="22"/>
          <w:szCs w:val="22"/>
          <w:rtl w:val="0"/>
          <w:lang w:val="en-US"/>
        </w:rPr>
        <w:t>’</w:t>
      </w:r>
      <w:r>
        <w:rPr>
          <w:rFonts w:ascii="Palatino" w:hAnsi="Palatino"/>
          <w:sz w:val="22"/>
          <w:szCs w:val="22"/>
          <w:rtl w:val="0"/>
          <w:lang w:val="en-US"/>
        </w:rPr>
        <w:t>s findings, Bennett referenced mainly participants and her own previous work.  Bennett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quoted 10 of the 120 interviewees, although subsequently presented new interviewees in the conclusion.  Neither the aspect of the number of participants quoted, nor the aspect of having presented new interviewees (and thereby evidence) in the conclusion, were clarified by reasons orintentions.  Finally, Bennett </w:t>
      </w:r>
      <w:r>
        <w:rPr>
          <w:rFonts w:ascii="Palatino" w:hAnsi="Palatino"/>
          <w:sz w:val="22"/>
          <w:szCs w:val="22"/>
          <w:rtl w:val="0"/>
          <w:lang w:val="en-US"/>
        </w:rPr>
        <w:t>inconsistently</w:t>
      </w:r>
      <w:r>
        <w:rPr>
          <w:rFonts w:ascii="Palatino" w:hAnsi="Palatino"/>
          <w:sz w:val="22"/>
          <w:szCs w:val="22"/>
          <w:rtl w:val="0"/>
          <w:lang w:val="en-US"/>
        </w:rPr>
        <w:t xml:space="preserve"> referred to the participants as: </w:t>
      </w:r>
      <w:r>
        <w:rPr>
          <w:rFonts w:ascii="Palatino" w:hAnsi="Palatino" w:hint="default"/>
          <w:sz w:val="22"/>
          <w:szCs w:val="22"/>
          <w:rtl w:val="0"/>
          <w:lang w:val="en-US"/>
        </w:rPr>
        <w:t>‘</w:t>
      </w:r>
      <w:r>
        <w:rPr>
          <w:rFonts w:ascii="Palatino" w:hAnsi="Palatino"/>
          <w:sz w:val="22"/>
          <w:szCs w:val="22"/>
          <w:rtl w:val="0"/>
          <w:lang w:val="en-US"/>
        </w:rPr>
        <w:t>informants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woman</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women</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lang w:val="en-US"/>
        </w:rPr>
        <w:t>the woman</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the women</w:t>
      </w:r>
      <w:r>
        <w:rPr>
          <w:rFonts w:ascii="Palatino" w:hAnsi="Palatino" w:hint="default"/>
          <w:sz w:val="22"/>
          <w:szCs w:val="22"/>
          <w:rtl w:val="0"/>
          <w:lang w:val="en-US"/>
        </w:rPr>
        <w:t xml:space="preserve">’ </w:t>
      </w:r>
      <w:r>
        <w:rPr>
          <w:rFonts w:ascii="Palatino" w:hAnsi="Palatino"/>
          <w:sz w:val="22"/>
          <w:szCs w:val="22"/>
          <w:rtl w:val="0"/>
          <w:lang w:val="en-US"/>
        </w:rPr>
        <w:t>and pseudonym names, which made the reference to participants indistinct.</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Bell and Waters described that a selection of literature should consider findings of others and then analyse those. </w:t>
      </w:r>
      <w:r>
        <w:rPr>
          <w:rFonts w:ascii="Palatino" w:cs="Palatino" w:hAnsi="Palatino" w:eastAsia="Palatino"/>
          <w:sz w:val="22"/>
          <w:szCs w:val="22"/>
          <w:vertAlign w:val="superscript"/>
        </w:rPr>
        <w:footnoteReference w:id="34"/>
      </w:r>
      <w:r>
        <w:rPr>
          <w:rFonts w:ascii="Palatino" w:hAnsi="Palatino"/>
          <w:sz w:val="22"/>
          <w:szCs w:val="22"/>
          <w:rtl w:val="0"/>
          <w:lang w:val="en-US"/>
        </w:rPr>
        <w:t xml:space="preserve">  Both the Blain and the Bennett paper, discussed in this essay, had a range of supporting material, though in comparing and contrasting, the Blain paper had less analysed information on the subjects and the literature.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b w:val="0"/>
          <w:bCs w:val="0"/>
          <w:sz w:val="22"/>
          <w:szCs w:val="22"/>
        </w:rPr>
      </w:pPr>
      <w:r>
        <w:rPr>
          <w:rFonts w:ascii="Palatino" w:hAnsi="Palatino"/>
          <w:b w:val="1"/>
          <w:bCs w:val="1"/>
          <w:sz w:val="22"/>
          <w:szCs w:val="22"/>
          <w:rtl w:val="0"/>
          <w:lang w:val="en-US"/>
        </w:rPr>
        <w:t>Conclusion</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hAnsi="Palatino"/>
          <w:sz w:val="22"/>
          <w:szCs w:val="22"/>
          <w:rtl w:val="0"/>
          <w:lang w:val="en-US"/>
        </w:rPr>
        <w:t xml:space="preserve">This essay has </w:t>
      </w:r>
      <w:r>
        <w:rPr>
          <w:rFonts w:ascii="Palatino" w:hAnsi="Palatino"/>
          <w:sz w:val="22"/>
          <w:szCs w:val="22"/>
          <w:rtl w:val="0"/>
          <w:lang w:val="en-US"/>
        </w:rPr>
        <w:t xml:space="preserve">critically compared and contrasted two papers by Bennett </w:t>
      </w:r>
      <w:r>
        <w:rPr>
          <w:rFonts w:ascii="Palatino" w:hAnsi="Palatino"/>
          <w:sz w:val="22"/>
          <w:szCs w:val="22"/>
          <w:rtl w:val="0"/>
          <w:lang w:val="en-US"/>
        </w:rPr>
        <w:t xml:space="preserve">and </w:t>
      </w:r>
      <w:r>
        <w:rPr>
          <w:rFonts w:ascii="Palatino" w:hAnsi="Palatino"/>
          <w:sz w:val="22"/>
          <w:szCs w:val="22"/>
          <w:rtl w:val="0"/>
        </w:rPr>
        <w:t>Blain</w:t>
      </w:r>
      <w:r>
        <w:rPr>
          <w:rFonts w:ascii="Palatino" w:hAnsi="Palatino"/>
          <w:sz w:val="22"/>
          <w:szCs w:val="22"/>
          <w:rtl w:val="0"/>
          <w:lang w:val="en-US"/>
        </w:rPr>
        <w:t xml:space="preserve"> respectively</w:t>
      </w:r>
      <w:r>
        <w:rPr>
          <w:rFonts w:ascii="Palatino" w:hAnsi="Palatino"/>
          <w:sz w:val="22"/>
          <w:szCs w:val="22"/>
          <w:rtl w:val="0"/>
          <w:lang w:val="en-US"/>
        </w:rPr>
        <w:t>.</w:t>
      </w:r>
      <w:r>
        <w:rPr>
          <w:rFonts w:ascii="Palatino" w:hAnsi="Palatino"/>
          <w:sz w:val="22"/>
          <w:szCs w:val="22"/>
          <w:rtl w:val="0"/>
          <w:lang w:val="en-US"/>
        </w:rPr>
        <w:t xml:space="preserve"> </w:t>
      </w:r>
      <w:r>
        <w:rPr>
          <w:rFonts w:ascii="Palatino" w:cs="Palatino" w:hAnsi="Palatino" w:eastAsia="Palatino"/>
          <w:sz w:val="22"/>
          <w:szCs w:val="22"/>
          <w:vertAlign w:val="superscript"/>
        </w:rPr>
        <w:footnoteReference w:id="35"/>
      </w:r>
      <w:r>
        <w:rPr>
          <w:rFonts w:ascii="Palatino" w:hAnsi="Palatino"/>
          <w:sz w:val="22"/>
          <w:szCs w:val="22"/>
          <w:rtl w:val="0"/>
          <w:lang w:val="en-US"/>
        </w:rPr>
        <w:t xml:space="preserve">  Both papers studied folklore in beliefs and practices, and both were written in the nineteen-nineties as well as being presented at folklore conferences in the same decade.</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The analysis of the papers identified that both authors approached their study through qualitative methodology and that the Blain paper further used a reflexive approach of using herself in the research.  Through these methodologies the authors studied and explored attitudes within their scholarship.  The analysis showed that challenges of the chosen methodologies,</w:t>
      </w:r>
      <w:r>
        <w:rPr>
          <w:rFonts w:ascii="Palatino" w:hAnsi="Palatino"/>
          <w:sz w:val="22"/>
          <w:szCs w:val="22"/>
          <w:rtl w:val="0"/>
          <w:lang w:val="en-US"/>
        </w:rPr>
        <w:t xml:space="preserve"> for instance bias,</w:t>
      </w:r>
      <w:r>
        <w:rPr>
          <w:rFonts w:ascii="Palatino" w:hAnsi="Palatino"/>
          <w:sz w:val="22"/>
          <w:szCs w:val="22"/>
          <w:rtl w:val="0"/>
          <w:lang w:val="en-US"/>
        </w:rPr>
        <w:t xml:space="preserve"> were only partially approached by the authors and, in comparison, mainly by Blain.  </w:t>
      </w:r>
      <w:r>
        <w:rPr>
          <w:rFonts w:ascii="Palatino" w:hAnsi="Palatino"/>
          <w:sz w:val="22"/>
          <w:szCs w:val="22"/>
          <w:rtl w:val="0"/>
          <w:lang w:val="en-US"/>
        </w:rPr>
        <w:t>By contrasting the analysed papers, Blain</w:t>
      </w:r>
      <w:r>
        <w:rPr>
          <w:rFonts w:ascii="Palatino" w:hAnsi="Palatino" w:hint="default"/>
          <w:sz w:val="22"/>
          <w:szCs w:val="22"/>
          <w:rtl w:val="0"/>
          <w:lang w:val="en-US"/>
        </w:rPr>
        <w:t>’</w:t>
      </w:r>
      <w:r>
        <w:rPr>
          <w:rFonts w:ascii="Palatino" w:hAnsi="Palatino"/>
          <w:sz w:val="22"/>
          <w:szCs w:val="22"/>
          <w:rtl w:val="0"/>
          <w:lang w:val="en-US"/>
        </w:rPr>
        <w:t>s chosen reflexive methodology aimed to close the gap between two worlds and offered in-depth descriptions through the narratives.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It was found that both studies presented a challenge to the insider/outsider positioning of the author in their studies.  While </w:t>
      </w:r>
      <w:r>
        <w:rPr>
          <w:rFonts w:ascii="Palatino" w:hAnsi="Palatino"/>
          <w:sz w:val="22"/>
          <w:szCs w:val="22"/>
          <w:rtl w:val="0"/>
          <w:lang w:val="en-US"/>
        </w:rPr>
        <w:t xml:space="preserve">Bennett did not </w:t>
      </w:r>
      <w:r>
        <w:rPr>
          <w:rFonts w:ascii="Palatino" w:hAnsi="Palatino"/>
          <w:sz w:val="22"/>
          <w:szCs w:val="22"/>
          <w:rtl w:val="0"/>
          <w:lang w:val="en-US"/>
        </w:rPr>
        <w:t>address this aspect despite the potentially insider/outsider role being challenged, Blain discussed the</w:t>
      </w:r>
      <w:r>
        <w:rPr>
          <w:rFonts w:ascii="Palatino" w:hAnsi="Palatino"/>
          <w:sz w:val="22"/>
          <w:szCs w:val="22"/>
          <w:rtl w:val="0"/>
          <w:lang w:val="en-US"/>
        </w:rPr>
        <w:t xml:space="preserve"> complexity through being both an insider, the </w:t>
      </w:r>
      <w:r>
        <w:rPr>
          <w:rFonts w:ascii="Palatino" w:hAnsi="Palatino" w:hint="default"/>
          <w:sz w:val="22"/>
          <w:szCs w:val="22"/>
          <w:rtl w:val="0"/>
          <w:lang w:val="en-US"/>
        </w:rPr>
        <w:t>‘</w:t>
      </w:r>
      <w:r>
        <w:rPr>
          <w:rFonts w:ascii="Palatino" w:hAnsi="Palatino"/>
          <w:sz w:val="22"/>
          <w:szCs w:val="22"/>
          <w:rtl w:val="0"/>
          <w:lang w:val="en-US"/>
        </w:rPr>
        <w:t>Seidr</w:t>
      </w:r>
      <w:r>
        <w:rPr>
          <w:rFonts w:ascii="Palatino" w:hAnsi="Palatino" w:hint="default"/>
          <w:sz w:val="22"/>
          <w:szCs w:val="22"/>
          <w:rtl w:val="0"/>
          <w:lang w:val="en-US"/>
        </w:rPr>
        <w:t xml:space="preserve">’ </w:t>
      </w:r>
      <w:r>
        <w:rPr>
          <w:rFonts w:ascii="Palatino" w:hAnsi="Palatino"/>
          <w:sz w:val="22"/>
          <w:szCs w:val="22"/>
          <w:rtl w:val="0"/>
          <w:lang w:val="en-US"/>
        </w:rPr>
        <w:t xml:space="preserve">practitioner, and an outsider, the anthropologist, in the study of </w:t>
      </w:r>
      <w:r>
        <w:rPr>
          <w:rFonts w:ascii="Palatino" w:hAnsi="Palatino" w:hint="default"/>
          <w:sz w:val="22"/>
          <w:szCs w:val="22"/>
          <w:rtl w:val="0"/>
          <w:lang w:val="en-US"/>
        </w:rPr>
        <w:t>‘</w:t>
      </w:r>
      <w:r>
        <w:rPr>
          <w:rFonts w:ascii="Palatino" w:hAnsi="Palatino"/>
          <w:sz w:val="22"/>
          <w:szCs w:val="22"/>
          <w:rtl w:val="0"/>
          <w:lang w:val="en-US"/>
        </w:rPr>
        <w:t>Seidr</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sz w:val="22"/>
          <w:szCs w:val="22"/>
          <w:rtl w:val="0"/>
          <w:lang w:val="en-US"/>
        </w:rPr>
        <w:t xml:space="preserve">  By comparing the two papers, this essay argued the importance of approaching and discussing the insider/outsider positioning in research.</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tl w:val="0"/>
        </w:rPr>
        <w:tab/>
        <w:t xml:space="preserve">The final main finding concerned ethics in </w:t>
      </w:r>
      <w:r>
        <w:rPr>
          <w:rFonts w:ascii="Palatino" w:hAnsi="Palatino"/>
          <w:sz w:val="22"/>
          <w:szCs w:val="22"/>
          <w:rtl w:val="0"/>
          <w:lang w:val="en-US"/>
        </w:rPr>
        <w:t>qualitative research</w:t>
      </w:r>
      <w:r>
        <w:rPr>
          <w:rFonts w:ascii="Palatino" w:hAnsi="Palatino"/>
          <w:sz w:val="22"/>
          <w:szCs w:val="22"/>
          <w:rtl w:val="0"/>
          <w:lang w:val="en-US"/>
        </w:rPr>
        <w:t xml:space="preserve"> and how ethics were not addressed by either papers as an important aspect in order to keep participant data secure and anonymous.  Asargued, both papers could potentially lead to participants being identified, compromising confidentiality.</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rPr>
          <w:rFonts w:ascii="Palatino" w:cs="Palatino" w:hAnsi="Palatino" w:eastAsia="Palatino"/>
          <w:sz w:val="22"/>
          <w:szCs w:val="22"/>
        </w:rPr>
      </w:pPr>
      <w:r>
        <w:rPr>
          <w:rFonts w:ascii="Palatino" w:cs="Palatino" w:hAnsi="Palatino" w:eastAsia="Palatino"/>
          <w:sz w:val="22"/>
          <w:szCs w:val="22"/>
        </w:rPr>
        <w:tab/>
      </w:r>
      <w:r>
        <w:rPr>
          <w:rFonts w:ascii="Palatino" w:hAnsi="Palatino"/>
          <w:sz w:val="22"/>
          <w:szCs w:val="22"/>
          <w:rtl w:val="0"/>
          <w:lang w:val="en-US"/>
        </w:rPr>
        <w:t>The insights gained from this study may be of assistance to</w:t>
      </w:r>
      <w:r>
        <w:rPr>
          <w:rFonts w:ascii="Palatino" w:hAnsi="Palatino"/>
          <w:sz w:val="22"/>
          <w:szCs w:val="22"/>
          <w:rtl w:val="0"/>
          <w:lang w:val="en-US"/>
        </w:rPr>
        <w:t xml:space="preserve"> researchers wanting to use qualitative methodology, </w:t>
      </w:r>
      <w:r>
        <w:rPr>
          <w:rFonts w:ascii="Palatino" w:hAnsi="Palatino"/>
          <w:sz w:val="22"/>
          <w:szCs w:val="22"/>
          <w:rtl w:val="0"/>
          <w:lang w:val="en-US"/>
        </w:rPr>
        <w:t>particularly with regard to methodology, the insider/outsider continuum and use of sources.  In folklore, comprehensive knowledge is kept within beliefs, sayings, traditions or sagas,  expressed by singing, dancing or telling, or by a specific way of practice.  The beauty of lore and its expression can potentially inspire in-depth qualitative and reflexive studies.</w:t>
      </w:r>
    </w:p>
    <w:p>
      <w:pPr>
        <w:pStyle w:val="Body"/>
        <w:tabs>
          <w:tab w:val="left" w:pos="283"/>
          <w:tab w:val="left" w:pos="566"/>
          <w:tab w:val="left" w:pos="849"/>
          <w:tab w:val="left" w:pos="1132"/>
          <w:tab w:val="left" w:pos="1415"/>
          <w:tab w:val="left" w:pos="1698"/>
          <w:tab w:val="left" w:pos="1981"/>
          <w:tab w:val="left" w:pos="2264"/>
          <w:tab w:val="left" w:pos="2547"/>
          <w:tab w:val="left" w:pos="2830"/>
          <w:tab w:val="left" w:pos="3113"/>
          <w:tab w:val="left" w:pos="3396"/>
          <w:tab w:val="left" w:pos="3679"/>
          <w:tab w:val="left" w:pos="3962"/>
          <w:tab w:val="left" w:pos="4245"/>
          <w:tab w:val="left" w:pos="4528"/>
          <w:tab w:val="left" w:pos="4811"/>
          <w:tab w:val="left" w:pos="5094"/>
          <w:tab w:val="left" w:pos="5377"/>
          <w:tab w:val="left" w:pos="5660"/>
          <w:tab w:val="left" w:pos="5943"/>
          <w:tab w:val="left" w:pos="6226"/>
          <w:tab w:val="left" w:pos="6509"/>
          <w:tab w:val="left" w:pos="6792"/>
          <w:tab w:val="left" w:pos="7075"/>
          <w:tab w:val="left" w:pos="7358"/>
          <w:tab w:val="left" w:pos="7641"/>
          <w:tab w:val="left" w:pos="7924"/>
          <w:tab w:val="left" w:pos="8207"/>
          <w:tab w:val="left" w:pos="8490"/>
          <w:tab w:val="left" w:pos="8773"/>
          <w:tab w:val="left" w:pos="9056"/>
          <w:tab w:val="left" w:pos="9339"/>
          <w:tab w:val="left" w:pos="9622"/>
          <w:tab w:val="left" w:pos="9905"/>
        </w:tabs>
        <w:spacing w:before="0" w:line="264" w:lineRule="auto"/>
        <w:sectPr>
          <w:headerReference w:type="default" r:id="rId19"/>
          <w:footerReference w:type="default" r:id="rId20"/>
          <w:pgSz w:w="12240" w:h="15840" w:orient="portrait"/>
          <w:pgMar w:top="1134" w:right="1134" w:bottom="1134" w:left="1134" w:header="567" w:footer="720"/>
          <w:bidi w:val="0"/>
        </w:sectPr>
      </w:pPr>
    </w:p>
    <w:p>
      <w:pPr>
        <w:pStyle w:val="Body"/>
        <w:spacing w:before="0"/>
        <w:rPr>
          <w:rFonts w:ascii="Palatino" w:cs="Palatino" w:hAnsi="Palatino" w:eastAsia="Palatino"/>
          <w:b w:val="1"/>
          <w:bCs w:val="1"/>
          <w:sz w:val="22"/>
          <w:szCs w:val="22"/>
        </w:rPr>
      </w:pPr>
      <w:r>
        <w:rPr>
          <w:rFonts w:ascii="Palatino" w:hAnsi="Palatino"/>
          <w:b w:val="1"/>
          <w:bCs w:val="1"/>
          <w:sz w:val="22"/>
          <w:szCs w:val="22"/>
          <w:rtl w:val="0"/>
          <w:lang w:val="en-US"/>
        </w:rPr>
        <w:t>Bibliography</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en-US"/>
        </w:rPr>
        <w:t xml:space="preserve">Bell, </w:t>
      </w:r>
      <w:r>
        <w:rPr>
          <w:rFonts w:ascii="Palatino" w:hAnsi="Palatino"/>
          <w:sz w:val="22"/>
          <w:szCs w:val="22"/>
          <w:rtl w:val="0"/>
          <w:lang w:val="en-US"/>
        </w:rPr>
        <w:t>Judith</w:t>
      </w:r>
      <w:r>
        <w:rPr>
          <w:rFonts w:ascii="Palatino" w:hAnsi="Palatino"/>
          <w:sz w:val="22"/>
          <w:szCs w:val="22"/>
          <w:rtl w:val="0"/>
          <w:lang w:val="en-US"/>
        </w:rPr>
        <w:t xml:space="preserve"> and Stephen Waters, </w:t>
      </w:r>
      <w:r>
        <w:rPr>
          <w:rFonts w:ascii="Palatino" w:hAnsi="Palatino"/>
          <w:i w:val="1"/>
          <w:iCs w:val="1"/>
          <w:sz w:val="22"/>
          <w:szCs w:val="22"/>
          <w:rtl w:val="0"/>
          <w:lang w:val="en-US"/>
        </w:rPr>
        <w:t>Doing Your Research Project</w:t>
      </w:r>
      <w:r>
        <w:rPr>
          <w:rFonts w:ascii="Palatino" w:hAnsi="Palatino"/>
          <w:sz w:val="22"/>
          <w:szCs w:val="22"/>
          <w:rtl w:val="0"/>
          <w:lang w:val="en-US"/>
        </w:rPr>
        <w:t>, 7</w:t>
      </w:r>
      <w:r>
        <w:rPr>
          <w:rFonts w:ascii="Palatino" w:hAnsi="Palatino"/>
          <w:sz w:val="22"/>
          <w:szCs w:val="22"/>
          <w:vertAlign w:val="superscript"/>
          <w:rtl w:val="0"/>
          <w:lang w:val="en-US"/>
        </w:rPr>
        <w:t>th</w:t>
      </w:r>
      <w:r>
        <w:rPr>
          <w:rFonts w:ascii="Palatino" w:hAnsi="Palatino"/>
          <w:sz w:val="22"/>
          <w:szCs w:val="22"/>
          <w:rtl w:val="0"/>
          <w:lang w:val="en-US"/>
        </w:rPr>
        <w:t xml:space="preserve"> edn. (London: Open University Press, McGraw-Hill Education, 2018).</w:t>
      </w:r>
    </w:p>
    <w:p>
      <w:pPr>
        <w:pStyle w:val="Body"/>
        <w:spacing w:before="0"/>
        <w:rPr>
          <w:rFonts w:ascii="Palatino" w:cs="Palatino" w:hAnsi="Palatino" w:eastAsia="Palatino"/>
          <w:sz w:val="22"/>
          <w:szCs w:val="22"/>
        </w:rPr>
      </w:pPr>
      <w:r>
        <w:rPr>
          <w:rFonts w:ascii="Palatino" w:hAnsi="Palatino"/>
          <w:sz w:val="22"/>
          <w:szCs w:val="22"/>
          <w:rtl w:val="0"/>
          <w:lang w:val="en-US"/>
        </w:rPr>
        <w:t xml:space="preserve"> </w:t>
      </w:r>
    </w:p>
    <w:p>
      <w:pPr>
        <w:pStyle w:val="Body"/>
        <w:spacing w:before="0"/>
        <w:rPr>
          <w:rFonts w:ascii="Palatino" w:cs="Palatino" w:hAnsi="Palatino" w:eastAsia="Palatino"/>
          <w:sz w:val="22"/>
          <w:szCs w:val="22"/>
        </w:rPr>
      </w:pPr>
      <w:r>
        <w:rPr>
          <w:rFonts w:ascii="Palatino" w:hAnsi="Palatino"/>
          <w:sz w:val="22"/>
          <w:szCs w:val="22"/>
          <w:rtl w:val="0"/>
        </w:rPr>
        <w:t xml:space="preserve">Bennett, </w:t>
      </w:r>
      <w:r>
        <w:rPr>
          <w:rFonts w:ascii="Palatino" w:hAnsi="Palatino"/>
          <w:sz w:val="22"/>
          <w:szCs w:val="22"/>
          <w:rtl w:val="0"/>
          <w:lang w:val="en-US"/>
        </w:rPr>
        <w:t xml:space="preserve">Gillian, </w:t>
      </w:r>
      <w:r>
        <w:rPr>
          <w:rFonts w:ascii="Palatino" w:hAnsi="Palatino" w:hint="default"/>
          <w:sz w:val="22"/>
          <w:szCs w:val="22"/>
          <w:rtl w:val="0"/>
          <w:lang w:val="en-US"/>
        </w:rPr>
        <w:t>‘</w:t>
      </w:r>
      <w:r>
        <w:rPr>
          <w:rFonts w:ascii="Palatino" w:hAnsi="Palatino" w:hint="default"/>
          <w:sz w:val="22"/>
          <w:szCs w:val="22"/>
          <w:rtl w:val="0"/>
          <w:lang w:val="en-US"/>
        </w:rPr>
        <w:t>“</w:t>
      </w:r>
      <w:r>
        <w:rPr>
          <w:rFonts w:ascii="Palatino" w:hAnsi="Palatino"/>
          <w:sz w:val="22"/>
          <w:szCs w:val="22"/>
          <w:rtl w:val="0"/>
          <w:lang w:val="en-US"/>
        </w:rPr>
        <w:t xml:space="preserve">If I Knew You </w:t>
      </w:r>
      <w:r>
        <w:rPr>
          <w:rFonts w:ascii="Palatino" w:hAnsi="Palatino"/>
          <w:sz w:val="22"/>
          <w:szCs w:val="22"/>
          <w:rtl w:val="0"/>
          <w:lang w:val="en-US"/>
        </w:rPr>
        <w:t>W</w:t>
      </w:r>
      <w:r>
        <w:rPr>
          <w:rFonts w:ascii="Palatino" w:hAnsi="Palatino"/>
          <w:sz w:val="22"/>
          <w:szCs w:val="22"/>
          <w:rtl w:val="0"/>
          <w:lang w:val="en-US"/>
        </w:rPr>
        <w:t xml:space="preserve">ere Coming I'd Have Baked </w:t>
      </w:r>
      <w:r>
        <w:rPr>
          <w:rFonts w:ascii="Palatino" w:hAnsi="Palatino"/>
          <w:sz w:val="22"/>
          <w:szCs w:val="22"/>
          <w:rtl w:val="0"/>
          <w:lang w:val="en-US"/>
        </w:rPr>
        <w:t>A</w:t>
      </w:r>
      <w:r>
        <w:rPr>
          <w:rFonts w:ascii="Palatino" w:hAnsi="Palatino"/>
          <w:sz w:val="22"/>
          <w:szCs w:val="22"/>
          <w:rtl w:val="0"/>
          <w:lang w:val="en-US"/>
        </w:rPr>
        <w:t xml:space="preserve"> Cake</w:t>
      </w:r>
      <w:r>
        <w:rPr>
          <w:rFonts w:ascii="Palatino" w:hAnsi="Palatino" w:hint="default"/>
          <w:sz w:val="22"/>
          <w:szCs w:val="22"/>
          <w:rtl w:val="0"/>
          <w:lang w:val="en-US"/>
        </w:rPr>
        <w:t>”</w:t>
      </w:r>
      <w:r>
        <w:rPr>
          <w:rFonts w:ascii="Palatino" w:hAnsi="Palatino"/>
          <w:sz w:val="22"/>
          <w:szCs w:val="22"/>
          <w:rtl w:val="0"/>
          <w:lang w:val="en-US"/>
        </w:rPr>
        <w:t xml:space="preserve">: The Folklore </w:t>
      </w:r>
      <w:r>
        <w:rPr>
          <w:rFonts w:ascii="Palatino" w:hAnsi="Palatino"/>
          <w:sz w:val="22"/>
          <w:szCs w:val="22"/>
          <w:rtl w:val="0"/>
          <w:lang w:val="en-US"/>
        </w:rPr>
        <w:t>O</w:t>
      </w:r>
      <w:r>
        <w:rPr>
          <w:rFonts w:ascii="Palatino" w:hAnsi="Palatino"/>
          <w:sz w:val="22"/>
          <w:szCs w:val="22"/>
          <w:rtl w:val="0"/>
          <w:lang w:val="en-US"/>
        </w:rPr>
        <w:t xml:space="preserve">f Foreknowledge </w:t>
      </w:r>
      <w:r>
        <w:rPr>
          <w:rFonts w:ascii="Palatino" w:hAnsi="Palatino"/>
          <w:sz w:val="22"/>
          <w:szCs w:val="22"/>
          <w:rtl w:val="0"/>
          <w:lang w:val="en-US"/>
        </w:rPr>
        <w:t>I</w:t>
      </w:r>
      <w:r>
        <w:rPr>
          <w:rFonts w:ascii="Palatino" w:hAnsi="Palatino"/>
          <w:sz w:val="22"/>
          <w:szCs w:val="22"/>
          <w:rtl w:val="0"/>
        </w:rPr>
        <w:t xml:space="preserve">n </w:t>
      </w:r>
      <w:r>
        <w:rPr>
          <w:rFonts w:ascii="Palatino" w:hAnsi="Palatino"/>
          <w:sz w:val="22"/>
          <w:szCs w:val="22"/>
          <w:rtl w:val="0"/>
          <w:lang w:val="en-US"/>
        </w:rPr>
        <w:t>A</w:t>
      </w:r>
      <w:r>
        <w:rPr>
          <w:rFonts w:ascii="Palatino" w:hAnsi="Palatino"/>
          <w:sz w:val="22"/>
          <w:szCs w:val="22"/>
          <w:rtl w:val="0"/>
          <w:lang w:val="en-US"/>
        </w:rPr>
        <w:t xml:space="preserve"> Neighborhood Group</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i w:val="1"/>
          <w:iCs w:val="1"/>
          <w:sz w:val="22"/>
          <w:szCs w:val="22"/>
          <w:rtl w:val="0"/>
          <w:lang w:val="en-US"/>
        </w:rPr>
        <w:t xml:space="preserve">Out </w:t>
      </w:r>
      <w:r>
        <w:rPr>
          <w:rFonts w:ascii="Palatino" w:hAnsi="Palatino"/>
          <w:i w:val="1"/>
          <w:iCs w:val="1"/>
          <w:sz w:val="22"/>
          <w:szCs w:val="22"/>
          <w:rtl w:val="0"/>
          <w:lang w:val="en-US"/>
        </w:rPr>
        <w:t>O</w:t>
      </w:r>
      <w:r>
        <w:rPr>
          <w:rFonts w:ascii="Palatino" w:hAnsi="Palatino"/>
          <w:i w:val="1"/>
          <w:iCs w:val="1"/>
          <w:sz w:val="22"/>
          <w:szCs w:val="22"/>
          <w:rtl w:val="0"/>
          <w:lang w:val="en-US"/>
        </w:rPr>
        <w:t xml:space="preserve">f </w:t>
      </w:r>
      <w:r>
        <w:rPr>
          <w:rFonts w:ascii="Palatino" w:hAnsi="Palatino"/>
          <w:i w:val="1"/>
          <w:iCs w:val="1"/>
          <w:sz w:val="22"/>
          <w:szCs w:val="22"/>
          <w:rtl w:val="0"/>
          <w:lang w:val="en-US"/>
        </w:rPr>
        <w:t>T</w:t>
      </w:r>
      <w:r>
        <w:rPr>
          <w:rFonts w:ascii="Palatino" w:hAnsi="Palatino"/>
          <w:i w:val="1"/>
          <w:iCs w:val="1"/>
          <w:sz w:val="22"/>
          <w:szCs w:val="22"/>
          <w:rtl w:val="0"/>
          <w:lang w:val="en-US"/>
        </w:rPr>
        <w:t xml:space="preserve">he Ordinary: Folklore </w:t>
      </w:r>
      <w:r>
        <w:rPr>
          <w:rFonts w:ascii="Palatino" w:hAnsi="Palatino"/>
          <w:i w:val="1"/>
          <w:iCs w:val="1"/>
          <w:sz w:val="22"/>
          <w:szCs w:val="22"/>
          <w:rtl w:val="0"/>
          <w:lang w:val="en-US"/>
        </w:rPr>
        <w:t>A</w:t>
      </w:r>
      <w:r>
        <w:rPr>
          <w:rFonts w:ascii="Palatino" w:hAnsi="Palatino"/>
          <w:i w:val="1"/>
          <w:iCs w:val="1"/>
          <w:sz w:val="22"/>
          <w:szCs w:val="22"/>
          <w:rtl w:val="0"/>
          <w:lang w:val="en-US"/>
        </w:rPr>
        <w:t xml:space="preserve">nd </w:t>
      </w:r>
      <w:r>
        <w:rPr>
          <w:rFonts w:ascii="Palatino" w:hAnsi="Palatino"/>
          <w:i w:val="1"/>
          <w:iCs w:val="1"/>
          <w:sz w:val="22"/>
          <w:szCs w:val="22"/>
          <w:rtl w:val="0"/>
          <w:lang w:val="en-US"/>
        </w:rPr>
        <w:t>T</w:t>
      </w:r>
      <w:r>
        <w:rPr>
          <w:rFonts w:ascii="Palatino" w:hAnsi="Palatino"/>
          <w:i w:val="1"/>
          <w:iCs w:val="1"/>
          <w:sz w:val="22"/>
          <w:szCs w:val="22"/>
          <w:rtl w:val="0"/>
          <w:lang w:val="en-US"/>
        </w:rPr>
        <w:t>he Supernatural</w:t>
      </w:r>
      <w:r>
        <w:rPr>
          <w:rFonts w:ascii="Palatino" w:hAnsi="Palatino"/>
          <w:sz w:val="22"/>
          <w:szCs w:val="22"/>
          <w:rtl w:val="0"/>
          <w:lang w:val="it-IT"/>
        </w:rPr>
        <w:t>, ed</w:t>
      </w:r>
      <w:r>
        <w:rPr>
          <w:rFonts w:ascii="Palatino" w:hAnsi="Palatino"/>
          <w:sz w:val="22"/>
          <w:szCs w:val="22"/>
          <w:rtl w:val="0"/>
          <w:lang w:val="en-US"/>
        </w:rPr>
        <w:t>n.</w:t>
      </w:r>
      <w:r>
        <w:rPr>
          <w:rFonts w:ascii="Palatino" w:hAnsi="Palatino"/>
          <w:sz w:val="22"/>
          <w:szCs w:val="22"/>
          <w:rtl w:val="0"/>
          <w:lang w:val="en-US"/>
        </w:rPr>
        <w:t xml:space="preserve"> Barbara Walker</w:t>
      </w:r>
      <w:r>
        <w:rPr>
          <w:rFonts w:ascii="Palatino" w:hAnsi="Palatino"/>
          <w:sz w:val="22"/>
          <w:szCs w:val="22"/>
          <w:rtl w:val="0"/>
          <w:lang w:val="en-US"/>
        </w:rPr>
        <w:t xml:space="preserve"> (</w:t>
      </w:r>
      <w:r>
        <w:rPr>
          <w:rFonts w:ascii="Palatino" w:hAnsi="Palatino"/>
          <w:sz w:val="22"/>
          <w:szCs w:val="22"/>
          <w:rtl w:val="0"/>
          <w:lang w:val="en-US"/>
        </w:rPr>
        <w:t>Logan, Utah: Utah University Press</w:t>
      </w:r>
      <w:r>
        <w:rPr>
          <w:rFonts w:ascii="Palatino" w:hAnsi="Palatino"/>
          <w:sz w:val="22"/>
          <w:szCs w:val="22"/>
          <w:rtl w:val="0"/>
          <w:lang w:val="en-US"/>
        </w:rPr>
        <w:t>,</w:t>
      </w:r>
      <w:r>
        <w:rPr>
          <w:rFonts w:ascii="Palatino" w:hAnsi="Palatino"/>
          <w:sz w:val="22"/>
          <w:szCs w:val="22"/>
          <w:rtl w:val="0"/>
        </w:rPr>
        <w:t xml:space="preserve"> </w:t>
      </w:r>
      <w:r>
        <w:rPr>
          <w:rFonts w:ascii="Palatino" w:hAnsi="Palatino"/>
          <w:sz w:val="22"/>
          <w:szCs w:val="22"/>
          <w:rtl w:val="0"/>
          <w:lang w:val="en-US"/>
        </w:rPr>
        <w:t>1995),</w:t>
      </w:r>
      <w:r>
        <w:rPr>
          <w:rFonts w:ascii="Palatino" w:hAnsi="Palatino"/>
          <w:sz w:val="22"/>
          <w:szCs w:val="22"/>
          <w:rtl w:val="0"/>
        </w:rPr>
        <w:t xml:space="preserve"> 122-142</w:t>
      </w:r>
      <w:r>
        <w:rPr>
          <w:rFonts w:ascii="Palatino" w:hAnsi="Palatino"/>
          <w:sz w:val="22"/>
          <w:szCs w:val="22"/>
          <w:rtl w:val="0"/>
          <w:lang w:val="en-US"/>
        </w:rPr>
        <w:t>, &lt;</w:t>
      </w:r>
      <w:r>
        <w:rPr>
          <w:rFonts w:ascii="Palatino" w:hAnsi="Palatino"/>
          <w:sz w:val="22"/>
          <w:szCs w:val="22"/>
          <w:rtl w:val="0"/>
        </w:rPr>
        <w:t>doi.org/10.2307/j.ctt46nwn8</w:t>
      </w:r>
      <w:r>
        <w:rPr>
          <w:rFonts w:ascii="Palatino" w:hAnsi="Palatino"/>
          <w:sz w:val="22"/>
          <w:szCs w:val="22"/>
          <w:rtl w:val="0"/>
          <w:lang w:val="en-US"/>
        </w:rPr>
        <w:t>&gt;.</w:t>
      </w:r>
    </w:p>
    <w:p>
      <w:pPr>
        <w:pStyle w:val="Body"/>
        <w:spacing w:before="0"/>
        <w:rPr>
          <w:rFonts w:ascii="Palatino" w:cs="Palatino" w:hAnsi="Palatino" w:eastAsia="Palatino"/>
          <w:sz w:val="22"/>
          <w:szCs w:val="22"/>
        </w:rPr>
      </w:pPr>
      <w:r>
        <w:rPr>
          <w:rFonts w:ascii="Palatino" w:hAnsi="Palatino"/>
          <w:sz w:val="22"/>
          <w:szCs w:val="22"/>
          <w:rtl w:val="0"/>
          <w:lang w:val="en-US"/>
        </w:rPr>
        <w:t xml:space="preserve"> </w:t>
      </w:r>
    </w:p>
    <w:p>
      <w:pPr>
        <w:pStyle w:val="Body"/>
        <w:spacing w:before="0"/>
        <w:rPr>
          <w:rFonts w:ascii="Palatino" w:cs="Palatino" w:hAnsi="Palatino" w:eastAsia="Palatino"/>
          <w:sz w:val="22"/>
          <w:szCs w:val="22"/>
        </w:rPr>
      </w:pPr>
      <w:r>
        <w:rPr>
          <w:rFonts w:ascii="Palatino" w:hAnsi="Palatino"/>
          <w:sz w:val="22"/>
          <w:szCs w:val="22"/>
          <w:rtl w:val="0"/>
        </w:rPr>
        <w:t xml:space="preserve">Blain, </w:t>
      </w:r>
      <w:r>
        <w:rPr>
          <w:rFonts w:ascii="Palatino" w:hAnsi="Palatino"/>
          <w:sz w:val="22"/>
          <w:szCs w:val="22"/>
          <w:rtl w:val="0"/>
          <w:lang w:val="en-US"/>
        </w:rPr>
        <w:t xml:space="preserve">Jenny, </w:t>
      </w:r>
      <w:r>
        <w:rPr>
          <w:rFonts w:ascii="Palatino" w:hAnsi="Palatino" w:hint="default"/>
          <w:sz w:val="22"/>
          <w:szCs w:val="22"/>
          <w:rtl w:val="0"/>
          <w:lang w:val="en-US"/>
        </w:rPr>
        <w:t>‘</w:t>
      </w:r>
      <w:r>
        <w:rPr>
          <w:rFonts w:ascii="Palatino" w:hAnsi="Palatino"/>
          <w:sz w:val="22"/>
          <w:szCs w:val="22"/>
          <w:rtl w:val="0"/>
          <w:lang w:val="en-US"/>
        </w:rPr>
        <w:t xml:space="preserve">Speaking Shamanistically: Seidr, Academia </w:t>
      </w:r>
      <w:r>
        <w:rPr>
          <w:rFonts w:ascii="Palatino" w:hAnsi="Palatino"/>
          <w:sz w:val="22"/>
          <w:szCs w:val="22"/>
          <w:rtl w:val="0"/>
          <w:lang w:val="en-US"/>
        </w:rPr>
        <w:t>A</w:t>
      </w:r>
      <w:r>
        <w:rPr>
          <w:rFonts w:ascii="Palatino" w:hAnsi="Palatino"/>
          <w:sz w:val="22"/>
          <w:szCs w:val="22"/>
          <w:rtl w:val="0"/>
          <w:lang w:val="en-US"/>
        </w:rPr>
        <w:t>nd Rationality</w:t>
      </w:r>
      <w:r>
        <w:rPr>
          <w:rFonts w:ascii="Palatino" w:hAnsi="Palatino" w:hint="default"/>
          <w:sz w:val="22"/>
          <w:szCs w:val="22"/>
          <w:rtl w:val="0"/>
          <w:lang w:val="en-US"/>
        </w:rPr>
        <w:t>’</w:t>
      </w:r>
      <w:r>
        <w:rPr>
          <w:rFonts w:ascii="Palatino" w:hAnsi="Palatino"/>
          <w:sz w:val="22"/>
          <w:szCs w:val="22"/>
          <w:rtl w:val="0"/>
          <w:lang w:val="en-US"/>
        </w:rPr>
        <w:t>,</w:t>
      </w:r>
      <w:r>
        <w:rPr>
          <w:rFonts w:ascii="Palatino" w:hAnsi="Palatino"/>
          <w:sz w:val="22"/>
          <w:szCs w:val="22"/>
          <w:rtl w:val="0"/>
        </w:rPr>
        <w:t xml:space="preserve"> </w:t>
      </w:r>
      <w:r>
        <w:rPr>
          <w:rFonts w:ascii="Palatino" w:hAnsi="Palatino"/>
          <w:i w:val="1"/>
          <w:iCs w:val="1"/>
          <w:sz w:val="22"/>
          <w:szCs w:val="22"/>
          <w:rtl w:val="0"/>
        </w:rPr>
        <w:t>DISKUS</w:t>
      </w:r>
      <w:r>
        <w:rPr>
          <w:rFonts w:ascii="Palatino" w:hAnsi="Palatino"/>
          <w:sz w:val="22"/>
          <w:szCs w:val="22"/>
          <w:rtl w:val="0"/>
        </w:rPr>
        <w:t xml:space="preserve"> Volume 6 (2000)</w:t>
      </w:r>
      <w:r>
        <w:rPr>
          <w:rFonts w:ascii="Palatino" w:hAnsi="Palatino"/>
          <w:sz w:val="22"/>
          <w:szCs w:val="22"/>
          <w:rtl w:val="0"/>
          <w:lang w:val="en-US"/>
        </w:rPr>
        <w:t>, &lt;</w:t>
      </w:r>
      <w:r>
        <w:rPr>
          <w:rFonts w:ascii="Palatino" w:hAnsi="Palatino"/>
          <w:sz w:val="22"/>
          <w:szCs w:val="22"/>
          <w:rtl w:val="0"/>
          <w:lang w:val="de-DE"/>
        </w:rPr>
        <w:t xml:space="preserve"> www.uni-marburg.de/fb03/religionswissenschaft/journal/diskus</w:t>
      </w:r>
      <w:r>
        <w:rPr>
          <w:rFonts w:ascii="Palatino" w:hAnsi="Palatino"/>
          <w:sz w:val="22"/>
          <w:szCs w:val="22"/>
          <w:rtl w:val="0"/>
          <w:lang w:val="en-US"/>
        </w:rPr>
        <w:t>&gt; {assessed 16th March 2021}.</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en-US"/>
        </w:rPr>
        <w:t xml:space="preserve">Blain, </w:t>
      </w:r>
      <w:r>
        <w:rPr>
          <w:rFonts w:ascii="Palatino" w:hAnsi="Palatino"/>
          <w:sz w:val="22"/>
          <w:szCs w:val="22"/>
          <w:rtl w:val="0"/>
        </w:rPr>
        <w:t>Jenny</w:t>
      </w:r>
      <w:r>
        <w:rPr>
          <w:rFonts w:ascii="Palatino" w:hAnsi="Palatino"/>
          <w:sz w:val="22"/>
          <w:szCs w:val="22"/>
          <w:rtl w:val="0"/>
          <w:lang w:val="en-US"/>
        </w:rPr>
        <w:t>, LinkedIn Profile, &lt;www.</w:t>
      </w:r>
      <w:r>
        <w:rPr>
          <w:rFonts w:ascii="Palatino" w:hAnsi="Palatino"/>
          <w:sz w:val="22"/>
          <w:szCs w:val="22"/>
          <w:rtl w:val="0"/>
        </w:rPr>
        <w:t>uk.linkedin.com/in/jenny-blain-9b508337</w:t>
      </w:r>
      <w:r>
        <w:rPr>
          <w:rFonts w:ascii="Palatino" w:hAnsi="Palatino"/>
          <w:sz w:val="22"/>
          <w:szCs w:val="22"/>
          <w:rtl w:val="0"/>
          <w:lang w:val="en-US"/>
        </w:rPr>
        <w:t>&gt; [assessed 18th March 2021).</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en-US"/>
        </w:rPr>
        <w:t xml:space="preserve">contemporarylegend.org: The Website for the International Society for Contemporary Legend Research, </w:t>
      </w:r>
      <w:r>
        <w:rPr>
          <w:rFonts w:ascii="Palatino" w:hAnsi="Palatino"/>
          <w:i w:val="1"/>
          <w:iCs w:val="1"/>
          <w:sz w:val="22"/>
          <w:szCs w:val="22"/>
          <w:rtl w:val="0"/>
          <w:lang w:val="en-US"/>
        </w:rPr>
        <w:t>2015 Recipient Of The Linda Degh Lifetime Achievement Award</w:t>
      </w:r>
      <w:r>
        <w:rPr>
          <w:rFonts w:ascii="Palatino" w:hAnsi="Palatino"/>
          <w:sz w:val="22"/>
          <w:szCs w:val="22"/>
          <w:rtl w:val="0"/>
          <w:lang w:val="en-US"/>
        </w:rPr>
        <w:t>, &lt;www.contemporarylegend.org/prizes-and-awards/linda-degh-lifetime-achievement-award/dr-gillian-bennett&gt; {assessed 18th March 2021)</w:t>
      </w:r>
      <w:r>
        <w:rPr>
          <w:rFonts w:ascii="Palatino" w:hAnsi="Palatino"/>
          <w:sz w:val="22"/>
          <w:szCs w:val="22"/>
          <w:rtl w:val="0"/>
          <w:lang w:val="en-US"/>
        </w:rPr>
        <w:t>.</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en-US"/>
        </w:rPr>
        <w:t xml:space="preserve">Corbin Dwyer, </w:t>
      </w:r>
      <w:r>
        <w:rPr>
          <w:rFonts w:ascii="Palatino" w:hAnsi="Palatino"/>
          <w:sz w:val="22"/>
          <w:szCs w:val="22"/>
          <w:rtl w:val="0"/>
        </w:rPr>
        <w:t>Sonya</w:t>
      </w:r>
      <w:r>
        <w:rPr>
          <w:rFonts w:ascii="Palatino" w:hAnsi="Palatino"/>
          <w:sz w:val="22"/>
          <w:szCs w:val="22"/>
          <w:rtl w:val="0"/>
          <w:lang w:val="en-US"/>
        </w:rPr>
        <w:t xml:space="preserve"> and Jennifer L. Buckle, </w:t>
      </w:r>
      <w:r>
        <w:rPr>
          <w:rFonts w:ascii="Palatino" w:hAnsi="Palatino" w:hint="default"/>
          <w:sz w:val="22"/>
          <w:szCs w:val="22"/>
          <w:rtl w:val="0"/>
          <w:lang w:val="en-US"/>
        </w:rPr>
        <w:t>‘</w:t>
      </w:r>
      <w:r>
        <w:rPr>
          <w:rFonts w:ascii="Palatino" w:hAnsi="Palatino"/>
          <w:sz w:val="22"/>
          <w:szCs w:val="22"/>
          <w:rtl w:val="0"/>
          <w:lang w:val="en-US"/>
        </w:rPr>
        <w:t>The Space Between: On Being An Insider-Outsider In Qualitative Research</w:t>
      </w:r>
      <w:r>
        <w:rPr>
          <w:rFonts w:ascii="Palatino" w:hAnsi="Palatino" w:hint="default"/>
          <w:sz w:val="22"/>
          <w:szCs w:val="22"/>
          <w:rtl w:val="0"/>
          <w:lang w:val="en-US"/>
        </w:rPr>
        <w:t xml:space="preserve">’ </w:t>
      </w:r>
      <w:r>
        <w:rPr>
          <w:rFonts w:ascii="Palatino" w:hAnsi="Palatino"/>
          <w:i w:val="1"/>
          <w:iCs w:val="1"/>
          <w:sz w:val="22"/>
          <w:szCs w:val="22"/>
          <w:rtl w:val="0"/>
          <w:lang w:val="en-US"/>
        </w:rPr>
        <w:t>International Journal of Qualitative Methods</w:t>
      </w:r>
      <w:r>
        <w:rPr>
          <w:rFonts w:ascii="Palatino" w:hAnsi="Palatino"/>
          <w:sz w:val="22"/>
          <w:szCs w:val="22"/>
          <w:rtl w:val="0"/>
          <w:lang w:val="en-US"/>
        </w:rPr>
        <w:t xml:space="preserve"> 8(1) (2009), 54-63, &lt;DOI: </w:t>
      </w:r>
      <w:r>
        <w:rPr>
          <w:rFonts w:ascii="Palatino" w:hAnsi="Palatino"/>
          <w:sz w:val="22"/>
          <w:szCs w:val="22"/>
          <w:rtl w:val="0"/>
        </w:rPr>
        <w:t>org/10.1177/160940690900800105</w:t>
      </w:r>
      <w:r>
        <w:rPr>
          <w:rFonts w:ascii="Palatino" w:hAnsi="Palatino"/>
          <w:sz w:val="22"/>
          <w:szCs w:val="22"/>
          <w:rtl w:val="0"/>
          <w:lang w:val="en-US"/>
        </w:rPr>
        <w:t>&gt;.</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en-US"/>
        </w:rPr>
        <w:t xml:space="preserve">Etherington, Kim, </w:t>
      </w:r>
      <w:r>
        <w:rPr>
          <w:rFonts w:ascii="Palatino" w:hAnsi="Palatino"/>
          <w:i w:val="1"/>
          <w:iCs w:val="1"/>
          <w:sz w:val="22"/>
          <w:szCs w:val="22"/>
          <w:rtl w:val="0"/>
          <w:lang w:val="en-US"/>
        </w:rPr>
        <w:t>Becoming A Reflexive Researcher</w:t>
      </w:r>
      <w:r>
        <w:rPr>
          <w:rFonts w:ascii="Palatino" w:hAnsi="Palatino"/>
          <w:sz w:val="22"/>
          <w:szCs w:val="22"/>
          <w:rtl w:val="0"/>
          <w:lang w:val="en-US"/>
        </w:rPr>
        <w:t xml:space="preserve"> (London: Jessica Kingsley Publishers, 2004).</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en-US"/>
        </w:rPr>
        <w:t xml:space="preserve">Hennick, </w:t>
      </w:r>
      <w:r>
        <w:rPr>
          <w:rFonts w:ascii="Palatino" w:hAnsi="Palatino"/>
          <w:sz w:val="22"/>
          <w:szCs w:val="22"/>
          <w:rtl w:val="0"/>
          <w:lang w:val="fr-FR"/>
        </w:rPr>
        <w:t>Monique</w:t>
      </w:r>
      <w:r>
        <w:rPr>
          <w:rFonts w:ascii="Palatino" w:hAnsi="Palatino"/>
          <w:sz w:val="22"/>
          <w:szCs w:val="22"/>
          <w:rtl w:val="0"/>
          <w:lang w:val="en-US"/>
        </w:rPr>
        <w:t xml:space="preserve">, Inge Hutter and Ajay Bailey, </w:t>
      </w:r>
      <w:r>
        <w:rPr>
          <w:rFonts w:ascii="Palatino" w:hAnsi="Palatino"/>
          <w:i w:val="1"/>
          <w:iCs w:val="1"/>
          <w:sz w:val="22"/>
          <w:szCs w:val="22"/>
          <w:rtl w:val="0"/>
          <w:lang w:val="en-US"/>
        </w:rPr>
        <w:t>Qualitative Research Methods</w:t>
      </w:r>
      <w:r>
        <w:rPr>
          <w:rFonts w:ascii="Palatino" w:hAnsi="Palatino"/>
          <w:sz w:val="22"/>
          <w:szCs w:val="22"/>
          <w:rtl w:val="0"/>
          <w:lang w:val="en-US"/>
        </w:rPr>
        <w:t>, 2</w:t>
      </w:r>
      <w:r>
        <w:rPr>
          <w:rFonts w:ascii="Palatino" w:hAnsi="Palatino"/>
          <w:sz w:val="22"/>
          <w:szCs w:val="22"/>
          <w:vertAlign w:val="superscript"/>
          <w:rtl w:val="0"/>
          <w:lang w:val="en-US"/>
        </w:rPr>
        <w:t>nd</w:t>
      </w:r>
      <w:r>
        <w:rPr>
          <w:rFonts w:ascii="Palatino" w:hAnsi="Palatino"/>
          <w:sz w:val="22"/>
          <w:szCs w:val="22"/>
          <w:rtl w:val="0"/>
          <w:lang w:val="en-US"/>
        </w:rPr>
        <w:t xml:space="preserve"> edn. (London: Sage, 2020).</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es-ES_tradnl"/>
        </w:rPr>
        <w:t xml:space="preserve">Joy, </w:t>
      </w:r>
      <w:r>
        <w:rPr>
          <w:rFonts w:ascii="Palatino" w:hAnsi="Palatino"/>
          <w:sz w:val="22"/>
          <w:szCs w:val="22"/>
          <w:rtl w:val="0"/>
          <w:lang w:val="en-US"/>
        </w:rPr>
        <w:t xml:space="preserve">Francis, </w:t>
      </w:r>
      <w:r>
        <w:rPr>
          <w:rFonts w:ascii="Palatino" w:hAnsi="Palatino" w:hint="default"/>
          <w:sz w:val="22"/>
          <w:szCs w:val="22"/>
          <w:rtl w:val="0"/>
          <w:lang w:val="en-US"/>
        </w:rPr>
        <w:t>’</w:t>
      </w:r>
      <w:r>
        <w:rPr>
          <w:rFonts w:ascii="Palatino" w:hAnsi="Palatino"/>
          <w:sz w:val="22"/>
          <w:szCs w:val="22"/>
          <w:rtl w:val="0"/>
          <w:lang w:val="en-US"/>
        </w:rPr>
        <w:t>The Importance Of The Sun Symbol In The Restoration Of Sami Spiritual Traditions And Healing Practice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i w:val="1"/>
          <w:iCs w:val="1"/>
          <w:sz w:val="22"/>
          <w:szCs w:val="22"/>
          <w:rtl w:val="0"/>
          <w:lang w:val="en-US"/>
        </w:rPr>
        <w:t>Religions</w:t>
      </w:r>
      <w:r>
        <w:rPr>
          <w:rFonts w:ascii="Palatino" w:hAnsi="Palatino"/>
          <w:sz w:val="22"/>
          <w:szCs w:val="22"/>
          <w:rtl w:val="0"/>
          <w:lang w:val="en-US"/>
        </w:rPr>
        <w:t xml:space="preserve"> 11(6) (2020), 1-22, &lt;doi: org/10.3390/rel11060270&gt;.</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da-DK"/>
        </w:rPr>
        <w:t xml:space="preserve">Kalvig, </w:t>
      </w:r>
      <w:r>
        <w:rPr>
          <w:rFonts w:ascii="Palatino" w:hAnsi="Palatino"/>
          <w:sz w:val="22"/>
          <w:szCs w:val="22"/>
          <w:rtl w:val="0"/>
          <w:lang w:val="en-US"/>
        </w:rPr>
        <w:t xml:space="preserve">Anne, </w:t>
      </w:r>
      <w:r>
        <w:rPr>
          <w:rFonts w:ascii="Palatino" w:hAnsi="Palatino" w:hint="default"/>
          <w:sz w:val="22"/>
          <w:szCs w:val="22"/>
          <w:rtl w:val="0"/>
          <w:lang w:val="en-US"/>
        </w:rPr>
        <w:t>’</w:t>
      </w:r>
      <w:r>
        <w:rPr>
          <w:rFonts w:ascii="Palatino" w:hAnsi="Palatino"/>
          <w:sz w:val="22"/>
          <w:szCs w:val="22"/>
          <w:rtl w:val="0"/>
          <w:lang w:val="en-US"/>
        </w:rPr>
        <w:t xml:space="preserve">Nature And Magic As Representation Of </w:t>
      </w:r>
      <w:r>
        <w:rPr>
          <w:rFonts w:ascii="Palatino" w:hAnsi="Palatino" w:hint="default"/>
          <w:sz w:val="22"/>
          <w:szCs w:val="22"/>
          <w:rtl w:val="0"/>
          <w:lang w:val="en-US"/>
        </w:rPr>
        <w:t>“</w:t>
      </w:r>
      <w:r>
        <w:rPr>
          <w:rFonts w:ascii="Palatino" w:hAnsi="Palatino"/>
          <w:sz w:val="22"/>
          <w:szCs w:val="22"/>
          <w:rtl w:val="0"/>
          <w:lang w:val="en-US"/>
        </w:rPr>
        <w:t>The Sami</w:t>
      </w:r>
      <w:r>
        <w:rPr>
          <w:rFonts w:ascii="Palatino" w:hAnsi="Palatino" w:hint="default"/>
          <w:sz w:val="22"/>
          <w:szCs w:val="22"/>
          <w:rtl w:val="0"/>
          <w:lang w:val="en-US"/>
        </w:rPr>
        <w:t xml:space="preserve">” </w:t>
      </w:r>
      <w:r>
        <w:rPr>
          <w:rFonts w:ascii="Palatino" w:hAnsi="Palatino"/>
          <w:sz w:val="22"/>
          <w:szCs w:val="22"/>
          <w:rtl w:val="0"/>
          <w:lang w:val="en-US"/>
        </w:rPr>
        <w:t>- Sami Shamanistic Material in Popular Culture</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i w:val="1"/>
          <w:iCs w:val="1"/>
          <w:sz w:val="22"/>
          <w:szCs w:val="22"/>
          <w:rtl w:val="0"/>
          <w:lang w:val="en-US"/>
        </w:rPr>
        <w:t>Religions</w:t>
      </w:r>
      <w:r>
        <w:rPr>
          <w:rFonts w:ascii="Palatino" w:hAnsi="Palatino"/>
          <w:sz w:val="22"/>
          <w:szCs w:val="22"/>
          <w:rtl w:val="0"/>
          <w:lang w:val="en-US"/>
        </w:rPr>
        <w:t xml:space="preserve"> 11, 453 (2020), p. 1-16 &lt;doi: 10.3390/rel11090453&gt;.</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de-DE"/>
        </w:rPr>
        <w:t>Melb</w:t>
      </w:r>
      <w:r>
        <w:rPr>
          <w:rFonts w:ascii="Palatino" w:hAnsi="Palatino" w:hint="default"/>
          <w:sz w:val="22"/>
          <w:szCs w:val="22"/>
          <w:rtl w:val="0"/>
          <w:lang w:val="da-DK"/>
        </w:rPr>
        <w:t>ø</w:t>
      </w:r>
      <w:r>
        <w:rPr>
          <w:rFonts w:ascii="Palatino" w:hAnsi="Palatino"/>
          <w:sz w:val="22"/>
          <w:szCs w:val="22"/>
          <w:rtl w:val="0"/>
        </w:rPr>
        <w:t xml:space="preserve">e, </w:t>
      </w:r>
      <w:r>
        <w:rPr>
          <w:rFonts w:ascii="Palatino" w:hAnsi="Palatino"/>
          <w:sz w:val="22"/>
          <w:szCs w:val="22"/>
          <w:rtl w:val="0"/>
          <w:lang w:val="en-US"/>
        </w:rPr>
        <w:t xml:space="preserve">Line, </w:t>
      </w:r>
      <w:r>
        <w:rPr>
          <w:rFonts w:ascii="Palatino" w:hAnsi="Palatino"/>
          <w:sz w:val="22"/>
          <w:szCs w:val="22"/>
          <w:rtl w:val="0"/>
          <w:lang w:val="da-DK"/>
        </w:rPr>
        <w:t>Ketil Lenert Hansen, Bj</w:t>
      </w:r>
      <w:r>
        <w:rPr>
          <w:rFonts w:ascii="Palatino" w:hAnsi="Palatino" w:hint="default"/>
          <w:sz w:val="22"/>
          <w:szCs w:val="22"/>
          <w:rtl w:val="0"/>
          <w:lang w:val="da-DK"/>
        </w:rPr>
        <w:t>ø</w:t>
      </w:r>
      <w:r>
        <w:rPr>
          <w:rFonts w:ascii="Palatino" w:hAnsi="Palatino"/>
          <w:sz w:val="22"/>
          <w:szCs w:val="22"/>
          <w:rtl w:val="0"/>
          <w:lang w:val="da-DK"/>
        </w:rPr>
        <w:t>rn</w:t>
      </w:r>
      <w:r>
        <w:rPr>
          <w:rFonts w:ascii="Palatino" w:hAnsi="Palatino"/>
          <w:sz w:val="22"/>
          <w:szCs w:val="22"/>
          <w:rtl w:val="0"/>
          <w:lang w:val="en-US"/>
        </w:rPr>
        <w:t>-</w:t>
      </w:r>
      <w:r>
        <w:rPr>
          <w:rFonts w:ascii="Palatino" w:hAnsi="Palatino"/>
          <w:sz w:val="22"/>
          <w:szCs w:val="22"/>
          <w:rtl w:val="0"/>
          <w:lang w:val="da-DK"/>
        </w:rPr>
        <w:t>Erik Johnsen, Gunn Elin Fedreheim, Tone Dinesen, Gunn</w:t>
      </w:r>
      <w:r>
        <w:rPr>
          <w:rFonts w:ascii="Palatino" w:hAnsi="Palatino"/>
          <w:sz w:val="22"/>
          <w:szCs w:val="22"/>
          <w:rtl w:val="0"/>
          <w:lang w:val="en-US"/>
        </w:rPr>
        <w:t>-</w:t>
      </w:r>
      <w:r>
        <w:rPr>
          <w:rFonts w:ascii="Palatino" w:hAnsi="Palatino"/>
          <w:sz w:val="22"/>
          <w:szCs w:val="22"/>
          <w:rtl w:val="0"/>
          <w:lang w:val="da-DK"/>
        </w:rPr>
        <w:t>Tove M</w:t>
      </w:r>
      <w:r>
        <w:rPr>
          <w:rFonts w:ascii="Palatino" w:hAnsi="Palatino"/>
          <w:sz w:val="22"/>
          <w:szCs w:val="22"/>
          <w:rtl w:val="0"/>
          <w:lang w:val="en-US"/>
        </w:rPr>
        <w:t>i</w:t>
      </w:r>
      <w:r>
        <w:rPr>
          <w:rFonts w:ascii="Palatino" w:hAnsi="Palatino"/>
          <w:sz w:val="22"/>
          <w:szCs w:val="22"/>
          <w:rtl w:val="0"/>
          <w:lang w:val="da-DK"/>
        </w:rPr>
        <w:t xml:space="preserve">nde and Marit Rustad, </w:t>
      </w:r>
      <w:r>
        <w:rPr>
          <w:rFonts w:ascii="Palatino" w:hAnsi="Palatino" w:hint="default"/>
          <w:sz w:val="22"/>
          <w:szCs w:val="22"/>
          <w:rtl w:val="0"/>
          <w:lang w:val="en-US"/>
        </w:rPr>
        <w:t>‘</w:t>
      </w:r>
      <w:r>
        <w:rPr>
          <w:rFonts w:ascii="Palatino" w:hAnsi="Palatino"/>
          <w:sz w:val="22"/>
          <w:szCs w:val="22"/>
          <w:rtl w:val="0"/>
          <w:lang w:val="da-DK"/>
        </w:rPr>
        <w:t>Ethical And Methodological Issues In Research With Sami Experiencing Disability</w:t>
      </w:r>
      <w:r>
        <w:rPr>
          <w:rFonts w:ascii="Palatino" w:hAnsi="Palatino" w:hint="default"/>
          <w:sz w:val="22"/>
          <w:szCs w:val="22"/>
          <w:rtl w:val="0"/>
          <w:lang w:val="en-US"/>
        </w:rPr>
        <w:t>’</w:t>
      </w:r>
      <w:r>
        <w:rPr>
          <w:rFonts w:ascii="Palatino" w:hAnsi="Palatino"/>
          <w:sz w:val="22"/>
          <w:szCs w:val="22"/>
          <w:rtl w:val="0"/>
          <w:lang w:val="da-DK"/>
        </w:rPr>
        <w:t xml:space="preserve">, </w:t>
      </w:r>
      <w:r>
        <w:rPr>
          <w:rFonts w:ascii="Palatino" w:hAnsi="Palatino"/>
          <w:i w:val="1"/>
          <w:iCs w:val="1"/>
          <w:sz w:val="22"/>
          <w:szCs w:val="22"/>
          <w:rtl w:val="0"/>
          <w:lang w:val="da-DK"/>
        </w:rPr>
        <w:t xml:space="preserve">International Journal Of Circumpolar Health </w:t>
      </w:r>
      <w:r>
        <w:rPr>
          <w:rFonts w:ascii="Palatino" w:hAnsi="Palatino"/>
          <w:sz w:val="22"/>
          <w:szCs w:val="22"/>
          <w:rtl w:val="0"/>
          <w:lang w:val="da-DK"/>
        </w:rPr>
        <w:t>75</w:t>
      </w:r>
      <w:r>
        <w:rPr>
          <w:rFonts w:ascii="Palatino" w:hAnsi="Palatino"/>
          <w:sz w:val="22"/>
          <w:szCs w:val="22"/>
          <w:rtl w:val="0"/>
          <w:lang w:val="en-US"/>
        </w:rPr>
        <w:t xml:space="preserve"> (2016), 1-7, &lt;doi: </w:t>
      </w:r>
      <w:r>
        <w:rPr>
          <w:rFonts w:ascii="Palatino" w:hAnsi="Palatino"/>
          <w:sz w:val="22"/>
          <w:szCs w:val="22"/>
          <w:rtl w:val="0"/>
        </w:rPr>
        <w:t>10.3402/ijch.v75.31656</w:t>
      </w:r>
      <w:r>
        <w:rPr>
          <w:rFonts w:ascii="Palatino" w:hAnsi="Palatino"/>
          <w:sz w:val="22"/>
          <w:szCs w:val="22"/>
          <w:rtl w:val="0"/>
          <w:lang w:val="en-US"/>
        </w:rPr>
        <w:t>&gt;.</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rPr>
        <w:t>Sexton</w:t>
      </w:r>
      <w:r>
        <w:rPr>
          <w:rFonts w:ascii="Palatino" w:hAnsi="Palatino"/>
          <w:sz w:val="22"/>
          <w:szCs w:val="22"/>
          <w:rtl w:val="0"/>
          <w:lang w:val="en-US"/>
        </w:rPr>
        <w:t>,</w:t>
      </w:r>
      <w:r>
        <w:rPr>
          <w:rFonts w:ascii="Palatino" w:hAnsi="Palatino"/>
          <w:sz w:val="22"/>
          <w:szCs w:val="22"/>
          <w:rtl w:val="0"/>
        </w:rPr>
        <w:t xml:space="preserve"> </w:t>
      </w:r>
      <w:r>
        <w:rPr>
          <w:rFonts w:ascii="Palatino" w:hAnsi="Palatino"/>
          <w:sz w:val="22"/>
          <w:szCs w:val="22"/>
          <w:rtl w:val="0"/>
          <w:lang w:val="en-US"/>
        </w:rPr>
        <w:t xml:space="preserve">Randall, and Ellen Anne Buljo Stabbursvik, </w:t>
      </w:r>
      <w:r>
        <w:rPr>
          <w:rFonts w:ascii="Palatino" w:hAnsi="Palatino" w:hint="default"/>
          <w:sz w:val="22"/>
          <w:szCs w:val="22"/>
          <w:rtl w:val="0"/>
          <w:lang w:val="en-US"/>
        </w:rPr>
        <w:t>‘</w:t>
      </w:r>
      <w:r>
        <w:rPr>
          <w:rFonts w:ascii="Palatino" w:hAnsi="Palatino"/>
          <w:sz w:val="22"/>
          <w:szCs w:val="22"/>
          <w:rtl w:val="0"/>
          <w:lang w:val="en-US"/>
        </w:rPr>
        <w:t>Healing In The Sami North</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i w:val="1"/>
          <w:iCs w:val="1"/>
          <w:sz w:val="22"/>
          <w:szCs w:val="22"/>
          <w:rtl w:val="0"/>
          <w:lang w:val="en-US"/>
        </w:rPr>
        <w:t>Culture, Medicine and Psychiatry</w:t>
      </w:r>
      <w:r>
        <w:rPr>
          <w:rFonts w:ascii="Palatino" w:hAnsi="Palatino"/>
          <w:sz w:val="22"/>
          <w:szCs w:val="22"/>
          <w:rtl w:val="0"/>
          <w:lang w:val="en-US"/>
        </w:rPr>
        <w:t xml:space="preserve"> 34(4) (2010), 571-589, &lt;doi: 10.1007/s11013-010-9191-x&gt;.</w:t>
      </w:r>
    </w:p>
    <w:p>
      <w:pPr>
        <w:pStyle w:val="Body"/>
        <w:spacing w:before="0"/>
        <w:rPr>
          <w:rFonts w:ascii="Palatino" w:cs="Palatino" w:hAnsi="Palatino" w:eastAsia="Palatino"/>
          <w:sz w:val="22"/>
          <w:szCs w:val="22"/>
        </w:rPr>
      </w:pPr>
    </w:p>
    <w:p>
      <w:pPr>
        <w:pStyle w:val="Body"/>
        <w:spacing w:before="0"/>
        <w:rPr>
          <w:rFonts w:ascii="Palatino" w:cs="Palatino" w:hAnsi="Palatino" w:eastAsia="Palatino"/>
          <w:sz w:val="22"/>
          <w:szCs w:val="22"/>
        </w:rPr>
      </w:pPr>
      <w:r>
        <w:rPr>
          <w:rFonts w:ascii="Palatino" w:hAnsi="Palatino"/>
          <w:sz w:val="22"/>
          <w:szCs w:val="22"/>
          <w:rtl w:val="0"/>
          <w:lang w:val="da-DK"/>
        </w:rPr>
        <w:t xml:space="preserve">Simonsen, </w:t>
      </w:r>
      <w:r>
        <w:rPr>
          <w:rFonts w:ascii="Palatino" w:hAnsi="Palatino"/>
          <w:sz w:val="22"/>
          <w:szCs w:val="22"/>
          <w:rtl w:val="0"/>
          <w:lang w:val="en-US"/>
        </w:rPr>
        <w:t>Mich</w:t>
      </w:r>
      <w:r>
        <w:rPr>
          <w:rFonts w:ascii="Palatino" w:hAnsi="Palatino" w:hint="default"/>
          <w:sz w:val="22"/>
          <w:szCs w:val="22"/>
          <w:rtl w:val="0"/>
          <w:lang w:val="da-DK"/>
        </w:rPr>
        <w:t>è</w:t>
      </w:r>
      <w:r>
        <w:rPr>
          <w:rFonts w:ascii="Palatino" w:hAnsi="Palatino"/>
          <w:sz w:val="22"/>
          <w:szCs w:val="22"/>
          <w:rtl w:val="0"/>
          <w:lang w:val="en-US"/>
        </w:rPr>
        <w:t xml:space="preserve">le, </w:t>
      </w:r>
      <w:r>
        <w:rPr>
          <w:rFonts w:ascii="Palatino" w:hAnsi="Palatino" w:hint="default"/>
          <w:sz w:val="22"/>
          <w:szCs w:val="22"/>
          <w:rtl w:val="0"/>
          <w:lang w:val="en-US"/>
        </w:rPr>
        <w:t>’</w:t>
      </w:r>
      <w:r>
        <w:rPr>
          <w:rFonts w:ascii="Palatino" w:hAnsi="Palatino"/>
          <w:sz w:val="22"/>
          <w:szCs w:val="22"/>
          <w:rtl w:val="0"/>
          <w:lang w:val="en-US"/>
        </w:rPr>
        <w:t>Danish Werewolves Between Beliefs And Narratives</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i w:val="1"/>
          <w:iCs w:val="1"/>
          <w:sz w:val="22"/>
          <w:szCs w:val="22"/>
          <w:rtl w:val="0"/>
          <w:lang w:val="en-US"/>
        </w:rPr>
        <w:t>Fabula</w:t>
      </w:r>
      <w:r>
        <w:rPr>
          <w:rFonts w:ascii="Palatino" w:hAnsi="Palatino"/>
          <w:sz w:val="22"/>
          <w:szCs w:val="22"/>
          <w:rtl w:val="0"/>
          <w:lang w:val="en-US"/>
        </w:rPr>
        <w:t xml:space="preserve"> 51, Heft 3/4 (2010), 225-234, &lt;doi: 10.1515/FABL..2010.022&gt;, p. 230.</w:t>
      </w:r>
    </w:p>
    <w:p>
      <w:pPr>
        <w:pStyle w:val="Body"/>
        <w:spacing w:before="0"/>
        <w:rPr>
          <w:rFonts w:ascii="Palatino" w:cs="Palatino" w:hAnsi="Palatino" w:eastAsia="Palatino"/>
          <w:sz w:val="22"/>
          <w:szCs w:val="22"/>
        </w:rPr>
      </w:pPr>
    </w:p>
    <w:p>
      <w:pPr>
        <w:pStyle w:val="Body"/>
        <w:spacing w:before="0"/>
        <w:sectPr>
          <w:headerReference w:type="default" r:id="rId21"/>
          <w:footerReference w:type="default" r:id="rId22"/>
          <w:pgSz w:w="12240" w:h="15840" w:orient="portrait"/>
          <w:pgMar w:top="1134" w:right="1134" w:bottom="1134" w:left="1134" w:header="567" w:footer="720"/>
          <w:bidi w:val="0"/>
        </w:sectPr>
      </w:pPr>
      <w:r>
        <w:rPr>
          <w:rFonts w:ascii="Palatino" w:hAnsi="Palatino"/>
          <w:sz w:val="22"/>
          <w:szCs w:val="22"/>
          <w:rtl w:val="0"/>
          <w:lang w:val="sv-SE"/>
        </w:rPr>
        <w:t>Sommarstr</w:t>
      </w:r>
      <w:r>
        <w:rPr>
          <w:rFonts w:ascii="Palatino" w:hAnsi="Palatino" w:hint="default"/>
          <w:sz w:val="22"/>
          <w:szCs w:val="22"/>
          <w:rtl w:val="0"/>
          <w:lang w:val="sv-SE"/>
        </w:rPr>
        <w:t>ö</w:t>
      </w:r>
      <w:r>
        <w:rPr>
          <w:rFonts w:ascii="Palatino" w:hAnsi="Palatino"/>
          <w:sz w:val="22"/>
          <w:szCs w:val="22"/>
          <w:rtl w:val="0"/>
        </w:rPr>
        <w:t xml:space="preserve">m, </w:t>
      </w:r>
      <w:r>
        <w:rPr>
          <w:rFonts w:ascii="Palatino" w:hAnsi="Palatino"/>
          <w:sz w:val="22"/>
          <w:szCs w:val="22"/>
          <w:rtl w:val="0"/>
          <w:lang w:val="en-US"/>
        </w:rPr>
        <w:t xml:space="preserve">Bo, </w:t>
      </w:r>
      <w:r>
        <w:rPr>
          <w:rFonts w:ascii="Palatino" w:hAnsi="Palatino" w:hint="default"/>
          <w:sz w:val="22"/>
          <w:szCs w:val="22"/>
          <w:rtl w:val="0"/>
          <w:lang w:val="en-US"/>
        </w:rPr>
        <w:t>’</w:t>
      </w:r>
      <w:r>
        <w:rPr>
          <w:rFonts w:ascii="Palatino" w:hAnsi="Palatino"/>
          <w:sz w:val="22"/>
          <w:szCs w:val="22"/>
          <w:rtl w:val="0"/>
          <w:lang w:val="en-US"/>
        </w:rPr>
        <w:t>Ethnoastronomical Perspectives On Saami Religion</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i w:val="1"/>
          <w:iCs w:val="1"/>
          <w:sz w:val="22"/>
          <w:szCs w:val="22"/>
          <w:rtl w:val="0"/>
          <w:lang w:val="it-IT"/>
        </w:rPr>
        <w:t>Scripta Instituti Donneriani Aboensis 12:211-250</w:t>
      </w:r>
      <w:r>
        <w:rPr>
          <w:rFonts w:ascii="Palatino" w:hAnsi="Palatino"/>
          <w:sz w:val="22"/>
          <w:szCs w:val="22"/>
          <w:rtl w:val="0"/>
          <w:lang w:val="en-US"/>
        </w:rPr>
        <w:t xml:space="preserve"> (1987), 211-250, &lt;doi</w:t>
      </w:r>
      <w:r>
        <w:rPr>
          <w:rFonts w:ascii="Palatino" w:hAnsi="Palatino"/>
          <w:sz w:val="22"/>
          <w:szCs w:val="22"/>
          <w:rtl w:val="0"/>
          <w:lang w:val="it-IT"/>
        </w:rPr>
        <w:t>:10.30674/scripta.67164</w:t>
      </w:r>
      <w:r>
        <w:rPr>
          <w:rFonts w:ascii="Palatino" w:hAnsi="Palatino"/>
          <w:sz w:val="22"/>
          <w:szCs w:val="22"/>
          <w:rtl w:val="0"/>
          <w:lang w:val="en-US"/>
        </w:rPr>
        <w:t>&gt;.</w:t>
      </w:r>
    </w:p>
    <w:p>
      <w:pPr>
        <w:pStyle w:val="Body"/>
        <w:spacing w:before="0"/>
        <w:rPr>
          <w:rFonts w:ascii="Palatino" w:cs="Palatino" w:hAnsi="Palatino" w:eastAsia="Palatino"/>
          <w:sz w:val="22"/>
          <w:szCs w:val="22"/>
        </w:rPr>
      </w:pPr>
      <w:r>
        <w:rPr>
          <w:rFonts w:ascii="Palatino" w:hAnsi="Palatino"/>
          <w:sz w:val="22"/>
          <w:szCs w:val="22"/>
          <w:rtl w:val="0"/>
          <w:lang w:val="de-DE"/>
        </w:rPr>
        <w:t>Wall</w:t>
      </w:r>
      <w:r>
        <w:rPr>
          <w:rFonts w:ascii="Palatino" w:hAnsi="Palatino"/>
          <w:sz w:val="22"/>
          <w:szCs w:val="22"/>
          <w:rtl w:val="0"/>
          <w:lang w:val="en-US"/>
        </w:rPr>
        <w:t xml:space="preserve">, </w:t>
      </w:r>
      <w:r>
        <w:rPr>
          <w:rFonts w:ascii="Palatino" w:hAnsi="Palatino"/>
          <w:sz w:val="22"/>
          <w:szCs w:val="22"/>
          <w:rtl w:val="0"/>
          <w:lang w:val="da-DK"/>
        </w:rPr>
        <w:t>Sarah</w:t>
      </w:r>
      <w:r>
        <w:rPr>
          <w:rFonts w:ascii="Palatino" w:hAnsi="Palatino"/>
          <w:sz w:val="22"/>
          <w:szCs w:val="22"/>
          <w:rtl w:val="0"/>
          <w:lang w:val="en-US"/>
        </w:rPr>
        <w:t xml:space="preserve">, </w:t>
      </w:r>
      <w:r>
        <w:rPr>
          <w:rFonts w:ascii="Palatino" w:hAnsi="Palatino" w:hint="default"/>
          <w:sz w:val="22"/>
          <w:szCs w:val="22"/>
          <w:rtl w:val="0"/>
          <w:lang w:val="en-US"/>
        </w:rPr>
        <w:t>‘</w:t>
      </w:r>
      <w:r>
        <w:rPr>
          <w:rFonts w:ascii="Palatino" w:hAnsi="Palatino"/>
          <w:sz w:val="22"/>
          <w:szCs w:val="22"/>
          <w:rtl w:val="0"/>
        </w:rPr>
        <w:t xml:space="preserve">Easier Said </w:t>
      </w:r>
      <w:r>
        <w:rPr>
          <w:rFonts w:ascii="Palatino" w:hAnsi="Palatino"/>
          <w:sz w:val="22"/>
          <w:szCs w:val="22"/>
          <w:rtl w:val="0"/>
          <w:lang w:val="en-US"/>
        </w:rPr>
        <w:t>T</w:t>
      </w:r>
      <w:r>
        <w:rPr>
          <w:rFonts w:ascii="Palatino" w:hAnsi="Palatino"/>
          <w:sz w:val="22"/>
          <w:szCs w:val="22"/>
          <w:rtl w:val="0"/>
          <w:lang w:val="en-US"/>
        </w:rPr>
        <w:t xml:space="preserve">han Done: Writing </w:t>
      </w:r>
      <w:r>
        <w:rPr>
          <w:rFonts w:ascii="Palatino" w:hAnsi="Palatino"/>
          <w:sz w:val="22"/>
          <w:szCs w:val="22"/>
          <w:rtl w:val="0"/>
          <w:lang w:val="en-US"/>
        </w:rPr>
        <w:t>A</w:t>
      </w:r>
      <w:r>
        <w:rPr>
          <w:rFonts w:ascii="Palatino" w:hAnsi="Palatino"/>
          <w:sz w:val="22"/>
          <w:szCs w:val="22"/>
          <w:rtl w:val="0"/>
          <w:lang w:val="de-DE"/>
        </w:rPr>
        <w:t>n Autoethnography</w:t>
      </w:r>
      <w:r>
        <w:rPr>
          <w:rFonts w:ascii="Palatino" w:hAnsi="Palatino" w:hint="default"/>
          <w:sz w:val="22"/>
          <w:szCs w:val="22"/>
          <w:rtl w:val="0"/>
          <w:lang w:val="en-US"/>
        </w:rPr>
        <w:t>’</w:t>
      </w:r>
      <w:r>
        <w:rPr>
          <w:rFonts w:ascii="Palatino" w:hAnsi="Palatino"/>
          <w:sz w:val="22"/>
          <w:szCs w:val="22"/>
          <w:rtl w:val="0"/>
          <w:lang w:val="en-US"/>
        </w:rPr>
        <w:t xml:space="preserve">, </w:t>
      </w:r>
      <w:r>
        <w:rPr>
          <w:rFonts w:ascii="Palatino" w:hAnsi="Palatino"/>
          <w:i w:val="1"/>
          <w:iCs w:val="1"/>
          <w:sz w:val="22"/>
          <w:szCs w:val="22"/>
          <w:rtl w:val="0"/>
          <w:lang w:val="en-US"/>
        </w:rPr>
        <w:t xml:space="preserve">International Journal of Qualitative Methods </w:t>
      </w:r>
      <w:r>
        <w:rPr>
          <w:rFonts w:ascii="Palatino" w:hAnsi="Palatino"/>
          <w:sz w:val="22"/>
          <w:szCs w:val="22"/>
          <w:rtl w:val="0"/>
        </w:rPr>
        <w:t xml:space="preserve">7(1) </w:t>
      </w:r>
      <w:r>
        <w:rPr>
          <w:rFonts w:ascii="Palatino" w:hAnsi="Palatino"/>
          <w:sz w:val="22"/>
          <w:szCs w:val="22"/>
          <w:rtl w:val="0"/>
          <w:lang w:val="en-US"/>
        </w:rPr>
        <w:t>(2008), 38-53, &lt;</w:t>
      </w:r>
      <w:r>
        <w:rPr>
          <w:rFonts w:ascii="Palatino" w:hAnsi="Palatino"/>
          <w:sz w:val="22"/>
          <w:szCs w:val="22"/>
          <w:rtl w:val="0"/>
          <w:lang w:val="pt-PT"/>
        </w:rPr>
        <w:t>doi</w:t>
      </w:r>
      <w:r>
        <w:rPr>
          <w:rFonts w:ascii="Palatino" w:hAnsi="Palatino"/>
          <w:sz w:val="22"/>
          <w:szCs w:val="22"/>
          <w:rtl w:val="0"/>
          <w:lang w:val="en-US"/>
        </w:rPr>
        <w:t xml:space="preserve">: </w:t>
      </w:r>
      <w:r>
        <w:rPr>
          <w:rFonts w:ascii="Palatino" w:hAnsi="Palatino"/>
          <w:sz w:val="22"/>
          <w:szCs w:val="22"/>
          <w:rtl w:val="0"/>
        </w:rPr>
        <w:t>pdf/10.1177/160940690800700103</w:t>
      </w:r>
      <w:r>
        <w:rPr>
          <w:rFonts w:ascii="Palatino" w:hAnsi="Palatino"/>
          <w:sz w:val="22"/>
          <w:szCs w:val="22"/>
          <w:rtl w:val="0"/>
          <w:lang w:val="en-US"/>
        </w:rPr>
        <w:t>&gt;.</w:t>
      </w:r>
    </w:p>
    <w:p>
      <w:pPr>
        <w:pStyle w:val="Body"/>
        <w:spacing w:before="0"/>
      </w:pPr>
      <w:r>
        <w:rPr>
          <w:rFonts w:ascii="Palatino" w:cs="Palatino" w:hAnsi="Palatino" w:eastAsia="Palatino"/>
          <w:sz w:val="22"/>
          <w:szCs w:val="22"/>
        </w:rPr>
      </w:r>
    </w:p>
    <w:sectPr>
      <w:headerReference w:type="default" r:id="rId23"/>
      <w:footerReference w:type="default" r:id="rId24"/>
      <w:pgSz w:w="12240" w:h="15840" w:orient="portrait"/>
      <w:pgMar w:top="1134" w:right="1134" w:bottom="1134" w:left="1134" w:header="567"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ahoma Bold">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7.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8.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9.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10.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Gillian </w:t>
      </w:r>
      <w:r>
        <w:rPr>
          <w:rFonts w:cs="Arial Unicode MS" w:eastAsia="Arial Unicode MS"/>
          <w:rtl w:val="0"/>
        </w:rPr>
        <w:t>Bennett</w:t>
      </w:r>
      <w:r>
        <w:rPr>
          <w:rFonts w:cs="Arial Unicode MS" w:eastAsia="Arial Unicode MS"/>
          <w:rtl w:val="0"/>
          <w:lang w:val="en-US"/>
        </w:rPr>
        <w:t>,</w:t>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hint="default"/>
          <w:rtl w:val="0"/>
          <w:lang w:val="en-US"/>
        </w:rPr>
        <w:t>“</w:t>
      </w:r>
      <w:r>
        <w:rPr>
          <w:rFonts w:cs="Arial Unicode MS" w:eastAsia="Arial Unicode MS"/>
          <w:rtl w:val="0"/>
          <w:lang w:val="en-US"/>
        </w:rPr>
        <w:t xml:space="preserve">If I Knew You </w:t>
      </w:r>
      <w:r>
        <w:rPr>
          <w:rFonts w:cs="Arial Unicode MS" w:eastAsia="Arial Unicode MS"/>
          <w:rtl w:val="0"/>
          <w:lang w:val="en-US"/>
        </w:rPr>
        <w:t>W</w:t>
      </w:r>
      <w:r>
        <w:rPr>
          <w:rFonts w:cs="Arial Unicode MS" w:eastAsia="Arial Unicode MS"/>
          <w:rtl w:val="0"/>
          <w:lang w:val="en-US"/>
        </w:rPr>
        <w:t xml:space="preserve">ere Coming I'd Have Baked </w:t>
      </w:r>
      <w:r>
        <w:rPr>
          <w:rFonts w:cs="Arial Unicode MS" w:eastAsia="Arial Unicode MS"/>
          <w:rtl w:val="0"/>
          <w:lang w:val="en-US"/>
        </w:rPr>
        <w:t>A</w:t>
      </w:r>
      <w:r>
        <w:rPr>
          <w:rFonts w:cs="Arial Unicode MS" w:eastAsia="Arial Unicode MS"/>
          <w:rtl w:val="0"/>
          <w:lang w:val="en-US"/>
        </w:rPr>
        <w:t xml:space="preserve"> Cake</w:t>
      </w:r>
      <w:r>
        <w:rPr>
          <w:rFonts w:cs="Arial Unicode MS" w:eastAsia="Arial Unicode MS" w:hint="default"/>
          <w:rtl w:val="0"/>
          <w:lang w:val="en-US"/>
        </w:rPr>
        <w:t>”</w:t>
      </w:r>
      <w:r>
        <w:rPr>
          <w:rFonts w:cs="Arial Unicode MS" w:eastAsia="Arial Unicode MS"/>
          <w:rtl w:val="0"/>
          <w:lang w:val="en-US"/>
        </w:rPr>
        <w:t xml:space="preserve">: The Folklore </w:t>
      </w:r>
      <w:r>
        <w:rPr>
          <w:rFonts w:cs="Arial Unicode MS" w:eastAsia="Arial Unicode MS"/>
          <w:rtl w:val="0"/>
          <w:lang w:val="en-US"/>
        </w:rPr>
        <w:t>O</w:t>
      </w:r>
      <w:r>
        <w:rPr>
          <w:rFonts w:cs="Arial Unicode MS" w:eastAsia="Arial Unicode MS"/>
          <w:rtl w:val="0"/>
          <w:lang w:val="en-US"/>
        </w:rPr>
        <w:t xml:space="preserve">f Foreknowledge </w:t>
      </w:r>
      <w:r>
        <w:rPr>
          <w:rFonts w:cs="Arial Unicode MS" w:eastAsia="Arial Unicode MS"/>
          <w:rtl w:val="0"/>
          <w:lang w:val="en-US"/>
        </w:rPr>
        <w:t>I</w:t>
      </w:r>
      <w:r>
        <w:rPr>
          <w:rFonts w:cs="Arial Unicode MS" w:eastAsia="Arial Unicode MS"/>
          <w:rtl w:val="0"/>
        </w:rPr>
        <w:t xml:space="preserve">n </w:t>
      </w:r>
      <w:r>
        <w:rPr>
          <w:rFonts w:cs="Arial Unicode MS" w:eastAsia="Arial Unicode MS"/>
          <w:rtl w:val="0"/>
          <w:lang w:val="en-US"/>
        </w:rPr>
        <w:t>A</w:t>
      </w:r>
      <w:r>
        <w:rPr>
          <w:rFonts w:cs="Arial Unicode MS" w:eastAsia="Arial Unicode MS"/>
          <w:rtl w:val="0"/>
          <w:lang w:val="en-US"/>
        </w:rPr>
        <w:t xml:space="preserve"> Neighborhood Group</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Out </w:t>
      </w:r>
      <w:r>
        <w:rPr>
          <w:rFonts w:cs="Arial Unicode MS" w:eastAsia="Arial Unicode MS"/>
          <w:i w:val="1"/>
          <w:iCs w:val="1"/>
          <w:rtl w:val="0"/>
          <w:lang w:val="en-US"/>
        </w:rPr>
        <w:t>O</w:t>
      </w:r>
      <w:r>
        <w:rPr>
          <w:rFonts w:cs="Arial Unicode MS" w:eastAsia="Arial Unicode MS"/>
          <w:i w:val="1"/>
          <w:iCs w:val="1"/>
          <w:rtl w:val="0"/>
          <w:lang w:val="en-US"/>
        </w:rPr>
        <w:t xml:space="preserve">f </w:t>
      </w:r>
      <w:r>
        <w:rPr>
          <w:rFonts w:cs="Arial Unicode MS" w:eastAsia="Arial Unicode MS"/>
          <w:i w:val="1"/>
          <w:iCs w:val="1"/>
          <w:rtl w:val="0"/>
          <w:lang w:val="en-US"/>
        </w:rPr>
        <w:t>T</w:t>
      </w:r>
      <w:r>
        <w:rPr>
          <w:rFonts w:cs="Arial Unicode MS" w:eastAsia="Arial Unicode MS"/>
          <w:i w:val="1"/>
          <w:iCs w:val="1"/>
          <w:rtl w:val="0"/>
          <w:lang w:val="en-US"/>
        </w:rPr>
        <w:t xml:space="preserve">he Ordinary: Folklore </w:t>
      </w:r>
      <w:r>
        <w:rPr>
          <w:rFonts w:cs="Arial Unicode MS" w:eastAsia="Arial Unicode MS"/>
          <w:i w:val="1"/>
          <w:iCs w:val="1"/>
          <w:rtl w:val="0"/>
          <w:lang w:val="en-US"/>
        </w:rPr>
        <w:t>A</w:t>
      </w:r>
      <w:r>
        <w:rPr>
          <w:rFonts w:cs="Arial Unicode MS" w:eastAsia="Arial Unicode MS"/>
          <w:i w:val="1"/>
          <w:iCs w:val="1"/>
          <w:rtl w:val="0"/>
          <w:lang w:val="en-US"/>
        </w:rPr>
        <w:t xml:space="preserve">nd </w:t>
      </w:r>
      <w:r>
        <w:rPr>
          <w:rFonts w:cs="Arial Unicode MS" w:eastAsia="Arial Unicode MS"/>
          <w:i w:val="1"/>
          <w:iCs w:val="1"/>
          <w:rtl w:val="0"/>
          <w:lang w:val="en-US"/>
        </w:rPr>
        <w:t>T</w:t>
      </w:r>
      <w:r>
        <w:rPr>
          <w:rFonts w:cs="Arial Unicode MS" w:eastAsia="Arial Unicode MS"/>
          <w:i w:val="1"/>
          <w:iCs w:val="1"/>
          <w:rtl w:val="0"/>
          <w:lang w:val="en-US"/>
        </w:rPr>
        <w:t>he Supernatural</w:t>
      </w:r>
      <w:r>
        <w:rPr>
          <w:rFonts w:cs="Arial Unicode MS" w:eastAsia="Arial Unicode MS"/>
          <w:rtl w:val="0"/>
          <w:lang w:val="it-IT"/>
        </w:rPr>
        <w:t>, ed</w:t>
      </w:r>
      <w:r>
        <w:rPr>
          <w:rFonts w:cs="Arial Unicode MS" w:eastAsia="Arial Unicode MS"/>
          <w:rtl w:val="0"/>
          <w:lang w:val="en-US"/>
        </w:rPr>
        <w:t>n.</w:t>
      </w:r>
      <w:r>
        <w:rPr>
          <w:rFonts w:cs="Arial Unicode MS" w:eastAsia="Arial Unicode MS"/>
          <w:rtl w:val="0"/>
          <w:lang w:val="en-US"/>
        </w:rPr>
        <w:t xml:space="preserve"> Barbara Walker</w:t>
      </w:r>
      <w:r>
        <w:rPr>
          <w:rFonts w:cs="Arial Unicode MS" w:eastAsia="Arial Unicode MS"/>
          <w:rtl w:val="0"/>
          <w:lang w:val="en-US"/>
        </w:rPr>
        <w:t xml:space="preserve"> (</w:t>
      </w:r>
      <w:r>
        <w:rPr>
          <w:rFonts w:cs="Arial Unicode MS" w:eastAsia="Arial Unicode MS"/>
          <w:rtl w:val="0"/>
          <w:lang w:val="en-US"/>
        </w:rPr>
        <w:t>Logan, Utah: Utah University Press</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1995),</w:t>
      </w:r>
      <w:r>
        <w:rPr>
          <w:rFonts w:cs="Arial Unicode MS" w:eastAsia="Arial Unicode MS"/>
          <w:rtl w:val="0"/>
        </w:rPr>
        <w:t xml:space="preserve"> 122-142</w:t>
      </w:r>
      <w:r>
        <w:rPr>
          <w:rFonts w:cs="Arial Unicode MS" w:eastAsia="Arial Unicode MS"/>
          <w:rtl w:val="0"/>
          <w:lang w:val="en-US"/>
        </w:rPr>
        <w:t>, &lt;</w:t>
      </w:r>
      <w:r>
        <w:rPr>
          <w:rFonts w:cs="Arial Unicode MS" w:eastAsia="Arial Unicode MS"/>
          <w:rtl w:val="0"/>
        </w:rPr>
        <w:t>doi.org/10.2307/j.ctt46nwn8</w:t>
      </w:r>
      <w:r>
        <w:rPr>
          <w:rFonts w:cs="Arial Unicode MS" w:eastAsia="Arial Unicode MS"/>
          <w:rtl w:val="0"/>
          <w:lang w:val="en-US"/>
        </w:rPr>
        <w:t>&gt;.</w:t>
      </w:r>
    </w:p>
    <w:p>
      <w:pPr>
        <w:pStyle w:val="Body"/>
        <w:spacing w:before="0"/>
      </w:pPr>
      <w:r>
        <w:rPr>
          <w:rFonts w:ascii="Palatino" w:hAnsi="Palatino"/>
          <w:sz w:val="18"/>
          <w:szCs w:val="18"/>
          <w:rtl w:val="0"/>
          <w:lang w:val="en-US"/>
        </w:rPr>
        <w:t xml:space="preserve">   Jenny </w:t>
      </w:r>
      <w:r>
        <w:rPr>
          <w:rFonts w:ascii="Palatino" w:hAnsi="Palatino"/>
          <w:sz w:val="18"/>
          <w:szCs w:val="18"/>
          <w:rtl w:val="0"/>
        </w:rPr>
        <w:t>Blain</w:t>
      </w:r>
      <w:r>
        <w:rPr>
          <w:rFonts w:ascii="Palatino" w:hAnsi="Palatino"/>
          <w:sz w:val="18"/>
          <w:szCs w:val="18"/>
          <w:rtl w:val="0"/>
          <w:lang w:val="en-US"/>
        </w:rPr>
        <w:t xml:space="preserve">, </w:t>
      </w:r>
      <w:r>
        <w:rPr>
          <w:rFonts w:ascii="Palatino" w:hAnsi="Palatino" w:hint="default"/>
          <w:sz w:val="18"/>
          <w:szCs w:val="18"/>
          <w:rtl w:val="0"/>
          <w:lang w:val="en-US"/>
        </w:rPr>
        <w:t>‘</w:t>
      </w:r>
      <w:r>
        <w:rPr>
          <w:rFonts w:ascii="Palatino" w:hAnsi="Palatino"/>
          <w:sz w:val="18"/>
          <w:szCs w:val="18"/>
          <w:rtl w:val="0"/>
          <w:lang w:val="en-US"/>
        </w:rPr>
        <w:t>Speaking Shamanistically: Seidr, Academia and Rationality</w:t>
      </w:r>
      <w:r>
        <w:rPr>
          <w:rFonts w:ascii="Palatino" w:hAnsi="Palatino" w:hint="default"/>
          <w:sz w:val="18"/>
          <w:szCs w:val="18"/>
          <w:rtl w:val="0"/>
          <w:lang w:val="en-US"/>
        </w:rPr>
        <w:t>’</w:t>
      </w:r>
      <w:r>
        <w:rPr>
          <w:rFonts w:ascii="Palatino" w:hAnsi="Palatino"/>
          <w:sz w:val="18"/>
          <w:szCs w:val="18"/>
          <w:rtl w:val="0"/>
          <w:lang w:val="en-US"/>
        </w:rPr>
        <w:t>,</w:t>
      </w:r>
      <w:r>
        <w:rPr>
          <w:rFonts w:ascii="Palatino" w:hAnsi="Palatino"/>
          <w:sz w:val="18"/>
          <w:szCs w:val="18"/>
          <w:rtl w:val="0"/>
        </w:rPr>
        <w:t xml:space="preserve"> </w:t>
      </w:r>
      <w:r>
        <w:rPr>
          <w:rFonts w:ascii="Palatino" w:hAnsi="Palatino"/>
          <w:i w:val="1"/>
          <w:iCs w:val="1"/>
          <w:sz w:val="18"/>
          <w:szCs w:val="18"/>
          <w:rtl w:val="0"/>
        </w:rPr>
        <w:t>DISKUS</w:t>
      </w:r>
      <w:r>
        <w:rPr>
          <w:rFonts w:ascii="Palatino" w:hAnsi="Palatino"/>
          <w:sz w:val="18"/>
          <w:szCs w:val="18"/>
          <w:rtl w:val="0"/>
        </w:rPr>
        <w:t xml:space="preserve"> Volume 6 (2000)</w:t>
      </w:r>
      <w:r>
        <w:rPr>
          <w:rFonts w:ascii="Palatino" w:hAnsi="Palatino"/>
          <w:sz w:val="18"/>
          <w:szCs w:val="18"/>
          <w:rtl w:val="0"/>
          <w:lang w:val="en-US"/>
        </w:rPr>
        <w:t>, &lt;</w:t>
      </w:r>
      <w:r>
        <w:rPr>
          <w:rFonts w:ascii="Palatino" w:hAnsi="Palatino"/>
          <w:sz w:val="18"/>
          <w:szCs w:val="18"/>
          <w:rtl w:val="0"/>
          <w:lang w:val="de-DE"/>
        </w:rPr>
        <w:t xml:space="preserve"> www.uni-marburg.de/fb03/religionswissenschaft/journal/diskus</w:t>
      </w:r>
      <w:r>
        <w:rPr>
          <w:rFonts w:ascii="Palatino" w:hAnsi="Palatino"/>
          <w:sz w:val="18"/>
          <w:szCs w:val="18"/>
          <w:rtl w:val="0"/>
          <w:lang w:val="en-US"/>
        </w:rPr>
        <w:t>&gt; {assessed 16th March 2021}.</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Kim Etherington, </w:t>
      </w:r>
      <w:r>
        <w:rPr>
          <w:rFonts w:cs="Arial Unicode MS" w:eastAsia="Arial Unicode MS"/>
          <w:i w:val="1"/>
          <w:iCs w:val="1"/>
          <w:rtl w:val="0"/>
          <w:lang w:val="en-US"/>
        </w:rPr>
        <w:t>Becoming A Reflexive Researcher</w:t>
      </w:r>
      <w:r>
        <w:rPr>
          <w:rFonts w:cs="Arial Unicode MS" w:eastAsia="Arial Unicode MS"/>
          <w:rtl w:val="0"/>
          <w:lang w:val="en-US"/>
        </w:rPr>
        <w:t xml:space="preserve"> (London: Jessica Kingsley Publishers, 2004).</w:t>
      </w:r>
    </w:p>
    <w:p>
      <w:pPr>
        <w:pStyle w:val="Footnote"/>
        <w:bidi w:val="0"/>
      </w:pPr>
      <w:r>
        <w:rPr>
          <w:rFonts w:cs="Arial Unicode MS" w:eastAsia="Arial Unicode MS"/>
          <w:rtl w:val="0"/>
          <w:lang w:val="en-US"/>
        </w:rPr>
        <w:t xml:space="preserve">   Judith Bell and Stephen Waters, </w:t>
      </w:r>
      <w:r>
        <w:rPr>
          <w:rFonts w:cs="Arial Unicode MS" w:eastAsia="Arial Unicode MS"/>
          <w:i w:val="1"/>
          <w:iCs w:val="1"/>
          <w:rtl w:val="0"/>
          <w:lang w:val="en-US"/>
        </w:rPr>
        <w:t>Doing Your Research Project</w:t>
      </w:r>
      <w:r>
        <w:rPr>
          <w:rFonts w:cs="Arial Unicode MS" w:eastAsia="Arial Unicode MS"/>
          <w:rtl w:val="0"/>
          <w:lang w:val="en-US"/>
        </w:rPr>
        <w:t>, 7</w:t>
      </w:r>
      <w:r>
        <w:rPr>
          <w:rFonts w:cs="Arial Unicode MS" w:eastAsia="Arial Unicode MS"/>
          <w:vertAlign w:val="superscript"/>
          <w:rtl w:val="0"/>
          <w:lang w:val="en-US"/>
        </w:rPr>
        <w:t>th</w:t>
      </w:r>
      <w:r>
        <w:rPr>
          <w:rFonts w:cs="Arial Unicode MS" w:eastAsia="Arial Unicode MS"/>
          <w:rtl w:val="0"/>
          <w:lang w:val="en-US"/>
        </w:rPr>
        <w:t xml:space="preserve"> edn. (London: Open University Press, McGraw-Hill Education, 2018).</w:t>
      </w:r>
    </w:p>
    <w:p>
      <w:pPr>
        <w:pStyle w:val="Footnote"/>
        <w:bidi w:val="0"/>
      </w:pPr>
      <w:r>
        <w:rPr>
          <w:rFonts w:cs="Arial Unicode MS" w:eastAsia="Arial Unicode MS"/>
          <w:rtl w:val="0"/>
          <w:lang w:val="en-US"/>
        </w:rPr>
        <w:t xml:space="preserve">   Sonya Corbin Dwyer and Jennifer L. Buckle, </w:t>
      </w:r>
      <w:r>
        <w:rPr>
          <w:rFonts w:cs="Arial Unicode MS" w:eastAsia="Arial Unicode MS" w:hint="default"/>
          <w:rtl w:val="0"/>
          <w:lang w:val="en-US"/>
        </w:rPr>
        <w:t>‘</w:t>
      </w:r>
      <w:r>
        <w:rPr>
          <w:rFonts w:cs="Arial Unicode MS" w:eastAsia="Arial Unicode MS"/>
          <w:rtl w:val="0"/>
          <w:lang w:val="en-US"/>
        </w:rPr>
        <w:t>The Space Between: On Being An Insider-Outsider In Qualitative Research</w:t>
      </w:r>
      <w:r>
        <w:rPr>
          <w:rFonts w:cs="Arial Unicode MS" w:eastAsia="Arial Unicode MS" w:hint="default"/>
          <w:rtl w:val="0"/>
          <w:lang w:val="en-US"/>
        </w:rPr>
        <w:t xml:space="preserve">’ </w:t>
      </w:r>
      <w:r>
        <w:rPr>
          <w:rFonts w:cs="Arial Unicode MS" w:eastAsia="Arial Unicode MS"/>
          <w:i w:val="1"/>
          <w:iCs w:val="1"/>
          <w:rtl w:val="0"/>
          <w:lang w:val="en-US"/>
        </w:rPr>
        <w:t>International Journal of Qualitative Methods</w:t>
      </w:r>
      <w:r>
        <w:rPr>
          <w:rFonts w:cs="Arial Unicode MS" w:eastAsia="Arial Unicode MS"/>
          <w:rtl w:val="0"/>
          <w:lang w:val="en-US"/>
        </w:rPr>
        <w:t xml:space="preserve"> 8(1) (2009), 54-63, &lt;DOI: </w:t>
      </w:r>
      <w:r>
        <w:rPr>
          <w:rFonts w:cs="Arial Unicode MS" w:eastAsia="Arial Unicode MS"/>
          <w:rtl w:val="0"/>
        </w:rPr>
        <w:t>org/10.1177/160940690900800105</w:t>
      </w:r>
      <w:r>
        <w:rPr>
          <w:rFonts w:cs="Arial Unicode MS" w:eastAsia="Arial Unicode MS"/>
          <w:rtl w:val="0"/>
          <w:lang w:val="en-US"/>
        </w:rPr>
        <w:t>&gt;.</w:t>
      </w:r>
    </w:p>
    <w:p>
      <w:pPr>
        <w:pStyle w:val="Footnote"/>
        <w:bidi w:val="0"/>
      </w:pPr>
      <w:r>
        <w:rPr>
          <w:rFonts w:cs="Arial Unicode MS" w:eastAsia="Arial Unicode MS"/>
          <w:rtl w:val="0"/>
          <w:lang w:val="en-US"/>
        </w:rPr>
        <w:t xml:space="preserve">   Monique Hennick, Inge Hutter and Ajay Bailey, </w:t>
      </w:r>
      <w:r>
        <w:rPr>
          <w:rFonts w:cs="Arial Unicode MS" w:eastAsia="Arial Unicode MS"/>
          <w:i w:val="1"/>
          <w:iCs w:val="1"/>
          <w:rtl w:val="0"/>
          <w:lang w:val="en-US"/>
        </w:rPr>
        <w:t>Qualitative Research Methods</w:t>
      </w:r>
      <w:r>
        <w:rPr>
          <w:rFonts w:cs="Arial Unicode MS" w:eastAsia="Arial Unicode MS"/>
          <w:rtl w:val="0"/>
          <w:lang w:val="en-US"/>
        </w:rPr>
        <w:t>, 2</w:t>
      </w:r>
      <w:r>
        <w:rPr>
          <w:rFonts w:cs="Arial Unicode MS" w:eastAsia="Arial Unicode MS"/>
          <w:vertAlign w:val="superscript"/>
          <w:rtl w:val="0"/>
          <w:lang w:val="en-US"/>
        </w:rPr>
        <w:t>nd</w:t>
      </w:r>
      <w:r>
        <w:rPr>
          <w:rFonts w:cs="Arial Unicode MS" w:eastAsia="Arial Unicode MS"/>
          <w:rtl w:val="0"/>
          <w:lang w:val="en-US"/>
        </w:rPr>
        <w:t xml:space="preserve"> edn. (London: Sage, 2020).</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Gillian Bennett, </w:t>
      </w:r>
      <w:r>
        <w:rPr>
          <w:rFonts w:cs="Arial Unicode MS" w:eastAsia="Arial Unicode MS"/>
          <w:i w:val="1"/>
          <w:iCs w:val="1"/>
          <w:rtl w:val="0"/>
          <w:lang w:val="en-US"/>
        </w:rPr>
        <w:t>If I knew.</w:t>
      </w:r>
    </w:p>
  </w:footnote>
  <w:footnote w:id="4">
    <w:p>
      <w:pPr>
        <w:pStyle w:val="Footnote"/>
        <w:bidi w:val="0"/>
      </w:pPr>
      <w:r>
        <w:rPr>
          <w:vertAlign w:val="superscript"/>
        </w:rPr>
        <w:footnoteRef/>
      </w:r>
      <w:r>
        <w:rPr>
          <w:rFonts w:cs="Arial Unicode MS" w:eastAsia="Arial Unicode MS"/>
          <w:rtl w:val="0"/>
          <w:lang w:val="en-US"/>
        </w:rPr>
        <w:t xml:space="preserve"> contemporarylegend.org: The Website for the International Society for Contemporary Legend Research, </w:t>
      </w:r>
      <w:r>
        <w:rPr>
          <w:rFonts w:cs="Arial Unicode MS" w:eastAsia="Arial Unicode MS"/>
          <w:i w:val="1"/>
          <w:iCs w:val="1"/>
          <w:rtl w:val="0"/>
          <w:lang w:val="en-US"/>
        </w:rPr>
        <w:t>2015 Recipient Of The Linda Degh Lifetime Achievement Award</w:t>
      </w:r>
      <w:r>
        <w:rPr>
          <w:rFonts w:cs="Arial Unicode MS" w:eastAsia="Arial Unicode MS"/>
          <w:rtl w:val="0"/>
          <w:lang w:val="en-US"/>
        </w:rPr>
        <w:t>, &lt;www.contemporarylegend.org/prizes-and-awards/linda-degh-lifetime-achievement-award/dr-gillian-bennett&gt; {assessed 18th March 2021)</w:t>
      </w:r>
      <w:r>
        <w:rPr>
          <w:rFonts w:cs="Arial Unicode MS" w:eastAsia="Arial Unicode MS"/>
          <w:rtl w:val="0"/>
          <w:lang w:val="en-US"/>
        </w:rPr>
        <w:t>.</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Jenny </w:t>
      </w:r>
      <w:r>
        <w:rPr>
          <w:rFonts w:cs="Arial Unicode MS" w:eastAsia="Arial Unicode MS"/>
          <w:rtl w:val="0"/>
        </w:rPr>
        <w:t>Blain</w:t>
      </w:r>
      <w:r>
        <w:rPr>
          <w:rFonts w:cs="Arial Unicode MS" w:eastAsia="Arial Unicode MS"/>
          <w:rtl w:val="0"/>
          <w:lang w:val="en-US"/>
        </w:rPr>
        <w:t xml:space="preserve">, </w:t>
      </w:r>
      <w:r>
        <w:rPr>
          <w:rFonts w:cs="Arial Unicode MS" w:eastAsia="Arial Unicode MS"/>
          <w:i w:val="1"/>
          <w:iCs w:val="1"/>
          <w:rtl w:val="0"/>
          <w:lang w:val="en-US"/>
        </w:rPr>
        <w:t>Speaking Shamanistically</w:t>
      </w:r>
      <w:r>
        <w:rPr>
          <w:rFonts w:cs="Arial Unicode MS" w:eastAsia="Arial Unicode MS"/>
          <w:i w:val="1"/>
          <w:iCs w:val="1"/>
          <w:rtl w:val="0"/>
          <w:lang w:val="en-US"/>
        </w:rPr>
        <w:t>.</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Jenny Blain, LinkedIn Profile, &lt;www.</w:t>
      </w:r>
      <w:r>
        <w:rPr>
          <w:rFonts w:cs="Arial Unicode MS" w:eastAsia="Arial Unicode MS"/>
          <w:rtl w:val="0"/>
        </w:rPr>
        <w:t>uk.linkedin.com/in/jenny-blain-9b508337</w:t>
      </w:r>
      <w:r>
        <w:rPr>
          <w:rFonts w:cs="Arial Unicode MS" w:eastAsia="Arial Unicode MS"/>
          <w:rtl w:val="0"/>
          <w:lang w:val="en-US"/>
        </w:rPr>
        <w:t>&gt; [assessed 18th March 2021).</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Gillian Bennett, </w:t>
      </w:r>
      <w:r>
        <w:rPr>
          <w:rFonts w:cs="Arial Unicode MS" w:eastAsia="Arial Unicode MS"/>
          <w:i w:val="1"/>
          <w:iCs w:val="1"/>
          <w:rtl w:val="0"/>
          <w:lang w:val="en-US"/>
        </w:rPr>
        <w:t>If I Knew</w:t>
      </w:r>
      <w:r>
        <w:rPr>
          <w:rFonts w:cs="Arial Unicode MS" w:eastAsia="Arial Unicode MS"/>
          <w:rtl w:val="0"/>
          <w:lang w:val="en-US"/>
        </w:rPr>
        <w:t>, p. 122-126.</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Gillian Bennett, </w:t>
      </w:r>
      <w:r>
        <w:rPr>
          <w:rFonts w:cs="Arial Unicode MS" w:eastAsia="Arial Unicode MS"/>
          <w:i w:val="1"/>
          <w:iCs w:val="1"/>
          <w:rtl w:val="0"/>
          <w:lang w:val="en-US"/>
        </w:rPr>
        <w:t>If I Knew</w:t>
      </w:r>
      <w:r>
        <w:rPr>
          <w:rFonts w:cs="Arial Unicode MS" w:eastAsia="Arial Unicode MS"/>
          <w:rtl w:val="0"/>
          <w:lang w:val="en-US"/>
        </w:rPr>
        <w:t>, p. 141.</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Jenny </w:t>
      </w:r>
      <w:r>
        <w:rPr>
          <w:rFonts w:cs="Arial Unicode MS" w:eastAsia="Arial Unicode MS"/>
          <w:rtl w:val="0"/>
        </w:rPr>
        <w:t>Blain</w:t>
      </w:r>
      <w:r>
        <w:rPr>
          <w:rFonts w:cs="Arial Unicode MS" w:eastAsia="Arial Unicode MS"/>
          <w:rtl w:val="0"/>
          <w:lang w:val="en-US"/>
        </w:rPr>
        <w:t xml:space="preserve">, </w:t>
      </w:r>
      <w:r>
        <w:rPr>
          <w:rFonts w:cs="Arial Unicode MS" w:eastAsia="Arial Unicode MS"/>
          <w:i w:val="1"/>
          <w:iCs w:val="1"/>
          <w:rtl w:val="0"/>
          <w:lang w:val="en-US"/>
        </w:rPr>
        <w:t>Speaking Shamanistically</w:t>
      </w:r>
      <w:r>
        <w:rPr>
          <w:rFonts w:cs="Arial Unicode MS" w:eastAsia="Arial Unicode MS"/>
          <w:rtl w:val="0"/>
          <w:lang w:val="en-US"/>
        </w:rPr>
        <w:t>, p. 7.</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Etherington, </w:t>
      </w:r>
      <w:r>
        <w:rPr>
          <w:rFonts w:cs="Arial Unicode MS" w:eastAsia="Arial Unicode MS"/>
          <w:i w:val="1"/>
          <w:iCs w:val="1"/>
          <w:rtl w:val="0"/>
          <w:lang w:val="en-US"/>
        </w:rPr>
        <w:t>Becoming A Reflexive Researcher</w:t>
      </w:r>
      <w:r>
        <w:rPr>
          <w:rFonts w:cs="Arial Unicode MS" w:eastAsia="Arial Unicode MS"/>
          <w:rtl w:val="0"/>
          <w:lang w:val="en-US"/>
        </w:rPr>
        <w:t>, p. 25.</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Corbin Dwyer and Buckle, </w:t>
      </w:r>
      <w:r>
        <w:rPr>
          <w:rFonts w:cs="Arial Unicode MS" w:eastAsia="Arial Unicode MS"/>
          <w:i w:val="1"/>
          <w:iCs w:val="1"/>
          <w:rtl w:val="0"/>
          <w:lang w:val="en-US"/>
        </w:rPr>
        <w:t>The Space Between</w:t>
      </w:r>
      <w:r>
        <w:rPr>
          <w:rFonts w:cs="Arial Unicode MS" w:eastAsia="Arial Unicode MS"/>
          <w:rtl w:val="0"/>
          <w:lang w:val="en-US"/>
        </w:rPr>
        <w:t>.</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Bell and Waters, </w:t>
      </w:r>
      <w:r>
        <w:rPr>
          <w:rFonts w:cs="Arial Unicode MS" w:eastAsia="Arial Unicode MS"/>
          <w:i w:val="1"/>
          <w:iCs w:val="1"/>
          <w:rtl w:val="0"/>
          <w:lang w:val="en-US"/>
        </w:rPr>
        <w:t>Doing Your Research Project</w:t>
      </w:r>
      <w:r>
        <w:rPr>
          <w:rFonts w:cs="Arial Unicode MS" w:eastAsia="Arial Unicode MS"/>
          <w:rtl w:val="0"/>
          <w:lang w:val="en-US"/>
        </w:rPr>
        <w:t>, p. 289-294.</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Randall Sexton and Ellen Anne Buljo Stabbursvik, </w:t>
      </w:r>
      <w:r>
        <w:rPr>
          <w:rFonts w:cs="Arial Unicode MS" w:eastAsia="Arial Unicode MS" w:hint="default"/>
          <w:rtl w:val="0"/>
          <w:lang w:val="en-US"/>
        </w:rPr>
        <w:t>‘</w:t>
      </w:r>
      <w:r>
        <w:rPr>
          <w:rFonts w:cs="Arial Unicode MS" w:eastAsia="Arial Unicode MS"/>
          <w:rtl w:val="0"/>
          <w:lang w:val="en-US"/>
        </w:rPr>
        <w:t>Healing In The Sami North</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Culture, Medicine and Psychiatry</w:t>
      </w:r>
      <w:r>
        <w:rPr>
          <w:rFonts w:cs="Arial Unicode MS" w:eastAsia="Arial Unicode MS"/>
          <w:rtl w:val="0"/>
          <w:lang w:val="en-US"/>
        </w:rPr>
        <w:t xml:space="preserve"> 34(4) (2010), 571-589, &lt;doi: 10.1007/s11013-010-9191-x&gt;.</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Hennick et.al., </w:t>
      </w:r>
      <w:r>
        <w:rPr>
          <w:rFonts w:cs="Arial Unicode MS" w:eastAsia="Arial Unicode MS"/>
          <w:i w:val="1"/>
          <w:iCs w:val="1"/>
          <w:rtl w:val="0"/>
          <w:lang w:val="en-US"/>
        </w:rPr>
        <w:t>Qualitative Research Methods</w:t>
      </w:r>
      <w:r>
        <w:rPr>
          <w:rFonts w:cs="Arial Unicode MS" w:eastAsia="Arial Unicode MS"/>
          <w:rtl w:val="0"/>
          <w:lang w:val="en-US"/>
        </w:rPr>
        <w:t>.</w:t>
      </w:r>
    </w:p>
    <w:p>
      <w:pPr>
        <w:pStyle w:val="Footnote"/>
        <w:bidi w:val="0"/>
      </w:pPr>
      <w:r>
        <w:rPr>
          <w:rFonts w:cs="Arial Unicode MS" w:eastAsia="Arial Unicode MS"/>
          <w:rtl w:val="0"/>
          <w:lang w:val="en-US"/>
        </w:rPr>
        <w:t xml:space="preserve">   Etherington, </w:t>
      </w:r>
      <w:r>
        <w:rPr>
          <w:rFonts w:cs="Arial Unicode MS" w:eastAsia="Arial Unicode MS"/>
          <w:i w:val="1"/>
          <w:iCs w:val="1"/>
          <w:rtl w:val="0"/>
          <w:lang w:val="en-US"/>
        </w:rPr>
        <w:t>Becoming A Reflexive Researcher</w:t>
      </w:r>
      <w:r>
        <w:rPr>
          <w:rFonts w:cs="Arial Unicode MS" w:eastAsia="Arial Unicode MS"/>
          <w:rtl w:val="0"/>
          <w:lang w:val="en-US"/>
        </w:rPr>
        <w:t>.</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Etherington, </w:t>
      </w:r>
      <w:r>
        <w:rPr>
          <w:rFonts w:cs="Arial Unicode MS" w:eastAsia="Arial Unicode MS"/>
          <w:i w:val="1"/>
          <w:iCs w:val="1"/>
          <w:rtl w:val="0"/>
          <w:lang w:val="en-US"/>
        </w:rPr>
        <w:t>Becoming A Reflexive Researcher</w:t>
      </w:r>
      <w:r>
        <w:rPr>
          <w:rFonts w:cs="Arial Unicode MS" w:eastAsia="Arial Unicode MS"/>
          <w:rtl w:val="0"/>
          <w:lang w:val="en-US"/>
        </w:rPr>
        <w:t>, p. 32.</w:t>
      </w:r>
    </w:p>
  </w:footnote>
  <w:footnote w:id="16">
    <w:p>
      <w:pPr>
        <w:pStyle w:val="Footnote"/>
        <w:bidi w:val="0"/>
      </w:pPr>
      <w:r>
        <w:rPr>
          <w:vertAlign w:val="superscript"/>
        </w:rPr>
        <w:footnoteRef/>
      </w:r>
      <w:r>
        <w:rPr>
          <w:rFonts w:cs="Arial Unicode MS" w:eastAsia="Arial Unicode MS"/>
          <w:rtl w:val="0"/>
          <w:lang w:val="da-DK"/>
        </w:rPr>
        <w:t xml:space="preserve"> Sarah Wall</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rPr>
        <w:t xml:space="preserve">Easier Said </w:t>
      </w:r>
      <w:r>
        <w:rPr>
          <w:rFonts w:cs="Arial Unicode MS" w:eastAsia="Arial Unicode MS"/>
          <w:rtl w:val="0"/>
          <w:lang w:val="en-US"/>
        </w:rPr>
        <w:t>T</w:t>
      </w:r>
      <w:r>
        <w:rPr>
          <w:rFonts w:cs="Arial Unicode MS" w:eastAsia="Arial Unicode MS"/>
          <w:rtl w:val="0"/>
          <w:lang w:val="en-US"/>
        </w:rPr>
        <w:t xml:space="preserve">han Done: Writing </w:t>
      </w:r>
      <w:r>
        <w:rPr>
          <w:rFonts w:cs="Arial Unicode MS" w:eastAsia="Arial Unicode MS"/>
          <w:rtl w:val="0"/>
          <w:lang w:val="en-US"/>
        </w:rPr>
        <w:t>A</w:t>
      </w:r>
      <w:r>
        <w:rPr>
          <w:rFonts w:cs="Arial Unicode MS" w:eastAsia="Arial Unicode MS"/>
          <w:rtl w:val="0"/>
          <w:lang w:val="de-DE"/>
        </w:rPr>
        <w:t>n Autoethnography</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International Journal of Qualitative Methods </w:t>
      </w:r>
      <w:r>
        <w:rPr>
          <w:rFonts w:cs="Arial Unicode MS" w:eastAsia="Arial Unicode MS"/>
          <w:rtl w:val="0"/>
        </w:rPr>
        <w:t xml:space="preserve">7(1) </w:t>
      </w:r>
      <w:r>
        <w:rPr>
          <w:rFonts w:cs="Arial Unicode MS" w:eastAsia="Arial Unicode MS"/>
          <w:rtl w:val="0"/>
          <w:lang w:val="en-US"/>
        </w:rPr>
        <w:t>(2008), 38-53, &lt;</w:t>
      </w:r>
      <w:r>
        <w:rPr>
          <w:rFonts w:cs="Arial Unicode MS" w:eastAsia="Arial Unicode MS"/>
          <w:rtl w:val="0"/>
        </w:rPr>
        <w:t>do</w:t>
      </w:r>
      <w:r>
        <w:rPr>
          <w:rFonts w:cs="Arial Unicode MS" w:eastAsia="Arial Unicode MS"/>
          <w:rtl w:val="0"/>
          <w:lang w:val="en-US"/>
        </w:rPr>
        <w:t xml:space="preserve">i: </w:t>
      </w:r>
      <w:r>
        <w:rPr>
          <w:rFonts w:cs="Arial Unicode MS" w:eastAsia="Arial Unicode MS"/>
          <w:rtl w:val="0"/>
        </w:rPr>
        <w:t>pdf/10.1177/160940690800700103</w:t>
      </w:r>
      <w:r>
        <w:rPr>
          <w:rFonts w:cs="Arial Unicode MS" w:eastAsia="Arial Unicode MS"/>
          <w:rtl w:val="0"/>
          <w:lang w:val="en-US"/>
        </w:rPr>
        <w:t>&gt;.</w:t>
      </w:r>
    </w:p>
  </w:footnote>
  <w:footnote w:id="17">
    <w:p>
      <w:pPr>
        <w:pStyle w:val="Footnote"/>
        <w:bidi w:val="0"/>
      </w:pPr>
      <w:r>
        <w:rPr>
          <w:vertAlign w:val="superscript"/>
        </w:rPr>
        <w:footnoteRef/>
      </w:r>
      <w:r>
        <w:rPr>
          <w:rFonts w:cs="Arial Unicode MS" w:eastAsia="Arial Unicode MS"/>
          <w:rtl w:val="0"/>
          <w:lang w:val="en-US"/>
        </w:rPr>
        <w:t xml:space="preserve"> Sexton and Stabbursvik, </w:t>
      </w:r>
      <w:r>
        <w:rPr>
          <w:rFonts w:cs="Arial Unicode MS" w:eastAsia="Arial Unicode MS"/>
          <w:i w:val="1"/>
          <w:iCs w:val="1"/>
          <w:rtl w:val="0"/>
          <w:lang w:val="en-US"/>
        </w:rPr>
        <w:t>Healing In The Sami North</w:t>
      </w:r>
      <w:r>
        <w:rPr>
          <w:rFonts w:cs="Arial Unicode MS" w:eastAsia="Arial Unicode MS"/>
          <w:rtl w:val="0"/>
          <w:lang w:val="en-US"/>
        </w:rPr>
        <w:t>.</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Francis Joy, </w:t>
      </w:r>
      <w:r>
        <w:rPr>
          <w:rFonts w:cs="Arial Unicode MS" w:eastAsia="Arial Unicode MS" w:hint="default"/>
          <w:rtl w:val="0"/>
          <w:lang w:val="en-US"/>
        </w:rPr>
        <w:t>‘</w:t>
      </w:r>
      <w:r>
        <w:rPr>
          <w:rFonts w:cs="Arial Unicode MS" w:eastAsia="Arial Unicode MS"/>
          <w:rtl w:val="0"/>
          <w:lang w:val="en-US"/>
        </w:rPr>
        <w:t>The Importance Of The Sun Symbol In The Restoration Of Sami Spiritual Traditions And Healing Practice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Religions</w:t>
      </w:r>
      <w:r>
        <w:rPr>
          <w:rFonts w:cs="Arial Unicode MS" w:eastAsia="Arial Unicode MS"/>
          <w:rtl w:val="0"/>
          <w:lang w:val="en-US"/>
        </w:rPr>
        <w:t xml:space="preserve"> 11(6) (2020), 1-22, &lt;doi: org/10.3390/rel11060270&gt;.</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Bennett, </w:t>
      </w:r>
      <w:r>
        <w:rPr>
          <w:rFonts w:cs="Arial Unicode MS" w:eastAsia="Arial Unicode MS"/>
          <w:i w:val="1"/>
          <w:iCs w:val="1"/>
          <w:rtl w:val="0"/>
          <w:lang w:val="en-US"/>
        </w:rPr>
        <w:t>If I Knew</w:t>
      </w:r>
      <w:r>
        <w:rPr>
          <w:rFonts w:cs="Arial Unicode MS" w:eastAsia="Arial Unicode MS"/>
          <w:rtl w:val="0"/>
          <w:lang w:val="en-US"/>
        </w:rPr>
        <w:t>, p. 126.</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Line Melb</w:t>
      </w:r>
      <w:r>
        <w:rPr>
          <w:rFonts w:cs="Arial Unicode MS" w:eastAsia="Arial Unicode MS" w:hint="default"/>
          <w:rtl w:val="0"/>
          <w:lang w:val="da-DK"/>
        </w:rPr>
        <w:t>ø</w:t>
      </w:r>
      <w:r>
        <w:rPr>
          <w:rFonts w:cs="Arial Unicode MS" w:eastAsia="Arial Unicode MS"/>
          <w:rtl w:val="0"/>
          <w:lang w:val="da-DK"/>
        </w:rPr>
        <w:t>e, Ketil Lenert Hansen, Bj</w:t>
      </w:r>
      <w:r>
        <w:rPr>
          <w:rFonts w:cs="Arial Unicode MS" w:eastAsia="Arial Unicode MS" w:hint="default"/>
          <w:rtl w:val="0"/>
          <w:lang w:val="da-DK"/>
        </w:rPr>
        <w:t>ø</w:t>
      </w:r>
      <w:r>
        <w:rPr>
          <w:rFonts w:cs="Arial Unicode MS" w:eastAsia="Arial Unicode MS"/>
          <w:rtl w:val="0"/>
          <w:lang w:val="da-DK"/>
        </w:rPr>
        <w:t>rn</w:t>
      </w:r>
      <w:r>
        <w:rPr>
          <w:rFonts w:cs="Arial Unicode MS" w:eastAsia="Arial Unicode MS"/>
          <w:rtl w:val="0"/>
          <w:lang w:val="en-US"/>
        </w:rPr>
        <w:t>-</w:t>
      </w:r>
      <w:r>
        <w:rPr>
          <w:rFonts w:cs="Arial Unicode MS" w:eastAsia="Arial Unicode MS"/>
          <w:rtl w:val="0"/>
          <w:lang w:val="da-DK"/>
        </w:rPr>
        <w:t>Erik Johnsen, Gunn Elin Fedreheim, Tone Dinesen, Gunn</w:t>
      </w:r>
      <w:r>
        <w:rPr>
          <w:rFonts w:cs="Arial Unicode MS" w:eastAsia="Arial Unicode MS"/>
          <w:rtl w:val="0"/>
          <w:lang w:val="en-US"/>
        </w:rPr>
        <w:t>-</w:t>
      </w:r>
      <w:r>
        <w:rPr>
          <w:rFonts w:cs="Arial Unicode MS" w:eastAsia="Arial Unicode MS"/>
          <w:rtl w:val="0"/>
          <w:lang w:val="da-DK"/>
        </w:rPr>
        <w:t>Tove M</w:t>
      </w:r>
      <w:r>
        <w:rPr>
          <w:rFonts w:cs="Arial Unicode MS" w:eastAsia="Arial Unicode MS"/>
          <w:rtl w:val="0"/>
          <w:lang w:val="en-US"/>
        </w:rPr>
        <w:t>i</w:t>
      </w:r>
      <w:r>
        <w:rPr>
          <w:rFonts w:cs="Arial Unicode MS" w:eastAsia="Arial Unicode MS"/>
          <w:rtl w:val="0"/>
          <w:lang w:val="da-DK"/>
        </w:rPr>
        <w:t xml:space="preserve">nde and Marit Rustad, </w:t>
      </w:r>
      <w:r>
        <w:rPr>
          <w:rFonts w:cs="Arial Unicode MS" w:eastAsia="Arial Unicode MS" w:hint="default"/>
          <w:rtl w:val="0"/>
          <w:lang w:val="en-US"/>
        </w:rPr>
        <w:t>‘</w:t>
      </w:r>
      <w:r>
        <w:rPr>
          <w:rFonts w:cs="Arial Unicode MS" w:eastAsia="Arial Unicode MS"/>
          <w:rtl w:val="0"/>
          <w:lang w:val="da-DK"/>
        </w:rPr>
        <w:t>Ethical And Methodological Issues In Research With Sami Experiencing Disability</w:t>
      </w:r>
      <w:r>
        <w:rPr>
          <w:rFonts w:cs="Arial Unicode MS" w:eastAsia="Arial Unicode MS" w:hint="default"/>
          <w:rtl w:val="0"/>
          <w:lang w:val="en-US"/>
        </w:rPr>
        <w:t>’</w:t>
      </w:r>
      <w:r>
        <w:rPr>
          <w:rFonts w:cs="Arial Unicode MS" w:eastAsia="Arial Unicode MS"/>
          <w:rtl w:val="0"/>
          <w:lang w:val="da-DK"/>
        </w:rPr>
        <w:t xml:space="preserve">, </w:t>
      </w:r>
      <w:r>
        <w:rPr>
          <w:rFonts w:cs="Arial Unicode MS" w:eastAsia="Arial Unicode MS"/>
          <w:i w:val="1"/>
          <w:iCs w:val="1"/>
          <w:rtl w:val="0"/>
          <w:lang w:val="da-DK"/>
        </w:rPr>
        <w:t xml:space="preserve">International Journal Of Circumpolar Health </w:t>
      </w:r>
      <w:r>
        <w:rPr>
          <w:rFonts w:cs="Arial Unicode MS" w:eastAsia="Arial Unicode MS"/>
          <w:rtl w:val="0"/>
          <w:lang w:val="da-DK"/>
        </w:rPr>
        <w:t>75</w:t>
      </w:r>
      <w:r>
        <w:rPr>
          <w:rFonts w:cs="Arial Unicode MS" w:eastAsia="Arial Unicode MS"/>
          <w:rtl w:val="0"/>
          <w:lang w:val="en-US"/>
        </w:rPr>
        <w:t xml:space="preserve"> (2016), 1-7, &lt;doi: </w:t>
      </w:r>
      <w:r>
        <w:rPr>
          <w:rFonts w:cs="Arial Unicode MS" w:eastAsia="Arial Unicode MS"/>
          <w:rtl w:val="0"/>
        </w:rPr>
        <w:t>10.3402/ijch.v75.31656</w:t>
      </w:r>
      <w:r>
        <w:rPr>
          <w:rFonts w:cs="Arial Unicode MS" w:eastAsia="Arial Unicode MS"/>
          <w:rtl w:val="0"/>
          <w:lang w:val="en-US"/>
        </w:rPr>
        <w:t>&gt;.</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Bennett, </w:t>
      </w:r>
      <w:r>
        <w:rPr>
          <w:rFonts w:cs="Arial Unicode MS" w:eastAsia="Arial Unicode MS"/>
          <w:i w:val="1"/>
          <w:iCs w:val="1"/>
          <w:rtl w:val="0"/>
          <w:lang w:val="en-US"/>
        </w:rPr>
        <w:t>If I Knew</w:t>
      </w:r>
      <w:r>
        <w:rPr>
          <w:rFonts w:cs="Arial Unicode MS" w:eastAsia="Arial Unicode MS"/>
          <w:rtl w:val="0"/>
          <w:lang w:val="en-US"/>
        </w:rPr>
        <w:t>, p. 127.</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Heather A. Woods, </w:t>
      </w:r>
      <w:r>
        <w:rPr>
          <w:rFonts w:cs="Arial Unicode MS" w:eastAsia="Arial Unicode MS"/>
          <w:i w:val="1"/>
          <w:iCs w:val="1"/>
          <w:rtl w:val="0"/>
          <w:lang w:val="en-US"/>
        </w:rPr>
        <w:t>Examining The Implications of Insider-Outsider Positioning</w:t>
      </w:r>
      <w:r>
        <w:rPr>
          <w:rFonts w:cs="Arial Unicode MS" w:eastAsia="Arial Unicode MS"/>
          <w:rtl w:val="0"/>
          <w:lang w:val="en-US"/>
        </w:rPr>
        <w:t>, (Research Consulting, 2019) &lt;www.heatherwoods.ca/research/examining-the-implications-of-insider-outsider-positioning&gt; [assessed 8th March 2021].</w:t>
      </w:r>
    </w:p>
  </w:footnote>
  <w:footnote w:id="2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Bennett, </w:t>
      </w:r>
      <w:r>
        <w:rPr>
          <w:rFonts w:cs="Arial Unicode MS" w:eastAsia="Arial Unicode MS"/>
          <w:i w:val="1"/>
          <w:iCs w:val="1"/>
          <w:rtl w:val="0"/>
          <w:lang w:val="en-US"/>
        </w:rPr>
        <w:t>If I Knew</w:t>
      </w:r>
      <w:r>
        <w:rPr>
          <w:rFonts w:cs="Arial Unicode MS" w:eastAsia="Arial Unicode MS"/>
          <w:rtl w:val="0"/>
          <w:lang w:val="en-US"/>
        </w:rPr>
        <w:t>, p. 127.</w:t>
      </w:r>
    </w:p>
    <w:p>
      <w:pPr>
        <w:pStyle w:val="Footnote"/>
        <w:bidi w:val="0"/>
      </w:pPr>
      <w:r>
        <w:rPr>
          <w:rFonts w:cs="Arial Unicode MS" w:eastAsia="Arial Unicode MS"/>
          <w:rtl w:val="0"/>
          <w:lang w:val="en-US"/>
        </w:rPr>
        <w:t xml:space="preserve">   Jenny </w:t>
      </w:r>
      <w:r>
        <w:rPr>
          <w:rFonts w:cs="Arial Unicode MS" w:eastAsia="Arial Unicode MS"/>
          <w:rtl w:val="0"/>
        </w:rPr>
        <w:t>Blain</w:t>
      </w:r>
      <w:r>
        <w:rPr>
          <w:rFonts w:cs="Arial Unicode MS" w:eastAsia="Arial Unicode MS"/>
          <w:rtl w:val="0"/>
          <w:lang w:val="en-US"/>
        </w:rPr>
        <w:t xml:space="preserve">, </w:t>
      </w:r>
      <w:r>
        <w:rPr>
          <w:rFonts w:cs="Arial Unicode MS" w:eastAsia="Arial Unicode MS"/>
          <w:i w:val="1"/>
          <w:iCs w:val="1"/>
          <w:rtl w:val="0"/>
          <w:lang w:val="en-US"/>
        </w:rPr>
        <w:t>Speaking Shamanistically</w:t>
      </w:r>
      <w:r>
        <w:rPr>
          <w:rFonts w:cs="Arial Unicode MS" w:eastAsia="Arial Unicode MS"/>
          <w:rtl w:val="0"/>
          <w:lang w:val="en-US"/>
        </w:rPr>
        <w:t>, p. 1</w:t>
      </w:r>
      <w:r>
        <w:rPr>
          <w:rFonts w:cs="Arial Unicode MS" w:eastAsia="Arial Unicode MS"/>
          <w:i w:val="1"/>
          <w:iCs w:val="1"/>
          <w:rtl w:val="0"/>
          <w:lang w:val="en-US"/>
        </w:rPr>
        <w:t>.</w:t>
      </w:r>
    </w:p>
  </w:footnote>
  <w:footnote w:id="2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Bennett, </w:t>
      </w:r>
      <w:r>
        <w:rPr>
          <w:rFonts w:cs="Arial Unicode MS" w:eastAsia="Arial Unicode MS"/>
          <w:i w:val="1"/>
          <w:iCs w:val="1"/>
          <w:rtl w:val="0"/>
          <w:lang w:val="en-US"/>
        </w:rPr>
        <w:t>If I Knew</w:t>
      </w:r>
      <w:r>
        <w:rPr>
          <w:rFonts w:cs="Arial Unicode MS" w:eastAsia="Arial Unicode MS"/>
          <w:rtl w:val="0"/>
          <w:lang w:val="en-US"/>
        </w:rPr>
        <w:t>, p. 127.</w:t>
      </w:r>
    </w:p>
  </w:footnote>
  <w:footnote w:id="2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Mich</w:t>
      </w:r>
      <w:r>
        <w:rPr>
          <w:rFonts w:cs="Arial Unicode MS" w:eastAsia="Arial Unicode MS" w:hint="default"/>
          <w:rtl w:val="0"/>
          <w:lang w:val="da-DK"/>
        </w:rPr>
        <w:t>è</w:t>
      </w:r>
      <w:r>
        <w:rPr>
          <w:rFonts w:cs="Arial Unicode MS" w:eastAsia="Arial Unicode MS"/>
          <w:rtl w:val="0"/>
          <w:lang w:val="en-US"/>
        </w:rPr>
        <w:t xml:space="preserve">le Simonsen, </w:t>
      </w:r>
      <w:r>
        <w:rPr>
          <w:rFonts w:cs="Arial Unicode MS" w:eastAsia="Arial Unicode MS" w:hint="default"/>
          <w:rtl w:val="0"/>
          <w:lang w:val="en-US"/>
        </w:rPr>
        <w:t>‘</w:t>
      </w:r>
      <w:r>
        <w:rPr>
          <w:rFonts w:cs="Arial Unicode MS" w:eastAsia="Arial Unicode MS"/>
          <w:rtl w:val="0"/>
          <w:lang w:val="en-US"/>
        </w:rPr>
        <w:t>Danish Werewolves Between Beliefs And Narratives</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Fabula</w:t>
      </w:r>
      <w:r>
        <w:rPr>
          <w:rFonts w:cs="Arial Unicode MS" w:eastAsia="Arial Unicode MS"/>
          <w:rtl w:val="0"/>
          <w:lang w:val="en-US"/>
        </w:rPr>
        <w:t xml:space="preserve"> 51, Heft 3/4 (2010), 225-234, &lt;doi: 10.1515/FABL..2010.022&gt;, p. 230.</w:t>
      </w:r>
    </w:p>
  </w:footnote>
  <w:footnote w:id="2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Bennett, </w:t>
      </w:r>
      <w:r>
        <w:rPr>
          <w:rFonts w:cs="Arial Unicode MS" w:eastAsia="Arial Unicode MS"/>
          <w:i w:val="1"/>
          <w:iCs w:val="1"/>
          <w:rtl w:val="0"/>
          <w:lang w:val="en-US"/>
        </w:rPr>
        <w:t>If I Knew</w:t>
      </w:r>
      <w:r>
        <w:rPr>
          <w:rFonts w:cs="Arial Unicode MS" w:eastAsia="Arial Unicode MS"/>
          <w:rtl w:val="0"/>
          <w:lang w:val="en-US"/>
        </w:rPr>
        <w:t>, p. 127.</w:t>
      </w:r>
    </w:p>
  </w:footnote>
  <w:footnote w:id="2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Hennick et.al., </w:t>
      </w:r>
      <w:r>
        <w:rPr>
          <w:rFonts w:cs="Arial Unicode MS" w:eastAsia="Arial Unicode MS"/>
          <w:i w:val="1"/>
          <w:iCs w:val="1"/>
          <w:rtl w:val="0"/>
          <w:lang w:val="en-US"/>
        </w:rPr>
        <w:t>Qualitative Research Methods, p. 22.</w:t>
      </w:r>
    </w:p>
  </w:footnote>
  <w:footnote w:id="28">
    <w:p>
      <w:pPr>
        <w:pStyle w:val="Footnote"/>
        <w:bidi w:val="0"/>
        <w:rPr>
          <w:i w:val="1"/>
          <w:iCs w:val="1"/>
        </w:rPr>
      </w:pPr>
      <w:r>
        <w:rPr>
          <w:vertAlign w:val="superscript"/>
        </w:rPr>
        <w:footnoteRef/>
      </w:r>
      <w:r>
        <w:rPr>
          <w:rFonts w:cs="Arial Unicode MS" w:eastAsia="Arial Unicode MS"/>
          <w:rtl w:val="0"/>
        </w:rPr>
        <w:t xml:space="preserve"> </w:t>
      </w:r>
      <w:r>
        <w:rPr>
          <w:rFonts w:cs="Arial Unicode MS" w:eastAsia="Arial Unicode MS"/>
          <w:rtl w:val="0"/>
          <w:lang w:val="en-US"/>
        </w:rPr>
        <w:t xml:space="preserve">Hennick et.al., </w:t>
      </w:r>
      <w:r>
        <w:rPr>
          <w:rFonts w:cs="Arial Unicode MS" w:eastAsia="Arial Unicode MS"/>
          <w:i w:val="1"/>
          <w:iCs w:val="1"/>
          <w:rtl w:val="0"/>
          <w:lang w:val="en-US"/>
        </w:rPr>
        <w:t>Qualitative Research Methods, p. 71.</w:t>
      </w:r>
    </w:p>
    <w:p>
      <w:pPr>
        <w:pStyle w:val="Footnote"/>
        <w:bidi w:val="0"/>
      </w:pPr>
      <w:r>
        <w:rPr>
          <w:rFonts w:cs="Arial Unicode MS" w:eastAsia="Arial Unicode MS"/>
          <w:i w:val="1"/>
          <w:iCs w:val="1"/>
          <w:rtl w:val="0"/>
          <w:lang w:val="en-US"/>
        </w:rPr>
        <w:t xml:space="preserve">   </w:t>
      </w:r>
      <w:r>
        <w:rPr>
          <w:rFonts w:cs="Arial Unicode MS" w:eastAsia="Arial Unicode MS"/>
          <w:rtl w:val="0"/>
          <w:lang w:val="de-DE"/>
        </w:rPr>
        <w:t>Melb</w:t>
      </w:r>
      <w:r>
        <w:rPr>
          <w:rFonts w:cs="Arial Unicode MS" w:eastAsia="Arial Unicode MS" w:hint="default"/>
          <w:rtl w:val="0"/>
          <w:lang w:val="da-DK"/>
        </w:rPr>
        <w:t>ø</w:t>
      </w:r>
      <w:r>
        <w:rPr>
          <w:rFonts w:cs="Arial Unicode MS" w:eastAsia="Arial Unicode MS"/>
          <w:rtl w:val="0"/>
        </w:rPr>
        <w:t>e</w:t>
      </w:r>
      <w:r>
        <w:rPr>
          <w:rFonts w:cs="Arial Unicode MS" w:eastAsia="Arial Unicode MS"/>
          <w:rtl w:val="0"/>
          <w:lang w:val="en-US"/>
        </w:rPr>
        <w:t xml:space="preserve"> et.al., </w:t>
      </w:r>
      <w:r>
        <w:rPr>
          <w:rFonts w:cs="Arial Unicode MS" w:eastAsia="Arial Unicode MS"/>
          <w:i w:val="1"/>
          <w:iCs w:val="1"/>
          <w:rtl w:val="0"/>
          <w:lang w:val="en-US"/>
        </w:rPr>
        <w:t>Ethical And Methodological Issues</w:t>
      </w:r>
      <w:r>
        <w:rPr>
          <w:rFonts w:cs="Arial Unicode MS" w:eastAsia="Arial Unicode MS"/>
          <w:rtl w:val="0"/>
          <w:lang w:val="en-US"/>
        </w:rPr>
        <w:t>, p. 2-3.</w:t>
      </w:r>
    </w:p>
  </w:footnote>
  <w:footnote w:id="2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Jenny Blain, </w:t>
      </w:r>
      <w:r>
        <w:rPr>
          <w:rFonts w:cs="Arial Unicode MS" w:eastAsia="Arial Unicode MS"/>
          <w:i w:val="1"/>
          <w:iCs w:val="1"/>
          <w:rtl w:val="0"/>
          <w:lang w:val="en-US"/>
        </w:rPr>
        <w:t>Speaking Shamanistically</w:t>
      </w:r>
      <w:r>
        <w:rPr>
          <w:rFonts w:cs="Arial Unicode MS" w:eastAsia="Arial Unicode MS"/>
          <w:rtl w:val="0"/>
          <w:lang w:val="en-US"/>
        </w:rPr>
        <w:t>, p. 1 and p. 7.</w:t>
      </w:r>
    </w:p>
  </w:footnote>
  <w:footnote w:id="3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Jenny Blain, </w:t>
      </w:r>
      <w:r>
        <w:rPr>
          <w:rFonts w:cs="Arial Unicode MS" w:eastAsia="Arial Unicode MS"/>
          <w:i w:val="1"/>
          <w:iCs w:val="1"/>
          <w:rtl w:val="0"/>
          <w:lang w:val="en-US"/>
        </w:rPr>
        <w:t>Speaking Shamanistically</w:t>
      </w:r>
      <w:r>
        <w:rPr>
          <w:rFonts w:cs="Arial Unicode MS" w:eastAsia="Arial Unicode MS"/>
          <w:rtl w:val="0"/>
          <w:lang w:val="en-US"/>
        </w:rPr>
        <w:t>, p. 2.</w:t>
      </w:r>
    </w:p>
  </w:footnote>
  <w:footnote w:id="3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Gillian Bennett, </w:t>
      </w:r>
      <w:r>
        <w:rPr>
          <w:rFonts w:cs="Arial Unicode MS" w:eastAsia="Arial Unicode MS"/>
          <w:i w:val="1"/>
          <w:iCs w:val="1"/>
          <w:rtl w:val="0"/>
          <w:lang w:val="en-US"/>
        </w:rPr>
        <w:t>If I Knew</w:t>
      </w:r>
      <w:r>
        <w:rPr>
          <w:rFonts w:cs="Arial Unicode MS" w:eastAsia="Arial Unicode MS"/>
          <w:rtl w:val="0"/>
          <w:lang w:val="en-US"/>
        </w:rPr>
        <w:t>, p. 136.</w:t>
      </w:r>
    </w:p>
  </w:footnote>
  <w:footnote w:id="3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Bo Sommarstr</w:t>
      </w:r>
      <w:r>
        <w:rPr>
          <w:rFonts w:cs="Arial Unicode MS" w:eastAsia="Arial Unicode MS" w:hint="default"/>
          <w:rtl w:val="0"/>
          <w:lang w:val="da-DK"/>
        </w:rPr>
        <w:t>ö</w:t>
      </w:r>
      <w:r>
        <w:rPr>
          <w:rFonts w:cs="Arial Unicode MS" w:eastAsia="Arial Unicode MS"/>
          <w:rtl w:val="0"/>
          <w:lang w:val="da-DK"/>
        </w:rPr>
        <w:t>m</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Ethnoastronomical Perspectives On Saami Religion</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it-IT"/>
        </w:rPr>
        <w:t>Scripta Instituti Donneriani Aboensis 12:211-250</w:t>
      </w:r>
      <w:r>
        <w:rPr>
          <w:rFonts w:cs="Arial Unicode MS" w:eastAsia="Arial Unicode MS"/>
          <w:rtl w:val="0"/>
          <w:lang w:val="en-US"/>
        </w:rPr>
        <w:t xml:space="preserve"> (1987), 211-250, &lt;doi</w:t>
      </w:r>
      <w:r>
        <w:rPr>
          <w:rFonts w:cs="Arial Unicode MS" w:eastAsia="Arial Unicode MS"/>
          <w:rtl w:val="0"/>
          <w:lang w:val="it-IT"/>
        </w:rPr>
        <w:t>:10.30674/scripta.67164</w:t>
      </w:r>
      <w:r>
        <w:rPr>
          <w:rFonts w:cs="Arial Unicode MS" w:eastAsia="Arial Unicode MS"/>
          <w:rtl w:val="0"/>
          <w:lang w:val="en-US"/>
        </w:rPr>
        <w:t>&gt;.</w:t>
      </w:r>
    </w:p>
  </w:footnote>
  <w:footnote w:id="3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Anne Kalvig, </w:t>
      </w:r>
      <w:r>
        <w:rPr>
          <w:rFonts w:cs="Arial Unicode MS" w:eastAsia="Arial Unicode MS" w:hint="default"/>
          <w:rtl w:val="0"/>
          <w:lang w:val="en-US"/>
        </w:rPr>
        <w:t>‘</w:t>
      </w:r>
      <w:r>
        <w:rPr>
          <w:rFonts w:cs="Arial Unicode MS" w:eastAsia="Arial Unicode MS"/>
          <w:rtl w:val="0"/>
          <w:lang w:val="en-US"/>
        </w:rPr>
        <w:t xml:space="preserve">Nature And Magic As Representation Of </w:t>
      </w:r>
      <w:r>
        <w:rPr>
          <w:rFonts w:cs="Arial Unicode MS" w:eastAsia="Arial Unicode MS" w:hint="default"/>
          <w:rtl w:val="0"/>
          <w:lang w:val="en-US"/>
        </w:rPr>
        <w:t>“</w:t>
      </w:r>
      <w:r>
        <w:rPr>
          <w:rFonts w:cs="Arial Unicode MS" w:eastAsia="Arial Unicode MS"/>
          <w:rtl w:val="0"/>
          <w:lang w:val="en-US"/>
        </w:rPr>
        <w:t>The Sami</w:t>
      </w:r>
      <w:r>
        <w:rPr>
          <w:rFonts w:cs="Arial Unicode MS" w:eastAsia="Arial Unicode MS" w:hint="default"/>
          <w:rtl w:val="0"/>
          <w:lang w:val="en-US"/>
        </w:rPr>
        <w:t xml:space="preserve">” </w:t>
      </w:r>
      <w:r>
        <w:rPr>
          <w:rFonts w:cs="Arial Unicode MS" w:eastAsia="Arial Unicode MS"/>
          <w:rtl w:val="0"/>
          <w:lang w:val="en-US"/>
        </w:rPr>
        <w:t>- Sami Shamanistic Material in Popular Culture</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Religions</w:t>
      </w:r>
      <w:r>
        <w:rPr>
          <w:rFonts w:cs="Arial Unicode MS" w:eastAsia="Arial Unicode MS"/>
          <w:rtl w:val="0"/>
          <w:lang w:val="en-US"/>
        </w:rPr>
        <w:t xml:space="preserve"> 11, 453 (2020), p. 1-16 &lt;doi: 10.3390/rel11090453&gt;.</w:t>
      </w:r>
    </w:p>
  </w:footnote>
  <w:footnote w:id="3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Bell and Waters, </w:t>
      </w:r>
      <w:r>
        <w:rPr>
          <w:rFonts w:cs="Arial Unicode MS" w:eastAsia="Arial Unicode MS"/>
          <w:i w:val="1"/>
          <w:iCs w:val="1"/>
          <w:rtl w:val="0"/>
          <w:lang w:val="en-US"/>
        </w:rPr>
        <w:t>Doing Your Research Project</w:t>
      </w:r>
      <w:r>
        <w:rPr>
          <w:rFonts w:cs="Arial Unicode MS" w:eastAsia="Arial Unicode MS"/>
          <w:rtl w:val="0"/>
          <w:lang w:val="en-US"/>
        </w:rPr>
        <w:t>, p. 124-136.</w:t>
      </w:r>
    </w:p>
  </w:footnote>
  <w:footnote w:id="3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Gillian </w:t>
      </w:r>
      <w:r>
        <w:rPr>
          <w:rFonts w:cs="Arial Unicode MS" w:eastAsia="Arial Unicode MS"/>
          <w:rtl w:val="0"/>
        </w:rPr>
        <w:t>Bennett</w:t>
      </w:r>
      <w:r>
        <w:rPr>
          <w:rFonts w:cs="Arial Unicode MS" w:eastAsia="Arial Unicode MS"/>
          <w:rtl w:val="0"/>
          <w:lang w:val="en-US"/>
        </w:rPr>
        <w:t>,</w:t>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hint="default"/>
          <w:rtl w:val="0"/>
          <w:lang w:val="en-US"/>
        </w:rPr>
        <w:t>“</w:t>
      </w:r>
      <w:r>
        <w:rPr>
          <w:rFonts w:cs="Arial Unicode MS" w:eastAsia="Arial Unicode MS"/>
          <w:rtl w:val="0"/>
          <w:lang w:val="en-US"/>
        </w:rPr>
        <w:t xml:space="preserve">If I Knew You </w:t>
      </w:r>
      <w:r>
        <w:rPr>
          <w:rFonts w:cs="Arial Unicode MS" w:eastAsia="Arial Unicode MS"/>
          <w:rtl w:val="0"/>
          <w:lang w:val="en-US"/>
        </w:rPr>
        <w:t>W</w:t>
      </w:r>
      <w:r>
        <w:rPr>
          <w:rFonts w:cs="Arial Unicode MS" w:eastAsia="Arial Unicode MS"/>
          <w:rtl w:val="0"/>
          <w:lang w:val="en-US"/>
        </w:rPr>
        <w:t xml:space="preserve">ere Coming I'd Have Baked </w:t>
      </w:r>
      <w:r>
        <w:rPr>
          <w:rFonts w:cs="Arial Unicode MS" w:eastAsia="Arial Unicode MS"/>
          <w:rtl w:val="0"/>
          <w:lang w:val="en-US"/>
        </w:rPr>
        <w:t>A</w:t>
      </w:r>
      <w:r>
        <w:rPr>
          <w:rFonts w:cs="Arial Unicode MS" w:eastAsia="Arial Unicode MS"/>
          <w:rtl w:val="0"/>
          <w:lang w:val="en-US"/>
        </w:rPr>
        <w:t xml:space="preserve"> Cake</w:t>
      </w:r>
      <w:r>
        <w:rPr>
          <w:rFonts w:cs="Arial Unicode MS" w:eastAsia="Arial Unicode MS" w:hint="default"/>
          <w:rtl w:val="0"/>
          <w:lang w:val="en-US"/>
        </w:rPr>
        <w:t>”</w:t>
      </w:r>
      <w:r>
        <w:rPr>
          <w:rFonts w:cs="Arial Unicode MS" w:eastAsia="Arial Unicode MS"/>
          <w:rtl w:val="0"/>
          <w:lang w:val="en-US"/>
        </w:rPr>
        <w:t xml:space="preserve">: The Folklore </w:t>
      </w:r>
      <w:r>
        <w:rPr>
          <w:rFonts w:cs="Arial Unicode MS" w:eastAsia="Arial Unicode MS"/>
          <w:rtl w:val="0"/>
          <w:lang w:val="en-US"/>
        </w:rPr>
        <w:t>O</w:t>
      </w:r>
      <w:r>
        <w:rPr>
          <w:rFonts w:cs="Arial Unicode MS" w:eastAsia="Arial Unicode MS"/>
          <w:rtl w:val="0"/>
          <w:lang w:val="en-US"/>
        </w:rPr>
        <w:t xml:space="preserve">f Foreknowledge </w:t>
      </w:r>
      <w:r>
        <w:rPr>
          <w:rFonts w:cs="Arial Unicode MS" w:eastAsia="Arial Unicode MS"/>
          <w:rtl w:val="0"/>
          <w:lang w:val="en-US"/>
        </w:rPr>
        <w:t>I</w:t>
      </w:r>
      <w:r>
        <w:rPr>
          <w:rFonts w:cs="Arial Unicode MS" w:eastAsia="Arial Unicode MS"/>
          <w:rtl w:val="0"/>
        </w:rPr>
        <w:t xml:space="preserve">n </w:t>
      </w:r>
      <w:r>
        <w:rPr>
          <w:rFonts w:cs="Arial Unicode MS" w:eastAsia="Arial Unicode MS"/>
          <w:rtl w:val="0"/>
          <w:lang w:val="en-US"/>
        </w:rPr>
        <w:t>A</w:t>
      </w:r>
      <w:r>
        <w:rPr>
          <w:rFonts w:cs="Arial Unicode MS" w:eastAsia="Arial Unicode MS"/>
          <w:rtl w:val="0"/>
          <w:lang w:val="en-US"/>
        </w:rPr>
        <w:t xml:space="preserve"> Neighborhood Group</w:t>
      </w:r>
      <w:r>
        <w:rPr>
          <w:rFonts w:cs="Arial Unicode MS" w:eastAsia="Arial Unicode MS" w:hint="default"/>
          <w:rtl w:val="0"/>
          <w:lang w:val="en-US"/>
        </w:rPr>
        <w:t>’</w:t>
      </w:r>
      <w:r>
        <w:rPr>
          <w:rFonts w:cs="Arial Unicode MS" w:eastAsia="Arial Unicode MS"/>
          <w:rtl w:val="0"/>
          <w:lang w:val="en-US"/>
        </w:rPr>
        <w:t xml:space="preserve">, </w:t>
      </w:r>
      <w:r>
        <w:rPr>
          <w:rFonts w:cs="Arial Unicode MS" w:eastAsia="Arial Unicode MS"/>
          <w:i w:val="1"/>
          <w:iCs w:val="1"/>
          <w:rtl w:val="0"/>
          <w:lang w:val="en-US"/>
        </w:rPr>
        <w:t xml:space="preserve">Out </w:t>
      </w:r>
      <w:r>
        <w:rPr>
          <w:rFonts w:cs="Arial Unicode MS" w:eastAsia="Arial Unicode MS"/>
          <w:i w:val="1"/>
          <w:iCs w:val="1"/>
          <w:rtl w:val="0"/>
          <w:lang w:val="en-US"/>
        </w:rPr>
        <w:t>O</w:t>
      </w:r>
      <w:r>
        <w:rPr>
          <w:rFonts w:cs="Arial Unicode MS" w:eastAsia="Arial Unicode MS"/>
          <w:i w:val="1"/>
          <w:iCs w:val="1"/>
          <w:rtl w:val="0"/>
          <w:lang w:val="en-US"/>
        </w:rPr>
        <w:t xml:space="preserve">f </w:t>
      </w:r>
      <w:r>
        <w:rPr>
          <w:rFonts w:cs="Arial Unicode MS" w:eastAsia="Arial Unicode MS"/>
          <w:i w:val="1"/>
          <w:iCs w:val="1"/>
          <w:rtl w:val="0"/>
          <w:lang w:val="en-US"/>
        </w:rPr>
        <w:t>T</w:t>
      </w:r>
      <w:r>
        <w:rPr>
          <w:rFonts w:cs="Arial Unicode MS" w:eastAsia="Arial Unicode MS"/>
          <w:i w:val="1"/>
          <w:iCs w:val="1"/>
          <w:rtl w:val="0"/>
          <w:lang w:val="en-US"/>
        </w:rPr>
        <w:t xml:space="preserve">he Ordinary: Folklore </w:t>
      </w:r>
      <w:r>
        <w:rPr>
          <w:rFonts w:cs="Arial Unicode MS" w:eastAsia="Arial Unicode MS"/>
          <w:i w:val="1"/>
          <w:iCs w:val="1"/>
          <w:rtl w:val="0"/>
          <w:lang w:val="en-US"/>
        </w:rPr>
        <w:t>A</w:t>
      </w:r>
      <w:r>
        <w:rPr>
          <w:rFonts w:cs="Arial Unicode MS" w:eastAsia="Arial Unicode MS"/>
          <w:i w:val="1"/>
          <w:iCs w:val="1"/>
          <w:rtl w:val="0"/>
          <w:lang w:val="en-US"/>
        </w:rPr>
        <w:t xml:space="preserve">nd </w:t>
      </w:r>
      <w:r>
        <w:rPr>
          <w:rFonts w:cs="Arial Unicode MS" w:eastAsia="Arial Unicode MS"/>
          <w:i w:val="1"/>
          <w:iCs w:val="1"/>
          <w:rtl w:val="0"/>
          <w:lang w:val="en-US"/>
        </w:rPr>
        <w:t>T</w:t>
      </w:r>
      <w:r>
        <w:rPr>
          <w:rFonts w:cs="Arial Unicode MS" w:eastAsia="Arial Unicode MS"/>
          <w:i w:val="1"/>
          <w:iCs w:val="1"/>
          <w:rtl w:val="0"/>
          <w:lang w:val="en-US"/>
        </w:rPr>
        <w:t>he Supernatural</w:t>
      </w:r>
      <w:r>
        <w:rPr>
          <w:rFonts w:cs="Arial Unicode MS" w:eastAsia="Arial Unicode MS"/>
          <w:rtl w:val="0"/>
          <w:lang w:val="it-IT"/>
        </w:rPr>
        <w:t>, ed</w:t>
      </w:r>
      <w:r>
        <w:rPr>
          <w:rFonts w:cs="Arial Unicode MS" w:eastAsia="Arial Unicode MS"/>
          <w:rtl w:val="0"/>
          <w:lang w:val="en-US"/>
        </w:rPr>
        <w:t>n.</w:t>
      </w:r>
      <w:r>
        <w:rPr>
          <w:rFonts w:cs="Arial Unicode MS" w:eastAsia="Arial Unicode MS"/>
          <w:rtl w:val="0"/>
          <w:lang w:val="en-US"/>
        </w:rPr>
        <w:t xml:space="preserve"> Barbara Walker</w:t>
      </w:r>
      <w:r>
        <w:rPr>
          <w:rFonts w:cs="Arial Unicode MS" w:eastAsia="Arial Unicode MS"/>
          <w:rtl w:val="0"/>
          <w:lang w:val="en-US"/>
        </w:rPr>
        <w:t xml:space="preserve"> (</w:t>
      </w:r>
      <w:r>
        <w:rPr>
          <w:rFonts w:cs="Arial Unicode MS" w:eastAsia="Arial Unicode MS"/>
          <w:rtl w:val="0"/>
          <w:lang w:val="en-US"/>
        </w:rPr>
        <w:t>Logan, Utah: Utah University Press</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1995),</w:t>
      </w:r>
      <w:r>
        <w:rPr>
          <w:rFonts w:cs="Arial Unicode MS" w:eastAsia="Arial Unicode MS"/>
          <w:rtl w:val="0"/>
        </w:rPr>
        <w:t xml:space="preserve"> 122-142</w:t>
      </w:r>
      <w:r>
        <w:rPr>
          <w:rFonts w:cs="Arial Unicode MS" w:eastAsia="Arial Unicode MS"/>
          <w:rtl w:val="0"/>
          <w:lang w:val="en-US"/>
        </w:rPr>
        <w:t>, &lt;</w:t>
      </w:r>
      <w:r>
        <w:rPr>
          <w:rFonts w:cs="Arial Unicode MS" w:eastAsia="Arial Unicode MS"/>
          <w:rtl w:val="0"/>
        </w:rPr>
        <w:t>doi.org/10.2307/j.ctt46nwn8</w:t>
      </w:r>
      <w:r>
        <w:rPr>
          <w:rFonts w:cs="Arial Unicode MS" w:eastAsia="Arial Unicode MS"/>
          <w:rtl w:val="0"/>
          <w:lang w:val="en-US"/>
        </w:rPr>
        <w:t>&gt;.</w:t>
      </w:r>
    </w:p>
    <w:p>
      <w:pPr>
        <w:pStyle w:val="Body"/>
        <w:spacing w:before="0"/>
      </w:pPr>
      <w:r>
        <w:rPr>
          <w:rFonts w:ascii="Palatino" w:hAnsi="Palatino"/>
          <w:sz w:val="18"/>
          <w:szCs w:val="18"/>
          <w:rtl w:val="0"/>
          <w:lang w:val="en-US"/>
        </w:rPr>
        <w:t xml:space="preserve">   Jenny </w:t>
      </w:r>
      <w:r>
        <w:rPr>
          <w:rFonts w:ascii="Palatino" w:hAnsi="Palatino"/>
          <w:sz w:val="18"/>
          <w:szCs w:val="18"/>
          <w:rtl w:val="0"/>
        </w:rPr>
        <w:t>Blain</w:t>
      </w:r>
      <w:r>
        <w:rPr>
          <w:rFonts w:ascii="Palatino" w:hAnsi="Palatino"/>
          <w:sz w:val="18"/>
          <w:szCs w:val="18"/>
          <w:rtl w:val="0"/>
          <w:lang w:val="en-US"/>
        </w:rPr>
        <w:t xml:space="preserve">, </w:t>
      </w:r>
      <w:r>
        <w:rPr>
          <w:rFonts w:ascii="Palatino" w:hAnsi="Palatino" w:hint="default"/>
          <w:sz w:val="18"/>
          <w:szCs w:val="18"/>
          <w:rtl w:val="0"/>
          <w:lang w:val="en-US"/>
        </w:rPr>
        <w:t>‘</w:t>
      </w:r>
      <w:r>
        <w:rPr>
          <w:rFonts w:ascii="Palatino" w:hAnsi="Palatino"/>
          <w:sz w:val="18"/>
          <w:szCs w:val="18"/>
          <w:rtl w:val="0"/>
          <w:lang w:val="en-US"/>
        </w:rPr>
        <w:t>Speaking Shamanistically: Seidr, Academia and Rationality</w:t>
      </w:r>
      <w:r>
        <w:rPr>
          <w:rFonts w:ascii="Palatino" w:hAnsi="Palatino" w:hint="default"/>
          <w:sz w:val="18"/>
          <w:szCs w:val="18"/>
          <w:rtl w:val="0"/>
          <w:lang w:val="en-US"/>
        </w:rPr>
        <w:t>’</w:t>
      </w:r>
      <w:r>
        <w:rPr>
          <w:rFonts w:ascii="Palatino" w:hAnsi="Palatino"/>
          <w:sz w:val="18"/>
          <w:szCs w:val="18"/>
          <w:rtl w:val="0"/>
          <w:lang w:val="en-US"/>
        </w:rPr>
        <w:t>,</w:t>
      </w:r>
      <w:r>
        <w:rPr>
          <w:rFonts w:ascii="Palatino" w:hAnsi="Palatino"/>
          <w:sz w:val="18"/>
          <w:szCs w:val="18"/>
          <w:rtl w:val="0"/>
        </w:rPr>
        <w:t xml:space="preserve"> </w:t>
      </w:r>
      <w:r>
        <w:rPr>
          <w:rFonts w:ascii="Palatino" w:hAnsi="Palatino"/>
          <w:i w:val="1"/>
          <w:iCs w:val="1"/>
          <w:sz w:val="18"/>
          <w:szCs w:val="18"/>
          <w:rtl w:val="0"/>
        </w:rPr>
        <w:t>DISKUS</w:t>
      </w:r>
      <w:r>
        <w:rPr>
          <w:rFonts w:ascii="Palatino" w:hAnsi="Palatino"/>
          <w:sz w:val="18"/>
          <w:szCs w:val="18"/>
          <w:rtl w:val="0"/>
        </w:rPr>
        <w:t xml:space="preserve"> Volume 6 (2000)</w:t>
      </w:r>
      <w:r>
        <w:rPr>
          <w:rFonts w:ascii="Palatino" w:hAnsi="Palatino"/>
          <w:sz w:val="18"/>
          <w:szCs w:val="18"/>
          <w:rtl w:val="0"/>
          <w:lang w:val="en-US"/>
        </w:rPr>
        <w:t>, &lt;</w:t>
      </w:r>
      <w:r>
        <w:rPr>
          <w:rFonts w:ascii="Palatino" w:hAnsi="Palatino"/>
          <w:sz w:val="18"/>
          <w:szCs w:val="18"/>
          <w:rtl w:val="0"/>
          <w:lang w:val="de-DE"/>
        </w:rPr>
        <w:t xml:space="preserve"> www.uni-marburg.de/fb03/religionswissenschaft/journal/diskus</w:t>
      </w:r>
      <w:r>
        <w:rPr>
          <w:rFonts w:ascii="Palatino" w:hAnsi="Palatino"/>
          <w:sz w:val="18"/>
          <w:szCs w:val="18"/>
          <w:rtl w:val="0"/>
          <w:lang w:val="en-US"/>
        </w:rPr>
        <w:t>&gt; {assessed 16th March 2021}.</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March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March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March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March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March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7.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March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8.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March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9.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March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header10.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spacing w:before="0"/>
    </w:pPr>
    <w:r>
      <w:rPr>
        <w:rFonts w:ascii="Palatino" w:hAnsi="Palatino"/>
        <w:i w:val="1"/>
        <w:iCs w:val="1"/>
        <w:sz w:val="18"/>
        <w:szCs w:val="18"/>
        <w:rtl w:val="0"/>
        <w:lang w:val="en-US"/>
      </w:rPr>
      <w:t>A Critical Comparison of two Secondary Sources by Tina Jensen Friis Auster , March 2021</w:t>
    </w:r>
    <w:r>
      <w:rPr>
        <w:rFonts w:ascii="Palatino" w:cs="Palatino" w:hAnsi="Palatino" w:eastAsia="Palatino"/>
        <w:i w:val="1"/>
        <w:iCs w:val="1"/>
        <w:sz w:val="22"/>
        <w:szCs w:val="22"/>
      </w:rPr>
      <w:tab/>
      <w:tab/>
      <w:tab/>
      <w:tab/>
    </w:r>
    <w:r>
      <w:rPr>
        <w:rFonts w:ascii="Palatino" w:cs="Palatino" w:hAnsi="Palatino" w:eastAsia="Palatino"/>
        <w:i w:val="0"/>
        <w:iCs w:val="0"/>
        <w:sz w:val="22"/>
        <w:szCs w:val="22"/>
      </w:rPr>
      <w:fldChar w:fldCharType="begin" w:fldLock="0"/>
    </w:r>
    <w:r>
      <w:rPr>
        <w:rFonts w:ascii="Palatino" w:cs="Palatino" w:hAnsi="Palatino" w:eastAsia="Palatino"/>
        <w:i w:val="0"/>
        <w:iCs w:val="0"/>
        <w:sz w:val="22"/>
        <w:szCs w:val="22"/>
      </w:rPr>
      <w:instrText xml:space="preserve"> PAGE </w:instrText>
    </w:r>
    <w:r>
      <w:rPr>
        <w:rFonts w:ascii="Palatino" w:cs="Palatino" w:hAnsi="Palatino" w:eastAsia="Palatino"/>
        <w:i w:val="0"/>
        <w:iCs w:val="0"/>
        <w:sz w:val="22"/>
        <w:szCs w:val="22"/>
      </w:rPr>
      <w:fldChar w:fldCharType="separate" w:fldLock="0"/>
    </w:r>
    <w:r>
      <w:rPr>
        <w:rFonts w:ascii="Palatino" w:cs="Palatino" w:hAnsi="Palatino" w:eastAsia="Palatino"/>
        <w:i w:val="0"/>
        <w:iCs w:val="0"/>
        <w:sz w:val="22"/>
        <w:szCs w:val="22"/>
      </w:rPr>
    </w:r>
    <w:r>
      <w:rPr>
        <w:rFonts w:ascii="Palatino" w:cs="Palatino" w:hAnsi="Palatino" w:eastAsia="Palatino"/>
        <w:i w:val="0"/>
        <w:iCs w:val="0"/>
        <w:sz w:val="22"/>
        <w:szCs w:val="22"/>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Georgia" w:cs="Arial Unicode MS" w:hAnsi="Georgia" w:eastAsia="Arial Unicode MS"/>
      <w:b w:val="0"/>
      <w:bCs w:val="0"/>
      <w:i w:val="0"/>
      <w:iCs w:val="0"/>
      <w:caps w:val="0"/>
      <w:smallCaps w:val="0"/>
      <w:strike w:val="0"/>
      <w:dstrike w:val="0"/>
      <w:outline w:val="0"/>
      <w:color w:val="000000"/>
      <w:spacing w:val="0"/>
      <w:kern w:val="0"/>
      <w:position w:val="0"/>
      <w:sz w:val="21"/>
      <w:szCs w:val="21"/>
      <w:u w:val="none" w:color="000000"/>
      <w:shd w:val="nil" w:color="auto" w:fill="auto"/>
      <w:vertAlign w:val="baseline"/>
      <w:lang w:val="en-US"/>
      <w14:textFill>
        <w14:solidFill>
          <w14:srgbClr w14:val="000000"/>
        </w14:solidFill>
      </w14:textFill>
    </w:rPr>
  </w:style>
  <w:style w:type="paragraph" w:styleId="Heading 3">
    <w:name w:val="Heading 3"/>
    <w:next w:val="Heading 3"/>
    <w:pPr>
      <w:keepNext w:val="1"/>
      <w:keepLines w:val="0"/>
      <w:pageBreakBefore w:val="0"/>
      <w:widowControl w:val="1"/>
      <w:shd w:val="clear" w:color="auto" w:fill="auto"/>
      <w:suppressAutoHyphens w:val="0"/>
      <w:bidi w:val="0"/>
      <w:spacing w:before="0" w:after="0" w:line="240" w:lineRule="auto"/>
      <w:ind w:left="720" w:right="0" w:firstLine="0"/>
      <w:jc w:val="both"/>
      <w:outlineLvl w:val="2"/>
    </w:pPr>
    <w:rPr>
      <w:rFonts w:ascii="Tahoma Bold" w:cs="Arial Unicode MS" w:hAnsi="Tahoma Bold"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Palatino" w:cs="Palatino" w:hAnsi="Palatino" w:eastAsia="Palatino"/>
      <w:b w:val="0"/>
      <w:bCs w:val="0"/>
      <w:i w:val="0"/>
      <w:iCs w:val="0"/>
      <w:caps w:val="0"/>
      <w:smallCaps w:val="0"/>
      <w:strike w:val="0"/>
      <w:dstrike w:val="0"/>
      <w:outline w:val="0"/>
      <w:color w:val="000000"/>
      <w:spacing w:val="0"/>
      <w:kern w:val="0"/>
      <w:position w:val="0"/>
      <w:sz w:val="18"/>
      <w:szCs w:val="18"/>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footer" Target="footer2.xml"/><Relationship Id="rId9" Type="http://schemas.openxmlformats.org/officeDocument/2006/relationships/header" Target="header3.xml"/><Relationship Id="rId10" Type="http://schemas.openxmlformats.org/officeDocument/2006/relationships/footer" Target="footer3.xml"/><Relationship Id="rId11" Type="http://schemas.openxmlformats.org/officeDocument/2006/relationships/header" Target="header4.xml"/><Relationship Id="rId12" Type="http://schemas.openxmlformats.org/officeDocument/2006/relationships/footer" Target="footer4.xml"/><Relationship Id="rId13" Type="http://schemas.openxmlformats.org/officeDocument/2006/relationships/header" Target="header5.xml"/><Relationship Id="rId14" Type="http://schemas.openxmlformats.org/officeDocument/2006/relationships/footer" Target="footer5.xml"/><Relationship Id="rId15" Type="http://schemas.openxmlformats.org/officeDocument/2006/relationships/header" Target="header6.xml"/><Relationship Id="rId16" Type="http://schemas.openxmlformats.org/officeDocument/2006/relationships/footer" Target="footer6.xml"/><Relationship Id="rId17" Type="http://schemas.openxmlformats.org/officeDocument/2006/relationships/header" Target="header7.xml"/><Relationship Id="rId18" Type="http://schemas.openxmlformats.org/officeDocument/2006/relationships/footer" Target="footer7.xml"/><Relationship Id="rId19" Type="http://schemas.openxmlformats.org/officeDocument/2006/relationships/header" Target="header8.xml"/><Relationship Id="rId20" Type="http://schemas.openxmlformats.org/officeDocument/2006/relationships/footer" Target="footer8.xml"/><Relationship Id="rId21" Type="http://schemas.openxmlformats.org/officeDocument/2006/relationships/header" Target="header9.xml"/><Relationship Id="rId22" Type="http://schemas.openxmlformats.org/officeDocument/2006/relationships/footer" Target="footer9.xml"/><Relationship Id="rId23" Type="http://schemas.openxmlformats.org/officeDocument/2006/relationships/header" Target="header10.xml"/><Relationship Id="rId24" Type="http://schemas.openxmlformats.org/officeDocument/2006/relationships/footer" Target="footer10.xml"/><Relationship Id="rId25" Type="http://schemas.openxmlformats.org/officeDocument/2006/relationships/footnotes" Target="footnotes.xml"/><Relationship Id="rId2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