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E4C0A2" w14:textId="77777777" w:rsidR="00077AC8" w:rsidRPr="008E4BC7" w:rsidRDefault="00D14C93">
      <w:pPr>
        <w:pBdr>
          <w:top w:val="nil"/>
          <w:left w:val="nil"/>
          <w:bottom w:val="nil"/>
          <w:right w:val="nil"/>
          <w:between w:val="nil"/>
        </w:pBdr>
        <w:spacing w:before="0" w:after="200" w:line="240" w:lineRule="auto"/>
        <w:rPr>
          <w:rFonts w:ascii="Arial" w:hAnsi="Arial" w:cs="Arial"/>
          <w:color w:val="auto"/>
        </w:rPr>
      </w:pPr>
      <w:r w:rsidRPr="008E4BC7">
        <w:rPr>
          <w:rFonts w:ascii="Arial" w:hAnsi="Arial" w:cs="Arial"/>
          <w:noProof/>
          <w:color w:val="auto"/>
        </w:rPr>
        <w:drawing>
          <wp:inline distT="114300" distB="114300" distL="114300" distR="114300" wp14:anchorId="50C417D7" wp14:editId="0DD37CD5">
            <wp:extent cx="5943600" cy="63500"/>
            <wp:effectExtent l="0" t="0" r="0" b="0"/>
            <wp:docPr id="3"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7"/>
                    <a:srcRect/>
                    <a:stretch>
                      <a:fillRect/>
                    </a:stretch>
                  </pic:blipFill>
                  <pic:spPr>
                    <a:xfrm>
                      <a:off x="0" y="0"/>
                      <a:ext cx="5943600" cy="63500"/>
                    </a:xfrm>
                    <a:prstGeom prst="rect">
                      <a:avLst/>
                    </a:prstGeom>
                    <a:ln/>
                  </pic:spPr>
                </pic:pic>
              </a:graphicData>
            </a:graphic>
          </wp:inline>
        </w:drawing>
      </w:r>
    </w:p>
    <w:p w14:paraId="66BEF658" w14:textId="77777777" w:rsidR="00077AC8" w:rsidRPr="008E4BC7" w:rsidRDefault="00D14C93">
      <w:pPr>
        <w:pStyle w:val="Title"/>
        <w:rPr>
          <w:rFonts w:ascii="Arial" w:hAnsi="Arial" w:cs="Arial"/>
          <w:color w:val="auto"/>
          <w:sz w:val="52"/>
          <w:szCs w:val="52"/>
        </w:rPr>
      </w:pPr>
      <w:bookmarkStart w:id="0" w:name="_b17vk77zpzra" w:colFirst="0" w:colLast="0"/>
      <w:bookmarkEnd w:id="0"/>
      <w:r w:rsidRPr="008E4BC7">
        <w:rPr>
          <w:rFonts w:ascii="Arial" w:hAnsi="Arial" w:cs="Arial"/>
          <w:color w:val="auto"/>
        </w:rPr>
        <w:t xml:space="preserve">Contract Law          </w:t>
      </w:r>
      <w:proofErr w:type="gramStart"/>
      <w:r w:rsidRPr="008E4BC7">
        <w:rPr>
          <w:rFonts w:ascii="Arial" w:hAnsi="Arial" w:cs="Arial"/>
          <w:color w:val="auto"/>
        </w:rPr>
        <w:t xml:space="preserve">   </w:t>
      </w:r>
      <w:r w:rsidRPr="008E4BC7">
        <w:rPr>
          <w:rFonts w:ascii="Arial" w:hAnsi="Arial" w:cs="Arial"/>
          <w:color w:val="auto"/>
          <w:sz w:val="52"/>
          <w:szCs w:val="52"/>
        </w:rPr>
        <w:t>(</w:t>
      </w:r>
      <w:proofErr w:type="gramEnd"/>
      <w:r w:rsidRPr="008E4BC7">
        <w:rPr>
          <w:rFonts w:ascii="Arial" w:hAnsi="Arial" w:cs="Arial"/>
          <w:color w:val="auto"/>
          <w:sz w:val="52"/>
          <w:szCs w:val="52"/>
        </w:rPr>
        <w:t>BMLW5006)</w:t>
      </w:r>
    </w:p>
    <w:p w14:paraId="46FD7299" w14:textId="77777777" w:rsidR="00077AC8" w:rsidRPr="008E4BC7" w:rsidRDefault="00D14C93">
      <w:pPr>
        <w:pStyle w:val="Subtitle"/>
        <w:rPr>
          <w:rFonts w:ascii="Arial" w:hAnsi="Arial" w:cs="Arial"/>
          <w:color w:val="auto"/>
          <w:sz w:val="32"/>
          <w:szCs w:val="32"/>
        </w:rPr>
      </w:pPr>
      <w:bookmarkStart w:id="1" w:name="_8rjshwgtd1n1" w:colFirst="0" w:colLast="0"/>
      <w:bookmarkEnd w:id="1"/>
      <w:r w:rsidRPr="008E4BC7">
        <w:rPr>
          <w:rFonts w:ascii="Arial" w:hAnsi="Arial" w:cs="Arial"/>
          <w:color w:val="auto"/>
          <w:sz w:val="32"/>
          <w:szCs w:val="32"/>
        </w:rPr>
        <w:t>Assignment 2</w:t>
      </w:r>
    </w:p>
    <w:p w14:paraId="04222F41" w14:textId="77777777" w:rsidR="00077AC8" w:rsidRPr="008E4BC7" w:rsidRDefault="00D14C93">
      <w:pPr>
        <w:pBdr>
          <w:top w:val="nil"/>
          <w:left w:val="nil"/>
          <w:bottom w:val="nil"/>
          <w:right w:val="nil"/>
          <w:between w:val="nil"/>
        </w:pBdr>
        <w:rPr>
          <w:rFonts w:ascii="Arial" w:hAnsi="Arial" w:cs="Arial"/>
          <w:color w:val="auto"/>
        </w:rPr>
      </w:pPr>
      <w:r w:rsidRPr="008E4BC7">
        <w:rPr>
          <w:rFonts w:ascii="Arial" w:hAnsi="Arial" w:cs="Arial"/>
          <w:noProof/>
          <w:color w:val="auto"/>
        </w:rPr>
        <w:drawing>
          <wp:inline distT="114300" distB="114300" distL="114300" distR="114300" wp14:anchorId="0568B62C" wp14:editId="1D2171B4">
            <wp:extent cx="5943600" cy="4457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457700"/>
                    </a:xfrm>
                    <a:prstGeom prst="rect">
                      <a:avLst/>
                    </a:prstGeom>
                    <a:ln/>
                  </pic:spPr>
                </pic:pic>
              </a:graphicData>
            </a:graphic>
          </wp:inline>
        </w:drawing>
      </w:r>
    </w:p>
    <w:p w14:paraId="2E7B71A8" w14:textId="009DE395" w:rsidR="00077AC8" w:rsidRPr="008E4BC7" w:rsidRDefault="00D14C93" w:rsidP="008E4BC7">
      <w:pPr>
        <w:rPr>
          <w:rFonts w:ascii="Arial" w:hAnsi="Arial" w:cs="Arial"/>
          <w:b/>
          <w:color w:val="auto"/>
          <w:sz w:val="36"/>
          <w:szCs w:val="36"/>
        </w:rPr>
      </w:pPr>
      <w:bookmarkStart w:id="2" w:name="_fkupaom9iqrh" w:colFirst="0" w:colLast="0"/>
      <w:bookmarkStart w:id="3" w:name="_Toc70691998"/>
      <w:bookmarkEnd w:id="2"/>
      <w:r w:rsidRPr="008E4BC7">
        <w:rPr>
          <w:rFonts w:ascii="Arial" w:hAnsi="Arial" w:cs="Arial"/>
          <w:color w:val="auto"/>
          <w:sz w:val="40"/>
          <w:szCs w:val="40"/>
        </w:rPr>
        <w:t>Elizabeth Twomey</w:t>
      </w:r>
      <w:r w:rsidRPr="008E4BC7">
        <w:rPr>
          <w:rFonts w:ascii="Arial" w:hAnsi="Arial" w:cs="Arial"/>
          <w:color w:val="auto"/>
        </w:rPr>
        <w:t xml:space="preserve">                                                   </w:t>
      </w:r>
      <w:r w:rsidR="008E4BC7" w:rsidRPr="008E4BC7">
        <w:rPr>
          <w:rFonts w:ascii="Arial" w:hAnsi="Arial" w:cs="Arial"/>
          <w:color w:val="auto"/>
        </w:rPr>
        <w:t xml:space="preserve">   </w:t>
      </w:r>
      <w:r w:rsidRPr="008E4BC7">
        <w:rPr>
          <w:rFonts w:ascii="Arial" w:hAnsi="Arial" w:cs="Arial"/>
          <w:color w:val="auto"/>
        </w:rPr>
        <w:t xml:space="preserve">                              </w:t>
      </w:r>
      <w:r w:rsidRPr="008E4BC7">
        <w:rPr>
          <w:rFonts w:ascii="Arial" w:hAnsi="Arial" w:cs="Arial"/>
          <w:color w:val="auto"/>
          <w:sz w:val="36"/>
          <w:szCs w:val="36"/>
        </w:rPr>
        <w:t>1907468</w:t>
      </w:r>
      <w:bookmarkEnd w:id="3"/>
    </w:p>
    <w:p w14:paraId="1FE0FA06" w14:textId="14E48429" w:rsidR="005B5702" w:rsidRPr="008E4BC7" w:rsidRDefault="005B5702" w:rsidP="008E4BC7">
      <w:pPr>
        <w:rPr>
          <w:rFonts w:ascii="Arial" w:hAnsi="Arial" w:cs="Arial"/>
          <w:color w:val="auto"/>
        </w:rPr>
      </w:pPr>
    </w:p>
    <w:p w14:paraId="1DAED36A" w14:textId="56F15E07" w:rsidR="005B5702" w:rsidRPr="008E4BC7" w:rsidRDefault="005B5702" w:rsidP="005B5702">
      <w:pPr>
        <w:rPr>
          <w:rFonts w:ascii="Arial" w:hAnsi="Arial" w:cs="Arial"/>
          <w:color w:val="auto"/>
        </w:rPr>
      </w:pPr>
    </w:p>
    <w:p w14:paraId="04B10831" w14:textId="1693E485" w:rsidR="005B5702" w:rsidRPr="008E4BC7" w:rsidRDefault="005B5702" w:rsidP="005B5702">
      <w:pPr>
        <w:rPr>
          <w:rFonts w:ascii="Arial" w:hAnsi="Arial" w:cs="Arial"/>
          <w:color w:val="auto"/>
        </w:rPr>
      </w:pPr>
    </w:p>
    <w:p w14:paraId="42B275F1" w14:textId="53637E29" w:rsidR="005B5702" w:rsidRPr="008E4BC7" w:rsidRDefault="005B5702" w:rsidP="005B5702">
      <w:pPr>
        <w:rPr>
          <w:rFonts w:ascii="Arial" w:hAnsi="Arial" w:cs="Arial"/>
          <w:color w:val="auto"/>
        </w:rPr>
      </w:pPr>
    </w:p>
    <w:sdt>
      <w:sdtPr>
        <w:rPr>
          <w:rFonts w:ascii="Arial" w:hAnsi="Arial" w:cs="Arial"/>
          <w:color w:val="auto"/>
        </w:rPr>
        <w:id w:val="-1095012476"/>
        <w:docPartObj>
          <w:docPartGallery w:val="Table of Contents"/>
          <w:docPartUnique/>
        </w:docPartObj>
      </w:sdtPr>
      <w:sdtEndPr>
        <w:rPr>
          <w:rFonts w:eastAsia="Proxima Nova"/>
          <w:noProof/>
          <w:sz w:val="22"/>
          <w:szCs w:val="22"/>
          <w:lang w:val="en" w:eastAsia="en-GB"/>
        </w:rPr>
      </w:sdtEndPr>
      <w:sdtContent>
        <w:p w14:paraId="44306C8C" w14:textId="25CDB323" w:rsidR="008E4BC7" w:rsidRPr="008E4BC7" w:rsidRDefault="008E4BC7">
          <w:pPr>
            <w:pStyle w:val="TOCHeading"/>
            <w:rPr>
              <w:rFonts w:ascii="Arial" w:hAnsi="Arial" w:cs="Arial"/>
              <w:color w:val="auto"/>
            </w:rPr>
          </w:pPr>
          <w:r w:rsidRPr="008E4BC7">
            <w:rPr>
              <w:rFonts w:ascii="Arial" w:hAnsi="Arial" w:cs="Arial"/>
              <w:color w:val="auto"/>
            </w:rPr>
            <w:t>Table of Contents</w:t>
          </w:r>
        </w:p>
        <w:p w14:paraId="2BFC2B43" w14:textId="2D448B84" w:rsidR="00CE1B9F" w:rsidRDefault="008E4BC7">
          <w:pPr>
            <w:pStyle w:val="TOC1"/>
            <w:tabs>
              <w:tab w:val="right" w:leader="dot" w:pos="9350"/>
            </w:tabs>
            <w:rPr>
              <w:rFonts w:eastAsiaTheme="minorEastAsia" w:cstheme="minorBidi"/>
              <w:b w:val="0"/>
              <w:bCs w:val="0"/>
              <w:i w:val="0"/>
              <w:iCs w:val="0"/>
              <w:noProof/>
              <w:color w:val="auto"/>
              <w:lang w:val="en-GB"/>
            </w:rPr>
          </w:pPr>
          <w:r w:rsidRPr="008E4BC7">
            <w:rPr>
              <w:rFonts w:ascii="Arial" w:hAnsi="Arial" w:cs="Arial"/>
              <w:b w:val="0"/>
              <w:bCs w:val="0"/>
              <w:color w:val="auto"/>
            </w:rPr>
            <w:fldChar w:fldCharType="begin"/>
          </w:r>
          <w:r w:rsidRPr="008E4BC7">
            <w:rPr>
              <w:rFonts w:ascii="Arial" w:hAnsi="Arial" w:cs="Arial"/>
              <w:color w:val="auto"/>
            </w:rPr>
            <w:instrText xml:space="preserve"> TOC \o "1-3" \h \z \u </w:instrText>
          </w:r>
          <w:r w:rsidRPr="008E4BC7">
            <w:rPr>
              <w:rFonts w:ascii="Arial" w:hAnsi="Arial" w:cs="Arial"/>
              <w:b w:val="0"/>
              <w:bCs w:val="0"/>
              <w:color w:val="auto"/>
            </w:rPr>
            <w:fldChar w:fldCharType="separate"/>
          </w:r>
          <w:hyperlink w:anchor="_Toc71309455" w:history="1">
            <w:r w:rsidR="00CE1B9F" w:rsidRPr="0023072B">
              <w:rPr>
                <w:rStyle w:val="Hyperlink"/>
                <w:rFonts w:ascii="Arial" w:hAnsi="Arial" w:cs="Arial"/>
                <w:noProof/>
              </w:rPr>
              <w:t>Introduction</w:t>
            </w:r>
            <w:r w:rsidR="00CE1B9F">
              <w:rPr>
                <w:noProof/>
                <w:webHidden/>
              </w:rPr>
              <w:tab/>
            </w:r>
            <w:r w:rsidR="00CE1B9F">
              <w:rPr>
                <w:noProof/>
                <w:webHidden/>
              </w:rPr>
              <w:fldChar w:fldCharType="begin"/>
            </w:r>
            <w:r w:rsidR="00CE1B9F">
              <w:rPr>
                <w:noProof/>
                <w:webHidden/>
              </w:rPr>
              <w:instrText xml:space="preserve"> PAGEREF _Toc71309455 \h </w:instrText>
            </w:r>
            <w:r w:rsidR="00CE1B9F">
              <w:rPr>
                <w:noProof/>
                <w:webHidden/>
              </w:rPr>
            </w:r>
            <w:r w:rsidR="00CE1B9F">
              <w:rPr>
                <w:noProof/>
                <w:webHidden/>
              </w:rPr>
              <w:fldChar w:fldCharType="separate"/>
            </w:r>
            <w:r w:rsidR="00CE1B9F">
              <w:rPr>
                <w:noProof/>
                <w:webHidden/>
              </w:rPr>
              <w:t>3</w:t>
            </w:r>
            <w:r w:rsidR="00CE1B9F">
              <w:rPr>
                <w:noProof/>
                <w:webHidden/>
              </w:rPr>
              <w:fldChar w:fldCharType="end"/>
            </w:r>
          </w:hyperlink>
        </w:p>
        <w:p w14:paraId="041465D0" w14:textId="06415BBB" w:rsidR="00CE1B9F" w:rsidRDefault="00CE1B9F">
          <w:pPr>
            <w:pStyle w:val="TOC2"/>
            <w:tabs>
              <w:tab w:val="right" w:leader="dot" w:pos="9350"/>
            </w:tabs>
            <w:rPr>
              <w:rFonts w:eastAsiaTheme="minorEastAsia" w:cstheme="minorBidi"/>
              <w:b w:val="0"/>
              <w:bCs w:val="0"/>
              <w:noProof/>
              <w:color w:val="auto"/>
              <w:sz w:val="24"/>
              <w:szCs w:val="24"/>
              <w:lang w:val="en-GB"/>
            </w:rPr>
          </w:pPr>
          <w:hyperlink w:anchor="_Toc71309456" w:history="1">
            <w:r w:rsidRPr="0023072B">
              <w:rPr>
                <w:rStyle w:val="Hyperlink"/>
                <w:rFonts w:ascii="Arial" w:hAnsi="Arial" w:cs="Arial"/>
                <w:i/>
                <w:iCs/>
                <w:noProof/>
              </w:rPr>
              <w:t>Duress</w:t>
            </w:r>
            <w:r>
              <w:rPr>
                <w:noProof/>
                <w:webHidden/>
              </w:rPr>
              <w:tab/>
            </w:r>
            <w:r>
              <w:rPr>
                <w:noProof/>
                <w:webHidden/>
              </w:rPr>
              <w:fldChar w:fldCharType="begin"/>
            </w:r>
            <w:r>
              <w:rPr>
                <w:noProof/>
                <w:webHidden/>
              </w:rPr>
              <w:instrText xml:space="preserve"> PAGEREF _Toc71309456 \h </w:instrText>
            </w:r>
            <w:r>
              <w:rPr>
                <w:noProof/>
                <w:webHidden/>
              </w:rPr>
            </w:r>
            <w:r>
              <w:rPr>
                <w:noProof/>
                <w:webHidden/>
              </w:rPr>
              <w:fldChar w:fldCharType="separate"/>
            </w:r>
            <w:r>
              <w:rPr>
                <w:noProof/>
                <w:webHidden/>
              </w:rPr>
              <w:t>4</w:t>
            </w:r>
            <w:r>
              <w:rPr>
                <w:noProof/>
                <w:webHidden/>
              </w:rPr>
              <w:fldChar w:fldCharType="end"/>
            </w:r>
          </w:hyperlink>
        </w:p>
        <w:p w14:paraId="1D929715" w14:textId="653EB602" w:rsidR="00CE1B9F" w:rsidRDefault="00CE1B9F">
          <w:pPr>
            <w:pStyle w:val="TOC2"/>
            <w:tabs>
              <w:tab w:val="right" w:leader="dot" w:pos="9350"/>
            </w:tabs>
            <w:rPr>
              <w:rFonts w:eastAsiaTheme="minorEastAsia" w:cstheme="minorBidi"/>
              <w:b w:val="0"/>
              <w:bCs w:val="0"/>
              <w:noProof/>
              <w:color w:val="auto"/>
              <w:sz w:val="24"/>
              <w:szCs w:val="24"/>
              <w:lang w:val="en-GB"/>
            </w:rPr>
          </w:pPr>
          <w:hyperlink w:anchor="_Toc71309457" w:history="1">
            <w:r w:rsidRPr="0023072B">
              <w:rPr>
                <w:rStyle w:val="Hyperlink"/>
                <w:rFonts w:ascii="Arial" w:hAnsi="Arial" w:cs="Arial"/>
                <w:i/>
                <w:iCs/>
                <w:noProof/>
              </w:rPr>
              <w:t>Undue Influence</w:t>
            </w:r>
            <w:r>
              <w:rPr>
                <w:noProof/>
                <w:webHidden/>
              </w:rPr>
              <w:tab/>
            </w:r>
            <w:r>
              <w:rPr>
                <w:noProof/>
                <w:webHidden/>
              </w:rPr>
              <w:fldChar w:fldCharType="begin"/>
            </w:r>
            <w:r>
              <w:rPr>
                <w:noProof/>
                <w:webHidden/>
              </w:rPr>
              <w:instrText xml:space="preserve"> PAGEREF _Toc71309457 \h </w:instrText>
            </w:r>
            <w:r>
              <w:rPr>
                <w:noProof/>
                <w:webHidden/>
              </w:rPr>
            </w:r>
            <w:r>
              <w:rPr>
                <w:noProof/>
                <w:webHidden/>
              </w:rPr>
              <w:fldChar w:fldCharType="separate"/>
            </w:r>
            <w:r>
              <w:rPr>
                <w:noProof/>
                <w:webHidden/>
              </w:rPr>
              <w:t>5</w:t>
            </w:r>
            <w:r>
              <w:rPr>
                <w:noProof/>
                <w:webHidden/>
              </w:rPr>
              <w:fldChar w:fldCharType="end"/>
            </w:r>
          </w:hyperlink>
        </w:p>
        <w:p w14:paraId="1BBAD527" w14:textId="110123FC" w:rsidR="00CE1B9F" w:rsidRDefault="00CE1B9F">
          <w:pPr>
            <w:pStyle w:val="TOC1"/>
            <w:tabs>
              <w:tab w:val="right" w:leader="dot" w:pos="9350"/>
            </w:tabs>
            <w:rPr>
              <w:rFonts w:eastAsiaTheme="minorEastAsia" w:cstheme="minorBidi"/>
              <w:b w:val="0"/>
              <w:bCs w:val="0"/>
              <w:i w:val="0"/>
              <w:iCs w:val="0"/>
              <w:noProof/>
              <w:color w:val="auto"/>
              <w:lang w:val="en-GB"/>
            </w:rPr>
          </w:pPr>
          <w:hyperlink w:anchor="_Toc71309458" w:history="1">
            <w:r w:rsidRPr="0023072B">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_Toc71309458 \h </w:instrText>
            </w:r>
            <w:r>
              <w:rPr>
                <w:noProof/>
                <w:webHidden/>
              </w:rPr>
            </w:r>
            <w:r>
              <w:rPr>
                <w:noProof/>
                <w:webHidden/>
              </w:rPr>
              <w:fldChar w:fldCharType="separate"/>
            </w:r>
            <w:r>
              <w:rPr>
                <w:noProof/>
                <w:webHidden/>
              </w:rPr>
              <w:t>6</w:t>
            </w:r>
            <w:r>
              <w:rPr>
                <w:noProof/>
                <w:webHidden/>
              </w:rPr>
              <w:fldChar w:fldCharType="end"/>
            </w:r>
          </w:hyperlink>
        </w:p>
        <w:p w14:paraId="698FE872" w14:textId="0FC20B48" w:rsidR="00CE1B9F" w:rsidRDefault="00CE1B9F">
          <w:pPr>
            <w:pStyle w:val="TOC1"/>
            <w:tabs>
              <w:tab w:val="right" w:leader="dot" w:pos="9350"/>
            </w:tabs>
            <w:rPr>
              <w:rFonts w:eastAsiaTheme="minorEastAsia" w:cstheme="minorBidi"/>
              <w:b w:val="0"/>
              <w:bCs w:val="0"/>
              <w:i w:val="0"/>
              <w:iCs w:val="0"/>
              <w:noProof/>
              <w:color w:val="auto"/>
              <w:lang w:val="en-GB"/>
            </w:rPr>
          </w:pPr>
          <w:hyperlink w:anchor="_Toc71309459" w:history="1">
            <w:r w:rsidRPr="0023072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_Toc71309459 \h </w:instrText>
            </w:r>
            <w:r>
              <w:rPr>
                <w:noProof/>
                <w:webHidden/>
              </w:rPr>
            </w:r>
            <w:r>
              <w:rPr>
                <w:noProof/>
                <w:webHidden/>
              </w:rPr>
              <w:fldChar w:fldCharType="separate"/>
            </w:r>
            <w:r>
              <w:rPr>
                <w:noProof/>
                <w:webHidden/>
              </w:rPr>
              <w:t>7</w:t>
            </w:r>
            <w:r>
              <w:rPr>
                <w:noProof/>
                <w:webHidden/>
              </w:rPr>
              <w:fldChar w:fldCharType="end"/>
            </w:r>
          </w:hyperlink>
        </w:p>
        <w:p w14:paraId="50D54EDB" w14:textId="68B48A3A" w:rsidR="00CE1B9F" w:rsidRDefault="00CE1B9F">
          <w:pPr>
            <w:pStyle w:val="TOC2"/>
            <w:tabs>
              <w:tab w:val="right" w:leader="dot" w:pos="9350"/>
            </w:tabs>
            <w:rPr>
              <w:rFonts w:eastAsiaTheme="minorEastAsia" w:cstheme="minorBidi"/>
              <w:b w:val="0"/>
              <w:bCs w:val="0"/>
              <w:noProof/>
              <w:color w:val="auto"/>
              <w:sz w:val="24"/>
              <w:szCs w:val="24"/>
              <w:lang w:val="en-GB"/>
            </w:rPr>
          </w:pPr>
          <w:hyperlink w:anchor="_Toc71309460" w:history="1">
            <w:r w:rsidRPr="0023072B">
              <w:rPr>
                <w:rStyle w:val="Hyperlink"/>
                <w:rFonts w:ascii="Arial" w:hAnsi="Arial" w:cs="Arial"/>
                <w:i/>
                <w:iCs/>
                <w:noProof/>
              </w:rPr>
              <w:t>Case List</w:t>
            </w:r>
            <w:r>
              <w:rPr>
                <w:noProof/>
                <w:webHidden/>
              </w:rPr>
              <w:tab/>
            </w:r>
            <w:r>
              <w:rPr>
                <w:noProof/>
                <w:webHidden/>
              </w:rPr>
              <w:fldChar w:fldCharType="begin"/>
            </w:r>
            <w:r>
              <w:rPr>
                <w:noProof/>
                <w:webHidden/>
              </w:rPr>
              <w:instrText xml:space="preserve"> PAGEREF _Toc71309460 \h </w:instrText>
            </w:r>
            <w:r>
              <w:rPr>
                <w:noProof/>
                <w:webHidden/>
              </w:rPr>
            </w:r>
            <w:r>
              <w:rPr>
                <w:noProof/>
                <w:webHidden/>
              </w:rPr>
              <w:fldChar w:fldCharType="separate"/>
            </w:r>
            <w:r>
              <w:rPr>
                <w:noProof/>
                <w:webHidden/>
              </w:rPr>
              <w:t>7</w:t>
            </w:r>
            <w:r>
              <w:rPr>
                <w:noProof/>
                <w:webHidden/>
              </w:rPr>
              <w:fldChar w:fldCharType="end"/>
            </w:r>
          </w:hyperlink>
        </w:p>
        <w:p w14:paraId="223F018D" w14:textId="79D1C7A3" w:rsidR="00CE1B9F" w:rsidRDefault="00CE1B9F">
          <w:pPr>
            <w:pStyle w:val="TOC2"/>
            <w:tabs>
              <w:tab w:val="right" w:leader="dot" w:pos="9350"/>
            </w:tabs>
            <w:rPr>
              <w:rFonts w:eastAsiaTheme="minorEastAsia" w:cstheme="minorBidi"/>
              <w:b w:val="0"/>
              <w:bCs w:val="0"/>
              <w:noProof/>
              <w:color w:val="auto"/>
              <w:sz w:val="24"/>
              <w:szCs w:val="24"/>
              <w:lang w:val="en-GB"/>
            </w:rPr>
          </w:pPr>
          <w:hyperlink w:anchor="_Toc71309461" w:history="1">
            <w:r w:rsidRPr="0023072B">
              <w:rPr>
                <w:rStyle w:val="Hyperlink"/>
                <w:rFonts w:ascii="Arial" w:hAnsi="Arial" w:cs="Arial"/>
                <w:i/>
                <w:iCs/>
                <w:noProof/>
              </w:rPr>
              <w:t>References</w:t>
            </w:r>
            <w:r>
              <w:rPr>
                <w:noProof/>
                <w:webHidden/>
              </w:rPr>
              <w:tab/>
            </w:r>
            <w:r>
              <w:rPr>
                <w:noProof/>
                <w:webHidden/>
              </w:rPr>
              <w:fldChar w:fldCharType="begin"/>
            </w:r>
            <w:r>
              <w:rPr>
                <w:noProof/>
                <w:webHidden/>
              </w:rPr>
              <w:instrText xml:space="preserve"> PAGEREF _Toc71309461 \h </w:instrText>
            </w:r>
            <w:r>
              <w:rPr>
                <w:noProof/>
                <w:webHidden/>
              </w:rPr>
            </w:r>
            <w:r>
              <w:rPr>
                <w:noProof/>
                <w:webHidden/>
              </w:rPr>
              <w:fldChar w:fldCharType="separate"/>
            </w:r>
            <w:r>
              <w:rPr>
                <w:noProof/>
                <w:webHidden/>
              </w:rPr>
              <w:t>7</w:t>
            </w:r>
            <w:r>
              <w:rPr>
                <w:noProof/>
                <w:webHidden/>
              </w:rPr>
              <w:fldChar w:fldCharType="end"/>
            </w:r>
          </w:hyperlink>
        </w:p>
        <w:p w14:paraId="10C11127" w14:textId="662B3777" w:rsidR="008E4BC7" w:rsidRPr="008E4BC7" w:rsidRDefault="008E4BC7">
          <w:pPr>
            <w:rPr>
              <w:rFonts w:ascii="Arial" w:hAnsi="Arial" w:cs="Arial"/>
              <w:color w:val="auto"/>
            </w:rPr>
          </w:pPr>
          <w:r w:rsidRPr="008E4BC7">
            <w:rPr>
              <w:rFonts w:ascii="Arial" w:hAnsi="Arial" w:cs="Arial"/>
              <w:b/>
              <w:bCs/>
              <w:noProof/>
              <w:color w:val="auto"/>
            </w:rPr>
            <w:fldChar w:fldCharType="end"/>
          </w:r>
        </w:p>
      </w:sdtContent>
    </w:sdt>
    <w:p w14:paraId="6641D8B2" w14:textId="77777777" w:rsidR="008E4BC7" w:rsidRPr="008E4BC7" w:rsidRDefault="008E4BC7" w:rsidP="005B5702">
      <w:pPr>
        <w:pStyle w:val="Heading1"/>
        <w:rPr>
          <w:rFonts w:ascii="Arial" w:hAnsi="Arial" w:cs="Arial"/>
          <w:color w:val="auto"/>
        </w:rPr>
      </w:pPr>
    </w:p>
    <w:p w14:paraId="6913B849" w14:textId="77777777" w:rsidR="008E4BC7" w:rsidRPr="008E4BC7" w:rsidRDefault="008E4BC7" w:rsidP="005B5702">
      <w:pPr>
        <w:pStyle w:val="Heading1"/>
        <w:rPr>
          <w:rFonts w:ascii="Arial" w:hAnsi="Arial" w:cs="Arial"/>
          <w:color w:val="auto"/>
        </w:rPr>
      </w:pPr>
    </w:p>
    <w:p w14:paraId="55728E09" w14:textId="77777777" w:rsidR="008E4BC7" w:rsidRPr="008E4BC7" w:rsidRDefault="008E4BC7" w:rsidP="005B5702">
      <w:pPr>
        <w:pStyle w:val="Heading1"/>
        <w:rPr>
          <w:rFonts w:ascii="Arial" w:hAnsi="Arial" w:cs="Arial"/>
          <w:color w:val="auto"/>
        </w:rPr>
      </w:pPr>
    </w:p>
    <w:p w14:paraId="29B7E4A2" w14:textId="77777777" w:rsidR="008E4BC7" w:rsidRPr="008E4BC7" w:rsidRDefault="008E4BC7" w:rsidP="005B5702">
      <w:pPr>
        <w:pStyle w:val="Heading1"/>
        <w:rPr>
          <w:rFonts w:ascii="Arial" w:hAnsi="Arial" w:cs="Arial"/>
          <w:color w:val="auto"/>
        </w:rPr>
      </w:pPr>
    </w:p>
    <w:p w14:paraId="1A95C1ED" w14:textId="77777777" w:rsidR="008E4BC7" w:rsidRPr="008E4BC7" w:rsidRDefault="008E4BC7" w:rsidP="005B5702">
      <w:pPr>
        <w:pStyle w:val="Heading1"/>
        <w:rPr>
          <w:rFonts w:ascii="Arial" w:hAnsi="Arial" w:cs="Arial"/>
          <w:color w:val="auto"/>
        </w:rPr>
      </w:pPr>
    </w:p>
    <w:p w14:paraId="117AE1BC" w14:textId="77777777" w:rsidR="008E4BC7" w:rsidRPr="008E4BC7" w:rsidRDefault="008E4BC7" w:rsidP="005B5702">
      <w:pPr>
        <w:pStyle w:val="Heading1"/>
        <w:rPr>
          <w:rFonts w:ascii="Arial" w:hAnsi="Arial" w:cs="Arial"/>
          <w:color w:val="auto"/>
        </w:rPr>
      </w:pPr>
    </w:p>
    <w:p w14:paraId="59E632E9" w14:textId="77777777" w:rsidR="008E4BC7" w:rsidRPr="008E4BC7" w:rsidRDefault="008E4BC7" w:rsidP="005B5702">
      <w:pPr>
        <w:pStyle w:val="Heading1"/>
        <w:rPr>
          <w:rFonts w:ascii="Arial" w:hAnsi="Arial" w:cs="Arial"/>
          <w:color w:val="auto"/>
        </w:rPr>
      </w:pPr>
    </w:p>
    <w:p w14:paraId="6D606CDE" w14:textId="77777777" w:rsidR="008E4BC7" w:rsidRPr="008E4BC7" w:rsidRDefault="008E4BC7" w:rsidP="005B5702">
      <w:pPr>
        <w:pStyle w:val="Heading1"/>
        <w:rPr>
          <w:rFonts w:ascii="Arial" w:hAnsi="Arial" w:cs="Arial"/>
          <w:color w:val="auto"/>
        </w:rPr>
      </w:pPr>
    </w:p>
    <w:p w14:paraId="7929AF1E" w14:textId="77777777" w:rsidR="008E4BC7" w:rsidRPr="008E4BC7" w:rsidRDefault="008E4BC7" w:rsidP="005B5702">
      <w:pPr>
        <w:pStyle w:val="Heading1"/>
        <w:rPr>
          <w:rFonts w:ascii="Arial" w:hAnsi="Arial" w:cs="Arial"/>
          <w:color w:val="auto"/>
        </w:rPr>
      </w:pPr>
    </w:p>
    <w:p w14:paraId="0155EB3B" w14:textId="77777777" w:rsidR="008E4BC7" w:rsidRPr="008E4BC7" w:rsidRDefault="008E4BC7" w:rsidP="005B5702">
      <w:pPr>
        <w:pStyle w:val="Heading1"/>
        <w:rPr>
          <w:rFonts w:ascii="Arial" w:hAnsi="Arial" w:cs="Arial"/>
          <w:color w:val="auto"/>
        </w:rPr>
      </w:pPr>
    </w:p>
    <w:p w14:paraId="72489A46" w14:textId="77777777" w:rsidR="008E4BC7" w:rsidRPr="008E4BC7" w:rsidRDefault="008E4BC7" w:rsidP="005B5702">
      <w:pPr>
        <w:pStyle w:val="Heading1"/>
        <w:rPr>
          <w:rFonts w:ascii="Arial" w:hAnsi="Arial" w:cs="Arial"/>
          <w:color w:val="auto"/>
        </w:rPr>
      </w:pPr>
    </w:p>
    <w:p w14:paraId="42BCA571" w14:textId="5080F830" w:rsidR="005B5702" w:rsidRPr="008E4BC7" w:rsidRDefault="005B5702" w:rsidP="005B5702">
      <w:pPr>
        <w:pStyle w:val="Heading1"/>
        <w:rPr>
          <w:rFonts w:ascii="Arial" w:hAnsi="Arial" w:cs="Arial"/>
          <w:color w:val="auto"/>
        </w:rPr>
      </w:pPr>
      <w:bookmarkStart w:id="4" w:name="_Toc70691999"/>
      <w:bookmarkStart w:id="5" w:name="_Toc71309455"/>
      <w:r w:rsidRPr="008E4BC7">
        <w:rPr>
          <w:rFonts w:ascii="Arial" w:hAnsi="Arial" w:cs="Arial"/>
          <w:color w:val="auto"/>
        </w:rPr>
        <w:lastRenderedPageBreak/>
        <w:t>Introduction</w:t>
      </w:r>
      <w:bookmarkEnd w:id="4"/>
      <w:bookmarkEnd w:id="5"/>
    </w:p>
    <w:p w14:paraId="3A7FC757" w14:textId="77777777" w:rsidR="00F806B7" w:rsidRPr="00F806B7" w:rsidRDefault="00F806B7" w:rsidP="00F806B7">
      <w:pPr>
        <w:spacing w:line="360" w:lineRule="auto"/>
        <w:rPr>
          <w:rFonts w:ascii="Arial" w:hAnsi="Arial" w:cs="Arial"/>
          <w:color w:val="auto"/>
          <w:sz w:val="28"/>
          <w:szCs w:val="28"/>
        </w:rPr>
      </w:pPr>
      <w:r w:rsidRPr="00F806B7">
        <w:rPr>
          <w:rFonts w:ascii="Arial" w:hAnsi="Arial" w:cs="Arial"/>
          <w:color w:val="auto"/>
          <w:sz w:val="24"/>
          <w:szCs w:val="24"/>
        </w:rPr>
        <w:t xml:space="preserve">If a contract is to be considered legally binding, both parties must come to an agreement at their own discretion, without the burden of unreasonable influence from one party unto another (Richards, 2017). The validity of a contract can become corrupt if a party claims that they became subject to duress, or undue influence during the formation of said contract. If one party coerces another to reach an agreement using the threat of physical violence, or illegitimate pressure, the courts can declare the contract voidable under the doctrine of duress (Stone and </w:t>
      </w:r>
      <w:proofErr w:type="spellStart"/>
      <w:r w:rsidRPr="00F806B7">
        <w:rPr>
          <w:rFonts w:ascii="Arial" w:hAnsi="Arial" w:cs="Arial"/>
          <w:color w:val="auto"/>
          <w:sz w:val="24"/>
          <w:szCs w:val="24"/>
        </w:rPr>
        <w:t>Devenney</w:t>
      </w:r>
      <w:proofErr w:type="spellEnd"/>
      <w:r w:rsidRPr="00F806B7">
        <w:rPr>
          <w:rFonts w:ascii="Arial" w:hAnsi="Arial" w:cs="Arial"/>
          <w:color w:val="auto"/>
          <w:sz w:val="24"/>
          <w:szCs w:val="24"/>
        </w:rPr>
        <w:t xml:space="preserve">, 2015). The claim of duress was once limited to cases where a person had suffered actual bodily harm or the threat thereof, this was </w:t>
      </w:r>
      <w:proofErr w:type="spellStart"/>
      <w:r w:rsidRPr="00F806B7">
        <w:rPr>
          <w:rFonts w:ascii="Arial" w:hAnsi="Arial" w:cs="Arial"/>
          <w:color w:val="auto"/>
          <w:sz w:val="24"/>
          <w:szCs w:val="24"/>
        </w:rPr>
        <w:t>criticised</w:t>
      </w:r>
      <w:proofErr w:type="spellEnd"/>
      <w:r w:rsidRPr="00F806B7">
        <w:rPr>
          <w:rFonts w:ascii="Arial" w:hAnsi="Arial" w:cs="Arial"/>
          <w:color w:val="auto"/>
          <w:sz w:val="24"/>
          <w:szCs w:val="24"/>
        </w:rPr>
        <w:t xml:space="preserve"> as it seemingly ignored the power of non-physical threats of illicit </w:t>
      </w:r>
      <w:proofErr w:type="spellStart"/>
      <w:r w:rsidRPr="00F806B7">
        <w:rPr>
          <w:rFonts w:ascii="Arial" w:hAnsi="Arial" w:cs="Arial"/>
          <w:color w:val="auto"/>
          <w:sz w:val="24"/>
          <w:szCs w:val="24"/>
        </w:rPr>
        <w:t>behaviour</w:t>
      </w:r>
      <w:proofErr w:type="spellEnd"/>
      <w:r w:rsidRPr="00F806B7">
        <w:rPr>
          <w:rFonts w:ascii="Arial" w:hAnsi="Arial" w:cs="Arial"/>
          <w:color w:val="auto"/>
          <w:sz w:val="24"/>
          <w:szCs w:val="24"/>
        </w:rPr>
        <w:t xml:space="preserve"> (Peel, 2015). The criteria of a duress claim have broadened over time, as a result of changes in society, along with the precedents set by key cases in modern-day law. Courts will now consider not just the harm threatened, but also the legitimacy of the threat, the degree of pressure, and also the impact of the pressure (Andrews, 2011). Another doctrine that can be used to diminish contractual liability, is undue influence. A party can argue they entered a contract under undue influence if they signed the contract without fully understanding the nature, or consequence of the terms, because of inappropriate pressure from the influencing party (Yee, 2008). Though the confines of this doctrine are somewhat more subjective and can be applied in cases where existing relationships between parties can be used to create an otherwise innocent power imbalance, which in this context can lead to exploitation (Beatson, 2010).</w:t>
      </w:r>
    </w:p>
    <w:p w14:paraId="38EBACD9" w14:textId="4452C4F1" w:rsidR="005B5702" w:rsidRPr="008E4BC7" w:rsidRDefault="005B5702" w:rsidP="005B5702">
      <w:pPr>
        <w:rPr>
          <w:rFonts w:ascii="Arial" w:hAnsi="Arial" w:cs="Arial"/>
          <w:color w:val="auto"/>
        </w:rPr>
      </w:pPr>
    </w:p>
    <w:p w14:paraId="365A2FA9" w14:textId="3CE345A1" w:rsidR="005B5702" w:rsidRPr="008E4BC7" w:rsidRDefault="005B5702" w:rsidP="005B5702">
      <w:pPr>
        <w:rPr>
          <w:rFonts w:ascii="Arial" w:hAnsi="Arial" w:cs="Arial"/>
          <w:color w:val="auto"/>
        </w:rPr>
      </w:pPr>
    </w:p>
    <w:p w14:paraId="75F30627" w14:textId="0740101D" w:rsidR="005B5702" w:rsidRPr="008E4BC7" w:rsidRDefault="005B5702" w:rsidP="005B5702">
      <w:pPr>
        <w:rPr>
          <w:rFonts w:ascii="Arial" w:hAnsi="Arial" w:cs="Arial"/>
          <w:color w:val="auto"/>
        </w:rPr>
      </w:pPr>
    </w:p>
    <w:p w14:paraId="3FB6EB72" w14:textId="6773561E" w:rsidR="005B5702" w:rsidRPr="008E4BC7" w:rsidRDefault="005B5702">
      <w:pPr>
        <w:rPr>
          <w:rFonts w:ascii="Arial" w:hAnsi="Arial" w:cs="Arial"/>
          <w:color w:val="auto"/>
        </w:rPr>
      </w:pPr>
      <w:r w:rsidRPr="008E4BC7">
        <w:rPr>
          <w:rFonts w:ascii="Arial" w:hAnsi="Arial" w:cs="Arial"/>
          <w:color w:val="auto"/>
        </w:rPr>
        <w:br w:type="page"/>
      </w:r>
    </w:p>
    <w:p w14:paraId="6AEB428C" w14:textId="3F12BDA0" w:rsidR="00CE1B9F" w:rsidRPr="005844B1" w:rsidRDefault="00CE1B9F" w:rsidP="005844B1">
      <w:pPr>
        <w:pStyle w:val="Heading2"/>
        <w:rPr>
          <w:rFonts w:ascii="Arial" w:hAnsi="Arial" w:cs="Arial"/>
          <w:i/>
          <w:iCs/>
          <w:color w:val="auto"/>
        </w:rPr>
      </w:pPr>
      <w:bookmarkStart w:id="6" w:name="_Toc71309456"/>
      <w:r>
        <w:rPr>
          <w:rFonts w:ascii="Arial" w:hAnsi="Arial" w:cs="Arial"/>
          <w:i/>
          <w:iCs/>
          <w:color w:val="auto"/>
        </w:rPr>
        <w:lastRenderedPageBreak/>
        <w:t>Duress</w:t>
      </w:r>
      <w:bookmarkEnd w:id="6"/>
    </w:p>
    <w:p w14:paraId="1ED00EDE" w14:textId="77777777" w:rsidR="00CE1B9F" w:rsidRPr="00CE1B9F" w:rsidRDefault="00CE1B9F" w:rsidP="00CE1B9F">
      <w:pPr>
        <w:rPr>
          <w:rFonts w:ascii="Arial" w:hAnsi="Arial" w:cs="Arial"/>
          <w:color w:val="auto"/>
        </w:rPr>
      </w:pPr>
      <w:r w:rsidRPr="00CE1B9F">
        <w:rPr>
          <w:rFonts w:ascii="Arial" w:hAnsi="Arial" w:cs="Arial"/>
          <w:color w:val="auto"/>
        </w:rPr>
        <w:t xml:space="preserve">In the case of </w:t>
      </w:r>
      <w:proofErr w:type="spellStart"/>
      <w:r w:rsidRPr="00CE1B9F">
        <w:rPr>
          <w:rFonts w:ascii="Arial" w:hAnsi="Arial" w:cs="Arial"/>
          <w:i/>
          <w:iCs/>
          <w:color w:val="auto"/>
        </w:rPr>
        <w:t>Skeate</w:t>
      </w:r>
      <w:proofErr w:type="spellEnd"/>
      <w:r w:rsidRPr="00CE1B9F">
        <w:rPr>
          <w:rFonts w:ascii="Arial" w:hAnsi="Arial" w:cs="Arial"/>
          <w:i/>
          <w:iCs/>
          <w:color w:val="auto"/>
        </w:rPr>
        <w:t xml:space="preserve"> v Beale [1840],</w:t>
      </w:r>
      <w:r w:rsidRPr="00CE1B9F">
        <w:rPr>
          <w:rFonts w:ascii="Arial" w:hAnsi="Arial" w:cs="Arial"/>
          <w:color w:val="auto"/>
        </w:rPr>
        <w:t xml:space="preserve"> it was held that a plea of duress was not viable, as a threat against goods would not suffice in rendering a contract voidable. This ruling was detrimental to the development of the doctrine as it encourages the outdated view that duress is only applicable to cases of actual or threatened bodily harm. The law’s change in attitude toward the criteria of duress cases can be seen in the introduction of economic duress. </w:t>
      </w:r>
    </w:p>
    <w:p w14:paraId="5ADEEB17" w14:textId="650FFB6B" w:rsidR="00CE1B9F" w:rsidRDefault="00CE1B9F" w:rsidP="00CE1B9F">
      <w:pPr>
        <w:rPr>
          <w:rFonts w:ascii="Arial" w:hAnsi="Arial" w:cs="Arial"/>
          <w:color w:val="auto"/>
        </w:rPr>
      </w:pPr>
      <w:r w:rsidRPr="00CE1B9F">
        <w:rPr>
          <w:rFonts w:ascii="Arial" w:hAnsi="Arial" w:cs="Arial"/>
          <w:color w:val="auto"/>
        </w:rPr>
        <w:t xml:space="preserve">In </w:t>
      </w:r>
      <w:r w:rsidRPr="00CE1B9F">
        <w:rPr>
          <w:rFonts w:ascii="Arial" w:hAnsi="Arial" w:cs="Arial"/>
          <w:i/>
          <w:iCs/>
          <w:color w:val="auto"/>
        </w:rPr>
        <w:t xml:space="preserve">Pao </w:t>
      </w:r>
      <w:r>
        <w:rPr>
          <w:rFonts w:ascii="Arial" w:hAnsi="Arial" w:cs="Arial"/>
          <w:i/>
          <w:iCs/>
          <w:color w:val="auto"/>
        </w:rPr>
        <w:t>O</w:t>
      </w:r>
      <w:r w:rsidRPr="00CE1B9F">
        <w:rPr>
          <w:rFonts w:ascii="Arial" w:hAnsi="Arial" w:cs="Arial"/>
          <w:i/>
          <w:iCs/>
          <w:color w:val="auto"/>
        </w:rPr>
        <w:t>n</w:t>
      </w:r>
      <w:r w:rsidRPr="00CE1B9F">
        <w:rPr>
          <w:rFonts w:ascii="Arial" w:hAnsi="Arial" w:cs="Arial"/>
          <w:i/>
          <w:iCs/>
          <w:color w:val="auto"/>
        </w:rPr>
        <w:t xml:space="preserve"> v Lan </w:t>
      </w:r>
      <w:proofErr w:type="spellStart"/>
      <w:r w:rsidRPr="00CE1B9F">
        <w:rPr>
          <w:rFonts w:ascii="Arial" w:hAnsi="Arial" w:cs="Arial"/>
          <w:i/>
          <w:iCs/>
          <w:color w:val="auto"/>
        </w:rPr>
        <w:t>Yio</w:t>
      </w:r>
      <w:proofErr w:type="spellEnd"/>
      <w:r w:rsidRPr="00CE1B9F">
        <w:rPr>
          <w:rFonts w:ascii="Arial" w:hAnsi="Arial" w:cs="Arial"/>
          <w:i/>
          <w:iCs/>
          <w:color w:val="auto"/>
        </w:rPr>
        <w:t xml:space="preserve"> Long [1980],</w:t>
      </w:r>
      <w:r w:rsidRPr="00CE1B9F">
        <w:rPr>
          <w:rFonts w:ascii="Arial" w:hAnsi="Arial" w:cs="Arial"/>
          <w:color w:val="auto"/>
        </w:rPr>
        <w:t xml:space="preserve"> the claim of duress was denied as commercial pressure alone was not seen as a sufficient threat. Lord Scarman said, “There must be a coercion of will such that there was no true consent. It must be shown that the contract entered into was not a voluntary act”. </w:t>
      </w:r>
    </w:p>
    <w:p w14:paraId="37AAAC95" w14:textId="2C1969AE" w:rsidR="005B5702" w:rsidRPr="008E4BC7" w:rsidRDefault="00CE1B9F" w:rsidP="00CE1B9F">
      <w:pPr>
        <w:rPr>
          <w:rFonts w:ascii="Arial" w:hAnsi="Arial" w:cs="Arial"/>
          <w:color w:val="auto"/>
        </w:rPr>
      </w:pPr>
      <w:r>
        <w:rPr>
          <w:rFonts w:ascii="Arial" w:hAnsi="Arial" w:cs="Arial"/>
          <w:color w:val="auto"/>
        </w:rPr>
        <w:t xml:space="preserve">The claim of economic duress was upheld in </w:t>
      </w:r>
      <w:r w:rsidRPr="00CE1B9F">
        <w:rPr>
          <w:rFonts w:ascii="Arial" w:hAnsi="Arial" w:cs="Arial"/>
          <w:i/>
          <w:iCs/>
          <w:color w:val="auto"/>
        </w:rPr>
        <w:t xml:space="preserve">Atlas Express Ltd v </w:t>
      </w:r>
      <w:proofErr w:type="spellStart"/>
      <w:r w:rsidRPr="00CE1B9F">
        <w:rPr>
          <w:rFonts w:ascii="Arial" w:hAnsi="Arial" w:cs="Arial"/>
          <w:i/>
          <w:iCs/>
          <w:color w:val="auto"/>
        </w:rPr>
        <w:t>Kafco</w:t>
      </w:r>
      <w:proofErr w:type="spellEnd"/>
      <w:r w:rsidRPr="00CE1B9F">
        <w:rPr>
          <w:rFonts w:ascii="Arial" w:hAnsi="Arial" w:cs="Arial"/>
          <w:i/>
          <w:iCs/>
          <w:color w:val="auto"/>
        </w:rPr>
        <w:t xml:space="preserve"> (Importers &amp; Distributors) Ltd [1989]</w:t>
      </w:r>
      <w:r w:rsidRPr="00CE1B9F">
        <w:rPr>
          <w:rFonts w:ascii="Arial" w:hAnsi="Arial" w:cs="Arial"/>
          <w:i/>
          <w:iCs/>
          <w:color w:val="auto"/>
        </w:rPr>
        <w:t xml:space="preserve">, </w:t>
      </w:r>
      <w:r>
        <w:rPr>
          <w:rFonts w:ascii="Arial" w:hAnsi="Arial" w:cs="Arial"/>
          <w:color w:val="auto"/>
        </w:rPr>
        <w:t xml:space="preserve">as the claimant had no bargaining power when they agreed to the contract, meaning it could not be considered a fair and equal re-negotiation. Though this case also had commercial pressure, it differed from </w:t>
      </w:r>
      <w:r>
        <w:rPr>
          <w:rFonts w:ascii="Arial" w:hAnsi="Arial" w:cs="Arial"/>
          <w:i/>
          <w:iCs/>
          <w:color w:val="auto"/>
        </w:rPr>
        <w:t xml:space="preserve">Poa On v Lan </w:t>
      </w:r>
      <w:proofErr w:type="spellStart"/>
      <w:r>
        <w:rPr>
          <w:rFonts w:ascii="Arial" w:hAnsi="Arial" w:cs="Arial"/>
          <w:i/>
          <w:iCs/>
          <w:color w:val="auto"/>
        </w:rPr>
        <w:t>Yio</w:t>
      </w:r>
      <w:proofErr w:type="spellEnd"/>
      <w:r>
        <w:rPr>
          <w:rFonts w:ascii="Arial" w:hAnsi="Arial" w:cs="Arial"/>
          <w:i/>
          <w:iCs/>
          <w:color w:val="auto"/>
        </w:rPr>
        <w:t xml:space="preserve"> Long </w:t>
      </w:r>
      <w:r>
        <w:rPr>
          <w:rFonts w:ascii="Arial" w:hAnsi="Arial" w:cs="Arial"/>
          <w:color w:val="auto"/>
        </w:rPr>
        <w:t xml:space="preserve">as the claimant felt as though they had no choice but to sign the contract, and their lack of say in the matter meant they could not truly consent to it. </w:t>
      </w:r>
      <w:r w:rsidR="005B5702" w:rsidRPr="00CE1B9F">
        <w:rPr>
          <w:rFonts w:ascii="Arial" w:hAnsi="Arial" w:cs="Arial"/>
          <w:i/>
          <w:iCs/>
          <w:color w:val="auto"/>
        </w:rPr>
        <w:br w:type="page"/>
      </w:r>
    </w:p>
    <w:p w14:paraId="2D3772C7" w14:textId="2E44E1DC" w:rsidR="00CE1B9F" w:rsidRPr="00CE1B9F" w:rsidRDefault="00CE1B9F" w:rsidP="00CE1B9F">
      <w:pPr>
        <w:pStyle w:val="Heading2"/>
        <w:rPr>
          <w:rFonts w:ascii="Arial" w:hAnsi="Arial" w:cs="Arial"/>
          <w:i/>
          <w:iCs/>
          <w:color w:val="auto"/>
        </w:rPr>
      </w:pPr>
      <w:bookmarkStart w:id="7" w:name="_Toc71309457"/>
      <w:r w:rsidRPr="00CE1B9F">
        <w:rPr>
          <w:rFonts w:ascii="Arial" w:hAnsi="Arial" w:cs="Arial"/>
          <w:i/>
          <w:iCs/>
          <w:color w:val="auto"/>
        </w:rPr>
        <w:lastRenderedPageBreak/>
        <w:t>Undue Influence</w:t>
      </w:r>
      <w:bookmarkEnd w:id="7"/>
      <w:r w:rsidRPr="00CE1B9F">
        <w:rPr>
          <w:rFonts w:ascii="Arial" w:hAnsi="Arial" w:cs="Arial"/>
          <w:i/>
          <w:iCs/>
          <w:color w:val="auto"/>
        </w:rPr>
        <w:t xml:space="preserve"> </w:t>
      </w:r>
    </w:p>
    <w:p w14:paraId="125528ED" w14:textId="680FBEAC" w:rsidR="005844B1" w:rsidRDefault="00CE1B9F">
      <w:pPr>
        <w:rPr>
          <w:rFonts w:ascii="Arial" w:hAnsi="Arial" w:cs="Arial"/>
          <w:color w:val="auto"/>
          <w:sz w:val="24"/>
          <w:szCs w:val="24"/>
        </w:rPr>
      </w:pPr>
      <w:r>
        <w:rPr>
          <w:rFonts w:ascii="Arial" w:hAnsi="Arial" w:cs="Arial"/>
          <w:color w:val="auto"/>
          <w:sz w:val="24"/>
          <w:szCs w:val="24"/>
        </w:rPr>
        <w:t xml:space="preserve">This doctrine is often used to invalidated agreements that have been entered into as a result of one party using an existing relationship with another party, as a way to manipulate or exploit them. This </w:t>
      </w:r>
      <w:r w:rsidRPr="00CE1B9F">
        <w:rPr>
          <w:rFonts w:ascii="Arial" w:hAnsi="Arial" w:cs="Arial"/>
          <w:color w:val="auto"/>
          <w:sz w:val="24"/>
          <w:szCs w:val="24"/>
        </w:rPr>
        <w:t xml:space="preserve">is most frequently seen in cases where a home has been used as collateral against a loan. There are some cases where the recipient of the loan is not the sole owner of the home but has put pressure on the other homeowner to sign an agreement to allow their lending. On the other hand, in cases where the lender is the sole homeowner, there will be a claim against the lending company. </w:t>
      </w:r>
    </w:p>
    <w:p w14:paraId="54826676" w14:textId="717E38C7" w:rsidR="00CE1B9F" w:rsidRPr="00CE1B9F" w:rsidRDefault="00CE1B9F">
      <w:pPr>
        <w:rPr>
          <w:rFonts w:ascii="Arial" w:hAnsi="Arial" w:cs="Arial"/>
          <w:color w:val="auto"/>
          <w:sz w:val="24"/>
          <w:szCs w:val="24"/>
        </w:rPr>
      </w:pPr>
      <w:r>
        <w:rPr>
          <w:rFonts w:ascii="Arial" w:hAnsi="Arial" w:cs="Arial"/>
          <w:color w:val="auto"/>
          <w:sz w:val="24"/>
          <w:szCs w:val="24"/>
        </w:rPr>
        <w:t xml:space="preserve">One of the most notable cases relating to the development of undue influence is </w:t>
      </w:r>
      <w:r w:rsidRPr="00CE1B9F">
        <w:rPr>
          <w:rFonts w:ascii="Arial" w:hAnsi="Arial" w:cs="Arial"/>
          <w:i/>
          <w:iCs/>
          <w:color w:val="auto"/>
          <w:sz w:val="24"/>
          <w:szCs w:val="24"/>
        </w:rPr>
        <w:t xml:space="preserve">Royal Bank of Scotland plc v </w:t>
      </w:r>
      <w:proofErr w:type="spellStart"/>
      <w:r w:rsidRPr="00CE1B9F">
        <w:rPr>
          <w:rFonts w:ascii="Arial" w:hAnsi="Arial" w:cs="Arial"/>
          <w:i/>
          <w:iCs/>
          <w:color w:val="auto"/>
          <w:sz w:val="24"/>
          <w:szCs w:val="24"/>
        </w:rPr>
        <w:t>Etridge</w:t>
      </w:r>
      <w:proofErr w:type="spellEnd"/>
      <w:r w:rsidRPr="00CE1B9F">
        <w:rPr>
          <w:rFonts w:ascii="Arial" w:hAnsi="Arial" w:cs="Arial"/>
          <w:i/>
          <w:iCs/>
          <w:color w:val="auto"/>
          <w:sz w:val="24"/>
          <w:szCs w:val="24"/>
        </w:rPr>
        <w:t xml:space="preserve"> (No 2) [2001]</w:t>
      </w:r>
      <w:r w:rsidRPr="00CE1B9F">
        <w:rPr>
          <w:rFonts w:ascii="Arial" w:hAnsi="Arial" w:cs="Arial"/>
          <w:i/>
          <w:iCs/>
          <w:color w:val="auto"/>
          <w:sz w:val="24"/>
          <w:szCs w:val="24"/>
        </w:rPr>
        <w:t>.</w:t>
      </w:r>
      <w:r>
        <w:rPr>
          <w:rFonts w:ascii="Arial" w:hAnsi="Arial" w:cs="Arial"/>
          <w:color w:val="auto"/>
          <w:sz w:val="24"/>
          <w:szCs w:val="24"/>
        </w:rPr>
        <w:t xml:space="preserve"> This case outlined the importance of proving that one party was using their influence improperly, leading to a transaction that is in some way out of the ordinary. </w:t>
      </w:r>
    </w:p>
    <w:p w14:paraId="36B7F415" w14:textId="402C5ABE" w:rsidR="00CE1B9F" w:rsidRDefault="00CE1B9F">
      <w:pPr>
        <w:rPr>
          <w:rFonts w:ascii="Arial" w:hAnsi="Arial" w:cs="Arial"/>
          <w:color w:val="auto"/>
          <w:sz w:val="24"/>
          <w:szCs w:val="24"/>
        </w:rPr>
      </w:pPr>
    </w:p>
    <w:p w14:paraId="00A211E7" w14:textId="77777777" w:rsidR="00CE1B9F" w:rsidRPr="00CE1B9F" w:rsidRDefault="00CE1B9F">
      <w:pPr>
        <w:rPr>
          <w:rFonts w:ascii="Arial" w:hAnsi="Arial" w:cs="Arial"/>
          <w:color w:val="auto"/>
          <w:sz w:val="24"/>
          <w:szCs w:val="24"/>
        </w:rPr>
      </w:pPr>
    </w:p>
    <w:p w14:paraId="5BF54477" w14:textId="05074FEA" w:rsidR="005B5702" w:rsidRPr="008E4BC7" w:rsidRDefault="005B5702">
      <w:pPr>
        <w:rPr>
          <w:rFonts w:ascii="Arial" w:hAnsi="Arial" w:cs="Arial"/>
          <w:color w:val="auto"/>
        </w:rPr>
      </w:pPr>
      <w:r w:rsidRPr="008E4BC7">
        <w:rPr>
          <w:rFonts w:ascii="Arial" w:hAnsi="Arial" w:cs="Arial"/>
          <w:color w:val="auto"/>
        </w:rPr>
        <w:br w:type="page"/>
      </w:r>
    </w:p>
    <w:p w14:paraId="086AFEE4" w14:textId="40536DA6" w:rsidR="005B5702" w:rsidRPr="008E4BC7" w:rsidRDefault="005B5702" w:rsidP="005B5702">
      <w:pPr>
        <w:pStyle w:val="Heading1"/>
        <w:rPr>
          <w:rFonts w:ascii="Arial" w:hAnsi="Arial" w:cs="Arial"/>
          <w:color w:val="auto"/>
        </w:rPr>
      </w:pPr>
      <w:bookmarkStart w:id="8" w:name="_Toc70692002"/>
      <w:bookmarkStart w:id="9" w:name="_Toc71309458"/>
      <w:r w:rsidRPr="008E4BC7">
        <w:rPr>
          <w:rFonts w:ascii="Arial" w:hAnsi="Arial" w:cs="Arial"/>
          <w:color w:val="auto"/>
        </w:rPr>
        <w:lastRenderedPageBreak/>
        <w:t>Conclusion</w:t>
      </w:r>
      <w:bookmarkEnd w:id="8"/>
      <w:bookmarkEnd w:id="9"/>
    </w:p>
    <w:p w14:paraId="1E0B21A3" w14:textId="11438CDF" w:rsidR="005B5702" w:rsidRPr="001C340F" w:rsidRDefault="001C340F" w:rsidP="005B5702">
      <w:pPr>
        <w:rPr>
          <w:rFonts w:ascii="Arial" w:hAnsi="Arial" w:cs="Arial"/>
          <w:color w:val="auto"/>
          <w:sz w:val="24"/>
          <w:szCs w:val="24"/>
        </w:rPr>
      </w:pPr>
      <w:r>
        <w:rPr>
          <w:rFonts w:ascii="Arial" w:hAnsi="Arial" w:cs="Arial"/>
          <w:color w:val="auto"/>
          <w:sz w:val="24"/>
          <w:szCs w:val="24"/>
        </w:rPr>
        <w:t xml:space="preserve">The specific facts of a case can have a strong influence on how a doctrine is interpreted, particularly when coupled with changes in society. </w:t>
      </w:r>
      <w:r w:rsidR="00BF1F3E">
        <w:rPr>
          <w:rFonts w:ascii="Arial" w:hAnsi="Arial" w:cs="Arial"/>
          <w:color w:val="auto"/>
          <w:sz w:val="24"/>
          <w:szCs w:val="24"/>
        </w:rPr>
        <w:t>When handling subjective theories such as duress and undue influence, it is important to consider the cases that have come before and set precedents.</w:t>
      </w:r>
    </w:p>
    <w:p w14:paraId="6B6913D6" w14:textId="392AE5B0" w:rsidR="005B5702" w:rsidRPr="008E4BC7" w:rsidRDefault="005B5702" w:rsidP="005B5702">
      <w:pPr>
        <w:rPr>
          <w:rFonts w:ascii="Arial" w:hAnsi="Arial" w:cs="Arial"/>
          <w:color w:val="auto"/>
        </w:rPr>
      </w:pPr>
    </w:p>
    <w:p w14:paraId="3DBA6EF9" w14:textId="34401EB9" w:rsidR="005B5702" w:rsidRPr="008E4BC7" w:rsidRDefault="005B5702" w:rsidP="005B5702">
      <w:pPr>
        <w:rPr>
          <w:rFonts w:ascii="Arial" w:hAnsi="Arial" w:cs="Arial"/>
          <w:color w:val="auto"/>
        </w:rPr>
      </w:pPr>
    </w:p>
    <w:p w14:paraId="1AE77800" w14:textId="3CF354D8" w:rsidR="005B5702" w:rsidRPr="008E4BC7" w:rsidRDefault="005B5702">
      <w:pPr>
        <w:rPr>
          <w:rFonts w:ascii="Arial" w:hAnsi="Arial" w:cs="Arial"/>
          <w:color w:val="auto"/>
        </w:rPr>
      </w:pPr>
      <w:r w:rsidRPr="008E4BC7">
        <w:rPr>
          <w:rFonts w:ascii="Arial" w:hAnsi="Arial" w:cs="Arial"/>
          <w:color w:val="auto"/>
        </w:rPr>
        <w:br w:type="page"/>
      </w:r>
    </w:p>
    <w:p w14:paraId="5E0AA8D3" w14:textId="4956BA2B" w:rsidR="005B5702" w:rsidRPr="008E4BC7" w:rsidRDefault="008E4BC7" w:rsidP="005B5702">
      <w:pPr>
        <w:pStyle w:val="Heading1"/>
        <w:rPr>
          <w:rFonts w:ascii="Arial" w:hAnsi="Arial" w:cs="Arial"/>
          <w:color w:val="auto"/>
        </w:rPr>
      </w:pPr>
      <w:bookmarkStart w:id="10" w:name="_Toc71309459"/>
      <w:r w:rsidRPr="008E4BC7">
        <w:rPr>
          <w:rFonts w:ascii="Arial" w:hAnsi="Arial" w:cs="Arial"/>
          <w:color w:val="auto"/>
        </w:rPr>
        <w:lastRenderedPageBreak/>
        <w:t>Bibliography</w:t>
      </w:r>
      <w:bookmarkEnd w:id="10"/>
    </w:p>
    <w:p w14:paraId="1F30EA5A" w14:textId="66B7E910" w:rsidR="008E4BC7" w:rsidRPr="008E4BC7" w:rsidRDefault="008E4BC7" w:rsidP="008E4BC7">
      <w:pPr>
        <w:pStyle w:val="Heading2"/>
        <w:rPr>
          <w:rFonts w:ascii="Arial" w:hAnsi="Arial" w:cs="Arial"/>
          <w:i/>
          <w:iCs/>
          <w:color w:val="auto"/>
        </w:rPr>
      </w:pPr>
      <w:bookmarkStart w:id="11" w:name="_Toc71309460"/>
      <w:r w:rsidRPr="008E4BC7">
        <w:rPr>
          <w:rFonts w:ascii="Arial" w:hAnsi="Arial" w:cs="Arial"/>
          <w:i/>
          <w:iCs/>
          <w:color w:val="auto"/>
        </w:rPr>
        <w:t>Case List</w:t>
      </w:r>
      <w:bookmarkEnd w:id="11"/>
    </w:p>
    <w:p w14:paraId="4AF613D6" w14:textId="76A6173E" w:rsidR="00CE1B9F" w:rsidRDefault="00CE1B9F" w:rsidP="005B5702">
      <w:pPr>
        <w:rPr>
          <w:rFonts w:ascii="Arial" w:hAnsi="Arial" w:cs="Arial"/>
          <w:color w:val="auto"/>
        </w:rPr>
      </w:pPr>
      <w:r w:rsidRPr="00CE1B9F">
        <w:rPr>
          <w:rFonts w:ascii="Arial" w:hAnsi="Arial" w:cs="Arial"/>
          <w:color w:val="auto"/>
        </w:rPr>
        <w:t xml:space="preserve">Atlas Express Ltd v </w:t>
      </w:r>
      <w:proofErr w:type="spellStart"/>
      <w:r w:rsidRPr="00CE1B9F">
        <w:rPr>
          <w:rFonts w:ascii="Arial" w:hAnsi="Arial" w:cs="Arial"/>
          <w:color w:val="auto"/>
        </w:rPr>
        <w:t>Kafco</w:t>
      </w:r>
      <w:proofErr w:type="spellEnd"/>
      <w:r w:rsidRPr="00CE1B9F">
        <w:rPr>
          <w:rFonts w:ascii="Arial" w:hAnsi="Arial" w:cs="Arial"/>
          <w:color w:val="auto"/>
        </w:rPr>
        <w:t xml:space="preserve"> (Importers &amp; Distributors) Ltd [1989] 1 All ER 641</w:t>
      </w:r>
    </w:p>
    <w:p w14:paraId="658559AF" w14:textId="7E9F93CD" w:rsidR="00CE1B9F" w:rsidRDefault="00CE1B9F" w:rsidP="005B5702">
      <w:pPr>
        <w:rPr>
          <w:rFonts w:ascii="Arial" w:hAnsi="Arial" w:cs="Arial"/>
          <w:color w:val="auto"/>
        </w:rPr>
      </w:pPr>
      <w:r w:rsidRPr="00CE1B9F">
        <w:rPr>
          <w:rFonts w:ascii="Arial" w:hAnsi="Arial" w:cs="Arial"/>
          <w:color w:val="auto"/>
        </w:rPr>
        <w:t xml:space="preserve">Pao </w:t>
      </w:r>
      <w:proofErr w:type="gramStart"/>
      <w:r w:rsidRPr="00CE1B9F">
        <w:rPr>
          <w:rFonts w:ascii="Arial" w:hAnsi="Arial" w:cs="Arial"/>
          <w:color w:val="auto"/>
        </w:rPr>
        <w:t>On</w:t>
      </w:r>
      <w:proofErr w:type="gramEnd"/>
      <w:r w:rsidRPr="00CE1B9F">
        <w:rPr>
          <w:rFonts w:ascii="Arial" w:hAnsi="Arial" w:cs="Arial"/>
          <w:color w:val="auto"/>
        </w:rPr>
        <w:t xml:space="preserve"> v Lau </w:t>
      </w:r>
      <w:proofErr w:type="spellStart"/>
      <w:r w:rsidRPr="00CE1B9F">
        <w:rPr>
          <w:rFonts w:ascii="Arial" w:hAnsi="Arial" w:cs="Arial"/>
          <w:color w:val="auto"/>
        </w:rPr>
        <w:t>Yiu</w:t>
      </w:r>
      <w:proofErr w:type="spellEnd"/>
      <w:r w:rsidRPr="00CE1B9F">
        <w:rPr>
          <w:rFonts w:ascii="Arial" w:hAnsi="Arial" w:cs="Arial"/>
          <w:color w:val="auto"/>
        </w:rPr>
        <w:t xml:space="preserve"> Long [1980] AC 614</w:t>
      </w:r>
    </w:p>
    <w:p w14:paraId="50D7CE4F" w14:textId="7ABDFC4F" w:rsidR="00CE1B9F" w:rsidRDefault="00CE1B9F" w:rsidP="005B5702">
      <w:pPr>
        <w:rPr>
          <w:rFonts w:ascii="Arial" w:hAnsi="Arial" w:cs="Arial"/>
          <w:color w:val="auto"/>
        </w:rPr>
      </w:pPr>
      <w:r w:rsidRPr="00CE1B9F">
        <w:rPr>
          <w:rFonts w:ascii="Arial" w:hAnsi="Arial" w:cs="Arial"/>
          <w:color w:val="auto"/>
        </w:rPr>
        <w:t xml:space="preserve">Royal Bank of Scotland plc v </w:t>
      </w:r>
      <w:proofErr w:type="spellStart"/>
      <w:r w:rsidRPr="00CE1B9F">
        <w:rPr>
          <w:rFonts w:ascii="Arial" w:hAnsi="Arial" w:cs="Arial"/>
          <w:color w:val="auto"/>
        </w:rPr>
        <w:t>Etridge</w:t>
      </w:r>
      <w:proofErr w:type="spellEnd"/>
      <w:r w:rsidRPr="00CE1B9F">
        <w:rPr>
          <w:rFonts w:ascii="Arial" w:hAnsi="Arial" w:cs="Arial"/>
          <w:color w:val="auto"/>
        </w:rPr>
        <w:t xml:space="preserve"> (No 2) [2001] UKHL 44</w:t>
      </w:r>
    </w:p>
    <w:p w14:paraId="05272D05" w14:textId="7938F2A9" w:rsidR="005B5702" w:rsidRPr="008E4BC7" w:rsidRDefault="00CE1B9F" w:rsidP="005B5702">
      <w:pPr>
        <w:rPr>
          <w:rFonts w:ascii="Arial" w:hAnsi="Arial" w:cs="Arial"/>
          <w:color w:val="auto"/>
        </w:rPr>
      </w:pPr>
      <w:proofErr w:type="spellStart"/>
      <w:r w:rsidRPr="00CE1B9F">
        <w:rPr>
          <w:rFonts w:ascii="Arial" w:hAnsi="Arial" w:cs="Arial"/>
          <w:color w:val="auto"/>
        </w:rPr>
        <w:t>Skeate</w:t>
      </w:r>
      <w:proofErr w:type="spellEnd"/>
      <w:r w:rsidRPr="00CE1B9F">
        <w:rPr>
          <w:rFonts w:ascii="Arial" w:hAnsi="Arial" w:cs="Arial"/>
          <w:color w:val="auto"/>
        </w:rPr>
        <w:t xml:space="preserve"> v Beale [1840] 11 Ad &amp; E 983</w:t>
      </w:r>
    </w:p>
    <w:p w14:paraId="78B1EECB" w14:textId="5D22EA0A" w:rsidR="005B5702" w:rsidRPr="008E4BC7" w:rsidRDefault="005B5702" w:rsidP="005B5702">
      <w:pPr>
        <w:rPr>
          <w:rFonts w:ascii="Arial" w:hAnsi="Arial" w:cs="Arial"/>
          <w:color w:val="auto"/>
        </w:rPr>
      </w:pPr>
    </w:p>
    <w:p w14:paraId="1F796B0F" w14:textId="100CE7BB" w:rsidR="005B5702" w:rsidRPr="008E4BC7" w:rsidRDefault="005B5702" w:rsidP="005B5702">
      <w:pPr>
        <w:rPr>
          <w:rFonts w:ascii="Arial" w:hAnsi="Arial" w:cs="Arial"/>
          <w:color w:val="auto"/>
        </w:rPr>
      </w:pPr>
    </w:p>
    <w:p w14:paraId="5A22BD22" w14:textId="01BEB725" w:rsidR="005B5702" w:rsidRPr="008E4BC7" w:rsidRDefault="005B5702" w:rsidP="005B5702">
      <w:pPr>
        <w:rPr>
          <w:rFonts w:ascii="Arial" w:hAnsi="Arial" w:cs="Arial"/>
          <w:color w:val="auto"/>
        </w:rPr>
      </w:pPr>
    </w:p>
    <w:p w14:paraId="0C84A83D" w14:textId="463DA9FA" w:rsidR="005B5702" w:rsidRDefault="005B5702" w:rsidP="008E4BC7">
      <w:pPr>
        <w:pStyle w:val="Heading2"/>
        <w:rPr>
          <w:rFonts w:ascii="Arial" w:hAnsi="Arial" w:cs="Arial"/>
          <w:i/>
          <w:iCs/>
          <w:color w:val="auto"/>
        </w:rPr>
      </w:pPr>
      <w:bookmarkStart w:id="12" w:name="_Toc70692004"/>
      <w:bookmarkStart w:id="13" w:name="_Toc71309461"/>
      <w:r w:rsidRPr="008E4BC7">
        <w:rPr>
          <w:rFonts w:ascii="Arial" w:hAnsi="Arial" w:cs="Arial"/>
          <w:i/>
          <w:iCs/>
          <w:color w:val="auto"/>
        </w:rPr>
        <w:t>References</w:t>
      </w:r>
      <w:bookmarkEnd w:id="12"/>
      <w:bookmarkEnd w:id="13"/>
    </w:p>
    <w:p w14:paraId="37A806BD" w14:textId="698590AE" w:rsidR="006C7562" w:rsidRDefault="006C7562" w:rsidP="006C7562">
      <w:pPr>
        <w:rPr>
          <w:rFonts w:ascii="Arial" w:hAnsi="Arial" w:cs="Arial"/>
          <w:color w:val="auto"/>
          <w:sz w:val="24"/>
          <w:szCs w:val="24"/>
        </w:rPr>
      </w:pPr>
      <w:r>
        <w:rPr>
          <w:rFonts w:ascii="Arial" w:hAnsi="Arial" w:cs="Arial"/>
          <w:color w:val="auto"/>
          <w:sz w:val="24"/>
          <w:szCs w:val="24"/>
        </w:rPr>
        <w:t xml:space="preserve">Andrews, N. (2011) ‘Contract Law: Duress, Undue Influence, and Unconscionability’, </w:t>
      </w:r>
      <w:r>
        <w:rPr>
          <w:rFonts w:ascii="Arial" w:hAnsi="Arial" w:cs="Arial"/>
          <w:i/>
          <w:iCs/>
          <w:color w:val="auto"/>
          <w:sz w:val="24"/>
          <w:szCs w:val="24"/>
        </w:rPr>
        <w:t>Cambridge Books Online</w:t>
      </w:r>
      <w:r>
        <w:rPr>
          <w:rFonts w:ascii="Arial" w:hAnsi="Arial" w:cs="Arial"/>
          <w:color w:val="auto"/>
          <w:sz w:val="24"/>
          <w:szCs w:val="24"/>
        </w:rPr>
        <w:t xml:space="preserve">, 10(11), pp. 306-342. DOI: </w:t>
      </w:r>
      <w:r w:rsidRPr="006C7562">
        <w:rPr>
          <w:rFonts w:ascii="Arial" w:hAnsi="Arial" w:cs="Arial"/>
          <w:color w:val="auto"/>
          <w:sz w:val="24"/>
          <w:szCs w:val="24"/>
        </w:rPr>
        <w:t>10.1017/CBO9780511973567.012</w:t>
      </w:r>
      <w:r>
        <w:rPr>
          <w:rFonts w:ascii="Arial" w:hAnsi="Arial" w:cs="Arial"/>
          <w:color w:val="auto"/>
          <w:sz w:val="24"/>
          <w:szCs w:val="24"/>
        </w:rPr>
        <w:t xml:space="preserve"> </w:t>
      </w:r>
    </w:p>
    <w:p w14:paraId="440C4751" w14:textId="39062C7C" w:rsidR="00F806B7" w:rsidRPr="00F806B7" w:rsidRDefault="00F806B7" w:rsidP="006C7562">
      <w:pPr>
        <w:rPr>
          <w:rFonts w:ascii="Arial" w:hAnsi="Arial" w:cs="Arial"/>
          <w:color w:val="auto"/>
          <w:sz w:val="24"/>
          <w:szCs w:val="24"/>
        </w:rPr>
      </w:pPr>
      <w:r>
        <w:rPr>
          <w:rFonts w:ascii="Arial" w:hAnsi="Arial" w:cs="Arial"/>
          <w:color w:val="auto"/>
          <w:sz w:val="24"/>
          <w:szCs w:val="24"/>
        </w:rPr>
        <w:t xml:space="preserve">Beatson, J. (2010) </w:t>
      </w:r>
      <w:r>
        <w:rPr>
          <w:rFonts w:ascii="Arial" w:hAnsi="Arial" w:cs="Arial"/>
          <w:i/>
          <w:iCs/>
          <w:color w:val="auto"/>
          <w:sz w:val="24"/>
          <w:szCs w:val="24"/>
        </w:rPr>
        <w:t>Anson’s Law of Contract.</w:t>
      </w:r>
      <w:r>
        <w:rPr>
          <w:rFonts w:ascii="Arial" w:hAnsi="Arial" w:cs="Arial"/>
          <w:color w:val="auto"/>
          <w:sz w:val="24"/>
          <w:szCs w:val="24"/>
        </w:rPr>
        <w:t xml:space="preserve"> 29</w:t>
      </w:r>
      <w:r w:rsidRPr="00F806B7">
        <w:rPr>
          <w:rFonts w:ascii="Arial" w:hAnsi="Arial" w:cs="Arial"/>
          <w:color w:val="auto"/>
          <w:sz w:val="24"/>
          <w:szCs w:val="24"/>
          <w:vertAlign w:val="superscript"/>
        </w:rPr>
        <w:t>th</w:t>
      </w:r>
      <w:r>
        <w:rPr>
          <w:rFonts w:ascii="Arial" w:hAnsi="Arial" w:cs="Arial"/>
          <w:color w:val="auto"/>
          <w:sz w:val="24"/>
          <w:szCs w:val="24"/>
        </w:rPr>
        <w:t xml:space="preserve"> </w:t>
      </w:r>
      <w:proofErr w:type="spellStart"/>
      <w:r>
        <w:rPr>
          <w:rFonts w:ascii="Arial" w:hAnsi="Arial" w:cs="Arial"/>
          <w:color w:val="auto"/>
          <w:sz w:val="24"/>
          <w:szCs w:val="24"/>
        </w:rPr>
        <w:t>edn</w:t>
      </w:r>
      <w:proofErr w:type="spellEnd"/>
      <w:r>
        <w:rPr>
          <w:rFonts w:ascii="Arial" w:hAnsi="Arial" w:cs="Arial"/>
          <w:color w:val="auto"/>
          <w:sz w:val="24"/>
          <w:szCs w:val="24"/>
        </w:rPr>
        <w:t>. Oxford: Oxford University Press.</w:t>
      </w:r>
    </w:p>
    <w:p w14:paraId="0C334343" w14:textId="5D3E3C9C" w:rsidR="006C7562" w:rsidRPr="006C7562" w:rsidRDefault="006C7562" w:rsidP="006C7562">
      <w:pPr>
        <w:rPr>
          <w:rFonts w:ascii="Arial" w:hAnsi="Arial" w:cs="Arial"/>
          <w:color w:val="auto"/>
          <w:sz w:val="24"/>
          <w:szCs w:val="24"/>
        </w:rPr>
      </w:pPr>
      <w:r>
        <w:rPr>
          <w:rFonts w:ascii="Arial" w:hAnsi="Arial" w:cs="Arial"/>
          <w:color w:val="auto"/>
          <w:sz w:val="24"/>
          <w:szCs w:val="24"/>
        </w:rPr>
        <w:t xml:space="preserve">Peel, E. (2015) </w:t>
      </w:r>
      <w:proofErr w:type="spellStart"/>
      <w:r>
        <w:rPr>
          <w:rFonts w:ascii="Arial" w:hAnsi="Arial" w:cs="Arial"/>
          <w:i/>
          <w:iCs/>
          <w:color w:val="auto"/>
          <w:sz w:val="24"/>
          <w:szCs w:val="24"/>
        </w:rPr>
        <w:t>Treitel</w:t>
      </w:r>
      <w:proofErr w:type="spellEnd"/>
      <w:r>
        <w:rPr>
          <w:rFonts w:ascii="Arial" w:hAnsi="Arial" w:cs="Arial"/>
          <w:i/>
          <w:iCs/>
          <w:color w:val="auto"/>
          <w:sz w:val="24"/>
          <w:szCs w:val="24"/>
        </w:rPr>
        <w:t xml:space="preserve"> The Law of Contract. </w:t>
      </w:r>
      <w:r>
        <w:rPr>
          <w:rFonts w:ascii="Arial" w:hAnsi="Arial" w:cs="Arial"/>
          <w:color w:val="auto"/>
          <w:sz w:val="24"/>
          <w:szCs w:val="24"/>
        </w:rPr>
        <w:t>14</w:t>
      </w:r>
      <w:r w:rsidRPr="006C7562">
        <w:rPr>
          <w:rFonts w:ascii="Arial" w:hAnsi="Arial" w:cs="Arial"/>
          <w:color w:val="auto"/>
          <w:sz w:val="24"/>
          <w:szCs w:val="24"/>
          <w:vertAlign w:val="superscript"/>
        </w:rPr>
        <w:t>th</w:t>
      </w:r>
      <w:r>
        <w:rPr>
          <w:rFonts w:ascii="Arial" w:hAnsi="Arial" w:cs="Arial"/>
          <w:color w:val="auto"/>
          <w:sz w:val="24"/>
          <w:szCs w:val="24"/>
        </w:rPr>
        <w:t xml:space="preserve"> </w:t>
      </w:r>
      <w:proofErr w:type="spellStart"/>
      <w:r>
        <w:rPr>
          <w:rFonts w:ascii="Arial" w:hAnsi="Arial" w:cs="Arial"/>
          <w:color w:val="auto"/>
          <w:sz w:val="24"/>
          <w:szCs w:val="24"/>
        </w:rPr>
        <w:t>edn</w:t>
      </w:r>
      <w:proofErr w:type="spellEnd"/>
      <w:r>
        <w:rPr>
          <w:rFonts w:ascii="Arial" w:hAnsi="Arial" w:cs="Arial"/>
          <w:color w:val="auto"/>
          <w:sz w:val="24"/>
          <w:szCs w:val="24"/>
        </w:rPr>
        <w:t>. London: Sweet &amp; Maxwell Ltd.</w:t>
      </w:r>
    </w:p>
    <w:p w14:paraId="46AEC59E" w14:textId="005306A9" w:rsidR="006C7562" w:rsidRDefault="006C7562" w:rsidP="006C7562">
      <w:pPr>
        <w:rPr>
          <w:rFonts w:ascii="Arial" w:hAnsi="Arial" w:cs="Arial"/>
          <w:color w:val="auto"/>
          <w:sz w:val="24"/>
          <w:szCs w:val="24"/>
        </w:rPr>
      </w:pPr>
      <w:r>
        <w:rPr>
          <w:rFonts w:ascii="Arial" w:hAnsi="Arial" w:cs="Arial"/>
          <w:color w:val="auto"/>
          <w:sz w:val="24"/>
          <w:szCs w:val="24"/>
        </w:rPr>
        <w:t xml:space="preserve">Richards, P (2017) </w:t>
      </w:r>
      <w:r>
        <w:rPr>
          <w:rFonts w:ascii="Arial" w:hAnsi="Arial" w:cs="Arial"/>
          <w:i/>
          <w:iCs/>
          <w:color w:val="auto"/>
          <w:sz w:val="24"/>
          <w:szCs w:val="24"/>
        </w:rPr>
        <w:t xml:space="preserve">Law of Contract. </w:t>
      </w:r>
      <w:r>
        <w:rPr>
          <w:rFonts w:ascii="Arial" w:hAnsi="Arial" w:cs="Arial"/>
          <w:color w:val="auto"/>
          <w:sz w:val="24"/>
          <w:szCs w:val="24"/>
        </w:rPr>
        <w:t>13</w:t>
      </w:r>
      <w:r w:rsidRPr="006C7562">
        <w:rPr>
          <w:rFonts w:ascii="Arial" w:hAnsi="Arial" w:cs="Arial"/>
          <w:color w:val="auto"/>
          <w:sz w:val="24"/>
          <w:szCs w:val="24"/>
          <w:vertAlign w:val="superscript"/>
        </w:rPr>
        <w:t>th</w:t>
      </w:r>
      <w:r>
        <w:rPr>
          <w:rFonts w:ascii="Arial" w:hAnsi="Arial" w:cs="Arial"/>
          <w:color w:val="auto"/>
          <w:sz w:val="24"/>
          <w:szCs w:val="24"/>
        </w:rPr>
        <w:t xml:space="preserve"> </w:t>
      </w:r>
      <w:proofErr w:type="spellStart"/>
      <w:r>
        <w:rPr>
          <w:rFonts w:ascii="Arial" w:hAnsi="Arial" w:cs="Arial"/>
          <w:color w:val="auto"/>
          <w:sz w:val="24"/>
          <w:szCs w:val="24"/>
        </w:rPr>
        <w:t>edn</w:t>
      </w:r>
      <w:proofErr w:type="spellEnd"/>
      <w:r>
        <w:rPr>
          <w:rFonts w:ascii="Arial" w:hAnsi="Arial" w:cs="Arial"/>
          <w:color w:val="auto"/>
          <w:sz w:val="24"/>
          <w:szCs w:val="24"/>
        </w:rPr>
        <w:t>. London: Pearson.</w:t>
      </w:r>
    </w:p>
    <w:p w14:paraId="6ADF753B" w14:textId="40F24F89" w:rsidR="006C7562" w:rsidRDefault="006C7562" w:rsidP="006C7562">
      <w:pPr>
        <w:rPr>
          <w:rFonts w:ascii="Arial" w:hAnsi="Arial" w:cs="Arial"/>
          <w:color w:val="auto"/>
          <w:sz w:val="24"/>
          <w:szCs w:val="24"/>
        </w:rPr>
      </w:pPr>
      <w:r>
        <w:rPr>
          <w:rFonts w:ascii="Arial" w:hAnsi="Arial" w:cs="Arial"/>
          <w:color w:val="auto"/>
          <w:sz w:val="24"/>
          <w:szCs w:val="24"/>
        </w:rPr>
        <w:t xml:space="preserve">Stone, R. and </w:t>
      </w:r>
      <w:proofErr w:type="spellStart"/>
      <w:r>
        <w:rPr>
          <w:rFonts w:ascii="Arial" w:hAnsi="Arial" w:cs="Arial"/>
          <w:color w:val="auto"/>
          <w:sz w:val="24"/>
          <w:szCs w:val="24"/>
        </w:rPr>
        <w:t>Devenney</w:t>
      </w:r>
      <w:proofErr w:type="spellEnd"/>
      <w:r>
        <w:rPr>
          <w:rFonts w:ascii="Arial" w:hAnsi="Arial" w:cs="Arial"/>
          <w:color w:val="auto"/>
          <w:sz w:val="24"/>
          <w:szCs w:val="24"/>
        </w:rPr>
        <w:t xml:space="preserve">, J. (2015) </w:t>
      </w:r>
      <w:r>
        <w:rPr>
          <w:rFonts w:ascii="Arial" w:hAnsi="Arial" w:cs="Arial"/>
          <w:i/>
          <w:iCs/>
          <w:color w:val="auto"/>
          <w:sz w:val="24"/>
          <w:szCs w:val="24"/>
        </w:rPr>
        <w:t>The Modern Law of Contract.</w:t>
      </w:r>
      <w:r>
        <w:rPr>
          <w:rFonts w:ascii="Arial" w:hAnsi="Arial" w:cs="Arial"/>
          <w:color w:val="auto"/>
          <w:sz w:val="24"/>
          <w:szCs w:val="24"/>
        </w:rPr>
        <w:t xml:space="preserve"> 11</w:t>
      </w:r>
      <w:r w:rsidRPr="006C7562">
        <w:rPr>
          <w:rFonts w:ascii="Arial" w:hAnsi="Arial" w:cs="Arial"/>
          <w:color w:val="auto"/>
          <w:sz w:val="24"/>
          <w:szCs w:val="24"/>
          <w:vertAlign w:val="superscript"/>
        </w:rPr>
        <w:t>th</w:t>
      </w:r>
      <w:r>
        <w:rPr>
          <w:rFonts w:ascii="Arial" w:hAnsi="Arial" w:cs="Arial"/>
          <w:color w:val="auto"/>
          <w:sz w:val="24"/>
          <w:szCs w:val="24"/>
        </w:rPr>
        <w:t xml:space="preserve"> </w:t>
      </w:r>
      <w:proofErr w:type="spellStart"/>
      <w:r>
        <w:rPr>
          <w:rFonts w:ascii="Arial" w:hAnsi="Arial" w:cs="Arial"/>
          <w:color w:val="auto"/>
          <w:sz w:val="24"/>
          <w:szCs w:val="24"/>
        </w:rPr>
        <w:t>edn</w:t>
      </w:r>
      <w:proofErr w:type="spellEnd"/>
      <w:r>
        <w:rPr>
          <w:rFonts w:ascii="Arial" w:hAnsi="Arial" w:cs="Arial"/>
          <w:color w:val="auto"/>
          <w:sz w:val="24"/>
          <w:szCs w:val="24"/>
        </w:rPr>
        <w:t xml:space="preserve">. London: Routledge. </w:t>
      </w:r>
    </w:p>
    <w:p w14:paraId="2AE20699" w14:textId="23CCBB4B" w:rsidR="00F806B7" w:rsidRPr="00F806B7" w:rsidRDefault="00F806B7" w:rsidP="006C7562">
      <w:pPr>
        <w:rPr>
          <w:rFonts w:ascii="Arial" w:hAnsi="Arial" w:cs="Arial"/>
          <w:color w:val="auto"/>
          <w:sz w:val="24"/>
          <w:szCs w:val="24"/>
        </w:rPr>
      </w:pPr>
      <w:r>
        <w:rPr>
          <w:rFonts w:ascii="Arial" w:hAnsi="Arial" w:cs="Arial"/>
          <w:color w:val="auto"/>
          <w:sz w:val="24"/>
          <w:szCs w:val="24"/>
        </w:rPr>
        <w:t xml:space="preserve">Yee, T. (2008) </w:t>
      </w:r>
      <w:r>
        <w:rPr>
          <w:rFonts w:ascii="Arial" w:hAnsi="Arial" w:cs="Arial"/>
          <w:i/>
          <w:iCs/>
          <w:color w:val="auto"/>
          <w:sz w:val="24"/>
          <w:szCs w:val="24"/>
        </w:rPr>
        <w:t xml:space="preserve">The </w:t>
      </w:r>
      <w:proofErr w:type="spellStart"/>
      <w:r>
        <w:rPr>
          <w:rFonts w:ascii="Arial" w:hAnsi="Arial" w:cs="Arial"/>
          <w:i/>
          <w:iCs/>
          <w:color w:val="auto"/>
          <w:sz w:val="24"/>
          <w:szCs w:val="24"/>
        </w:rPr>
        <w:t>Etridge</w:t>
      </w:r>
      <w:proofErr w:type="spellEnd"/>
      <w:r>
        <w:rPr>
          <w:rFonts w:ascii="Arial" w:hAnsi="Arial" w:cs="Arial"/>
          <w:i/>
          <w:iCs/>
          <w:color w:val="auto"/>
          <w:sz w:val="24"/>
          <w:szCs w:val="24"/>
        </w:rPr>
        <w:t xml:space="preserve"> Influence on Undue Influence: Attempts at Fusion with Duress and Unconscionability. </w:t>
      </w:r>
      <w:r>
        <w:rPr>
          <w:rFonts w:ascii="Arial" w:hAnsi="Arial" w:cs="Arial"/>
          <w:color w:val="auto"/>
          <w:sz w:val="24"/>
          <w:szCs w:val="24"/>
        </w:rPr>
        <w:t xml:space="preserve">PhD Thesis. University of Canterbury. Available at: </w:t>
      </w:r>
      <w:hyperlink r:id="rId9" w:history="1">
        <w:r w:rsidRPr="00C64F61">
          <w:rPr>
            <w:rStyle w:val="Hyperlink"/>
            <w:rFonts w:ascii="Arial" w:hAnsi="Arial" w:cs="Arial"/>
            <w:sz w:val="24"/>
            <w:szCs w:val="24"/>
          </w:rPr>
          <w:t>https://ir.canterbury.ac.nz/bitstream/handle/10092/853/thesis_fulltext.pdf?sequence=1&amp;isAllowed=y</w:t>
        </w:r>
      </w:hyperlink>
      <w:r>
        <w:rPr>
          <w:rFonts w:ascii="Arial" w:hAnsi="Arial" w:cs="Arial"/>
          <w:color w:val="auto"/>
          <w:sz w:val="24"/>
          <w:szCs w:val="24"/>
        </w:rPr>
        <w:t xml:space="preserve"> (Accessed: 1</w:t>
      </w:r>
      <w:r w:rsidRPr="00F806B7">
        <w:rPr>
          <w:rFonts w:ascii="Arial" w:hAnsi="Arial" w:cs="Arial"/>
          <w:color w:val="auto"/>
          <w:sz w:val="24"/>
          <w:szCs w:val="24"/>
          <w:vertAlign w:val="superscript"/>
        </w:rPr>
        <w:t>st</w:t>
      </w:r>
      <w:r>
        <w:rPr>
          <w:rFonts w:ascii="Arial" w:hAnsi="Arial" w:cs="Arial"/>
          <w:color w:val="auto"/>
          <w:sz w:val="24"/>
          <w:szCs w:val="24"/>
        </w:rPr>
        <w:t xml:space="preserve"> May 2021).</w:t>
      </w:r>
    </w:p>
    <w:sectPr w:rsidR="00F806B7" w:rsidRPr="00F806B7">
      <w:headerReference w:type="default" r:id="rId10"/>
      <w:headerReference w:type="first" r:id="rId11"/>
      <w:footerReference w:type="first" r:id="rId12"/>
      <w:pgSz w:w="12240" w:h="15840"/>
      <w:pgMar w:top="1080" w:right="1440" w:bottom="108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0E46F1" w14:textId="77777777" w:rsidR="00D14C93" w:rsidRDefault="00D14C93">
      <w:pPr>
        <w:spacing w:before="0" w:line="240" w:lineRule="auto"/>
      </w:pPr>
      <w:r>
        <w:separator/>
      </w:r>
    </w:p>
  </w:endnote>
  <w:endnote w:type="continuationSeparator" w:id="0">
    <w:p w14:paraId="27DF378F" w14:textId="77777777" w:rsidR="00D14C93" w:rsidRDefault="00D14C9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roxima Nova">
    <w:altName w:val="Tahoma"/>
    <w:charset w:val="00"/>
    <w:family w:val="auto"/>
    <w:pitch w:val="default"/>
  </w:font>
  <w:font w:name="Trebuchet MS">
    <w:altName w:val="﷽﷽﷽﷽﷽﷽﷽﷽t MS"/>
    <w:panose1 w:val="020B0603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Cambria">
    <w:panose1 w:val="0204050305040603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7BB46" w14:textId="77777777" w:rsidR="00077AC8" w:rsidRDefault="00077AC8">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82DAF" w14:textId="77777777" w:rsidR="00D14C93" w:rsidRDefault="00D14C93">
      <w:pPr>
        <w:spacing w:before="0" w:line="240" w:lineRule="auto"/>
      </w:pPr>
      <w:r>
        <w:separator/>
      </w:r>
    </w:p>
  </w:footnote>
  <w:footnote w:type="continuationSeparator" w:id="0">
    <w:p w14:paraId="7E42DD8E" w14:textId="77777777" w:rsidR="00D14C93" w:rsidRDefault="00D14C93">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10BFAB" w14:textId="77777777" w:rsidR="00077AC8" w:rsidRDefault="00077AC8">
    <w:pPr>
      <w:pBdr>
        <w:top w:val="nil"/>
        <w:left w:val="nil"/>
        <w:bottom w:val="nil"/>
        <w:right w:val="nil"/>
        <w:between w:val="nil"/>
      </w:pBdr>
      <w:spacing w:before="400"/>
    </w:pPr>
  </w:p>
  <w:p w14:paraId="5695ACC8" w14:textId="77777777" w:rsidR="00077AC8" w:rsidRDefault="00D14C93">
    <w:pPr>
      <w:pBdr>
        <w:top w:val="nil"/>
        <w:left w:val="nil"/>
        <w:bottom w:val="nil"/>
        <w:right w:val="nil"/>
        <w:between w:val="nil"/>
      </w:pBdr>
      <w:spacing w:before="0"/>
    </w:pPr>
    <w:r>
      <w:rPr>
        <w:noProof/>
      </w:rPr>
      <w:drawing>
        <wp:inline distT="114300" distB="114300" distL="114300" distR="114300" wp14:anchorId="0C0BE209" wp14:editId="3EEB1B22">
          <wp:extent cx="5943600" cy="38100"/>
          <wp:effectExtent l="0" t="0" r="0" b="0"/>
          <wp:docPr id="2"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5943600" cy="381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4EB054" w14:textId="19B6019C" w:rsidR="00077AC8" w:rsidRDefault="005B5702">
    <w:pPr>
      <w:pBdr>
        <w:top w:val="nil"/>
        <w:left w:val="nil"/>
        <w:bottom w:val="nil"/>
        <w:right w:val="nil"/>
        <w:between w:val="nil"/>
      </w:pBdr>
    </w:pPr>
    <w:r>
      <w:rPr>
        <w:noProof/>
      </w:rPr>
      <w:drawing>
        <wp:anchor distT="0" distB="0" distL="114300" distR="114300" simplePos="0" relativeHeight="251658240" behindDoc="0" locked="0" layoutInCell="1" allowOverlap="1" wp14:anchorId="766875DD" wp14:editId="725C293C">
          <wp:simplePos x="0" y="0"/>
          <wp:positionH relativeFrom="column">
            <wp:posOffset>4861367</wp:posOffset>
          </wp:positionH>
          <wp:positionV relativeFrom="paragraph">
            <wp:posOffset>34403</wp:posOffset>
          </wp:positionV>
          <wp:extent cx="1950495" cy="778820"/>
          <wp:effectExtent l="0" t="0" r="5715" b="0"/>
          <wp:wrapThrough wrapText="bothSides">
            <wp:wrapPolygon edited="0">
              <wp:start x="0" y="0"/>
              <wp:lineTo x="0" y="21142"/>
              <wp:lineTo x="21523" y="21142"/>
              <wp:lineTo x="21523"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50495" cy="778820"/>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AC8"/>
    <w:rsid w:val="00077AC8"/>
    <w:rsid w:val="001C340F"/>
    <w:rsid w:val="005844B1"/>
    <w:rsid w:val="005B5702"/>
    <w:rsid w:val="006C7562"/>
    <w:rsid w:val="006E468A"/>
    <w:rsid w:val="008E4BC7"/>
    <w:rsid w:val="00BF1F3E"/>
    <w:rsid w:val="00CE1B9F"/>
    <w:rsid w:val="00D14C93"/>
    <w:rsid w:val="00F8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EFDEC9"/>
  <w15:docId w15:val="{36B86C6D-00FD-4842-AB9C-47791364D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Proxima Nova" w:eastAsia="Proxima Nova" w:hAnsi="Proxima Nova" w:cs="Proxima Nova"/>
        <w:color w:val="353744"/>
        <w:sz w:val="22"/>
        <w:szCs w:val="22"/>
        <w:lang w:val="en" w:eastAsia="en-GB" w:bidi="ar-SA"/>
      </w:rPr>
    </w:rPrDefault>
    <w:pPrDefault>
      <w:pPr>
        <w:spacing w:before="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line="240" w:lineRule="auto"/>
      <w:outlineLvl w:val="0"/>
    </w:pPr>
    <w:rPr>
      <w:b/>
      <w:sz w:val="28"/>
      <w:szCs w:val="28"/>
    </w:rPr>
  </w:style>
  <w:style w:type="paragraph" w:styleId="Heading2">
    <w:name w:val="heading 2"/>
    <w:basedOn w:val="Normal"/>
    <w:next w:val="Normal"/>
    <w:uiPriority w:val="9"/>
    <w:unhideWhenUsed/>
    <w:qFormat/>
    <w:pPr>
      <w:spacing w:before="320" w:line="240" w:lineRule="auto"/>
      <w:outlineLvl w:val="1"/>
    </w:pPr>
    <w:rPr>
      <w:b/>
      <w:color w:val="00AB44"/>
      <w:sz w:val="28"/>
      <w:szCs w:val="28"/>
    </w:rPr>
  </w:style>
  <w:style w:type="paragraph" w:styleId="Heading3">
    <w:name w:val="heading 3"/>
    <w:basedOn w:val="Normal"/>
    <w:next w:val="Normal"/>
    <w:uiPriority w:val="9"/>
    <w:semiHidden/>
    <w:unhideWhenUsed/>
    <w:qFormat/>
    <w:pPr>
      <w:spacing w:line="240" w:lineRule="auto"/>
      <w:outlineLvl w:val="2"/>
    </w:pPr>
    <w:rPr>
      <w:sz w:val="26"/>
      <w:szCs w:val="26"/>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320" w:line="240" w:lineRule="auto"/>
    </w:pPr>
    <w:rPr>
      <w:sz w:val="72"/>
      <w:szCs w:val="72"/>
    </w:rPr>
  </w:style>
  <w:style w:type="paragraph" w:styleId="Subtitle">
    <w:name w:val="Subtitle"/>
    <w:basedOn w:val="Normal"/>
    <w:next w:val="Normal"/>
    <w:uiPriority w:val="11"/>
    <w:qFormat/>
    <w:pPr>
      <w:spacing w:before="0" w:line="240" w:lineRule="auto"/>
    </w:pPr>
    <w:rPr>
      <w:color w:val="666666"/>
      <w:sz w:val="26"/>
      <w:szCs w:val="26"/>
    </w:rPr>
  </w:style>
  <w:style w:type="paragraph" w:styleId="Header">
    <w:name w:val="header"/>
    <w:basedOn w:val="Normal"/>
    <w:link w:val="HeaderChar"/>
    <w:uiPriority w:val="99"/>
    <w:unhideWhenUsed/>
    <w:rsid w:val="005B570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5B5702"/>
  </w:style>
  <w:style w:type="paragraph" w:styleId="Footer">
    <w:name w:val="footer"/>
    <w:basedOn w:val="Normal"/>
    <w:link w:val="FooterChar"/>
    <w:uiPriority w:val="99"/>
    <w:unhideWhenUsed/>
    <w:rsid w:val="005B570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5B5702"/>
  </w:style>
  <w:style w:type="paragraph" w:styleId="TOCHeading">
    <w:name w:val="TOC Heading"/>
    <w:basedOn w:val="Heading1"/>
    <w:next w:val="Normal"/>
    <w:uiPriority w:val="39"/>
    <w:unhideWhenUsed/>
    <w:qFormat/>
    <w:rsid w:val="005B5702"/>
    <w:pPr>
      <w:keepNext/>
      <w:keepLines/>
      <w:spacing w:line="276" w:lineRule="auto"/>
      <w:outlineLvl w:val="9"/>
    </w:pPr>
    <w:rPr>
      <w:rFonts w:asciiTheme="majorHAnsi" w:eastAsiaTheme="majorEastAsia" w:hAnsiTheme="majorHAnsi" w:cstheme="majorBidi"/>
      <w:bCs/>
      <w:color w:val="365F91" w:themeColor="accent1" w:themeShade="BF"/>
      <w:lang w:val="en-US" w:eastAsia="en-US"/>
    </w:rPr>
  </w:style>
  <w:style w:type="paragraph" w:styleId="TOC2">
    <w:name w:val="toc 2"/>
    <w:basedOn w:val="Normal"/>
    <w:next w:val="Normal"/>
    <w:autoRedefine/>
    <w:uiPriority w:val="39"/>
    <w:unhideWhenUsed/>
    <w:rsid w:val="005B5702"/>
    <w:pPr>
      <w:spacing w:before="120"/>
      <w:ind w:left="220"/>
    </w:pPr>
    <w:rPr>
      <w:rFonts w:asciiTheme="minorHAnsi" w:hAnsiTheme="minorHAnsi"/>
      <w:b/>
      <w:bCs/>
    </w:rPr>
  </w:style>
  <w:style w:type="paragraph" w:styleId="TOC1">
    <w:name w:val="toc 1"/>
    <w:basedOn w:val="Normal"/>
    <w:next w:val="Normal"/>
    <w:autoRedefine/>
    <w:uiPriority w:val="39"/>
    <w:unhideWhenUsed/>
    <w:rsid w:val="005B5702"/>
    <w:pPr>
      <w:spacing w:before="120"/>
    </w:pPr>
    <w:rPr>
      <w:rFonts w:asciiTheme="minorHAnsi" w:hAnsiTheme="minorHAnsi"/>
      <w:b/>
      <w:bCs/>
      <w:i/>
      <w:iCs/>
      <w:sz w:val="24"/>
      <w:szCs w:val="24"/>
    </w:rPr>
  </w:style>
  <w:style w:type="paragraph" w:styleId="TOC3">
    <w:name w:val="toc 3"/>
    <w:basedOn w:val="Normal"/>
    <w:next w:val="Normal"/>
    <w:autoRedefine/>
    <w:uiPriority w:val="39"/>
    <w:unhideWhenUsed/>
    <w:rsid w:val="005B5702"/>
    <w:pPr>
      <w:spacing w:before="0"/>
      <w:ind w:left="440"/>
    </w:pPr>
    <w:rPr>
      <w:rFonts w:asciiTheme="minorHAnsi" w:hAnsiTheme="minorHAnsi"/>
      <w:sz w:val="20"/>
      <w:szCs w:val="20"/>
    </w:rPr>
  </w:style>
  <w:style w:type="paragraph" w:styleId="TOC4">
    <w:name w:val="toc 4"/>
    <w:basedOn w:val="Normal"/>
    <w:next w:val="Normal"/>
    <w:autoRedefine/>
    <w:uiPriority w:val="39"/>
    <w:semiHidden/>
    <w:unhideWhenUsed/>
    <w:rsid w:val="005B5702"/>
    <w:pPr>
      <w:spacing w:before="0"/>
      <w:ind w:left="660"/>
    </w:pPr>
    <w:rPr>
      <w:rFonts w:asciiTheme="minorHAnsi" w:hAnsiTheme="minorHAnsi"/>
      <w:sz w:val="20"/>
      <w:szCs w:val="20"/>
    </w:rPr>
  </w:style>
  <w:style w:type="paragraph" w:styleId="TOC5">
    <w:name w:val="toc 5"/>
    <w:basedOn w:val="Normal"/>
    <w:next w:val="Normal"/>
    <w:autoRedefine/>
    <w:uiPriority w:val="39"/>
    <w:semiHidden/>
    <w:unhideWhenUsed/>
    <w:rsid w:val="005B5702"/>
    <w:pPr>
      <w:spacing w:before="0"/>
      <w:ind w:left="880"/>
    </w:pPr>
    <w:rPr>
      <w:rFonts w:asciiTheme="minorHAnsi" w:hAnsiTheme="minorHAnsi"/>
      <w:sz w:val="20"/>
      <w:szCs w:val="20"/>
    </w:rPr>
  </w:style>
  <w:style w:type="paragraph" w:styleId="TOC6">
    <w:name w:val="toc 6"/>
    <w:basedOn w:val="Normal"/>
    <w:next w:val="Normal"/>
    <w:autoRedefine/>
    <w:uiPriority w:val="39"/>
    <w:semiHidden/>
    <w:unhideWhenUsed/>
    <w:rsid w:val="005B5702"/>
    <w:pPr>
      <w:spacing w:before="0"/>
      <w:ind w:left="1100"/>
    </w:pPr>
    <w:rPr>
      <w:rFonts w:asciiTheme="minorHAnsi" w:hAnsiTheme="minorHAnsi"/>
      <w:sz w:val="20"/>
      <w:szCs w:val="20"/>
    </w:rPr>
  </w:style>
  <w:style w:type="paragraph" w:styleId="TOC7">
    <w:name w:val="toc 7"/>
    <w:basedOn w:val="Normal"/>
    <w:next w:val="Normal"/>
    <w:autoRedefine/>
    <w:uiPriority w:val="39"/>
    <w:semiHidden/>
    <w:unhideWhenUsed/>
    <w:rsid w:val="005B5702"/>
    <w:pPr>
      <w:spacing w:before="0"/>
      <w:ind w:left="1320"/>
    </w:pPr>
    <w:rPr>
      <w:rFonts w:asciiTheme="minorHAnsi" w:hAnsiTheme="minorHAnsi"/>
      <w:sz w:val="20"/>
      <w:szCs w:val="20"/>
    </w:rPr>
  </w:style>
  <w:style w:type="paragraph" w:styleId="TOC8">
    <w:name w:val="toc 8"/>
    <w:basedOn w:val="Normal"/>
    <w:next w:val="Normal"/>
    <w:autoRedefine/>
    <w:uiPriority w:val="39"/>
    <w:semiHidden/>
    <w:unhideWhenUsed/>
    <w:rsid w:val="005B5702"/>
    <w:pPr>
      <w:spacing w:before="0"/>
      <w:ind w:left="1540"/>
    </w:pPr>
    <w:rPr>
      <w:rFonts w:asciiTheme="minorHAnsi" w:hAnsiTheme="minorHAnsi"/>
      <w:sz w:val="20"/>
      <w:szCs w:val="20"/>
    </w:rPr>
  </w:style>
  <w:style w:type="paragraph" w:styleId="TOC9">
    <w:name w:val="toc 9"/>
    <w:basedOn w:val="Normal"/>
    <w:next w:val="Normal"/>
    <w:autoRedefine/>
    <w:uiPriority w:val="39"/>
    <w:semiHidden/>
    <w:unhideWhenUsed/>
    <w:rsid w:val="005B5702"/>
    <w:pPr>
      <w:spacing w:before="0"/>
      <w:ind w:left="1760"/>
    </w:pPr>
    <w:rPr>
      <w:rFonts w:asciiTheme="minorHAnsi" w:hAnsiTheme="minorHAnsi"/>
      <w:sz w:val="20"/>
      <w:szCs w:val="20"/>
    </w:rPr>
  </w:style>
  <w:style w:type="character" w:styleId="Hyperlink">
    <w:name w:val="Hyperlink"/>
    <w:basedOn w:val="DefaultParagraphFont"/>
    <w:uiPriority w:val="99"/>
    <w:unhideWhenUsed/>
    <w:rsid w:val="008E4BC7"/>
    <w:rPr>
      <w:color w:val="0000FF" w:themeColor="hyperlink"/>
      <w:u w:val="single"/>
    </w:rPr>
  </w:style>
  <w:style w:type="character" w:styleId="UnresolvedMention">
    <w:name w:val="Unresolved Mention"/>
    <w:basedOn w:val="DefaultParagraphFont"/>
    <w:uiPriority w:val="99"/>
    <w:semiHidden/>
    <w:unhideWhenUsed/>
    <w:rsid w:val="00F806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269629">
      <w:bodyDiv w:val="1"/>
      <w:marLeft w:val="0"/>
      <w:marRight w:val="0"/>
      <w:marTop w:val="0"/>
      <w:marBottom w:val="0"/>
      <w:divBdr>
        <w:top w:val="none" w:sz="0" w:space="0" w:color="auto"/>
        <w:left w:val="none" w:sz="0" w:space="0" w:color="auto"/>
        <w:bottom w:val="none" w:sz="0" w:space="0" w:color="auto"/>
        <w:right w:val="none" w:sz="0" w:space="0" w:color="auto"/>
      </w:divBdr>
    </w:div>
    <w:div w:id="829836065">
      <w:bodyDiv w:val="1"/>
      <w:marLeft w:val="0"/>
      <w:marRight w:val="0"/>
      <w:marTop w:val="0"/>
      <w:marBottom w:val="0"/>
      <w:divBdr>
        <w:top w:val="none" w:sz="0" w:space="0" w:color="auto"/>
        <w:left w:val="none" w:sz="0" w:space="0" w:color="auto"/>
        <w:bottom w:val="none" w:sz="0" w:space="0" w:color="auto"/>
        <w:right w:val="none" w:sz="0" w:space="0" w:color="auto"/>
      </w:divBdr>
    </w:div>
    <w:div w:id="14375540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ir.canterbury.ac.nz/bitstream/handle/10092/853/thesis_fulltext.pdf?sequence=1&amp;isAllowed=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E5945-8830-5B46-86DD-E13F75635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7</Pages>
  <Words>909</Words>
  <Characters>5187</Characters>
  <Application>Microsoft Office Word</Application>
  <DocSecurity>0</DocSecurity>
  <Lines>43</Lines>
  <Paragraphs>12</Paragraphs>
  <ScaleCrop>false</ScaleCrop>
  <Company/>
  <LinksUpToDate>false</LinksUpToDate>
  <CharactersWithSpaces>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Elizabeth Twomey</cp:lastModifiedBy>
  <cp:revision>11</cp:revision>
  <dcterms:created xsi:type="dcterms:W3CDTF">2021-04-30T15:13:00Z</dcterms:created>
  <dcterms:modified xsi:type="dcterms:W3CDTF">2021-05-07T22:50:00Z</dcterms:modified>
</cp:coreProperties>
</file>