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F3D10" w14:textId="77777777" w:rsidR="00602372" w:rsidRDefault="00FA222B">
      <w:pPr>
        <w:rPr>
          <w:rFonts w:ascii="Arial" w:hAnsi="Arial" w:cs="Arial"/>
        </w:rPr>
      </w:pPr>
      <w:bookmarkStart w:id="0" w:name="_Toc213762810"/>
      <w:r>
        <w:rPr>
          <w:rFonts w:ascii="Arial" w:eastAsiaTheme="majorEastAsia" w:hAnsi="Arial" w:cs="Arial"/>
          <w:caps/>
          <w:noProof/>
          <w:lang w:val="en-IN" w:eastAsia="en-IN"/>
        </w:rPr>
        <w:drawing>
          <wp:anchor distT="0" distB="0" distL="114300" distR="114300" simplePos="0" relativeHeight="251658240" behindDoc="0" locked="0" layoutInCell="1" allowOverlap="1" wp14:anchorId="0629B96A" wp14:editId="09BAD70D">
            <wp:simplePos x="0" y="0"/>
            <wp:positionH relativeFrom="column">
              <wp:posOffset>3810000</wp:posOffset>
            </wp:positionH>
            <wp:positionV relativeFrom="paragraph">
              <wp:posOffset>177800</wp:posOffset>
            </wp:positionV>
            <wp:extent cx="1227455" cy="673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png"/>
                    <pic:cNvPicPr/>
                  </pic:nvPicPr>
                  <pic:blipFill>
                    <a:blip r:embed="rId8">
                      <a:extLst>
                        <a:ext uri="{28A0092B-C50C-407E-A947-70E740481C1C}">
                          <a14:useLocalDpi xmlns:a14="http://schemas.microsoft.com/office/drawing/2010/main" val="0"/>
                        </a:ext>
                      </a:extLst>
                    </a:blip>
                    <a:stretch>
                      <a:fillRect/>
                    </a:stretch>
                  </pic:blipFill>
                  <pic:spPr>
                    <a:xfrm>
                      <a:off x="0" y="0"/>
                      <a:ext cx="1227455" cy="673100"/>
                    </a:xfrm>
                    <a:prstGeom prst="rect">
                      <a:avLst/>
                    </a:prstGeom>
                  </pic:spPr>
                </pic:pic>
              </a:graphicData>
            </a:graphic>
            <wp14:sizeRelH relativeFrom="margin">
              <wp14:pctWidth>0</wp14:pctWidth>
            </wp14:sizeRelH>
            <wp14:sizeRelV relativeFrom="margin">
              <wp14:pctHeight>0</wp14:pctHeight>
            </wp14:sizeRelV>
          </wp:anchor>
        </w:drawing>
      </w:r>
    </w:p>
    <w:p w14:paraId="71F65731" w14:textId="77777777" w:rsidR="00602372" w:rsidRDefault="00602372">
      <w:pPr>
        <w:rPr>
          <w:rFonts w:ascii="Arial" w:hAnsi="Arial" w:cs="Arial"/>
        </w:rPr>
      </w:pPr>
    </w:p>
    <w:p w14:paraId="127BDE7A" w14:textId="77777777" w:rsidR="00602372" w:rsidRDefault="00602372">
      <w:pPr>
        <w:rPr>
          <w:rFonts w:ascii="Arial" w:hAnsi="Arial" w:cs="Arial"/>
        </w:rPr>
      </w:pPr>
    </w:p>
    <w:p w14:paraId="3512A28C" w14:textId="77777777" w:rsidR="00602372" w:rsidRDefault="00602372">
      <w:pPr>
        <w:rPr>
          <w:rFonts w:ascii="Arial" w:hAnsi="Arial" w:cs="Arial"/>
        </w:rPr>
      </w:pPr>
    </w:p>
    <w:p w14:paraId="26F29F7D" w14:textId="77777777" w:rsidR="00602372" w:rsidRDefault="00602372">
      <w:pPr>
        <w:rPr>
          <w:rFonts w:ascii="Arial" w:hAnsi="Arial" w:cs="Arial"/>
        </w:rPr>
      </w:pPr>
    </w:p>
    <w:p w14:paraId="44DD54F4" w14:textId="77777777" w:rsidR="00602372" w:rsidRDefault="00602372" w:rsidP="00FA222B">
      <w:pPr>
        <w:jc w:val="center"/>
        <w:rPr>
          <w:rFonts w:ascii="Arial" w:hAnsi="Arial" w:cs="Arial"/>
        </w:rPr>
      </w:pPr>
    </w:p>
    <w:p w14:paraId="7A10E69C" w14:textId="77777777" w:rsidR="00602372" w:rsidRDefault="00602372" w:rsidP="00FA222B">
      <w:pPr>
        <w:jc w:val="center"/>
        <w:rPr>
          <w:rFonts w:ascii="Arial" w:hAnsi="Arial" w:cs="Arial"/>
        </w:rPr>
      </w:pPr>
    </w:p>
    <w:p w14:paraId="756BE3EF" w14:textId="77777777" w:rsidR="00602372" w:rsidRDefault="00602372" w:rsidP="00FA222B">
      <w:pPr>
        <w:jc w:val="center"/>
        <w:rPr>
          <w:rFonts w:ascii="Arial" w:hAnsi="Arial" w:cs="Arial"/>
        </w:rPr>
      </w:pPr>
    </w:p>
    <w:p w14:paraId="47142C01" w14:textId="77777777" w:rsidR="00602372" w:rsidRDefault="00602372" w:rsidP="00FA222B">
      <w:pPr>
        <w:jc w:val="center"/>
        <w:rPr>
          <w:rFonts w:ascii="Arial" w:hAnsi="Arial" w:cs="Arial"/>
        </w:rPr>
      </w:pPr>
    </w:p>
    <w:p w14:paraId="6BE8F6A8" w14:textId="77777777" w:rsidR="00602372" w:rsidRDefault="00602372" w:rsidP="00FA222B">
      <w:pPr>
        <w:jc w:val="center"/>
        <w:rPr>
          <w:rFonts w:ascii="Arial" w:hAnsi="Arial" w:cs="Arial"/>
        </w:rPr>
      </w:pPr>
    </w:p>
    <w:p w14:paraId="634B7221" w14:textId="77777777" w:rsidR="00602372" w:rsidRDefault="00602372" w:rsidP="00FA222B">
      <w:pPr>
        <w:jc w:val="center"/>
        <w:rPr>
          <w:rFonts w:ascii="Arial" w:hAnsi="Arial" w:cs="Arial"/>
        </w:rPr>
      </w:pPr>
    </w:p>
    <w:p w14:paraId="606659CB" w14:textId="77777777" w:rsidR="00602372" w:rsidRDefault="00602372" w:rsidP="00FA222B">
      <w:pPr>
        <w:jc w:val="center"/>
        <w:rPr>
          <w:rFonts w:ascii="Arial" w:hAnsi="Arial" w:cs="Arial"/>
          <w:b/>
          <w:bCs/>
        </w:rPr>
        <w:sectPr w:rsidR="00602372" w:rsidSect="006C4883">
          <w:headerReference w:type="even" r:id="rId9"/>
          <w:headerReference w:type="default" r:id="rId10"/>
          <w:footerReference w:type="even" r:id="rId11"/>
          <w:footerReference w:type="default" r:id="rId12"/>
          <w:headerReference w:type="first" r:id="rId13"/>
          <w:footerReference w:type="first" r:id="rId14"/>
          <w:pgSz w:w="16838" w:h="11906" w:orient="landscape"/>
          <w:pgMar w:top="1440" w:right="1440" w:bottom="1440" w:left="1440" w:header="708" w:footer="708" w:gutter="0"/>
          <w:cols w:num="2" w:space="708"/>
          <w:docGrid w:linePitch="360"/>
        </w:sectPr>
      </w:pPr>
    </w:p>
    <w:p w14:paraId="518F999C" w14:textId="77777777" w:rsidR="00602372" w:rsidRPr="00FA222B" w:rsidRDefault="00602372" w:rsidP="00FA222B">
      <w:pPr>
        <w:spacing w:line="360" w:lineRule="auto"/>
        <w:jc w:val="center"/>
        <w:rPr>
          <w:rFonts w:ascii="Arial" w:hAnsi="Arial" w:cs="Arial"/>
          <w:u w:val="single"/>
        </w:rPr>
      </w:pPr>
      <w:r w:rsidRPr="00FA222B">
        <w:rPr>
          <w:rFonts w:ascii="Arial" w:hAnsi="Arial" w:cs="Arial"/>
          <w:b/>
          <w:bCs/>
          <w:u w:val="single"/>
        </w:rPr>
        <w:t>Integrated Management of Lung Cancer</w:t>
      </w:r>
    </w:p>
    <w:p w14:paraId="0D04DFD9" w14:textId="77777777" w:rsidR="00602372" w:rsidRPr="00FA222B" w:rsidRDefault="00602372" w:rsidP="00FA222B">
      <w:pPr>
        <w:spacing w:line="360" w:lineRule="auto"/>
        <w:jc w:val="center"/>
        <w:rPr>
          <w:rFonts w:ascii="Arial" w:hAnsi="Arial" w:cs="Arial"/>
        </w:rPr>
      </w:pPr>
      <w:r w:rsidRPr="00FA222B">
        <w:rPr>
          <w:rFonts w:ascii="Arial" w:hAnsi="Arial" w:cs="Arial"/>
          <w:b/>
        </w:rPr>
        <w:t>Student Name</w:t>
      </w:r>
      <w:r w:rsidR="00FA222B">
        <w:rPr>
          <w:rFonts w:ascii="Arial" w:hAnsi="Arial" w:cs="Arial"/>
          <w:b/>
        </w:rPr>
        <w:t xml:space="preserve">: </w:t>
      </w:r>
      <w:r w:rsidR="00FA222B">
        <w:rPr>
          <w:rFonts w:ascii="Arial" w:hAnsi="Arial" w:cs="Arial"/>
        </w:rPr>
        <w:t>Meetkumar Vinodray Sangani</w:t>
      </w:r>
    </w:p>
    <w:p w14:paraId="0F0C4A12" w14:textId="77777777" w:rsidR="00602372" w:rsidRPr="00FA222B" w:rsidRDefault="00602372" w:rsidP="00FA222B">
      <w:pPr>
        <w:spacing w:line="360" w:lineRule="auto"/>
        <w:jc w:val="center"/>
        <w:rPr>
          <w:rFonts w:ascii="Arial" w:hAnsi="Arial" w:cs="Arial"/>
        </w:rPr>
      </w:pPr>
      <w:r w:rsidRPr="00FA222B">
        <w:rPr>
          <w:rFonts w:ascii="Arial" w:hAnsi="Arial" w:cs="Arial"/>
          <w:b/>
        </w:rPr>
        <w:t>Student I’D</w:t>
      </w:r>
      <w:r w:rsidR="00FA222B">
        <w:rPr>
          <w:rFonts w:ascii="Arial" w:hAnsi="Arial" w:cs="Arial"/>
          <w:b/>
        </w:rPr>
        <w:t xml:space="preserve">: </w:t>
      </w:r>
      <w:r w:rsidR="005B1B2A">
        <w:rPr>
          <w:rFonts w:ascii="Arial" w:hAnsi="Arial" w:cs="Arial"/>
        </w:rPr>
        <w:t>2435003</w:t>
      </w:r>
    </w:p>
    <w:p w14:paraId="65825DE4" w14:textId="77777777" w:rsidR="00602372" w:rsidRDefault="00602372" w:rsidP="00FA222B">
      <w:pPr>
        <w:spacing w:line="360" w:lineRule="auto"/>
        <w:jc w:val="center"/>
        <w:rPr>
          <w:rFonts w:ascii="Arial" w:hAnsi="Arial" w:cs="Arial"/>
        </w:rPr>
      </w:pPr>
      <w:r w:rsidRPr="00FA222B">
        <w:rPr>
          <w:rFonts w:ascii="Arial" w:hAnsi="Arial" w:cs="Arial"/>
          <w:b/>
        </w:rPr>
        <w:t>Professor Name</w:t>
      </w:r>
      <w:r w:rsidR="00FA222B">
        <w:rPr>
          <w:rFonts w:ascii="Arial" w:hAnsi="Arial" w:cs="Arial"/>
          <w:b/>
        </w:rPr>
        <w:t xml:space="preserve">: </w:t>
      </w:r>
      <w:r w:rsidR="00FA222B">
        <w:rPr>
          <w:rFonts w:ascii="Arial" w:hAnsi="Arial" w:cs="Arial"/>
        </w:rPr>
        <w:t>Dr. Brian Mashumba</w:t>
      </w:r>
    </w:p>
    <w:p w14:paraId="5558ED5C" w14:textId="77777777" w:rsidR="00FA222B" w:rsidRPr="00FA222B" w:rsidRDefault="00FA222B" w:rsidP="00FA222B">
      <w:pPr>
        <w:spacing w:line="360" w:lineRule="auto"/>
        <w:jc w:val="center"/>
        <w:rPr>
          <w:rFonts w:ascii="Arial" w:hAnsi="Arial" w:cs="Arial"/>
        </w:rPr>
      </w:pPr>
      <w:r w:rsidRPr="00FA222B">
        <w:rPr>
          <w:rFonts w:ascii="Arial" w:hAnsi="Arial" w:cs="Arial"/>
          <w:b/>
        </w:rPr>
        <w:t>Programme</w:t>
      </w:r>
      <w:r>
        <w:rPr>
          <w:rFonts w:ascii="Arial" w:hAnsi="Arial" w:cs="Arial"/>
        </w:rPr>
        <w:t xml:space="preserve"> : Master of public health and social care in practice</w:t>
      </w:r>
    </w:p>
    <w:p w14:paraId="4F96D416" w14:textId="77777777" w:rsidR="00602372" w:rsidRDefault="00FA222B" w:rsidP="00FA222B">
      <w:pPr>
        <w:spacing w:line="360" w:lineRule="auto"/>
        <w:jc w:val="center"/>
        <w:rPr>
          <w:rFonts w:ascii="Arial" w:hAnsi="Arial" w:cs="Arial"/>
        </w:rPr>
      </w:pPr>
      <w:r>
        <w:rPr>
          <w:rFonts w:ascii="Arial" w:hAnsi="Arial" w:cs="Arial"/>
          <w:b/>
        </w:rPr>
        <w:t xml:space="preserve">Module: </w:t>
      </w:r>
      <w:r>
        <w:rPr>
          <w:rFonts w:ascii="Arial" w:hAnsi="Arial" w:cs="Arial"/>
        </w:rPr>
        <w:t>Community Care and Management of Long-term  Conditions</w:t>
      </w:r>
    </w:p>
    <w:p w14:paraId="68533EE2" w14:textId="77777777" w:rsidR="00FA222B" w:rsidRPr="00FA222B" w:rsidRDefault="00FA222B" w:rsidP="00FA222B">
      <w:pPr>
        <w:spacing w:line="360" w:lineRule="auto"/>
        <w:jc w:val="center"/>
        <w:rPr>
          <w:rFonts w:ascii="Arial" w:hAnsi="Arial" w:cs="Arial"/>
        </w:rPr>
        <w:sectPr w:rsidR="00FA222B" w:rsidRPr="00FA222B" w:rsidSect="00602372">
          <w:type w:val="continuous"/>
          <w:pgSz w:w="16838" w:h="11906" w:orient="landscape"/>
          <w:pgMar w:top="1440" w:right="1440" w:bottom="1440" w:left="1440" w:header="708" w:footer="708" w:gutter="0"/>
          <w:cols w:space="708"/>
          <w:docGrid w:linePitch="360"/>
        </w:sectPr>
      </w:pPr>
      <w:r w:rsidRPr="00FA222B">
        <w:rPr>
          <w:rFonts w:ascii="Arial" w:hAnsi="Arial" w:cs="Arial"/>
          <w:b/>
        </w:rPr>
        <w:t>Module Code</w:t>
      </w:r>
      <w:r>
        <w:rPr>
          <w:rFonts w:ascii="Arial" w:hAnsi="Arial" w:cs="Arial"/>
        </w:rPr>
        <w:t>: LCHS-7003</w:t>
      </w:r>
    </w:p>
    <w:p w14:paraId="5CA05DB5" w14:textId="77777777" w:rsidR="00602372" w:rsidRPr="000E0A4D" w:rsidRDefault="00602372">
      <w:pPr>
        <w:rPr>
          <w:rFonts w:ascii="Arial" w:eastAsiaTheme="majorEastAsia" w:hAnsi="Arial" w:cs="Arial"/>
          <w:caps/>
        </w:rPr>
      </w:pPr>
      <w:r w:rsidRPr="000E0A4D">
        <w:rPr>
          <w:rFonts w:ascii="Arial" w:hAnsi="Arial" w:cs="Arial"/>
        </w:rPr>
        <w:br w:type="page"/>
      </w:r>
    </w:p>
    <w:p w14:paraId="0F37E164" w14:textId="77777777" w:rsidR="0061600D" w:rsidRPr="000E0A4D" w:rsidRDefault="0061600D" w:rsidP="00602372">
      <w:pPr>
        <w:pStyle w:val="Heading1"/>
        <w:spacing w:line="360" w:lineRule="auto"/>
        <w:jc w:val="center"/>
        <w:rPr>
          <w:rFonts w:ascii="Arial" w:hAnsi="Arial" w:cs="Arial"/>
          <w:b/>
          <w:sz w:val="22"/>
          <w:szCs w:val="22"/>
        </w:rPr>
      </w:pPr>
      <w:r w:rsidRPr="000E0A4D">
        <w:rPr>
          <w:rFonts w:ascii="Arial" w:hAnsi="Arial" w:cs="Arial"/>
          <w:b/>
          <w:sz w:val="22"/>
          <w:szCs w:val="22"/>
        </w:rPr>
        <w:t>1. Introduction</w:t>
      </w:r>
      <w:bookmarkEnd w:id="0"/>
    </w:p>
    <w:p w14:paraId="6DCE7DBC" w14:textId="77777777" w:rsidR="0061600D" w:rsidRPr="000E0A4D" w:rsidRDefault="0061600D" w:rsidP="0061600D">
      <w:pPr>
        <w:pStyle w:val="Heading2"/>
        <w:spacing w:line="360" w:lineRule="auto"/>
        <w:jc w:val="both"/>
        <w:rPr>
          <w:rFonts w:ascii="Arial" w:hAnsi="Arial" w:cs="Arial"/>
          <w:i/>
          <w:sz w:val="22"/>
          <w:szCs w:val="22"/>
          <w:u w:val="single"/>
        </w:rPr>
      </w:pPr>
      <w:bookmarkStart w:id="1" w:name="_Toc213762811"/>
      <w:r w:rsidRPr="000E0A4D">
        <w:rPr>
          <w:rFonts w:ascii="Arial" w:hAnsi="Arial" w:cs="Arial"/>
          <w:i/>
          <w:sz w:val="22"/>
          <w:szCs w:val="22"/>
          <w:u w:val="single"/>
        </w:rPr>
        <w:t>1.1 Definition and Overview</w:t>
      </w:r>
      <w:bookmarkEnd w:id="1"/>
      <w:r w:rsidRPr="000E0A4D">
        <w:rPr>
          <w:rFonts w:ascii="Arial" w:hAnsi="Arial" w:cs="Arial"/>
          <w:i/>
          <w:sz w:val="22"/>
          <w:szCs w:val="22"/>
          <w:u w:val="single"/>
        </w:rPr>
        <w:t xml:space="preserve"> </w:t>
      </w:r>
    </w:p>
    <w:p w14:paraId="25BA8F48"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Lung cancer can be defined as a form of cancer that begins when the cells of the lungs become overgrown. This can give the fall of a tumour and can also be transferred to other body parts. The physicians divide the lung cancers into two broad categories. The majority of the cases approximately 80-85 percent are referred to as non-small-cell lung cancer (NSCLC). Small-cell lung cancer (SCLC), is the other type that increases and metastasizes faster. The cancer that causes the most deaths in the United Kingdom and is one of the most prevalent</w:t>
      </w:r>
      <w:r w:rsidR="00A3256A">
        <w:rPr>
          <w:rFonts w:ascii="Arial" w:hAnsi="Arial" w:cs="Arial"/>
        </w:rPr>
        <w:t xml:space="preserve"> in the country is lung cancer </w:t>
      </w:r>
      <w:r w:rsidRPr="000E0A4D">
        <w:rPr>
          <w:rFonts w:ascii="Arial" w:hAnsi="Arial" w:cs="Arial"/>
        </w:rPr>
        <w:t>(Siddiqui, Siddiqui and Vaqar, 2023).</w:t>
      </w:r>
    </w:p>
    <w:p w14:paraId="01178BE9" w14:textId="77777777" w:rsidR="0061600D" w:rsidRPr="000E0A4D" w:rsidRDefault="0061600D" w:rsidP="0061600D">
      <w:pPr>
        <w:pStyle w:val="Heading2"/>
        <w:spacing w:line="360" w:lineRule="auto"/>
        <w:jc w:val="both"/>
        <w:rPr>
          <w:rFonts w:ascii="Arial" w:hAnsi="Arial" w:cs="Arial"/>
          <w:i/>
          <w:sz w:val="22"/>
          <w:szCs w:val="22"/>
          <w:u w:val="single"/>
        </w:rPr>
      </w:pPr>
      <w:bookmarkStart w:id="2" w:name="_Toc213762812"/>
      <w:r w:rsidRPr="000E0A4D">
        <w:rPr>
          <w:rFonts w:ascii="Arial" w:hAnsi="Arial" w:cs="Arial"/>
          <w:i/>
          <w:sz w:val="22"/>
          <w:szCs w:val="22"/>
          <w:u w:val="single"/>
        </w:rPr>
        <w:t>1.2 Global and UK Burden</w:t>
      </w:r>
      <w:bookmarkEnd w:id="2"/>
      <w:r w:rsidRPr="000E0A4D">
        <w:rPr>
          <w:rFonts w:ascii="Arial" w:hAnsi="Arial" w:cs="Arial"/>
          <w:i/>
          <w:sz w:val="22"/>
          <w:szCs w:val="22"/>
          <w:u w:val="single"/>
        </w:rPr>
        <w:t xml:space="preserve"> </w:t>
      </w:r>
    </w:p>
    <w:p w14:paraId="7F5F1972"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No other type of cancer takes the lives of more people across the globe annually than lung cancer. It normally comes late and develops at a rapid pace. It is picked up by thousands of people in UK each year. It is more prevalent in smoking, hazardous working environments and polluted air. The poorer communities have increased rates and reduced survival. Still, despite improved tests, treatment, and awareness, individuals use too long to recognize symptoms or consult a physician. It is not an easy task to find it early enough and that reduces the survival rates in five years as compared to most other types of cancers (Bray et al., 2024).</w:t>
      </w:r>
    </w:p>
    <w:p w14:paraId="7E602645" w14:textId="77777777" w:rsidR="0061600D" w:rsidRPr="000E0A4D" w:rsidRDefault="0061600D" w:rsidP="0061600D">
      <w:pPr>
        <w:pStyle w:val="Heading2"/>
        <w:spacing w:line="360" w:lineRule="auto"/>
        <w:jc w:val="both"/>
        <w:rPr>
          <w:rFonts w:ascii="Arial" w:hAnsi="Arial" w:cs="Arial"/>
          <w:i/>
          <w:sz w:val="22"/>
          <w:szCs w:val="22"/>
          <w:u w:val="single"/>
        </w:rPr>
      </w:pPr>
      <w:bookmarkStart w:id="3" w:name="_Toc213762813"/>
      <w:r w:rsidRPr="000E0A4D">
        <w:rPr>
          <w:rFonts w:ascii="Arial" w:hAnsi="Arial" w:cs="Arial"/>
          <w:i/>
          <w:sz w:val="22"/>
          <w:szCs w:val="22"/>
          <w:u w:val="single"/>
        </w:rPr>
        <w:t>1.3 Purpose and Aims of the Booklet</w:t>
      </w:r>
      <w:bookmarkEnd w:id="3"/>
      <w:r w:rsidRPr="000E0A4D">
        <w:rPr>
          <w:rFonts w:ascii="Arial" w:hAnsi="Arial" w:cs="Arial"/>
          <w:i/>
          <w:sz w:val="22"/>
          <w:szCs w:val="22"/>
          <w:u w:val="single"/>
        </w:rPr>
        <w:t xml:space="preserve"> </w:t>
      </w:r>
    </w:p>
    <w:p w14:paraId="49A91409" w14:textId="77777777" w:rsidR="0001220E" w:rsidRPr="000E0A4D" w:rsidRDefault="0001220E" w:rsidP="0001220E">
      <w:pPr>
        <w:spacing w:line="360" w:lineRule="auto"/>
        <w:jc w:val="both"/>
        <w:rPr>
          <w:rFonts w:ascii="Arial" w:hAnsi="Arial" w:cs="Arial"/>
          <w:lang w:val="en-US"/>
        </w:rPr>
      </w:pPr>
      <w:r w:rsidRPr="000E0A4D">
        <w:rPr>
          <w:rFonts w:ascii="Arial" w:hAnsi="Arial" w:cs="Arial"/>
          <w:b/>
          <w:bCs/>
          <w:lang w:val="en-US"/>
        </w:rPr>
        <w:t xml:space="preserve">Aims: </w:t>
      </w:r>
      <w:r w:rsidR="00616BBB" w:rsidRPr="000E0A4D">
        <w:rPr>
          <w:rFonts w:ascii="Arial" w:hAnsi="Arial" w:cs="Arial"/>
          <w:lang w:val="en-US"/>
        </w:rPr>
        <w:t xml:space="preserve">This booklet is a compilation of clinical evidence, policy context and practical advice, such that health and social-care workers have the knowledge and means to provide people with lung cancer with kind, fair and well-coordinated care </w:t>
      </w:r>
      <w:r w:rsidRPr="000E0A4D">
        <w:rPr>
          <w:rFonts w:ascii="Arial" w:hAnsi="Arial" w:cs="Arial"/>
        </w:rPr>
        <w:t>(Mayo Clinic, 2022).</w:t>
      </w:r>
    </w:p>
    <w:p w14:paraId="7672778E" w14:textId="77777777" w:rsidR="0001220E" w:rsidRPr="000E0A4D" w:rsidRDefault="0001220E" w:rsidP="0001220E">
      <w:pPr>
        <w:spacing w:line="360" w:lineRule="auto"/>
        <w:jc w:val="both"/>
        <w:rPr>
          <w:rFonts w:ascii="Arial" w:hAnsi="Arial" w:cs="Arial"/>
          <w:lang w:val="en-US"/>
        </w:rPr>
      </w:pPr>
      <w:r w:rsidRPr="000E0A4D">
        <w:rPr>
          <w:rFonts w:ascii="Arial" w:hAnsi="Arial" w:cs="Arial"/>
          <w:b/>
          <w:bCs/>
          <w:lang w:val="en-US"/>
        </w:rPr>
        <w:t>Purpose:</w:t>
      </w:r>
    </w:p>
    <w:p w14:paraId="20617E12" w14:textId="77777777" w:rsidR="0001220E" w:rsidRPr="000E0A4D" w:rsidRDefault="0001220E" w:rsidP="0001220E">
      <w:pPr>
        <w:numPr>
          <w:ilvl w:val="0"/>
          <w:numId w:val="24"/>
        </w:numPr>
        <w:spacing w:line="360" w:lineRule="auto"/>
        <w:jc w:val="both"/>
        <w:rPr>
          <w:rFonts w:ascii="Arial" w:hAnsi="Arial" w:cs="Arial"/>
          <w:lang w:val="en-US"/>
        </w:rPr>
      </w:pPr>
      <w:r w:rsidRPr="000E0A4D">
        <w:rPr>
          <w:rFonts w:ascii="Arial" w:hAnsi="Arial" w:cs="Arial"/>
          <w:lang w:val="en-US"/>
        </w:rPr>
        <w:t>To provide health and social-care professionals with up-to-date information on lung cancer prevention, diagnosis, and management within the NHS framework.</w:t>
      </w:r>
    </w:p>
    <w:p w14:paraId="572E3933" w14:textId="77777777" w:rsidR="0001220E" w:rsidRPr="000E0A4D" w:rsidRDefault="0001220E" w:rsidP="0001220E">
      <w:pPr>
        <w:numPr>
          <w:ilvl w:val="0"/>
          <w:numId w:val="24"/>
        </w:numPr>
        <w:spacing w:line="360" w:lineRule="auto"/>
        <w:jc w:val="both"/>
        <w:rPr>
          <w:rFonts w:ascii="Arial" w:hAnsi="Arial" w:cs="Arial"/>
          <w:lang w:val="en-US"/>
        </w:rPr>
      </w:pPr>
      <w:r w:rsidRPr="000E0A4D">
        <w:rPr>
          <w:rFonts w:ascii="Arial" w:hAnsi="Arial" w:cs="Arial"/>
          <w:lang w:val="en-US"/>
        </w:rPr>
        <w:t>To summarise national and local policies, clinical guidelines, and multidisciplinary practices that support high-quality, person-centred care.</w:t>
      </w:r>
    </w:p>
    <w:p w14:paraId="2355505E" w14:textId="77777777" w:rsidR="0001220E" w:rsidRPr="000E0A4D" w:rsidRDefault="0001220E" w:rsidP="0001220E">
      <w:pPr>
        <w:numPr>
          <w:ilvl w:val="0"/>
          <w:numId w:val="24"/>
        </w:numPr>
        <w:spacing w:line="360" w:lineRule="auto"/>
        <w:jc w:val="both"/>
        <w:rPr>
          <w:rFonts w:ascii="Arial" w:hAnsi="Arial" w:cs="Arial"/>
          <w:lang w:val="en-US"/>
        </w:rPr>
      </w:pPr>
      <w:r w:rsidRPr="000E0A4D">
        <w:rPr>
          <w:rFonts w:ascii="Arial" w:hAnsi="Arial" w:cs="Arial"/>
          <w:lang w:val="en-US"/>
        </w:rPr>
        <w:t>To enhance awareness of current evidence-based interventions and professional responsibilities in improving patient outcomes.</w:t>
      </w:r>
    </w:p>
    <w:p w14:paraId="1AF8DCC6" w14:textId="77777777" w:rsidR="0061600D" w:rsidRPr="000E0A4D" w:rsidRDefault="0001220E" w:rsidP="0001220E">
      <w:pPr>
        <w:numPr>
          <w:ilvl w:val="0"/>
          <w:numId w:val="24"/>
        </w:numPr>
        <w:spacing w:line="360" w:lineRule="auto"/>
        <w:jc w:val="both"/>
        <w:rPr>
          <w:rFonts w:ascii="Arial" w:hAnsi="Arial" w:cs="Arial"/>
          <w:lang w:val="en-US"/>
        </w:rPr>
      </w:pPr>
      <w:r w:rsidRPr="000E0A4D">
        <w:rPr>
          <w:rFonts w:ascii="Arial" w:hAnsi="Arial" w:cs="Arial"/>
          <w:lang w:val="en-US"/>
        </w:rPr>
        <w:t>To promote collaborative practice, early detection, and holistic support for individuals and families affected by lung cancer</w:t>
      </w:r>
      <w:r w:rsidRPr="000E0A4D">
        <w:rPr>
          <w:rFonts w:ascii="Arial" w:hAnsi="Arial" w:cs="Arial"/>
        </w:rPr>
        <w:t xml:space="preserve"> </w:t>
      </w:r>
      <w:r w:rsidR="0061600D" w:rsidRPr="000E0A4D">
        <w:rPr>
          <w:rFonts w:ascii="Arial" w:hAnsi="Arial" w:cs="Arial"/>
        </w:rPr>
        <w:t>(Mayo Clinic, 2022).</w:t>
      </w:r>
    </w:p>
    <w:p w14:paraId="583A5B5D" w14:textId="77777777" w:rsidR="0061600D" w:rsidRPr="000E0A4D" w:rsidRDefault="0061600D" w:rsidP="00602372">
      <w:pPr>
        <w:pStyle w:val="Heading1"/>
        <w:spacing w:line="360" w:lineRule="auto"/>
        <w:jc w:val="center"/>
        <w:rPr>
          <w:rFonts w:ascii="Arial" w:hAnsi="Arial" w:cs="Arial"/>
          <w:b/>
          <w:sz w:val="22"/>
          <w:szCs w:val="22"/>
        </w:rPr>
      </w:pPr>
      <w:bookmarkStart w:id="4" w:name="_Toc213762814"/>
      <w:r w:rsidRPr="000E0A4D">
        <w:rPr>
          <w:rFonts w:ascii="Arial" w:hAnsi="Arial" w:cs="Arial"/>
          <w:b/>
          <w:sz w:val="22"/>
          <w:szCs w:val="22"/>
        </w:rPr>
        <w:t>2. Causes and Risk Factors</w:t>
      </w:r>
      <w:bookmarkEnd w:id="4"/>
    </w:p>
    <w:p w14:paraId="51CFEAE8" w14:textId="77777777" w:rsidR="0061600D" w:rsidRPr="000E0A4D" w:rsidRDefault="0061600D" w:rsidP="0061600D">
      <w:pPr>
        <w:pStyle w:val="Heading2"/>
        <w:spacing w:line="360" w:lineRule="auto"/>
        <w:jc w:val="both"/>
        <w:rPr>
          <w:rFonts w:ascii="Arial" w:hAnsi="Arial" w:cs="Arial"/>
          <w:i/>
          <w:sz w:val="22"/>
          <w:szCs w:val="22"/>
          <w:u w:val="single"/>
        </w:rPr>
      </w:pPr>
      <w:bookmarkStart w:id="5" w:name="_Toc213762815"/>
      <w:r w:rsidRPr="000E0A4D">
        <w:rPr>
          <w:rFonts w:ascii="Arial" w:hAnsi="Arial" w:cs="Arial"/>
          <w:i/>
          <w:sz w:val="22"/>
          <w:szCs w:val="22"/>
          <w:u w:val="single"/>
        </w:rPr>
        <w:t>2.1 Biological Aetiology</w:t>
      </w:r>
      <w:bookmarkEnd w:id="5"/>
      <w:r w:rsidRPr="000E0A4D">
        <w:rPr>
          <w:rFonts w:ascii="Arial" w:hAnsi="Arial" w:cs="Arial"/>
          <w:i/>
          <w:sz w:val="22"/>
          <w:szCs w:val="22"/>
          <w:u w:val="single"/>
        </w:rPr>
        <w:t xml:space="preserve"> </w:t>
      </w:r>
    </w:p>
    <w:p w14:paraId="3073A43E"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Lung cancer is formed following a process. Whenever the body is subjected to dangerous elements, it destroys the cells in the lungs. Such damages may modify the DNA and the manner in which the cells operate. Mutations in certain target genes, such as the EGFR, ALK, and KRAS, may enable the acceleration of the cancer growth and its reaction to the treatment. The awareness of the altered genes allows physicians to apply specific drugs and immunotherapy to NHS care (Langevin, Kratzke and Kelsey, 2015).</w:t>
      </w:r>
    </w:p>
    <w:p w14:paraId="5F70AFD2" w14:textId="77777777" w:rsidR="0061600D" w:rsidRPr="000E0A4D" w:rsidRDefault="0061600D" w:rsidP="00602372">
      <w:pPr>
        <w:spacing w:line="360" w:lineRule="auto"/>
        <w:jc w:val="center"/>
        <w:rPr>
          <w:rFonts w:ascii="Arial" w:hAnsi="Arial" w:cs="Arial"/>
        </w:rPr>
      </w:pPr>
      <w:r w:rsidRPr="000E0A4D">
        <w:rPr>
          <w:rFonts w:ascii="Arial" w:hAnsi="Arial" w:cs="Arial"/>
          <w:noProof/>
          <w:lang w:val="en-IN" w:eastAsia="en-IN"/>
        </w:rPr>
        <w:drawing>
          <wp:inline distT="0" distB="0" distL="0" distR="0" wp14:anchorId="5FD8C265" wp14:editId="19A69122">
            <wp:extent cx="4067108" cy="1576142"/>
            <wp:effectExtent l="19050" t="0" r="0" b="0"/>
            <wp:docPr id="9" name="Picture 4" descr="Assessing the Current State of Lung Cancer Chemoprevention: A Comprehensive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ssessing the Current State of Lung Cancer Chemoprevention: A Comprehensive  Overview"/>
                    <pic:cNvPicPr>
                      <a:picLocks noChangeAspect="1" noChangeArrowheads="1"/>
                    </pic:cNvPicPr>
                  </pic:nvPicPr>
                  <pic:blipFill>
                    <a:blip r:embed="rId15" cstate="print"/>
                    <a:srcRect/>
                    <a:stretch>
                      <a:fillRect/>
                    </a:stretch>
                  </pic:blipFill>
                  <pic:spPr bwMode="auto">
                    <a:xfrm>
                      <a:off x="0" y="0"/>
                      <a:ext cx="4067172" cy="1576167"/>
                    </a:xfrm>
                    <a:prstGeom prst="rect">
                      <a:avLst/>
                    </a:prstGeom>
                    <a:noFill/>
                    <a:ln w="9525">
                      <a:noFill/>
                      <a:miter lim="800000"/>
                      <a:headEnd/>
                      <a:tailEnd/>
                    </a:ln>
                  </pic:spPr>
                </pic:pic>
              </a:graphicData>
            </a:graphic>
          </wp:inline>
        </w:drawing>
      </w:r>
    </w:p>
    <w:p w14:paraId="0115E834" w14:textId="77777777" w:rsidR="0061600D" w:rsidRPr="000E0A4D" w:rsidRDefault="0061600D" w:rsidP="00602372">
      <w:pPr>
        <w:spacing w:line="360" w:lineRule="auto"/>
        <w:jc w:val="center"/>
        <w:rPr>
          <w:rFonts w:ascii="Arial" w:hAnsi="Arial" w:cs="Arial"/>
          <w:b/>
          <w:i/>
        </w:rPr>
      </w:pPr>
      <w:r w:rsidRPr="000E0A4D">
        <w:rPr>
          <w:rFonts w:ascii="Arial" w:hAnsi="Arial" w:cs="Arial"/>
          <w:b/>
          <w:i/>
        </w:rPr>
        <w:t>Figure A- Stages of Molecular Changes (Ashraf-Uz-Zaman et al., 2020).</w:t>
      </w:r>
    </w:p>
    <w:p w14:paraId="4079CF5C" w14:textId="77777777" w:rsidR="0061600D" w:rsidRPr="000E0A4D" w:rsidRDefault="0061600D" w:rsidP="0061600D">
      <w:pPr>
        <w:pStyle w:val="Heading2"/>
        <w:spacing w:line="360" w:lineRule="auto"/>
        <w:jc w:val="both"/>
        <w:rPr>
          <w:rFonts w:ascii="Arial" w:hAnsi="Arial" w:cs="Arial"/>
          <w:i/>
          <w:sz w:val="22"/>
          <w:szCs w:val="22"/>
          <w:u w:val="single"/>
        </w:rPr>
      </w:pPr>
      <w:bookmarkStart w:id="6" w:name="_Toc213762816"/>
      <w:r w:rsidRPr="000E0A4D">
        <w:rPr>
          <w:rFonts w:ascii="Arial" w:hAnsi="Arial" w:cs="Arial"/>
          <w:i/>
          <w:sz w:val="22"/>
          <w:szCs w:val="22"/>
          <w:u w:val="single"/>
        </w:rPr>
        <w:t>2.2 Lifestyle and Environmental Risks</w:t>
      </w:r>
      <w:bookmarkEnd w:id="6"/>
      <w:r w:rsidRPr="000E0A4D">
        <w:rPr>
          <w:rFonts w:ascii="Arial" w:hAnsi="Arial" w:cs="Arial"/>
          <w:i/>
          <w:sz w:val="22"/>
          <w:szCs w:val="22"/>
          <w:u w:val="single"/>
        </w:rPr>
        <w:t xml:space="preserve"> </w:t>
      </w:r>
    </w:p>
    <w:p w14:paraId="1C14C64E" w14:textId="77777777" w:rsidR="00BC6327" w:rsidRPr="000E0A4D" w:rsidRDefault="00BC6327" w:rsidP="00BC6327">
      <w:pPr>
        <w:pStyle w:val="ListParagraph"/>
        <w:numPr>
          <w:ilvl w:val="0"/>
          <w:numId w:val="25"/>
        </w:numPr>
        <w:spacing w:line="360" w:lineRule="auto"/>
        <w:jc w:val="both"/>
        <w:rPr>
          <w:rFonts w:ascii="Arial" w:hAnsi="Arial" w:cs="Arial"/>
          <w:lang w:val="en-US"/>
        </w:rPr>
      </w:pPr>
      <w:r w:rsidRPr="000E0A4D">
        <w:rPr>
          <w:rFonts w:ascii="Arial" w:hAnsi="Arial" w:cs="Arial"/>
          <w:b/>
          <w:bCs/>
          <w:lang w:val="en-US"/>
        </w:rPr>
        <w:t>Lifestyle Factors:</w:t>
      </w:r>
      <w:r w:rsidRPr="000E0A4D">
        <w:rPr>
          <w:rFonts w:ascii="Arial" w:hAnsi="Arial" w:cs="Arial"/>
          <w:lang w:val="en-US"/>
        </w:rPr>
        <w:t xml:space="preserve"> </w:t>
      </w:r>
      <w:r w:rsidR="00616BBB" w:rsidRPr="000E0A4D">
        <w:rPr>
          <w:rFonts w:ascii="Arial" w:hAnsi="Arial" w:cs="Arial"/>
          <w:lang w:val="en-US"/>
        </w:rPr>
        <w:t xml:space="preserve">The primary cause of lung cancer in the UK is tobacco smoking. Active smoking and exposure to smoke of other people increases the risk due to the presence of highly toxic chemicals like polycyclic aromatic hydrocarbons and nitrosamines. Although NHS does provide stop-smoking schemes, awareness, and increased taxes that have reduced the rate of smoking many individuals relapse hence making the disease preventable </w:t>
      </w:r>
      <w:r w:rsidRPr="000E0A4D">
        <w:rPr>
          <w:rFonts w:ascii="Arial" w:hAnsi="Arial" w:cs="Arial"/>
          <w:lang w:val="en-US"/>
        </w:rPr>
        <w:t>(Smith, 2024).</w:t>
      </w:r>
    </w:p>
    <w:p w14:paraId="64086105" w14:textId="77777777" w:rsidR="00BC6327" w:rsidRPr="000E0A4D" w:rsidRDefault="00BC6327" w:rsidP="00BC6327">
      <w:pPr>
        <w:pStyle w:val="ListParagraph"/>
        <w:numPr>
          <w:ilvl w:val="0"/>
          <w:numId w:val="25"/>
        </w:numPr>
        <w:spacing w:line="360" w:lineRule="auto"/>
        <w:jc w:val="both"/>
        <w:rPr>
          <w:rFonts w:ascii="Arial" w:hAnsi="Arial" w:cs="Arial"/>
          <w:lang w:val="en-US"/>
        </w:rPr>
      </w:pPr>
      <w:r w:rsidRPr="000E0A4D">
        <w:rPr>
          <w:rFonts w:ascii="Arial" w:hAnsi="Arial" w:cs="Arial"/>
          <w:b/>
          <w:bCs/>
          <w:lang w:val="en-US"/>
        </w:rPr>
        <w:t>Environmental and Occupational Factors:</w:t>
      </w:r>
      <w:r w:rsidRPr="000E0A4D">
        <w:rPr>
          <w:rFonts w:ascii="Arial" w:hAnsi="Arial" w:cs="Arial"/>
          <w:lang w:val="en-US"/>
        </w:rPr>
        <w:t xml:space="preserve"> </w:t>
      </w:r>
      <w:r w:rsidR="00616BBB" w:rsidRPr="000E0A4D">
        <w:rPr>
          <w:rFonts w:ascii="Arial" w:hAnsi="Arial" w:cs="Arial"/>
          <w:lang w:val="en-US"/>
        </w:rPr>
        <w:t>Lung cancer is also brought about by things in the air such as radon gas, asbestos, diesel exhaust, and the air pollution in the cities. The risk is higher in places where there are factories or numerous people since people are exposed to these harmful air contaminations and workplace carcinogens over a long period of time.</w:t>
      </w:r>
    </w:p>
    <w:p w14:paraId="307EEFFC" w14:textId="77777777" w:rsidR="0061600D" w:rsidRPr="000E0A4D" w:rsidRDefault="0061600D" w:rsidP="0061600D">
      <w:pPr>
        <w:pStyle w:val="Heading2"/>
        <w:spacing w:line="360" w:lineRule="auto"/>
        <w:jc w:val="both"/>
        <w:rPr>
          <w:rFonts w:ascii="Arial" w:hAnsi="Arial" w:cs="Arial"/>
          <w:i/>
          <w:sz w:val="22"/>
          <w:szCs w:val="22"/>
          <w:u w:val="single"/>
        </w:rPr>
      </w:pPr>
      <w:bookmarkStart w:id="7" w:name="_Toc213762817"/>
      <w:r w:rsidRPr="000E0A4D">
        <w:rPr>
          <w:rFonts w:ascii="Arial" w:hAnsi="Arial" w:cs="Arial"/>
          <w:i/>
          <w:sz w:val="22"/>
          <w:szCs w:val="22"/>
          <w:u w:val="single"/>
        </w:rPr>
        <w:t>2.3 Genetic and Socio-Economic Determinants</w:t>
      </w:r>
      <w:bookmarkEnd w:id="7"/>
      <w:r w:rsidRPr="000E0A4D">
        <w:rPr>
          <w:rFonts w:ascii="Arial" w:hAnsi="Arial" w:cs="Arial"/>
          <w:i/>
          <w:sz w:val="22"/>
          <w:szCs w:val="22"/>
          <w:u w:val="single"/>
        </w:rPr>
        <w:t xml:space="preserve"> </w:t>
      </w:r>
    </w:p>
    <w:p w14:paraId="10C950FF" w14:textId="77777777" w:rsidR="00BC6327" w:rsidRPr="000E0A4D" w:rsidRDefault="00BC6327" w:rsidP="00BC6327">
      <w:pPr>
        <w:pStyle w:val="ListParagraph"/>
        <w:numPr>
          <w:ilvl w:val="0"/>
          <w:numId w:val="26"/>
        </w:numPr>
        <w:spacing w:line="360" w:lineRule="auto"/>
        <w:jc w:val="both"/>
        <w:rPr>
          <w:rFonts w:ascii="Arial" w:hAnsi="Arial" w:cs="Arial"/>
          <w:lang w:val="en-US"/>
        </w:rPr>
      </w:pPr>
      <w:r w:rsidRPr="000E0A4D">
        <w:rPr>
          <w:rFonts w:ascii="Arial" w:hAnsi="Arial" w:cs="Arial"/>
          <w:b/>
          <w:bCs/>
          <w:lang w:val="en-US"/>
        </w:rPr>
        <w:t>Genetic Factors:</w:t>
      </w:r>
      <w:r w:rsidRPr="000E0A4D">
        <w:rPr>
          <w:rFonts w:ascii="Arial" w:hAnsi="Arial" w:cs="Arial"/>
          <w:lang w:val="en-US"/>
        </w:rPr>
        <w:t xml:space="preserve"> </w:t>
      </w:r>
      <w:r w:rsidR="00616BBB" w:rsidRPr="000E0A4D">
        <w:rPr>
          <w:rFonts w:ascii="Arial" w:hAnsi="Arial" w:cs="Arial"/>
          <w:lang w:val="en-US"/>
        </w:rPr>
        <w:t>It has been proved that genetics can be a factor in people who have never smoked, as a small percentage of lung-cancer cases occur in non-smokers. Complex interactions between the environment and genes put a person at risk of developing a particular disease by affecting their family history, hereditarily acquired alterations disrupting DNA-repair mechanisms, and other conditions, including chronic obstructive pulmonary disease</w:t>
      </w:r>
      <w:r w:rsidRPr="000E0A4D">
        <w:rPr>
          <w:rFonts w:ascii="Arial" w:hAnsi="Arial" w:cs="Arial"/>
          <w:lang w:val="en-US"/>
        </w:rPr>
        <w:t xml:space="preserve"> (Kuśnierczyk, 2023).</w:t>
      </w:r>
    </w:p>
    <w:p w14:paraId="1634EDD4" w14:textId="77777777" w:rsidR="0061600D" w:rsidRPr="000E0A4D" w:rsidRDefault="00BC6327" w:rsidP="00BC6327">
      <w:pPr>
        <w:pStyle w:val="ListParagraph"/>
        <w:numPr>
          <w:ilvl w:val="0"/>
          <w:numId w:val="26"/>
        </w:numPr>
        <w:spacing w:line="360" w:lineRule="auto"/>
        <w:jc w:val="both"/>
        <w:rPr>
          <w:rFonts w:ascii="Arial" w:hAnsi="Arial" w:cs="Arial"/>
          <w:lang w:val="en-US"/>
        </w:rPr>
      </w:pPr>
      <w:r w:rsidRPr="000E0A4D">
        <w:rPr>
          <w:rFonts w:ascii="Arial" w:hAnsi="Arial" w:cs="Arial"/>
          <w:b/>
          <w:bCs/>
          <w:lang w:val="en-US"/>
        </w:rPr>
        <w:t>Socio-Economic Factors:</w:t>
      </w:r>
      <w:r w:rsidRPr="000E0A4D">
        <w:rPr>
          <w:rFonts w:ascii="Arial" w:hAnsi="Arial" w:cs="Arial"/>
          <w:lang w:val="en-US"/>
        </w:rPr>
        <w:t xml:space="preserve"> </w:t>
      </w:r>
      <w:r w:rsidR="00616BBB" w:rsidRPr="000E0A4D">
        <w:rPr>
          <w:rFonts w:ascii="Arial" w:hAnsi="Arial" w:cs="Arial"/>
          <w:lang w:val="en-US"/>
        </w:rPr>
        <w:t>Low education and income status are likely to complicate the occurrence of lung cancer and worsening of the results. The poor populations tend to postpone seeking medical assistance too long, have less opportunity to undergo tests, and are in more frequent contact with dangerous pollution. The existence of these disparities contributes to the occurrence of cancers at their advanced stage and reduced survival rates.</w:t>
      </w:r>
    </w:p>
    <w:p w14:paraId="0794916C" w14:textId="77777777" w:rsidR="0061600D" w:rsidRPr="000E0A4D" w:rsidRDefault="0061600D" w:rsidP="00602372">
      <w:pPr>
        <w:spacing w:line="360" w:lineRule="auto"/>
        <w:jc w:val="center"/>
        <w:rPr>
          <w:rFonts w:ascii="Arial" w:hAnsi="Arial" w:cs="Arial"/>
        </w:rPr>
      </w:pPr>
      <w:r w:rsidRPr="000E0A4D">
        <w:rPr>
          <w:rFonts w:ascii="Arial" w:hAnsi="Arial" w:cs="Arial"/>
          <w:noProof/>
          <w:lang w:val="en-IN" w:eastAsia="en-IN"/>
        </w:rPr>
        <w:drawing>
          <wp:inline distT="0" distB="0" distL="0" distR="0" wp14:anchorId="261A832B" wp14:editId="6226DCD7">
            <wp:extent cx="3422445" cy="1962150"/>
            <wp:effectExtent l="19050" t="0" r="6555" b="0"/>
            <wp:docPr id="10" name="Picture 7" descr="Social and Biological Determinants in Lung Cancer Dispa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cial and Biological Determinants in Lung Cancer Disparity"/>
                    <pic:cNvPicPr>
                      <a:picLocks noChangeAspect="1" noChangeArrowheads="1"/>
                    </pic:cNvPicPr>
                  </pic:nvPicPr>
                  <pic:blipFill>
                    <a:blip r:embed="rId16" cstate="print"/>
                    <a:srcRect/>
                    <a:stretch>
                      <a:fillRect/>
                    </a:stretch>
                  </pic:blipFill>
                  <pic:spPr bwMode="auto">
                    <a:xfrm>
                      <a:off x="0" y="0"/>
                      <a:ext cx="3427309" cy="1964939"/>
                    </a:xfrm>
                    <a:prstGeom prst="rect">
                      <a:avLst/>
                    </a:prstGeom>
                    <a:noFill/>
                    <a:ln w="9525">
                      <a:noFill/>
                      <a:miter lim="800000"/>
                      <a:headEnd/>
                      <a:tailEnd/>
                    </a:ln>
                  </pic:spPr>
                </pic:pic>
              </a:graphicData>
            </a:graphic>
          </wp:inline>
        </w:drawing>
      </w:r>
    </w:p>
    <w:p w14:paraId="699B8093" w14:textId="77777777" w:rsidR="0061600D" w:rsidRPr="000E0A4D" w:rsidRDefault="0061600D" w:rsidP="00602372">
      <w:pPr>
        <w:spacing w:line="360" w:lineRule="auto"/>
        <w:jc w:val="center"/>
        <w:rPr>
          <w:rFonts w:ascii="Arial" w:hAnsi="Arial" w:cs="Arial"/>
          <w:b/>
          <w:i/>
        </w:rPr>
      </w:pPr>
      <w:r w:rsidRPr="000E0A4D">
        <w:rPr>
          <w:rFonts w:ascii="Arial" w:hAnsi="Arial" w:cs="Arial"/>
          <w:b/>
          <w:i/>
        </w:rPr>
        <w:t>Figure B- Social and Biological Determinants in Lung Cancer (Brock et al., 2024)</w:t>
      </w:r>
    </w:p>
    <w:p w14:paraId="0DA064EB" w14:textId="77777777" w:rsidR="0061600D" w:rsidRPr="000E0A4D" w:rsidRDefault="0061600D" w:rsidP="0061600D">
      <w:pPr>
        <w:pStyle w:val="Heading2"/>
        <w:spacing w:line="360" w:lineRule="auto"/>
        <w:jc w:val="both"/>
        <w:rPr>
          <w:rFonts w:ascii="Arial" w:hAnsi="Arial" w:cs="Arial"/>
          <w:i/>
          <w:sz w:val="22"/>
          <w:szCs w:val="22"/>
          <w:u w:val="single"/>
        </w:rPr>
      </w:pPr>
      <w:bookmarkStart w:id="8" w:name="_Toc213762818"/>
      <w:r w:rsidRPr="000E0A4D">
        <w:rPr>
          <w:rFonts w:ascii="Arial" w:hAnsi="Arial" w:cs="Arial"/>
          <w:i/>
          <w:sz w:val="22"/>
          <w:szCs w:val="22"/>
          <w:u w:val="single"/>
        </w:rPr>
        <w:t>2.4 Professional Implications</w:t>
      </w:r>
      <w:bookmarkEnd w:id="8"/>
      <w:r w:rsidRPr="000E0A4D">
        <w:rPr>
          <w:rFonts w:ascii="Arial" w:hAnsi="Arial" w:cs="Arial"/>
          <w:i/>
          <w:sz w:val="22"/>
          <w:szCs w:val="22"/>
          <w:u w:val="single"/>
        </w:rPr>
        <w:t xml:space="preserve"> </w:t>
      </w:r>
    </w:p>
    <w:p w14:paraId="5D4C32DB"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Health and social care workers play a crucial role in screening the risks, identifying the issues at an early stage, and educating patients. They actively participate in conversations about the smoking cessation, pollution monitoring, and the provision of culture-oriented health recommendations, which maintain the detection of issues at an early stage and maintain care equitable and preventive in numerous various contexts (van Westen-Lagerweij et al., 2022).</w:t>
      </w:r>
    </w:p>
    <w:p w14:paraId="4F47F132" w14:textId="77777777" w:rsidR="0061600D" w:rsidRPr="000E0A4D" w:rsidRDefault="0061600D" w:rsidP="00602372">
      <w:pPr>
        <w:pStyle w:val="Heading1"/>
        <w:spacing w:line="360" w:lineRule="auto"/>
        <w:jc w:val="center"/>
        <w:rPr>
          <w:rFonts w:ascii="Arial" w:hAnsi="Arial" w:cs="Arial"/>
          <w:b/>
          <w:sz w:val="22"/>
          <w:szCs w:val="22"/>
        </w:rPr>
      </w:pPr>
      <w:bookmarkStart w:id="9" w:name="_Toc213762819"/>
      <w:r w:rsidRPr="000E0A4D">
        <w:rPr>
          <w:rFonts w:ascii="Arial" w:hAnsi="Arial" w:cs="Arial"/>
          <w:b/>
          <w:sz w:val="22"/>
          <w:szCs w:val="22"/>
        </w:rPr>
        <w:t>3. Impact on Individuals and Families</w:t>
      </w:r>
      <w:bookmarkEnd w:id="9"/>
    </w:p>
    <w:p w14:paraId="15FCEBC0" w14:textId="77777777" w:rsidR="0061600D" w:rsidRPr="000E0A4D" w:rsidRDefault="0061600D" w:rsidP="0061600D">
      <w:pPr>
        <w:pStyle w:val="Heading2"/>
        <w:spacing w:line="360" w:lineRule="auto"/>
        <w:jc w:val="both"/>
        <w:rPr>
          <w:rFonts w:ascii="Arial" w:hAnsi="Arial" w:cs="Arial"/>
          <w:i/>
          <w:sz w:val="22"/>
          <w:szCs w:val="22"/>
          <w:u w:val="single"/>
        </w:rPr>
      </w:pPr>
      <w:bookmarkStart w:id="10" w:name="_Toc213762820"/>
      <w:r w:rsidRPr="000E0A4D">
        <w:rPr>
          <w:rFonts w:ascii="Arial" w:hAnsi="Arial" w:cs="Arial"/>
          <w:i/>
          <w:sz w:val="22"/>
          <w:szCs w:val="22"/>
          <w:u w:val="single"/>
        </w:rPr>
        <w:t>3.1 Physical Impacts</w:t>
      </w:r>
      <w:bookmarkEnd w:id="10"/>
      <w:r w:rsidRPr="000E0A4D">
        <w:rPr>
          <w:rFonts w:ascii="Arial" w:hAnsi="Arial" w:cs="Arial"/>
          <w:i/>
          <w:sz w:val="22"/>
          <w:szCs w:val="22"/>
          <w:u w:val="single"/>
        </w:rPr>
        <w:t xml:space="preserve"> </w:t>
      </w:r>
    </w:p>
    <w:p w14:paraId="22ECDD66" w14:textId="77777777" w:rsidR="00BC6327" w:rsidRPr="000E0A4D" w:rsidRDefault="00BC6327" w:rsidP="00BC6327">
      <w:pPr>
        <w:spacing w:line="360" w:lineRule="auto"/>
        <w:jc w:val="both"/>
        <w:rPr>
          <w:rFonts w:ascii="Arial" w:hAnsi="Arial" w:cs="Arial"/>
          <w:lang w:val="en-US"/>
        </w:rPr>
      </w:pPr>
      <w:r w:rsidRPr="000E0A4D">
        <w:rPr>
          <w:rFonts w:ascii="Arial" w:hAnsi="Arial" w:cs="Arial"/>
          <w:b/>
          <w:bCs/>
          <w:lang w:val="en-US"/>
        </w:rPr>
        <w:t>Disease-Related Symptoms</w:t>
      </w:r>
    </w:p>
    <w:p w14:paraId="73F651D1" w14:textId="77777777" w:rsidR="00BC6327" w:rsidRPr="000E0A4D" w:rsidRDefault="00BC6327" w:rsidP="00BC6327">
      <w:pPr>
        <w:numPr>
          <w:ilvl w:val="0"/>
          <w:numId w:val="27"/>
        </w:numPr>
        <w:spacing w:line="360" w:lineRule="auto"/>
        <w:jc w:val="both"/>
        <w:rPr>
          <w:rFonts w:ascii="Arial" w:hAnsi="Arial" w:cs="Arial"/>
          <w:lang w:val="en-US"/>
        </w:rPr>
      </w:pPr>
      <w:r w:rsidRPr="000E0A4D">
        <w:rPr>
          <w:rFonts w:ascii="Arial" w:hAnsi="Arial" w:cs="Arial"/>
          <w:lang w:val="en-US"/>
        </w:rPr>
        <w:t>Persistent or nonproductive cough</w:t>
      </w:r>
    </w:p>
    <w:p w14:paraId="4BADAEDE" w14:textId="77777777" w:rsidR="00BC6327" w:rsidRPr="000E0A4D" w:rsidRDefault="00BC6327" w:rsidP="00BC6327">
      <w:pPr>
        <w:numPr>
          <w:ilvl w:val="0"/>
          <w:numId w:val="27"/>
        </w:numPr>
        <w:spacing w:line="360" w:lineRule="auto"/>
        <w:jc w:val="both"/>
        <w:rPr>
          <w:rFonts w:ascii="Arial" w:hAnsi="Arial" w:cs="Arial"/>
          <w:lang w:val="en-US"/>
        </w:rPr>
      </w:pPr>
      <w:r w:rsidRPr="000E0A4D">
        <w:rPr>
          <w:rFonts w:ascii="Arial" w:hAnsi="Arial" w:cs="Arial"/>
          <w:lang w:val="en-US"/>
        </w:rPr>
        <w:t>Breathlessness and chest pain</w:t>
      </w:r>
    </w:p>
    <w:p w14:paraId="611A62B9" w14:textId="77777777" w:rsidR="00BC6327" w:rsidRPr="000E0A4D" w:rsidRDefault="00BC6327" w:rsidP="00BC6327">
      <w:pPr>
        <w:numPr>
          <w:ilvl w:val="0"/>
          <w:numId w:val="27"/>
        </w:numPr>
        <w:spacing w:line="360" w:lineRule="auto"/>
        <w:jc w:val="both"/>
        <w:rPr>
          <w:rFonts w:ascii="Arial" w:hAnsi="Arial" w:cs="Arial"/>
          <w:lang w:val="en-US"/>
        </w:rPr>
      </w:pPr>
      <w:r w:rsidRPr="000E0A4D">
        <w:rPr>
          <w:rFonts w:ascii="Arial" w:hAnsi="Arial" w:cs="Arial"/>
          <w:lang w:val="en-US"/>
        </w:rPr>
        <w:t>Haemoptysis (bloody cough)</w:t>
      </w:r>
    </w:p>
    <w:p w14:paraId="4C4A3882" w14:textId="77777777" w:rsidR="00BC6327" w:rsidRPr="000E0A4D" w:rsidRDefault="00BC6327" w:rsidP="00BC6327">
      <w:pPr>
        <w:numPr>
          <w:ilvl w:val="0"/>
          <w:numId w:val="27"/>
        </w:numPr>
        <w:spacing w:line="360" w:lineRule="auto"/>
        <w:jc w:val="both"/>
        <w:rPr>
          <w:rFonts w:ascii="Arial" w:hAnsi="Arial" w:cs="Arial"/>
          <w:lang w:val="en-US"/>
        </w:rPr>
      </w:pPr>
      <w:r w:rsidRPr="000E0A4D">
        <w:rPr>
          <w:rFonts w:ascii="Arial" w:hAnsi="Arial" w:cs="Arial"/>
          <w:lang w:val="en-US"/>
        </w:rPr>
        <w:t>Fatigue, weight loss, and muscle wasting as disease progresses (Modglin, 2024)</w:t>
      </w:r>
    </w:p>
    <w:p w14:paraId="5666C33E" w14:textId="77777777" w:rsidR="00BC6327" w:rsidRPr="000E0A4D" w:rsidRDefault="00BC6327" w:rsidP="00BC6327">
      <w:pPr>
        <w:spacing w:line="360" w:lineRule="auto"/>
        <w:jc w:val="both"/>
        <w:rPr>
          <w:rFonts w:ascii="Arial" w:hAnsi="Arial" w:cs="Arial"/>
          <w:lang w:val="en-US"/>
        </w:rPr>
      </w:pPr>
      <w:r w:rsidRPr="000E0A4D">
        <w:rPr>
          <w:rFonts w:ascii="Arial" w:hAnsi="Arial" w:cs="Arial"/>
          <w:b/>
          <w:bCs/>
          <w:lang w:val="en-US"/>
        </w:rPr>
        <w:t>Treatment-Related Side Effects</w:t>
      </w:r>
    </w:p>
    <w:p w14:paraId="3F5D1091" w14:textId="77777777" w:rsidR="00BC6327" w:rsidRPr="000E0A4D" w:rsidRDefault="00BC6327" w:rsidP="00BC6327">
      <w:pPr>
        <w:numPr>
          <w:ilvl w:val="0"/>
          <w:numId w:val="28"/>
        </w:numPr>
        <w:spacing w:line="360" w:lineRule="auto"/>
        <w:jc w:val="both"/>
        <w:rPr>
          <w:rFonts w:ascii="Arial" w:hAnsi="Arial" w:cs="Arial"/>
          <w:lang w:val="en-US"/>
        </w:rPr>
      </w:pPr>
      <w:r w:rsidRPr="000E0A4D">
        <w:rPr>
          <w:rFonts w:ascii="Arial" w:hAnsi="Arial" w:cs="Arial"/>
          <w:lang w:val="en-US"/>
        </w:rPr>
        <w:t>Nausea and vomiting</w:t>
      </w:r>
    </w:p>
    <w:p w14:paraId="70516BDB" w14:textId="77777777" w:rsidR="00BC6327" w:rsidRPr="000E0A4D" w:rsidRDefault="00BC6327" w:rsidP="00BC6327">
      <w:pPr>
        <w:numPr>
          <w:ilvl w:val="0"/>
          <w:numId w:val="28"/>
        </w:numPr>
        <w:spacing w:line="360" w:lineRule="auto"/>
        <w:jc w:val="both"/>
        <w:rPr>
          <w:rFonts w:ascii="Arial" w:hAnsi="Arial" w:cs="Arial"/>
          <w:lang w:val="en-US"/>
        </w:rPr>
      </w:pPr>
      <w:r w:rsidRPr="000E0A4D">
        <w:rPr>
          <w:rFonts w:ascii="Arial" w:hAnsi="Arial" w:cs="Arial"/>
          <w:lang w:val="en-US"/>
        </w:rPr>
        <w:t>Hair loss and mouth soreness</w:t>
      </w:r>
    </w:p>
    <w:p w14:paraId="7EA3A0F3" w14:textId="77777777" w:rsidR="00BC6327" w:rsidRPr="000E0A4D" w:rsidRDefault="00BC6327" w:rsidP="00BC6327">
      <w:pPr>
        <w:numPr>
          <w:ilvl w:val="0"/>
          <w:numId w:val="28"/>
        </w:numPr>
        <w:spacing w:line="360" w:lineRule="auto"/>
        <w:jc w:val="both"/>
        <w:rPr>
          <w:rFonts w:ascii="Arial" w:hAnsi="Arial" w:cs="Arial"/>
          <w:lang w:val="en-US"/>
        </w:rPr>
      </w:pPr>
      <w:r w:rsidRPr="000E0A4D">
        <w:rPr>
          <w:rFonts w:ascii="Arial" w:hAnsi="Arial" w:cs="Arial"/>
          <w:lang w:val="en-US"/>
        </w:rPr>
        <w:t>Neuropathy (nerve pain)</w:t>
      </w:r>
    </w:p>
    <w:p w14:paraId="666275CC" w14:textId="77777777" w:rsidR="00BC6327" w:rsidRPr="000E0A4D" w:rsidRDefault="00BC6327" w:rsidP="00BC6327">
      <w:pPr>
        <w:numPr>
          <w:ilvl w:val="0"/>
          <w:numId w:val="28"/>
        </w:numPr>
        <w:spacing w:line="360" w:lineRule="auto"/>
        <w:jc w:val="both"/>
        <w:rPr>
          <w:rFonts w:ascii="Arial" w:hAnsi="Arial" w:cs="Arial"/>
          <w:lang w:val="en-US"/>
        </w:rPr>
      </w:pPr>
      <w:r w:rsidRPr="000E0A4D">
        <w:rPr>
          <w:rFonts w:ascii="Arial" w:hAnsi="Arial" w:cs="Arial"/>
          <w:lang w:val="en-US"/>
        </w:rPr>
        <w:t>Reduced energy and functional decline</w:t>
      </w:r>
    </w:p>
    <w:p w14:paraId="6A4E061F" w14:textId="77777777" w:rsidR="00BC6327" w:rsidRPr="000E0A4D" w:rsidRDefault="00BC6327" w:rsidP="00BC6327">
      <w:pPr>
        <w:spacing w:line="360" w:lineRule="auto"/>
        <w:jc w:val="both"/>
        <w:rPr>
          <w:rFonts w:ascii="Arial" w:hAnsi="Arial" w:cs="Arial"/>
          <w:lang w:val="en-US"/>
        </w:rPr>
      </w:pPr>
      <w:r w:rsidRPr="000E0A4D">
        <w:rPr>
          <w:rFonts w:ascii="Arial" w:hAnsi="Arial" w:cs="Arial"/>
          <w:b/>
          <w:bCs/>
          <w:lang w:val="en-US"/>
        </w:rPr>
        <w:t>Professional Considerations</w:t>
      </w:r>
    </w:p>
    <w:p w14:paraId="4E4DCC7F" w14:textId="77777777" w:rsidR="00BC6327" w:rsidRPr="000E0A4D" w:rsidRDefault="00BC6327" w:rsidP="00BC6327">
      <w:pPr>
        <w:numPr>
          <w:ilvl w:val="0"/>
          <w:numId w:val="29"/>
        </w:numPr>
        <w:spacing w:line="360" w:lineRule="auto"/>
        <w:jc w:val="both"/>
        <w:rPr>
          <w:rFonts w:ascii="Arial" w:hAnsi="Arial" w:cs="Arial"/>
          <w:lang w:val="en-US"/>
        </w:rPr>
      </w:pPr>
      <w:r w:rsidRPr="000E0A4D">
        <w:rPr>
          <w:rFonts w:ascii="Arial" w:hAnsi="Arial" w:cs="Arial"/>
          <w:lang w:val="en-US"/>
        </w:rPr>
        <w:t>Assess pain, nutrition, mobility, and lung function</w:t>
      </w:r>
    </w:p>
    <w:p w14:paraId="19AAF9EF" w14:textId="77777777" w:rsidR="00BC6327" w:rsidRPr="000E0A4D" w:rsidRDefault="00BC6327" w:rsidP="00BC6327">
      <w:pPr>
        <w:numPr>
          <w:ilvl w:val="0"/>
          <w:numId w:val="29"/>
        </w:numPr>
        <w:spacing w:line="360" w:lineRule="auto"/>
        <w:jc w:val="both"/>
        <w:rPr>
          <w:rFonts w:ascii="Arial" w:hAnsi="Arial" w:cs="Arial"/>
          <w:lang w:val="en-US"/>
        </w:rPr>
      </w:pPr>
      <w:r w:rsidRPr="000E0A4D">
        <w:rPr>
          <w:rFonts w:ascii="Arial" w:hAnsi="Arial" w:cs="Arial"/>
          <w:lang w:val="en-US"/>
        </w:rPr>
        <w:t>Provide timely referral to physiotherapy and occupational therapy</w:t>
      </w:r>
    </w:p>
    <w:p w14:paraId="4F42F87A" w14:textId="77777777" w:rsidR="00BC6327" w:rsidRPr="000E0A4D" w:rsidRDefault="00BC6327" w:rsidP="00BC6327">
      <w:pPr>
        <w:numPr>
          <w:ilvl w:val="0"/>
          <w:numId w:val="29"/>
        </w:numPr>
        <w:spacing w:line="360" w:lineRule="auto"/>
        <w:jc w:val="both"/>
        <w:rPr>
          <w:rFonts w:ascii="Arial" w:hAnsi="Arial" w:cs="Arial"/>
          <w:lang w:val="en-US"/>
        </w:rPr>
      </w:pPr>
      <w:r w:rsidRPr="000E0A4D">
        <w:rPr>
          <w:rFonts w:ascii="Arial" w:hAnsi="Arial" w:cs="Arial"/>
          <w:lang w:val="en-US"/>
        </w:rPr>
        <w:t>Involve palliative-care specialists early for symptom control and holistic support (Avancini et al., 2020)</w:t>
      </w:r>
    </w:p>
    <w:p w14:paraId="57433211" w14:textId="77777777" w:rsidR="0061600D" w:rsidRPr="000E0A4D" w:rsidRDefault="0061600D" w:rsidP="0061600D">
      <w:pPr>
        <w:pStyle w:val="Heading2"/>
        <w:spacing w:line="360" w:lineRule="auto"/>
        <w:jc w:val="both"/>
        <w:rPr>
          <w:rFonts w:ascii="Arial" w:hAnsi="Arial" w:cs="Arial"/>
          <w:i/>
          <w:sz w:val="22"/>
          <w:szCs w:val="22"/>
          <w:u w:val="single"/>
        </w:rPr>
      </w:pPr>
      <w:bookmarkStart w:id="11" w:name="_Toc213762821"/>
      <w:r w:rsidRPr="000E0A4D">
        <w:rPr>
          <w:rFonts w:ascii="Arial" w:hAnsi="Arial" w:cs="Arial"/>
          <w:i/>
          <w:sz w:val="22"/>
          <w:szCs w:val="22"/>
          <w:u w:val="single"/>
        </w:rPr>
        <w:t>3.2 Psychological Impacts</w:t>
      </w:r>
      <w:bookmarkEnd w:id="11"/>
    </w:p>
    <w:p w14:paraId="47E49689" w14:textId="77777777" w:rsidR="00BC6327" w:rsidRPr="000E0A4D" w:rsidRDefault="00BC6327" w:rsidP="00BC6327">
      <w:pPr>
        <w:spacing w:line="360" w:lineRule="auto"/>
        <w:jc w:val="both"/>
        <w:rPr>
          <w:rFonts w:ascii="Arial" w:hAnsi="Arial" w:cs="Arial"/>
          <w:lang w:val="en-US"/>
        </w:rPr>
      </w:pPr>
      <w:r w:rsidRPr="000E0A4D">
        <w:rPr>
          <w:rFonts w:ascii="Arial" w:hAnsi="Arial" w:cs="Arial"/>
          <w:b/>
          <w:bCs/>
          <w:lang w:val="en-US"/>
        </w:rPr>
        <w:t>Emotional and Cognitive Effects:</w:t>
      </w:r>
    </w:p>
    <w:p w14:paraId="276FCFE0" w14:textId="77777777" w:rsidR="00BC6327" w:rsidRPr="000E0A4D" w:rsidRDefault="00BC6327" w:rsidP="00BC6327">
      <w:pPr>
        <w:numPr>
          <w:ilvl w:val="0"/>
          <w:numId w:val="30"/>
        </w:numPr>
        <w:spacing w:line="360" w:lineRule="auto"/>
        <w:jc w:val="both"/>
        <w:rPr>
          <w:rFonts w:ascii="Arial" w:hAnsi="Arial" w:cs="Arial"/>
          <w:lang w:val="en-US"/>
        </w:rPr>
      </w:pPr>
      <w:r w:rsidRPr="000E0A4D">
        <w:rPr>
          <w:rFonts w:ascii="Arial" w:hAnsi="Arial" w:cs="Arial"/>
          <w:lang w:val="en-US"/>
        </w:rPr>
        <w:t>Initial shock, anxiety, sadness, or guilt following diagnosis</w:t>
      </w:r>
    </w:p>
    <w:p w14:paraId="07869082" w14:textId="77777777" w:rsidR="00BC6327" w:rsidRPr="000E0A4D" w:rsidRDefault="00BC6327" w:rsidP="00BC6327">
      <w:pPr>
        <w:numPr>
          <w:ilvl w:val="0"/>
          <w:numId w:val="30"/>
        </w:numPr>
        <w:spacing w:line="360" w:lineRule="auto"/>
        <w:jc w:val="both"/>
        <w:rPr>
          <w:rFonts w:ascii="Arial" w:hAnsi="Arial" w:cs="Arial"/>
          <w:lang w:val="en-US"/>
        </w:rPr>
      </w:pPr>
      <w:r w:rsidRPr="000E0A4D">
        <w:rPr>
          <w:rFonts w:ascii="Arial" w:hAnsi="Arial" w:cs="Arial"/>
          <w:lang w:val="en-US"/>
        </w:rPr>
        <w:t>Distress intensified by poor survival statistics and stigma related to smoking</w:t>
      </w:r>
    </w:p>
    <w:p w14:paraId="50626D51" w14:textId="77777777" w:rsidR="00BC6327" w:rsidRPr="000E0A4D" w:rsidRDefault="00BC6327" w:rsidP="00BC6327">
      <w:pPr>
        <w:numPr>
          <w:ilvl w:val="0"/>
          <w:numId w:val="30"/>
        </w:numPr>
        <w:spacing w:line="360" w:lineRule="auto"/>
        <w:jc w:val="both"/>
        <w:rPr>
          <w:rFonts w:ascii="Arial" w:hAnsi="Arial" w:cs="Arial"/>
          <w:lang w:val="en-US"/>
        </w:rPr>
      </w:pPr>
      <w:r w:rsidRPr="000E0A4D">
        <w:rPr>
          <w:rFonts w:ascii="Arial" w:hAnsi="Arial" w:cs="Arial"/>
          <w:lang w:val="en-US"/>
        </w:rPr>
        <w:t>Difficulty concentrating, disrupted sleep, and reduced treatment adherence</w:t>
      </w:r>
    </w:p>
    <w:p w14:paraId="6B08AF10" w14:textId="77777777" w:rsidR="00BC6327" w:rsidRPr="000E0A4D" w:rsidRDefault="00BC6327" w:rsidP="00BC6327">
      <w:pPr>
        <w:spacing w:line="360" w:lineRule="auto"/>
        <w:jc w:val="both"/>
        <w:rPr>
          <w:rFonts w:ascii="Arial" w:hAnsi="Arial" w:cs="Arial"/>
          <w:lang w:val="en-US"/>
        </w:rPr>
      </w:pPr>
      <w:r w:rsidRPr="000E0A4D">
        <w:rPr>
          <w:rFonts w:ascii="Arial" w:hAnsi="Arial" w:cs="Arial"/>
          <w:b/>
          <w:bCs/>
          <w:lang w:val="en-US"/>
        </w:rPr>
        <w:t>Social and Interpersonal Consequences:</w:t>
      </w:r>
    </w:p>
    <w:p w14:paraId="4730F591" w14:textId="77777777" w:rsidR="00BC6327" w:rsidRPr="000E0A4D" w:rsidRDefault="00BC6327" w:rsidP="00BC6327">
      <w:pPr>
        <w:numPr>
          <w:ilvl w:val="0"/>
          <w:numId w:val="31"/>
        </w:numPr>
        <w:spacing w:line="360" w:lineRule="auto"/>
        <w:jc w:val="both"/>
        <w:rPr>
          <w:rFonts w:ascii="Arial" w:hAnsi="Arial" w:cs="Arial"/>
          <w:lang w:val="en-US"/>
        </w:rPr>
      </w:pPr>
      <w:r w:rsidRPr="000E0A4D">
        <w:rPr>
          <w:rFonts w:ascii="Arial" w:hAnsi="Arial" w:cs="Arial"/>
          <w:lang w:val="en-US"/>
        </w:rPr>
        <w:t>Strained relationships and withdrawal from social activities</w:t>
      </w:r>
    </w:p>
    <w:p w14:paraId="3C49A626" w14:textId="77777777" w:rsidR="00BC6327" w:rsidRPr="000E0A4D" w:rsidRDefault="00BC6327" w:rsidP="00BC6327">
      <w:pPr>
        <w:numPr>
          <w:ilvl w:val="0"/>
          <w:numId w:val="31"/>
        </w:numPr>
        <w:spacing w:line="360" w:lineRule="auto"/>
        <w:jc w:val="both"/>
        <w:rPr>
          <w:rFonts w:ascii="Arial" w:hAnsi="Arial" w:cs="Arial"/>
          <w:lang w:val="en-US"/>
        </w:rPr>
      </w:pPr>
      <w:r w:rsidRPr="000E0A4D">
        <w:rPr>
          <w:rFonts w:ascii="Arial" w:hAnsi="Arial" w:cs="Arial"/>
          <w:lang w:val="en-US"/>
        </w:rPr>
        <w:t>Increased vulnerability to depression and emotional exhaustion</w:t>
      </w:r>
    </w:p>
    <w:p w14:paraId="7077DDE9" w14:textId="77777777" w:rsidR="00BC6327" w:rsidRPr="000E0A4D" w:rsidRDefault="00BC6327" w:rsidP="00BC6327">
      <w:pPr>
        <w:spacing w:line="360" w:lineRule="auto"/>
        <w:jc w:val="both"/>
        <w:rPr>
          <w:rFonts w:ascii="Arial" w:hAnsi="Arial" w:cs="Arial"/>
          <w:lang w:val="en-US"/>
        </w:rPr>
      </w:pPr>
      <w:r w:rsidRPr="000E0A4D">
        <w:rPr>
          <w:rFonts w:ascii="Arial" w:hAnsi="Arial" w:cs="Arial"/>
          <w:b/>
          <w:bCs/>
          <w:lang w:val="en-US"/>
        </w:rPr>
        <w:t>Professional Responsibilities:</w:t>
      </w:r>
    </w:p>
    <w:p w14:paraId="4189393E" w14:textId="77777777" w:rsidR="00BC6327" w:rsidRPr="000E0A4D" w:rsidRDefault="00BC6327" w:rsidP="00BC6327">
      <w:pPr>
        <w:numPr>
          <w:ilvl w:val="0"/>
          <w:numId w:val="32"/>
        </w:numPr>
        <w:spacing w:line="360" w:lineRule="auto"/>
        <w:jc w:val="both"/>
        <w:rPr>
          <w:rFonts w:ascii="Arial" w:hAnsi="Arial" w:cs="Arial"/>
          <w:lang w:val="en-US"/>
        </w:rPr>
      </w:pPr>
      <w:r w:rsidRPr="000E0A4D">
        <w:rPr>
          <w:rFonts w:ascii="Arial" w:hAnsi="Arial" w:cs="Arial"/>
          <w:lang w:val="en-US"/>
        </w:rPr>
        <w:t>Use screening tools such as distress thermometers or HADS to detect early psychological needs</w:t>
      </w:r>
    </w:p>
    <w:p w14:paraId="4865D444" w14:textId="77777777" w:rsidR="00BC6327" w:rsidRPr="000E0A4D" w:rsidRDefault="00BC6327" w:rsidP="00BC6327">
      <w:pPr>
        <w:numPr>
          <w:ilvl w:val="0"/>
          <w:numId w:val="32"/>
        </w:numPr>
        <w:spacing w:line="360" w:lineRule="auto"/>
        <w:jc w:val="both"/>
        <w:rPr>
          <w:rFonts w:ascii="Arial" w:hAnsi="Arial" w:cs="Arial"/>
          <w:lang w:val="en-US"/>
        </w:rPr>
      </w:pPr>
      <w:r w:rsidRPr="000E0A4D">
        <w:rPr>
          <w:rFonts w:ascii="Arial" w:hAnsi="Arial" w:cs="Arial"/>
          <w:lang w:val="en-US"/>
        </w:rPr>
        <w:t>Refer patients to mental-health or psycho-oncology services promptly</w:t>
      </w:r>
    </w:p>
    <w:p w14:paraId="058D1F41" w14:textId="77777777" w:rsidR="00BC6327" w:rsidRPr="000E0A4D" w:rsidRDefault="00BC6327" w:rsidP="00BC6327">
      <w:pPr>
        <w:numPr>
          <w:ilvl w:val="0"/>
          <w:numId w:val="32"/>
        </w:numPr>
        <w:spacing w:line="360" w:lineRule="auto"/>
        <w:jc w:val="both"/>
        <w:rPr>
          <w:rFonts w:ascii="Arial" w:hAnsi="Arial" w:cs="Arial"/>
          <w:lang w:val="en-US"/>
        </w:rPr>
      </w:pPr>
      <w:r w:rsidRPr="000E0A4D">
        <w:rPr>
          <w:rFonts w:ascii="Arial" w:hAnsi="Arial" w:cs="Arial"/>
          <w:lang w:val="en-US"/>
        </w:rPr>
        <w:t>Provide clear communication, empathetic listening, and consistent information to support hope and shared decision-making (Brown Johnson, Brodsky and Cataldo, 2014).</w:t>
      </w:r>
    </w:p>
    <w:p w14:paraId="11F4BF55" w14:textId="77777777" w:rsidR="0061600D" w:rsidRPr="000E0A4D" w:rsidRDefault="0061600D" w:rsidP="00BC6327">
      <w:pPr>
        <w:spacing w:line="360" w:lineRule="auto"/>
        <w:jc w:val="center"/>
        <w:rPr>
          <w:rFonts w:ascii="Arial" w:hAnsi="Arial" w:cs="Arial"/>
        </w:rPr>
      </w:pPr>
      <w:r w:rsidRPr="000E0A4D">
        <w:rPr>
          <w:rFonts w:ascii="Arial" w:hAnsi="Arial" w:cs="Arial"/>
          <w:noProof/>
          <w:lang w:val="en-IN" w:eastAsia="en-IN"/>
        </w:rPr>
        <w:drawing>
          <wp:inline distT="0" distB="0" distL="0" distR="0" wp14:anchorId="07F3043E" wp14:editId="10F673BA">
            <wp:extent cx="3247040" cy="3830212"/>
            <wp:effectExtent l="19050" t="0" r="0" b="0"/>
            <wp:docPr id="11" name="Picture 19" descr="NHS England » Working in partnership with people and communities: Statutory  gui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NHS England » Working in partnership with people and communities: Statutory  guidance"/>
                    <pic:cNvPicPr>
                      <a:picLocks noChangeAspect="1" noChangeArrowheads="1"/>
                    </pic:cNvPicPr>
                  </pic:nvPicPr>
                  <pic:blipFill>
                    <a:blip r:embed="rId17"/>
                    <a:srcRect/>
                    <a:stretch>
                      <a:fillRect/>
                    </a:stretch>
                  </pic:blipFill>
                  <pic:spPr bwMode="auto">
                    <a:xfrm>
                      <a:off x="0" y="0"/>
                      <a:ext cx="3247040" cy="3830212"/>
                    </a:xfrm>
                    <a:prstGeom prst="rect">
                      <a:avLst/>
                    </a:prstGeom>
                    <a:noFill/>
                    <a:ln w="9525">
                      <a:noFill/>
                      <a:miter lim="800000"/>
                      <a:headEnd/>
                      <a:tailEnd/>
                    </a:ln>
                  </pic:spPr>
                </pic:pic>
              </a:graphicData>
            </a:graphic>
          </wp:inline>
        </w:drawing>
      </w:r>
    </w:p>
    <w:p w14:paraId="755CD4A0" w14:textId="77777777" w:rsidR="0061600D" w:rsidRPr="000E0A4D" w:rsidRDefault="0061600D" w:rsidP="00602372">
      <w:pPr>
        <w:spacing w:line="360" w:lineRule="auto"/>
        <w:jc w:val="center"/>
        <w:rPr>
          <w:rFonts w:ascii="Arial" w:hAnsi="Arial" w:cs="Arial"/>
          <w:b/>
          <w:i/>
        </w:rPr>
      </w:pPr>
      <w:r w:rsidRPr="000E0A4D">
        <w:rPr>
          <w:rFonts w:ascii="Arial" w:hAnsi="Arial" w:cs="Arial"/>
          <w:b/>
          <w:i/>
        </w:rPr>
        <w:t>Figure C- Inter-Disciplinary Collaboration With NHS (NHS England, 2023)</w:t>
      </w:r>
    </w:p>
    <w:p w14:paraId="0555F989" w14:textId="77777777" w:rsidR="0061600D" w:rsidRPr="000E0A4D" w:rsidRDefault="0061600D" w:rsidP="0061600D">
      <w:pPr>
        <w:pStyle w:val="Heading2"/>
        <w:spacing w:line="360" w:lineRule="auto"/>
        <w:jc w:val="both"/>
        <w:rPr>
          <w:rFonts w:ascii="Arial" w:hAnsi="Arial" w:cs="Arial"/>
          <w:i/>
          <w:sz w:val="22"/>
          <w:szCs w:val="22"/>
          <w:u w:val="single"/>
        </w:rPr>
      </w:pPr>
      <w:bookmarkStart w:id="12" w:name="_Toc213762822"/>
      <w:r w:rsidRPr="000E0A4D">
        <w:rPr>
          <w:rFonts w:ascii="Arial" w:hAnsi="Arial" w:cs="Arial"/>
          <w:i/>
          <w:sz w:val="22"/>
          <w:szCs w:val="22"/>
          <w:u w:val="single"/>
        </w:rPr>
        <w:t>3.3 Social and Occupational Impacts</w:t>
      </w:r>
      <w:bookmarkEnd w:id="12"/>
      <w:r w:rsidRPr="000E0A4D">
        <w:rPr>
          <w:rFonts w:ascii="Arial" w:hAnsi="Arial" w:cs="Arial"/>
          <w:i/>
          <w:sz w:val="22"/>
          <w:szCs w:val="22"/>
          <w:u w:val="single"/>
        </w:rPr>
        <w:t xml:space="preserve"> </w:t>
      </w:r>
    </w:p>
    <w:p w14:paraId="4E52B68A" w14:textId="77777777" w:rsidR="000F660D" w:rsidRPr="000E0A4D" w:rsidRDefault="000F660D" w:rsidP="000F660D">
      <w:pPr>
        <w:pStyle w:val="ListParagraph"/>
        <w:numPr>
          <w:ilvl w:val="0"/>
          <w:numId w:val="33"/>
        </w:numPr>
        <w:spacing w:line="360" w:lineRule="auto"/>
        <w:jc w:val="both"/>
        <w:rPr>
          <w:rFonts w:ascii="Arial" w:hAnsi="Arial" w:cs="Arial"/>
          <w:lang w:val="en-US"/>
        </w:rPr>
      </w:pPr>
      <w:r w:rsidRPr="000E0A4D">
        <w:rPr>
          <w:rFonts w:ascii="Arial" w:hAnsi="Arial" w:cs="Arial"/>
          <w:b/>
          <w:bCs/>
          <w:lang w:val="en-US"/>
        </w:rPr>
        <w:t>Social Impacts:</w:t>
      </w:r>
      <w:r w:rsidRPr="000E0A4D">
        <w:rPr>
          <w:rFonts w:ascii="Arial" w:hAnsi="Arial" w:cs="Arial"/>
          <w:lang w:val="en-US"/>
        </w:rPr>
        <w:t xml:space="preserve"> </w:t>
      </w:r>
      <w:r w:rsidR="00616BBB" w:rsidRPr="000E0A4D">
        <w:rPr>
          <w:rFonts w:ascii="Arial" w:hAnsi="Arial" w:cs="Arial"/>
          <w:lang w:val="en-US"/>
        </w:rPr>
        <w:t>Lung cancer is capable of interfering with the social life of a person, due to fatigue, treatment duration, and emotional suffering, it is difficult to be included in the daily activities. Smoking stigma can push away and embarrass or isolate people. Money issues also occur due to the cost of travelling, reduced income and sluggish payment of benefits. Physicians are expected to be aware of such issues and refer patients to social-care teams, benefits counselors, and volunteer organizations like the Macmillan Support Line or Citizens Advice to receive allowable practical and emotional assistance.</w:t>
      </w:r>
    </w:p>
    <w:p w14:paraId="5631A7B2" w14:textId="77777777" w:rsidR="0061600D" w:rsidRPr="000E0A4D" w:rsidRDefault="000F660D" w:rsidP="00616BBB">
      <w:pPr>
        <w:pStyle w:val="ListParagraph"/>
        <w:numPr>
          <w:ilvl w:val="0"/>
          <w:numId w:val="33"/>
        </w:numPr>
        <w:spacing w:line="360" w:lineRule="auto"/>
        <w:jc w:val="both"/>
        <w:rPr>
          <w:rFonts w:ascii="Arial" w:hAnsi="Arial" w:cs="Arial"/>
          <w:lang w:val="en-US"/>
        </w:rPr>
      </w:pPr>
      <w:r w:rsidRPr="000E0A4D">
        <w:rPr>
          <w:rFonts w:ascii="Arial" w:hAnsi="Arial" w:cs="Arial"/>
          <w:b/>
          <w:bCs/>
          <w:lang w:val="en-US"/>
        </w:rPr>
        <w:t>Occupational Impacts:</w:t>
      </w:r>
      <w:r w:rsidRPr="000E0A4D">
        <w:rPr>
          <w:rFonts w:ascii="Arial" w:hAnsi="Arial" w:cs="Arial"/>
          <w:lang w:val="en-US"/>
        </w:rPr>
        <w:t xml:space="preserve"> </w:t>
      </w:r>
      <w:r w:rsidR="00616BBB" w:rsidRPr="000E0A4D">
        <w:rPr>
          <w:rFonts w:ascii="Arial" w:hAnsi="Arial" w:cs="Arial"/>
          <w:lang w:val="en-US"/>
        </w:rPr>
        <w:t xml:space="preserve">Individuals have to work more due to low energy level, short breath, and numerous appointments that complicate routine activities. This may translate to reduced hours or loss of employment which makes them more insecure financially. According to the Equality Act 2010, employers are allowed to offer reasonable assistance such as flexible working hours or job redesign to accommodate individuals, maintain them and allow individuals to connect with each other and be supported </w:t>
      </w:r>
      <w:r w:rsidRPr="000E0A4D">
        <w:rPr>
          <w:rFonts w:ascii="Arial" w:hAnsi="Arial" w:cs="Arial"/>
          <w:lang w:val="en-US"/>
        </w:rPr>
        <w:t>(Brock et al., 2024).</w:t>
      </w:r>
    </w:p>
    <w:p w14:paraId="49FB3027" w14:textId="77777777" w:rsidR="0061600D" w:rsidRPr="000E0A4D" w:rsidRDefault="0061600D" w:rsidP="0061600D">
      <w:pPr>
        <w:pStyle w:val="Heading2"/>
        <w:spacing w:line="360" w:lineRule="auto"/>
        <w:jc w:val="both"/>
        <w:rPr>
          <w:rFonts w:ascii="Arial" w:hAnsi="Arial" w:cs="Arial"/>
          <w:i/>
          <w:sz w:val="22"/>
          <w:szCs w:val="22"/>
          <w:u w:val="single"/>
        </w:rPr>
      </w:pPr>
      <w:bookmarkStart w:id="13" w:name="_Toc213762823"/>
      <w:r w:rsidRPr="000E0A4D">
        <w:rPr>
          <w:rFonts w:ascii="Arial" w:hAnsi="Arial" w:cs="Arial"/>
          <w:i/>
          <w:sz w:val="22"/>
          <w:szCs w:val="22"/>
          <w:u w:val="single"/>
        </w:rPr>
        <w:t>3.4 Family and Caregiver Impacts</w:t>
      </w:r>
      <w:bookmarkEnd w:id="13"/>
      <w:r w:rsidRPr="000E0A4D">
        <w:rPr>
          <w:rFonts w:ascii="Arial" w:hAnsi="Arial" w:cs="Arial"/>
          <w:i/>
          <w:sz w:val="22"/>
          <w:szCs w:val="22"/>
          <w:u w:val="single"/>
        </w:rPr>
        <w:t xml:space="preserve"> </w:t>
      </w:r>
    </w:p>
    <w:p w14:paraId="447335DD"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The family members tend to take care of their loved ones such as administering the drugs, making trips, and providing emotional support. Such care may lead to sleeplessness, anxiety, financial concerns, and depression prior to the sickness termination. Openness within the family may be difficult when one does not want to accept the situation or he or she is afraid to discuss the future. Check-ups and care plans should be used to engage carers in health care, educate them on the management of symptoms, and support them to access break services and loss support. NHS trusts have organised support programmes and well-being projects that help to prevent burnt out carers and make them cope more effectively (Shield et al., 2023).</w:t>
      </w:r>
    </w:p>
    <w:tbl>
      <w:tblPr>
        <w:tblStyle w:val="TableGrid"/>
        <w:tblW w:w="6842" w:type="dxa"/>
        <w:tblLook w:val="04A0" w:firstRow="1" w:lastRow="0" w:firstColumn="1" w:lastColumn="0" w:noHBand="0" w:noVBand="1"/>
      </w:tblPr>
      <w:tblGrid>
        <w:gridCol w:w="1775"/>
        <w:gridCol w:w="5067"/>
      </w:tblGrid>
      <w:tr w:rsidR="00D95654" w:rsidRPr="000E0A4D" w14:paraId="28A37B60" w14:textId="77777777" w:rsidTr="00D95654">
        <w:tc>
          <w:tcPr>
            <w:tcW w:w="0" w:type="auto"/>
            <w:hideMark/>
          </w:tcPr>
          <w:p w14:paraId="12E63621" w14:textId="77777777" w:rsidR="00D95654" w:rsidRPr="000E0A4D" w:rsidRDefault="00D95654" w:rsidP="00D95654">
            <w:pPr>
              <w:jc w:val="center"/>
              <w:rPr>
                <w:rFonts w:ascii="Arial" w:eastAsia="Times New Roman" w:hAnsi="Arial" w:cs="Arial"/>
                <w:b/>
                <w:bCs/>
                <w:lang w:val="en-US"/>
              </w:rPr>
            </w:pPr>
            <w:r w:rsidRPr="000E0A4D">
              <w:rPr>
                <w:rFonts w:ascii="Arial" w:eastAsia="Times New Roman" w:hAnsi="Arial" w:cs="Arial"/>
                <w:b/>
                <w:bCs/>
                <w:lang w:val="en-US"/>
              </w:rPr>
              <w:t>Impact Area</w:t>
            </w:r>
          </w:p>
        </w:tc>
        <w:tc>
          <w:tcPr>
            <w:tcW w:w="0" w:type="auto"/>
            <w:hideMark/>
          </w:tcPr>
          <w:p w14:paraId="24B75779" w14:textId="77777777" w:rsidR="00D95654" w:rsidRPr="000E0A4D" w:rsidRDefault="00D95654" w:rsidP="00D95654">
            <w:pPr>
              <w:jc w:val="center"/>
              <w:rPr>
                <w:rFonts w:ascii="Arial" w:eastAsia="Times New Roman" w:hAnsi="Arial" w:cs="Arial"/>
                <w:b/>
                <w:bCs/>
                <w:lang w:val="en-US"/>
              </w:rPr>
            </w:pPr>
            <w:r w:rsidRPr="000E0A4D">
              <w:rPr>
                <w:rFonts w:ascii="Arial" w:eastAsia="Times New Roman" w:hAnsi="Arial" w:cs="Arial"/>
                <w:b/>
                <w:bCs/>
                <w:lang w:val="en-US"/>
              </w:rPr>
              <w:t>Summary of Effects</w:t>
            </w:r>
          </w:p>
        </w:tc>
      </w:tr>
      <w:tr w:rsidR="00D95654" w:rsidRPr="000E0A4D" w14:paraId="1237E360" w14:textId="77777777" w:rsidTr="00D95654">
        <w:tc>
          <w:tcPr>
            <w:tcW w:w="0" w:type="auto"/>
            <w:hideMark/>
          </w:tcPr>
          <w:p w14:paraId="22C0D11E"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b/>
                <w:bCs/>
                <w:lang w:val="en-US"/>
              </w:rPr>
              <w:t>Physical</w:t>
            </w:r>
          </w:p>
        </w:tc>
        <w:tc>
          <w:tcPr>
            <w:tcW w:w="0" w:type="auto"/>
            <w:hideMark/>
          </w:tcPr>
          <w:p w14:paraId="5A232B10"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lang w:val="en-US"/>
              </w:rPr>
              <w:t>Breathlessness, persistent cough, fatigue, weight loss, and pain affecting daily functioning.</w:t>
            </w:r>
          </w:p>
        </w:tc>
      </w:tr>
      <w:tr w:rsidR="00D95654" w:rsidRPr="000E0A4D" w14:paraId="7EA3C9A2" w14:textId="77777777" w:rsidTr="00D95654">
        <w:tc>
          <w:tcPr>
            <w:tcW w:w="0" w:type="auto"/>
            <w:hideMark/>
          </w:tcPr>
          <w:p w14:paraId="051A9632"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b/>
                <w:bCs/>
                <w:lang w:val="en-US"/>
              </w:rPr>
              <w:t>Psychological</w:t>
            </w:r>
          </w:p>
        </w:tc>
        <w:tc>
          <w:tcPr>
            <w:tcW w:w="0" w:type="auto"/>
            <w:hideMark/>
          </w:tcPr>
          <w:p w14:paraId="6800B81B"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lang w:val="en-US"/>
              </w:rPr>
              <w:t>Anxiety, sadness, fear of prognosis, and reduced confidence; may require mental-health support.</w:t>
            </w:r>
          </w:p>
        </w:tc>
      </w:tr>
      <w:tr w:rsidR="00D95654" w:rsidRPr="000E0A4D" w14:paraId="630DC05C" w14:textId="77777777" w:rsidTr="00D95654">
        <w:tc>
          <w:tcPr>
            <w:tcW w:w="0" w:type="auto"/>
            <w:hideMark/>
          </w:tcPr>
          <w:p w14:paraId="6C7B4648"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b/>
                <w:bCs/>
                <w:lang w:val="en-US"/>
              </w:rPr>
              <w:t>Social</w:t>
            </w:r>
          </w:p>
        </w:tc>
        <w:tc>
          <w:tcPr>
            <w:tcW w:w="0" w:type="auto"/>
            <w:hideMark/>
          </w:tcPr>
          <w:p w14:paraId="504430B7"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lang w:val="en-US"/>
              </w:rPr>
              <w:t>Reduced social participation, stigma, financial strain, and feelings of isolation.</w:t>
            </w:r>
          </w:p>
        </w:tc>
      </w:tr>
      <w:tr w:rsidR="00D95654" w:rsidRPr="000E0A4D" w14:paraId="5369D65F" w14:textId="77777777" w:rsidTr="00D95654">
        <w:tc>
          <w:tcPr>
            <w:tcW w:w="0" w:type="auto"/>
            <w:hideMark/>
          </w:tcPr>
          <w:p w14:paraId="21996822"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b/>
                <w:bCs/>
                <w:lang w:val="en-US"/>
              </w:rPr>
              <w:t>Occupational</w:t>
            </w:r>
          </w:p>
        </w:tc>
        <w:tc>
          <w:tcPr>
            <w:tcW w:w="0" w:type="auto"/>
            <w:hideMark/>
          </w:tcPr>
          <w:p w14:paraId="153CAA9C"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lang w:val="en-US"/>
              </w:rPr>
              <w:t>Difficulty maintaining employment due to symptoms and treatment demands, leading to income loss.</w:t>
            </w:r>
          </w:p>
        </w:tc>
      </w:tr>
      <w:tr w:rsidR="00D95654" w:rsidRPr="000E0A4D" w14:paraId="79C30AF3" w14:textId="77777777" w:rsidTr="00D95654">
        <w:tc>
          <w:tcPr>
            <w:tcW w:w="0" w:type="auto"/>
            <w:hideMark/>
          </w:tcPr>
          <w:p w14:paraId="1E51E117"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b/>
                <w:bCs/>
                <w:lang w:val="en-US"/>
              </w:rPr>
              <w:t>Family &amp; Carers</w:t>
            </w:r>
          </w:p>
        </w:tc>
        <w:tc>
          <w:tcPr>
            <w:tcW w:w="0" w:type="auto"/>
            <w:hideMark/>
          </w:tcPr>
          <w:p w14:paraId="4634FC62" w14:textId="77777777" w:rsidR="00D95654" w:rsidRPr="000E0A4D" w:rsidRDefault="00D95654" w:rsidP="00D95654">
            <w:pPr>
              <w:rPr>
                <w:rFonts w:ascii="Arial" w:eastAsia="Times New Roman" w:hAnsi="Arial" w:cs="Arial"/>
                <w:lang w:val="en-US"/>
              </w:rPr>
            </w:pPr>
            <w:r w:rsidRPr="000E0A4D">
              <w:rPr>
                <w:rFonts w:ascii="Arial" w:eastAsia="Times New Roman" w:hAnsi="Arial" w:cs="Arial"/>
                <w:lang w:val="en-US"/>
              </w:rPr>
              <w:t>Emotional stress, increased caregiving responsibilities, disrupted routines, and anticipatory grief.</w:t>
            </w:r>
          </w:p>
        </w:tc>
      </w:tr>
    </w:tbl>
    <w:p w14:paraId="4A87F3D4" w14:textId="77777777" w:rsidR="00D95654" w:rsidRPr="000E0A4D" w:rsidRDefault="00FD3765" w:rsidP="00FD3765">
      <w:pPr>
        <w:spacing w:line="360" w:lineRule="auto"/>
        <w:jc w:val="center"/>
        <w:rPr>
          <w:rFonts w:ascii="Arial" w:hAnsi="Arial" w:cs="Arial"/>
          <w:b/>
          <w:u w:val="single"/>
        </w:rPr>
      </w:pPr>
      <w:r w:rsidRPr="000E0A4D">
        <w:rPr>
          <w:rFonts w:ascii="Arial" w:hAnsi="Arial" w:cs="Arial"/>
          <w:b/>
          <w:u w:val="single"/>
        </w:rPr>
        <w:t>Summary Table of Impacts</w:t>
      </w:r>
    </w:p>
    <w:p w14:paraId="5CA1E6E7" w14:textId="77777777" w:rsidR="0061600D" w:rsidRPr="000E0A4D" w:rsidRDefault="0061600D" w:rsidP="00602372">
      <w:pPr>
        <w:pStyle w:val="Heading1"/>
        <w:spacing w:line="360" w:lineRule="auto"/>
        <w:jc w:val="center"/>
        <w:rPr>
          <w:rFonts w:ascii="Arial" w:hAnsi="Arial" w:cs="Arial"/>
          <w:b/>
          <w:sz w:val="22"/>
          <w:szCs w:val="22"/>
        </w:rPr>
      </w:pPr>
      <w:bookmarkStart w:id="14" w:name="_Toc213762824"/>
      <w:r w:rsidRPr="000E0A4D">
        <w:rPr>
          <w:rFonts w:ascii="Arial" w:hAnsi="Arial" w:cs="Arial"/>
          <w:b/>
          <w:sz w:val="22"/>
          <w:szCs w:val="22"/>
        </w:rPr>
        <w:t>4. Management and Treatment in the NHS</w:t>
      </w:r>
      <w:bookmarkEnd w:id="14"/>
    </w:p>
    <w:p w14:paraId="4A24126B" w14:textId="77777777" w:rsidR="0061600D" w:rsidRPr="000E0A4D" w:rsidRDefault="0061600D" w:rsidP="0061600D">
      <w:pPr>
        <w:pStyle w:val="Heading2"/>
        <w:spacing w:line="360" w:lineRule="auto"/>
        <w:jc w:val="both"/>
        <w:rPr>
          <w:rFonts w:ascii="Arial" w:hAnsi="Arial" w:cs="Arial"/>
          <w:i/>
          <w:sz w:val="22"/>
          <w:szCs w:val="22"/>
          <w:u w:val="single"/>
        </w:rPr>
      </w:pPr>
      <w:bookmarkStart w:id="15" w:name="_Toc213762825"/>
      <w:r w:rsidRPr="000E0A4D">
        <w:rPr>
          <w:rFonts w:ascii="Arial" w:hAnsi="Arial" w:cs="Arial"/>
          <w:i/>
          <w:sz w:val="22"/>
          <w:szCs w:val="22"/>
          <w:u w:val="single"/>
        </w:rPr>
        <w:t>4.1 NHS Lung Cancer Care Pathway</w:t>
      </w:r>
      <w:bookmarkEnd w:id="15"/>
      <w:r w:rsidRPr="000E0A4D">
        <w:rPr>
          <w:rFonts w:ascii="Arial" w:hAnsi="Arial" w:cs="Arial"/>
          <w:i/>
          <w:sz w:val="22"/>
          <w:szCs w:val="22"/>
          <w:u w:val="single"/>
        </w:rPr>
        <w:t xml:space="preserve"> </w:t>
      </w:r>
    </w:p>
    <w:p w14:paraId="64E37F4A"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In the UK, the system that is used when the lung cancer is suspected is the two weeks wait referral pathway. This will ensure that individuals with concerning symptoms, such as coughing up blood or a chronic cough are connected with a specialist within two weeks. A team of doctors and other experts makes decisions concerning tests and treatment. This team consists of respiratory, cancer, imaging, surgeon, lab, and specialised nurses (Popat et al., 2021). These team meetings ensure that the process is on plan, that NICE quality rules are adhered to, and that quick and patient-centred decisions are made. The coordination of care between the hospital and local services is done in such a manner that all remains interconnected since the diagnosis, active treatment, and end of life care (Rogers et al., 2024).</w:t>
      </w:r>
    </w:p>
    <w:p w14:paraId="069733B8" w14:textId="77777777" w:rsidR="0061600D" w:rsidRPr="000E0A4D" w:rsidRDefault="0061600D" w:rsidP="0001220E">
      <w:pPr>
        <w:spacing w:line="360" w:lineRule="auto"/>
        <w:jc w:val="center"/>
        <w:rPr>
          <w:rFonts w:ascii="Arial" w:hAnsi="Arial" w:cs="Arial"/>
        </w:rPr>
      </w:pPr>
      <w:r w:rsidRPr="000E0A4D">
        <w:rPr>
          <w:rFonts w:ascii="Arial" w:hAnsi="Arial" w:cs="Arial"/>
          <w:noProof/>
          <w:lang w:val="en-IN" w:eastAsia="en-IN"/>
        </w:rPr>
        <w:drawing>
          <wp:inline distT="0" distB="0" distL="0" distR="0" wp14:anchorId="59C258B2" wp14:editId="0FD1925D">
            <wp:extent cx="2999503" cy="1847850"/>
            <wp:effectExtent l="19050" t="0" r="0" b="0"/>
            <wp:docPr id="1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a:srcRect/>
                    <a:stretch>
                      <a:fillRect/>
                    </a:stretch>
                  </pic:blipFill>
                  <pic:spPr bwMode="auto">
                    <a:xfrm>
                      <a:off x="0" y="0"/>
                      <a:ext cx="3001633" cy="1849162"/>
                    </a:xfrm>
                    <a:prstGeom prst="rect">
                      <a:avLst/>
                    </a:prstGeom>
                    <a:noFill/>
                    <a:ln w="9525">
                      <a:noFill/>
                      <a:miter lim="800000"/>
                      <a:headEnd/>
                      <a:tailEnd/>
                    </a:ln>
                  </pic:spPr>
                </pic:pic>
              </a:graphicData>
            </a:graphic>
          </wp:inline>
        </w:drawing>
      </w:r>
    </w:p>
    <w:p w14:paraId="71A7DAA7" w14:textId="77777777" w:rsidR="0061600D" w:rsidRPr="000E0A4D" w:rsidRDefault="0061600D" w:rsidP="00602372">
      <w:pPr>
        <w:spacing w:line="360" w:lineRule="auto"/>
        <w:jc w:val="center"/>
        <w:rPr>
          <w:rFonts w:ascii="Arial" w:hAnsi="Arial" w:cs="Arial"/>
          <w:b/>
          <w:i/>
        </w:rPr>
      </w:pPr>
      <w:r w:rsidRPr="000E0A4D">
        <w:rPr>
          <w:rFonts w:ascii="Arial" w:hAnsi="Arial" w:cs="Arial"/>
          <w:b/>
          <w:i/>
        </w:rPr>
        <w:t>Figure D- 2-Week Referral Pathway in UK (Mozdiak et al., 2016)</w:t>
      </w:r>
    </w:p>
    <w:p w14:paraId="4F7C3D71" w14:textId="77777777" w:rsidR="0061600D" w:rsidRPr="000E0A4D" w:rsidRDefault="0061600D" w:rsidP="0061600D">
      <w:pPr>
        <w:pStyle w:val="Heading2"/>
        <w:spacing w:line="360" w:lineRule="auto"/>
        <w:jc w:val="both"/>
        <w:rPr>
          <w:rFonts w:ascii="Arial" w:hAnsi="Arial" w:cs="Arial"/>
          <w:i/>
          <w:sz w:val="22"/>
          <w:szCs w:val="22"/>
          <w:u w:val="single"/>
        </w:rPr>
      </w:pPr>
      <w:bookmarkStart w:id="16" w:name="_Toc213762826"/>
      <w:r w:rsidRPr="000E0A4D">
        <w:rPr>
          <w:rFonts w:ascii="Arial" w:hAnsi="Arial" w:cs="Arial"/>
          <w:i/>
          <w:sz w:val="22"/>
          <w:szCs w:val="22"/>
          <w:u w:val="single"/>
        </w:rPr>
        <w:t>4.2 Diagnostic and Surgical Management</w:t>
      </w:r>
      <w:bookmarkEnd w:id="16"/>
    </w:p>
    <w:p w14:paraId="6C4DECCB"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Imaging is the first step in diagnosis. A CT scan usually comes after a chest X -ray is done. PET scan can also be conducted to determine the extent to which the cancer has spread in case the need arises. Tissue biopsies are also done to identify the tumour; these may be bronchoscopy, endobronchial ultrasound-guided biopsy, or a needle floating through the skin. The tumour is then classified by microscopic and genetic tests and mutations capable of being targeted are identified. In the early disease, surgery would be the most favorable choice. The surgery would be a small wedge resection surgery or a lobectomy, or a pneumonectomy, done in specialised thoracic centres. Health-care workers strategize, administer and provide aftercare in order to minimize the aftermath (Van Schil et al., 2013).</w:t>
      </w:r>
    </w:p>
    <w:p w14:paraId="0482124C" w14:textId="77777777" w:rsidR="0061600D" w:rsidRPr="000E0A4D" w:rsidRDefault="0061600D" w:rsidP="0061600D">
      <w:pPr>
        <w:pStyle w:val="Heading2"/>
        <w:spacing w:line="360" w:lineRule="auto"/>
        <w:jc w:val="both"/>
        <w:rPr>
          <w:rFonts w:ascii="Arial" w:hAnsi="Arial" w:cs="Arial"/>
          <w:i/>
          <w:sz w:val="22"/>
          <w:szCs w:val="22"/>
          <w:u w:val="single"/>
        </w:rPr>
      </w:pPr>
      <w:bookmarkStart w:id="17" w:name="_Toc213762827"/>
      <w:r w:rsidRPr="000E0A4D">
        <w:rPr>
          <w:rFonts w:ascii="Arial" w:hAnsi="Arial" w:cs="Arial"/>
          <w:i/>
          <w:sz w:val="22"/>
          <w:szCs w:val="22"/>
          <w:u w:val="single"/>
        </w:rPr>
        <w:t>4.3 Non-Surgical Treatments</w:t>
      </w:r>
      <w:bookmarkEnd w:id="17"/>
    </w:p>
    <w:p w14:paraId="0D04AC54"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In the cases where the disease is advanced and surgery is not an option, the doctors treat patients using medicines and radiations. Still, chemotherapy remains the primary treatment of extensive-stage small-cell lung cancer, as well as a portion of non-small-cell lung cancers. The cancer could be cured by radiation or the symptoms alleviated. The development of new special medicines, including EGFR and ALK inhibitors, and immune medications based on checkpoint inhibitors have enabled patients with some genetic alterations to have an extended lifespan. Cancer nurses, pharmacists and other health workers make sure that medicines are administered safely, promote side-effects and educate the patient on how to cope with treatment. The NICE guidelines are used to select the treatments that are effective and maintain a good quality of life, as well as to ensure care plans. Multidisciplinary team reviews and regular care reviews maintain care up to date and electronic prescriptions and side-effect alert systems keep the quality of care and safety of patients on the high level (NICE, 2023).</w:t>
      </w:r>
    </w:p>
    <w:p w14:paraId="0753C745" w14:textId="77777777" w:rsidR="0061600D" w:rsidRPr="000E0A4D" w:rsidRDefault="0061600D" w:rsidP="0001220E">
      <w:pPr>
        <w:spacing w:line="360" w:lineRule="auto"/>
        <w:jc w:val="center"/>
        <w:rPr>
          <w:rFonts w:ascii="Arial" w:hAnsi="Arial" w:cs="Arial"/>
        </w:rPr>
      </w:pPr>
      <w:r w:rsidRPr="000E0A4D">
        <w:rPr>
          <w:rFonts w:ascii="Arial" w:hAnsi="Arial" w:cs="Arial"/>
          <w:noProof/>
          <w:lang w:val="en-IN" w:eastAsia="en-IN"/>
        </w:rPr>
        <w:drawing>
          <wp:inline distT="0" distB="0" distL="0" distR="0" wp14:anchorId="75E8AA43" wp14:editId="79D8BA2E">
            <wp:extent cx="4111086" cy="2275235"/>
            <wp:effectExtent l="19050" t="0" r="3714" b="0"/>
            <wp:docPr id="1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
                    <a:srcRect/>
                    <a:stretch>
                      <a:fillRect/>
                    </a:stretch>
                  </pic:blipFill>
                  <pic:spPr bwMode="auto">
                    <a:xfrm>
                      <a:off x="0" y="0"/>
                      <a:ext cx="4122000" cy="2281275"/>
                    </a:xfrm>
                    <a:prstGeom prst="rect">
                      <a:avLst/>
                    </a:prstGeom>
                    <a:noFill/>
                    <a:ln w="9525">
                      <a:noFill/>
                      <a:miter lim="800000"/>
                      <a:headEnd/>
                      <a:tailEnd/>
                    </a:ln>
                  </pic:spPr>
                </pic:pic>
              </a:graphicData>
            </a:graphic>
          </wp:inline>
        </w:drawing>
      </w:r>
    </w:p>
    <w:p w14:paraId="341050BF" w14:textId="77777777" w:rsidR="0061600D" w:rsidRPr="000E0A4D" w:rsidRDefault="0061600D" w:rsidP="00602372">
      <w:pPr>
        <w:spacing w:line="360" w:lineRule="auto"/>
        <w:jc w:val="center"/>
        <w:rPr>
          <w:rFonts w:ascii="Arial" w:hAnsi="Arial" w:cs="Arial"/>
          <w:b/>
          <w:i/>
        </w:rPr>
      </w:pPr>
      <w:r w:rsidRPr="000E0A4D">
        <w:rPr>
          <w:rFonts w:ascii="Arial" w:hAnsi="Arial" w:cs="Arial"/>
          <w:b/>
          <w:i/>
        </w:rPr>
        <w:t>Figure E- Small Lung Cancer Stages (Zsolt Megyesfalvi et al., 2023)</w:t>
      </w:r>
    </w:p>
    <w:p w14:paraId="70F68F71" w14:textId="77777777" w:rsidR="0061600D" w:rsidRPr="000E0A4D" w:rsidRDefault="0061600D" w:rsidP="0061600D">
      <w:pPr>
        <w:pStyle w:val="Heading2"/>
        <w:spacing w:line="360" w:lineRule="auto"/>
        <w:jc w:val="both"/>
        <w:rPr>
          <w:rFonts w:ascii="Arial" w:hAnsi="Arial" w:cs="Arial"/>
          <w:i/>
          <w:sz w:val="22"/>
          <w:szCs w:val="22"/>
          <w:u w:val="single"/>
        </w:rPr>
      </w:pPr>
      <w:bookmarkStart w:id="18" w:name="_Toc213762828"/>
      <w:r w:rsidRPr="000E0A4D">
        <w:rPr>
          <w:rFonts w:ascii="Arial" w:hAnsi="Arial" w:cs="Arial"/>
          <w:i/>
          <w:sz w:val="22"/>
          <w:szCs w:val="22"/>
          <w:u w:val="single"/>
        </w:rPr>
        <w:t>4.4 Supportive and Rehabilitation Services</w:t>
      </w:r>
      <w:bookmarkEnd w:id="18"/>
      <w:r w:rsidRPr="000E0A4D">
        <w:rPr>
          <w:rFonts w:ascii="Arial" w:hAnsi="Arial" w:cs="Arial"/>
          <w:i/>
          <w:sz w:val="22"/>
          <w:szCs w:val="22"/>
          <w:u w:val="single"/>
        </w:rPr>
        <w:t xml:space="preserve"> </w:t>
      </w:r>
    </w:p>
    <w:p w14:paraId="3DE9DD02"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The supportive care can play an effective role at any point of a lung-cancer journey. Patients are mostly in touch with specialist nurses, notably Macmillan Lung Cancer Nurses, who assist in symptom management and offer emotional support to patients. Both hospital and community care includes smoking-cessation programmes to prevent the further development of the disease and enhance the outcomes. Pulmonary rehabilitation is a treatment of weakness and shortness of breath, and enhances the functional status of the patients. Palliative-care teams collaborate with oncologists and primary-care physicians to address pain, breathing issues, and fatigue with the intention of ensuring that patients are dignified and comfortable. Integrated electronic-record systems enable all care teams to be in touch both in the hospitals, community services, and hospices (Grundy et al., 2025).</w:t>
      </w:r>
    </w:p>
    <w:p w14:paraId="4FD0726A" w14:textId="77777777" w:rsidR="0061600D" w:rsidRPr="000E0A4D" w:rsidRDefault="0061600D" w:rsidP="00C709DA">
      <w:pPr>
        <w:pStyle w:val="Heading1"/>
        <w:spacing w:line="360" w:lineRule="auto"/>
        <w:jc w:val="center"/>
        <w:rPr>
          <w:rFonts w:ascii="Arial" w:hAnsi="Arial" w:cs="Arial"/>
          <w:b/>
          <w:sz w:val="22"/>
          <w:szCs w:val="22"/>
        </w:rPr>
      </w:pPr>
      <w:bookmarkStart w:id="19" w:name="_Toc213762829"/>
      <w:r w:rsidRPr="000E0A4D">
        <w:rPr>
          <w:rFonts w:ascii="Arial" w:hAnsi="Arial" w:cs="Arial"/>
          <w:b/>
          <w:sz w:val="22"/>
          <w:szCs w:val="22"/>
        </w:rPr>
        <w:t>5. Theories, Models and Frameworks</w:t>
      </w:r>
      <w:bookmarkEnd w:id="19"/>
    </w:p>
    <w:p w14:paraId="0AC21A70" w14:textId="77777777" w:rsidR="0061600D" w:rsidRPr="000E0A4D" w:rsidRDefault="0061600D" w:rsidP="0061600D">
      <w:pPr>
        <w:pStyle w:val="Heading2"/>
        <w:spacing w:line="360" w:lineRule="auto"/>
        <w:jc w:val="both"/>
        <w:rPr>
          <w:rFonts w:ascii="Arial" w:hAnsi="Arial" w:cs="Arial"/>
          <w:i/>
          <w:sz w:val="22"/>
          <w:szCs w:val="22"/>
          <w:u w:val="single"/>
        </w:rPr>
      </w:pPr>
      <w:bookmarkStart w:id="20" w:name="_Toc213762830"/>
      <w:r w:rsidRPr="000E0A4D">
        <w:rPr>
          <w:rFonts w:ascii="Arial" w:hAnsi="Arial" w:cs="Arial"/>
          <w:i/>
          <w:sz w:val="22"/>
          <w:szCs w:val="22"/>
          <w:u w:val="single"/>
        </w:rPr>
        <w:t>5.1 UK Model – NHS Long-Term Conditions Model</w:t>
      </w:r>
      <w:bookmarkEnd w:id="20"/>
      <w:r w:rsidRPr="000E0A4D">
        <w:rPr>
          <w:rFonts w:ascii="Arial" w:hAnsi="Arial" w:cs="Arial"/>
          <w:i/>
          <w:sz w:val="22"/>
          <w:szCs w:val="22"/>
          <w:u w:val="single"/>
        </w:rPr>
        <w:t xml:space="preserve"> </w:t>
      </w:r>
    </w:p>
    <w:p w14:paraId="537CEA91"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The NHS Long-Term Conditions Model provides the means of assisting individuals with long-term diseases to receive better care. It is centered on three major concepts that go hand-in-hand in assisting individuals to take charge of their health, early care, and linking various segments of the health system. This applies to lung-cancer care, where the cases are handled jointly, assistance provided at the earliest, and patients collaborate with general physicians and cancer specialists (Romero, 2014). Assisting individuals in controlling their own health implies that they become participants in making decisions and treatment monitoring, as well as altering their habits, particularly, smoking cessation and exercise programs. Nurses and doctors assist and educate. Proactive care involves visits and arranging the patients according to their risk, and responding before issues arise rather than waiting until an emergency occurs. Collaboration among numerous professionals, shared electronic records and connections between community and hospital ensure that care continues after diagnosis, treatment and end of life services (Charles et al., 2019).</w:t>
      </w:r>
    </w:p>
    <w:p w14:paraId="7A3F9922" w14:textId="77777777" w:rsidR="0061600D" w:rsidRPr="000E0A4D" w:rsidRDefault="0061600D" w:rsidP="0001220E">
      <w:pPr>
        <w:spacing w:line="360" w:lineRule="auto"/>
        <w:jc w:val="center"/>
        <w:rPr>
          <w:rFonts w:ascii="Arial" w:hAnsi="Arial" w:cs="Arial"/>
        </w:rPr>
      </w:pPr>
      <w:r w:rsidRPr="000E0A4D">
        <w:rPr>
          <w:rFonts w:ascii="Arial" w:hAnsi="Arial" w:cs="Arial"/>
          <w:noProof/>
          <w:lang w:val="en-IN" w:eastAsia="en-IN"/>
        </w:rPr>
        <w:drawing>
          <wp:inline distT="0" distB="0" distL="0" distR="0" wp14:anchorId="0A6B81DB" wp14:editId="59616DDF">
            <wp:extent cx="2625114" cy="2101206"/>
            <wp:effectExtent l="19050" t="0" r="3786" b="0"/>
            <wp:docPr id="1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a:srcRect/>
                    <a:stretch>
                      <a:fillRect/>
                    </a:stretch>
                  </pic:blipFill>
                  <pic:spPr bwMode="auto">
                    <a:xfrm>
                      <a:off x="0" y="0"/>
                      <a:ext cx="2624807" cy="2100960"/>
                    </a:xfrm>
                    <a:prstGeom prst="rect">
                      <a:avLst/>
                    </a:prstGeom>
                    <a:noFill/>
                    <a:ln w="9525">
                      <a:noFill/>
                      <a:miter lim="800000"/>
                      <a:headEnd/>
                      <a:tailEnd/>
                    </a:ln>
                  </pic:spPr>
                </pic:pic>
              </a:graphicData>
            </a:graphic>
          </wp:inline>
        </w:drawing>
      </w:r>
    </w:p>
    <w:p w14:paraId="74E2B318" w14:textId="77777777" w:rsidR="0061600D" w:rsidRPr="000E0A4D" w:rsidRDefault="0061600D" w:rsidP="0061600D">
      <w:pPr>
        <w:spacing w:line="360" w:lineRule="auto"/>
        <w:jc w:val="both"/>
        <w:rPr>
          <w:rFonts w:ascii="Arial" w:hAnsi="Arial" w:cs="Arial"/>
          <w:b/>
          <w:i/>
        </w:rPr>
      </w:pPr>
      <w:r w:rsidRPr="000E0A4D">
        <w:rPr>
          <w:rFonts w:ascii="Arial" w:hAnsi="Arial" w:cs="Arial"/>
          <w:b/>
          <w:i/>
        </w:rPr>
        <w:t>Figure F- NHS Long Term Conditions Model (Bower et al., 2013)</w:t>
      </w:r>
    </w:p>
    <w:p w14:paraId="37FDA8C3" w14:textId="77777777" w:rsidR="0061600D" w:rsidRPr="000E0A4D" w:rsidRDefault="0061600D" w:rsidP="0061600D">
      <w:pPr>
        <w:pStyle w:val="Heading2"/>
        <w:spacing w:line="360" w:lineRule="auto"/>
        <w:jc w:val="both"/>
        <w:rPr>
          <w:rFonts w:ascii="Arial" w:hAnsi="Arial" w:cs="Arial"/>
          <w:i/>
          <w:sz w:val="22"/>
          <w:szCs w:val="22"/>
          <w:u w:val="single"/>
        </w:rPr>
      </w:pPr>
      <w:bookmarkStart w:id="21" w:name="_Toc213762831"/>
      <w:r w:rsidRPr="000E0A4D">
        <w:rPr>
          <w:rFonts w:ascii="Arial" w:hAnsi="Arial" w:cs="Arial"/>
          <w:i/>
          <w:sz w:val="22"/>
          <w:szCs w:val="22"/>
          <w:u w:val="single"/>
        </w:rPr>
        <w:t>5.2 International Model – Wagner’s Chronic Care Model</w:t>
      </w:r>
      <w:bookmarkEnd w:id="21"/>
    </w:p>
    <w:p w14:paraId="19402339" w14:textId="77777777" w:rsidR="0061600D" w:rsidRPr="000E0A4D" w:rsidRDefault="0061600D" w:rsidP="0061600D">
      <w:pPr>
        <w:spacing w:line="360" w:lineRule="auto"/>
        <w:ind w:firstLine="720"/>
        <w:jc w:val="both"/>
        <w:rPr>
          <w:rFonts w:ascii="Arial" w:hAnsi="Arial" w:cs="Arial"/>
          <w:bCs/>
        </w:rPr>
      </w:pPr>
      <w:r w:rsidRPr="000E0A4D">
        <w:rPr>
          <w:rFonts w:ascii="Arial" w:hAnsi="Arial" w:cs="Arial"/>
          <w:bCs/>
        </w:rPr>
        <w:t xml:space="preserve">Chronic Care Model (CCM) by Wagner is developed in America. It states that the care of good chronic diseases relies upon six interconnected elements. They include: assisting patients in selfmanagement of own health, providing support in decision making, designing the system, application of clinical information systems, application of community resources, and the presence of an organization that continuously strives to become better. In the case of lung cancer, the model demonstrates that they should provide education and emotional support to the patients. It also provides that doctors and nurses should be provided with clear guidelines which are on the basis of research and tools that unite different specialists. The instruments that assist in the process of decision-making such as adherence to the NICE rules and other world cancer guidelines allow not only to maintain uniformity in care but also to hold the individuals responsible. By designing the system in a way that everyone understands his role, the doctors, nurses, pharmacists, and social workers will act quicker (Gee et al., 2015). Computer systems allow doctors to exchange test results, tissue findings, and side-effect information in a very short time. Linking up with community assistance like rehab and hospice implies that care is provided beyond the hospital. It endorses the philosophy of living well with cancer. The CCM offers a more structured perspective when compared to the NHS Long-Term Conditions Model. It demonstrates precise means through which an organization can enhance quality. Nevertheless, in order to apply it in UK, they have to squeeze it into the rules of the country and spending of money </w:t>
      </w:r>
      <w:r w:rsidRPr="000E0A4D">
        <w:rPr>
          <w:rFonts w:ascii="Arial" w:hAnsi="Arial" w:cs="Arial"/>
        </w:rPr>
        <w:t>(Coleman et al., 2019).</w:t>
      </w:r>
    </w:p>
    <w:p w14:paraId="4C940824" w14:textId="77777777" w:rsidR="0061600D" w:rsidRPr="000E0A4D" w:rsidRDefault="0061600D" w:rsidP="00C709DA">
      <w:pPr>
        <w:spacing w:line="360" w:lineRule="auto"/>
        <w:jc w:val="center"/>
        <w:rPr>
          <w:rFonts w:ascii="Arial" w:hAnsi="Arial" w:cs="Arial"/>
        </w:rPr>
      </w:pPr>
      <w:r w:rsidRPr="000E0A4D">
        <w:rPr>
          <w:rFonts w:ascii="Arial" w:hAnsi="Arial" w:cs="Arial"/>
          <w:noProof/>
          <w:lang w:val="en-IN" w:eastAsia="en-IN"/>
        </w:rPr>
        <w:drawing>
          <wp:inline distT="0" distB="0" distL="0" distR="0" wp14:anchorId="09C0F083" wp14:editId="49D785AA">
            <wp:extent cx="3007690" cy="3159338"/>
            <wp:effectExtent l="19050" t="0" r="2210" b="0"/>
            <wp:docPr id="1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1"/>
                    <a:srcRect/>
                    <a:stretch>
                      <a:fillRect/>
                    </a:stretch>
                  </pic:blipFill>
                  <pic:spPr bwMode="auto">
                    <a:xfrm>
                      <a:off x="0" y="0"/>
                      <a:ext cx="3009520" cy="3161261"/>
                    </a:xfrm>
                    <a:prstGeom prst="rect">
                      <a:avLst/>
                    </a:prstGeom>
                    <a:noFill/>
                    <a:ln w="9525">
                      <a:noFill/>
                      <a:miter lim="800000"/>
                      <a:headEnd/>
                      <a:tailEnd/>
                    </a:ln>
                  </pic:spPr>
                </pic:pic>
              </a:graphicData>
            </a:graphic>
          </wp:inline>
        </w:drawing>
      </w:r>
    </w:p>
    <w:p w14:paraId="66091D06" w14:textId="77777777" w:rsidR="0061600D" w:rsidRPr="000E0A4D" w:rsidRDefault="0061600D" w:rsidP="00C709DA">
      <w:pPr>
        <w:spacing w:line="360" w:lineRule="auto"/>
        <w:jc w:val="center"/>
        <w:rPr>
          <w:rFonts w:ascii="Arial" w:hAnsi="Arial" w:cs="Arial"/>
          <w:b/>
          <w:i/>
        </w:rPr>
      </w:pPr>
      <w:r w:rsidRPr="000E0A4D">
        <w:rPr>
          <w:rFonts w:ascii="Arial" w:hAnsi="Arial" w:cs="Arial"/>
          <w:b/>
          <w:i/>
        </w:rPr>
        <w:t>Figure G- Wagner’s Chronic Care Model (Bulgaru-Iliescu et al., 2013)</w:t>
      </w:r>
    </w:p>
    <w:tbl>
      <w:tblPr>
        <w:tblStyle w:val="TableGrid"/>
        <w:tblW w:w="6843" w:type="dxa"/>
        <w:tblLook w:val="04A0" w:firstRow="1" w:lastRow="0" w:firstColumn="1" w:lastColumn="0" w:noHBand="0" w:noVBand="1"/>
      </w:tblPr>
      <w:tblGrid>
        <w:gridCol w:w="1268"/>
        <w:gridCol w:w="2683"/>
        <w:gridCol w:w="2892"/>
      </w:tblGrid>
      <w:tr w:rsidR="008F0B71" w:rsidRPr="000E0A4D" w14:paraId="0C6694D9" w14:textId="77777777" w:rsidTr="008F0B71">
        <w:tc>
          <w:tcPr>
            <w:tcW w:w="0" w:type="auto"/>
            <w:hideMark/>
          </w:tcPr>
          <w:p w14:paraId="06AB681E" w14:textId="77777777" w:rsidR="008F0B71" w:rsidRPr="000E0A4D" w:rsidRDefault="008F0B71" w:rsidP="008F0B71">
            <w:pPr>
              <w:jc w:val="center"/>
              <w:rPr>
                <w:rFonts w:ascii="Arial" w:eastAsia="Times New Roman" w:hAnsi="Arial" w:cs="Arial"/>
                <w:b/>
                <w:bCs/>
                <w:lang w:val="en-US"/>
              </w:rPr>
            </w:pPr>
            <w:r w:rsidRPr="000E0A4D">
              <w:rPr>
                <w:rFonts w:ascii="Arial" w:eastAsia="Times New Roman" w:hAnsi="Arial" w:cs="Arial"/>
                <w:b/>
                <w:bCs/>
                <w:lang w:val="en-US"/>
              </w:rPr>
              <w:t>Aspect</w:t>
            </w:r>
          </w:p>
        </w:tc>
        <w:tc>
          <w:tcPr>
            <w:tcW w:w="0" w:type="auto"/>
            <w:hideMark/>
          </w:tcPr>
          <w:p w14:paraId="78C600D1" w14:textId="77777777" w:rsidR="008F0B71" w:rsidRPr="000E0A4D" w:rsidRDefault="008F0B71" w:rsidP="008F0B71">
            <w:pPr>
              <w:jc w:val="center"/>
              <w:rPr>
                <w:rFonts w:ascii="Arial" w:eastAsia="Times New Roman" w:hAnsi="Arial" w:cs="Arial"/>
                <w:b/>
                <w:bCs/>
                <w:lang w:val="en-US"/>
              </w:rPr>
            </w:pPr>
            <w:r w:rsidRPr="000E0A4D">
              <w:rPr>
                <w:rFonts w:ascii="Arial" w:eastAsia="Times New Roman" w:hAnsi="Arial" w:cs="Arial"/>
                <w:b/>
                <w:bCs/>
                <w:lang w:val="en-US"/>
              </w:rPr>
              <w:t>NHS Long-Term Conditions Model</w:t>
            </w:r>
          </w:p>
        </w:tc>
        <w:tc>
          <w:tcPr>
            <w:tcW w:w="0" w:type="auto"/>
            <w:hideMark/>
          </w:tcPr>
          <w:p w14:paraId="5F1A3B6C" w14:textId="77777777" w:rsidR="008F0B71" w:rsidRPr="000E0A4D" w:rsidRDefault="008F0B71" w:rsidP="008F0B71">
            <w:pPr>
              <w:jc w:val="center"/>
              <w:rPr>
                <w:rFonts w:ascii="Arial" w:eastAsia="Times New Roman" w:hAnsi="Arial" w:cs="Arial"/>
                <w:b/>
                <w:bCs/>
                <w:lang w:val="en-US"/>
              </w:rPr>
            </w:pPr>
            <w:r w:rsidRPr="000E0A4D">
              <w:rPr>
                <w:rFonts w:ascii="Arial" w:eastAsia="Times New Roman" w:hAnsi="Arial" w:cs="Arial"/>
                <w:b/>
                <w:bCs/>
                <w:lang w:val="en-US"/>
              </w:rPr>
              <w:t>Wagner’s Chronic Care Model</w:t>
            </w:r>
          </w:p>
        </w:tc>
      </w:tr>
      <w:tr w:rsidR="008F0B71" w:rsidRPr="000E0A4D" w14:paraId="3F6F08E7" w14:textId="77777777" w:rsidTr="008F0B71">
        <w:tc>
          <w:tcPr>
            <w:tcW w:w="0" w:type="auto"/>
            <w:hideMark/>
          </w:tcPr>
          <w:p w14:paraId="566910E9"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b/>
                <w:bCs/>
                <w:lang w:val="en-US"/>
              </w:rPr>
              <w:t>Focus</w:t>
            </w:r>
          </w:p>
        </w:tc>
        <w:tc>
          <w:tcPr>
            <w:tcW w:w="0" w:type="auto"/>
            <w:hideMark/>
          </w:tcPr>
          <w:p w14:paraId="17BAB0CF"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Self-management, proactive care, system integration.</w:t>
            </w:r>
          </w:p>
        </w:tc>
        <w:tc>
          <w:tcPr>
            <w:tcW w:w="0" w:type="auto"/>
            <w:hideMark/>
          </w:tcPr>
          <w:p w14:paraId="701DB9D5"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Self-management, decision support, structured care delivery.</w:t>
            </w:r>
          </w:p>
        </w:tc>
      </w:tr>
      <w:tr w:rsidR="008F0B71" w:rsidRPr="000E0A4D" w14:paraId="4A0C52F1" w14:textId="77777777" w:rsidTr="008F0B71">
        <w:tc>
          <w:tcPr>
            <w:tcW w:w="0" w:type="auto"/>
            <w:hideMark/>
          </w:tcPr>
          <w:p w14:paraId="21B56EBF"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b/>
                <w:bCs/>
                <w:lang w:val="en-US"/>
              </w:rPr>
              <w:t>Approach</w:t>
            </w:r>
          </w:p>
        </w:tc>
        <w:tc>
          <w:tcPr>
            <w:tcW w:w="0" w:type="auto"/>
            <w:hideMark/>
          </w:tcPr>
          <w:p w14:paraId="48664D48"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Designed for UK health and social care.</w:t>
            </w:r>
          </w:p>
        </w:tc>
        <w:tc>
          <w:tcPr>
            <w:tcW w:w="0" w:type="auto"/>
            <w:hideMark/>
          </w:tcPr>
          <w:p w14:paraId="17AFB054"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International model used across healthcare systems.</w:t>
            </w:r>
          </w:p>
        </w:tc>
      </w:tr>
      <w:tr w:rsidR="008F0B71" w:rsidRPr="000E0A4D" w14:paraId="2D9CFEF1" w14:textId="77777777" w:rsidTr="008F0B71">
        <w:tc>
          <w:tcPr>
            <w:tcW w:w="0" w:type="auto"/>
            <w:hideMark/>
          </w:tcPr>
          <w:p w14:paraId="55D6CBE1"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b/>
                <w:bCs/>
                <w:lang w:val="en-US"/>
              </w:rPr>
              <w:t>Strength</w:t>
            </w:r>
          </w:p>
        </w:tc>
        <w:tc>
          <w:tcPr>
            <w:tcW w:w="0" w:type="auto"/>
            <w:hideMark/>
          </w:tcPr>
          <w:p w14:paraId="2C5858E5"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Promotes joined-up, person-centred care.</w:t>
            </w:r>
          </w:p>
        </w:tc>
        <w:tc>
          <w:tcPr>
            <w:tcW w:w="0" w:type="auto"/>
            <w:hideMark/>
          </w:tcPr>
          <w:p w14:paraId="54572115"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Provides clear, organised components for chronic care.</w:t>
            </w:r>
          </w:p>
        </w:tc>
      </w:tr>
      <w:tr w:rsidR="008F0B71" w:rsidRPr="000E0A4D" w14:paraId="6CCE77EA" w14:textId="77777777" w:rsidTr="008F0B71">
        <w:tc>
          <w:tcPr>
            <w:tcW w:w="0" w:type="auto"/>
            <w:hideMark/>
          </w:tcPr>
          <w:p w14:paraId="7AED34FF"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b/>
                <w:bCs/>
                <w:lang w:val="en-US"/>
              </w:rPr>
              <w:t>Limitation</w:t>
            </w:r>
          </w:p>
        </w:tc>
        <w:tc>
          <w:tcPr>
            <w:tcW w:w="0" w:type="auto"/>
            <w:hideMark/>
          </w:tcPr>
          <w:p w14:paraId="7917057B"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Dependent on NHS resources and coordination.</w:t>
            </w:r>
          </w:p>
        </w:tc>
        <w:tc>
          <w:tcPr>
            <w:tcW w:w="0" w:type="auto"/>
            <w:hideMark/>
          </w:tcPr>
          <w:p w14:paraId="033A40A4" w14:textId="77777777" w:rsidR="008F0B71" w:rsidRPr="000E0A4D" w:rsidRDefault="008F0B71" w:rsidP="008F0B71">
            <w:pPr>
              <w:rPr>
                <w:rFonts w:ascii="Arial" w:eastAsia="Times New Roman" w:hAnsi="Arial" w:cs="Arial"/>
                <w:lang w:val="en-US"/>
              </w:rPr>
            </w:pPr>
            <w:r w:rsidRPr="000E0A4D">
              <w:rPr>
                <w:rFonts w:ascii="Arial" w:eastAsia="Times New Roman" w:hAnsi="Arial" w:cs="Arial"/>
                <w:lang w:val="en-US"/>
              </w:rPr>
              <w:t>Less tailored to UK policies and inequalities.</w:t>
            </w:r>
          </w:p>
        </w:tc>
      </w:tr>
    </w:tbl>
    <w:p w14:paraId="47DB4FE2" w14:textId="77777777" w:rsidR="008F0B71" w:rsidRPr="000E0A4D" w:rsidRDefault="00FD3765" w:rsidP="00FD3765">
      <w:pPr>
        <w:spacing w:line="360" w:lineRule="auto"/>
        <w:jc w:val="center"/>
        <w:rPr>
          <w:rFonts w:ascii="Arial" w:hAnsi="Arial" w:cs="Arial"/>
          <w:b/>
          <w:u w:val="single"/>
        </w:rPr>
      </w:pPr>
      <w:r w:rsidRPr="000E0A4D">
        <w:rPr>
          <w:rFonts w:ascii="Arial" w:hAnsi="Arial" w:cs="Arial"/>
          <w:b/>
          <w:u w:val="single"/>
        </w:rPr>
        <w:t>Comparison Table of Framework Related to Healthcare</w:t>
      </w:r>
    </w:p>
    <w:p w14:paraId="439475E1" w14:textId="77777777" w:rsidR="0061600D" w:rsidRPr="000E0A4D" w:rsidRDefault="0061600D" w:rsidP="00C709DA">
      <w:pPr>
        <w:pStyle w:val="Heading1"/>
        <w:spacing w:line="360" w:lineRule="auto"/>
        <w:jc w:val="center"/>
        <w:rPr>
          <w:rFonts w:ascii="Arial" w:hAnsi="Arial" w:cs="Arial"/>
          <w:b/>
          <w:sz w:val="22"/>
          <w:szCs w:val="22"/>
        </w:rPr>
      </w:pPr>
      <w:bookmarkStart w:id="22" w:name="_Toc213762832"/>
      <w:r w:rsidRPr="000E0A4D">
        <w:rPr>
          <w:rFonts w:ascii="Arial" w:hAnsi="Arial" w:cs="Arial"/>
          <w:b/>
          <w:sz w:val="22"/>
          <w:szCs w:val="22"/>
        </w:rPr>
        <w:t>6. Political and Health-Care Agendas</w:t>
      </w:r>
      <w:bookmarkEnd w:id="22"/>
    </w:p>
    <w:p w14:paraId="317B1E58" w14:textId="77777777" w:rsidR="0061600D" w:rsidRPr="000E0A4D" w:rsidRDefault="0061600D" w:rsidP="00C709DA">
      <w:pPr>
        <w:pStyle w:val="Heading2"/>
        <w:spacing w:line="360" w:lineRule="auto"/>
        <w:rPr>
          <w:rFonts w:ascii="Arial" w:hAnsi="Arial" w:cs="Arial"/>
          <w:i/>
          <w:sz w:val="22"/>
          <w:szCs w:val="22"/>
          <w:u w:val="single"/>
        </w:rPr>
      </w:pPr>
      <w:bookmarkStart w:id="23" w:name="_Toc213762833"/>
      <w:r w:rsidRPr="000E0A4D">
        <w:rPr>
          <w:rFonts w:ascii="Arial" w:hAnsi="Arial" w:cs="Arial"/>
          <w:i/>
          <w:sz w:val="22"/>
          <w:szCs w:val="22"/>
          <w:u w:val="single"/>
        </w:rPr>
        <w:t>6.1 National Agendas</w:t>
      </w:r>
      <w:bookmarkEnd w:id="23"/>
    </w:p>
    <w:p w14:paraId="5B47D522"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The NHS Long Term Plan (2019) is the political framework that defines the services of lung-cancer in the United Kingdom. According to it, they will have diagnosed 75 per cent of cancers in early stages I or II and the one year survival rate will be 75 per cent by 2028. To do so, the plan offers more high-risk individuals the opportunity to receive low-dose CT scans, accelerates the process by which patients receive various diagnoses, and increases expenditures on tests that examine genes and other in-depth research (Oke et al., 2023). The NICE Guideline NG122 provides additional provisions to ensure that patients referral, stage and treatment is done in an identical and safe manner throughout England. Cancer Strategy for England (2023) helps to achieve these objectives by ensuring that early detection, equal access and patient experience take the first place in what is important. The evidence continues to be added through government programmes such as the Targeted Lung Health Checks and the NIHR cancer-research portfolio, and the regions become more similar. All these plans assist the primary and secondary care in working together, driving the personalised medicine initiative and holding NHS Trusts accountable with the help of the Cancer Outcomes and Services Dataset (COSD) (NHS England, 2024).</w:t>
      </w:r>
    </w:p>
    <w:p w14:paraId="6DC857E9" w14:textId="77777777" w:rsidR="0061600D" w:rsidRPr="000E0A4D" w:rsidRDefault="0061600D" w:rsidP="00C709DA">
      <w:pPr>
        <w:spacing w:line="360" w:lineRule="auto"/>
        <w:jc w:val="center"/>
        <w:rPr>
          <w:rFonts w:ascii="Arial" w:hAnsi="Arial" w:cs="Arial"/>
        </w:rPr>
      </w:pPr>
      <w:r w:rsidRPr="000E0A4D">
        <w:rPr>
          <w:rFonts w:ascii="Arial" w:hAnsi="Arial" w:cs="Arial"/>
          <w:noProof/>
          <w:lang w:val="en-IN" w:eastAsia="en-IN"/>
        </w:rPr>
        <w:drawing>
          <wp:inline distT="0" distB="0" distL="0" distR="0" wp14:anchorId="6C2FADD0" wp14:editId="7C2BE358">
            <wp:extent cx="3996055" cy="2807173"/>
            <wp:effectExtent l="19050" t="0" r="4445" b="0"/>
            <wp:docPr id="16" name="Picture 1" descr="View squamous and non-squamous advanced non-small-cell lung cancer treatment path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w squamous and non-squamous advanced non-small-cell lung cancer treatment pathways."/>
                    <pic:cNvPicPr>
                      <a:picLocks noChangeAspect="1" noChangeArrowheads="1"/>
                    </pic:cNvPicPr>
                  </pic:nvPicPr>
                  <pic:blipFill>
                    <a:blip r:embed="rId22"/>
                    <a:srcRect/>
                    <a:stretch>
                      <a:fillRect/>
                    </a:stretch>
                  </pic:blipFill>
                  <pic:spPr bwMode="auto">
                    <a:xfrm>
                      <a:off x="0" y="0"/>
                      <a:ext cx="3998987" cy="2809233"/>
                    </a:xfrm>
                    <a:prstGeom prst="rect">
                      <a:avLst/>
                    </a:prstGeom>
                    <a:noFill/>
                    <a:ln w="9525">
                      <a:noFill/>
                      <a:miter lim="800000"/>
                      <a:headEnd/>
                      <a:tailEnd/>
                    </a:ln>
                  </pic:spPr>
                </pic:pic>
              </a:graphicData>
            </a:graphic>
          </wp:inline>
        </w:drawing>
      </w:r>
    </w:p>
    <w:p w14:paraId="39E16853" w14:textId="77777777" w:rsidR="0061600D" w:rsidRPr="000E0A4D" w:rsidRDefault="0061600D" w:rsidP="00C709DA">
      <w:pPr>
        <w:spacing w:line="360" w:lineRule="auto"/>
        <w:jc w:val="center"/>
        <w:rPr>
          <w:rFonts w:ascii="Arial" w:hAnsi="Arial" w:cs="Arial"/>
          <w:b/>
          <w:i/>
        </w:rPr>
      </w:pPr>
      <w:r w:rsidRPr="000E0A4D">
        <w:rPr>
          <w:rFonts w:ascii="Arial" w:hAnsi="Arial" w:cs="Arial"/>
          <w:b/>
          <w:i/>
        </w:rPr>
        <w:t>Figure H- NICE Guidelines for Lung Cancer (National Institute for Health and Care Excellence, 2019)</w:t>
      </w:r>
    </w:p>
    <w:p w14:paraId="176C1A89" w14:textId="77777777" w:rsidR="0061600D" w:rsidRPr="000E0A4D" w:rsidRDefault="0061600D" w:rsidP="0061600D">
      <w:pPr>
        <w:pStyle w:val="Heading2"/>
        <w:spacing w:line="360" w:lineRule="auto"/>
        <w:jc w:val="both"/>
        <w:rPr>
          <w:rFonts w:ascii="Arial" w:hAnsi="Arial" w:cs="Arial"/>
          <w:i/>
          <w:sz w:val="22"/>
          <w:szCs w:val="22"/>
          <w:u w:val="single"/>
        </w:rPr>
      </w:pPr>
      <w:bookmarkStart w:id="24" w:name="_Toc213762834"/>
      <w:r w:rsidRPr="000E0A4D">
        <w:rPr>
          <w:rFonts w:ascii="Arial" w:hAnsi="Arial" w:cs="Arial"/>
          <w:i/>
          <w:sz w:val="22"/>
          <w:szCs w:val="22"/>
          <w:u w:val="single"/>
        </w:rPr>
        <w:t>6.2 Local Agendas and Integrated Care Systems</w:t>
      </w:r>
      <w:bookmarkEnd w:id="24"/>
      <w:r w:rsidRPr="000E0A4D">
        <w:rPr>
          <w:rFonts w:ascii="Arial" w:hAnsi="Arial" w:cs="Arial"/>
          <w:i/>
          <w:sz w:val="22"/>
          <w:szCs w:val="22"/>
          <w:u w:val="single"/>
        </w:rPr>
        <w:t xml:space="preserve"> </w:t>
      </w:r>
    </w:p>
    <w:p w14:paraId="2942C034"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Internationally, plans of the country are converted into daily activities at the local level through the Integrated Care Systems (ICSs). They structure hospitals, local councils, and community groups to form simple lung-cancer care pathways that suits the populations to whom they cater. Mobile CT machines and local testing hubs facilitate the local people in the hard to reach locations to get checked, and outreach programmes address the people who do not receive primary care normally. Local Cancer Alliances monitor output, disseminate information, and assist in maintaining quality (van der Feltz-Cornelis et al., 2023).</w:t>
      </w:r>
    </w:p>
    <w:p w14:paraId="00D45AD8" w14:textId="77777777" w:rsidR="0061600D" w:rsidRPr="000E0A4D" w:rsidRDefault="0061600D" w:rsidP="0061600D">
      <w:pPr>
        <w:pStyle w:val="Heading2"/>
        <w:spacing w:line="360" w:lineRule="auto"/>
        <w:jc w:val="both"/>
        <w:rPr>
          <w:rFonts w:ascii="Arial" w:hAnsi="Arial" w:cs="Arial"/>
          <w:i/>
          <w:sz w:val="22"/>
          <w:szCs w:val="22"/>
          <w:u w:val="single"/>
        </w:rPr>
      </w:pPr>
      <w:bookmarkStart w:id="25" w:name="_Toc213762835"/>
      <w:r w:rsidRPr="000E0A4D">
        <w:rPr>
          <w:rFonts w:ascii="Arial" w:hAnsi="Arial" w:cs="Arial"/>
          <w:i/>
          <w:sz w:val="22"/>
          <w:szCs w:val="22"/>
          <w:u w:val="single"/>
        </w:rPr>
        <w:t>6.3 Challenges and Gaps</w:t>
      </w:r>
      <w:bookmarkEnd w:id="25"/>
      <w:r w:rsidRPr="000E0A4D">
        <w:rPr>
          <w:rFonts w:ascii="Arial" w:hAnsi="Arial" w:cs="Arial"/>
          <w:i/>
          <w:sz w:val="22"/>
          <w:szCs w:val="22"/>
          <w:u w:val="single"/>
        </w:rPr>
        <w:t xml:space="preserve"> </w:t>
      </w:r>
    </w:p>
    <w:p w14:paraId="6DADBCAD" w14:textId="77777777" w:rsidR="00616BBB" w:rsidRPr="000E0A4D" w:rsidRDefault="00616BBB" w:rsidP="00616BBB">
      <w:pPr>
        <w:pStyle w:val="ListParagraph"/>
        <w:numPr>
          <w:ilvl w:val="0"/>
          <w:numId w:val="35"/>
        </w:numPr>
        <w:spacing w:line="360" w:lineRule="auto"/>
        <w:jc w:val="both"/>
        <w:rPr>
          <w:rFonts w:ascii="Arial" w:hAnsi="Arial" w:cs="Arial"/>
          <w:lang w:val="en-US"/>
        </w:rPr>
      </w:pPr>
      <w:r w:rsidRPr="000E0A4D">
        <w:rPr>
          <w:rFonts w:ascii="Arial" w:hAnsi="Arial" w:cs="Arial"/>
          <w:lang w:val="en-US"/>
        </w:rPr>
        <w:t>The radiological, pathological, and specialist nursing shortage of the workforce complicate the achievement of diagnostic and treatment rates.</w:t>
      </w:r>
    </w:p>
    <w:p w14:paraId="3D2C1922" w14:textId="77777777" w:rsidR="00616BBB" w:rsidRPr="000E0A4D" w:rsidRDefault="00616BBB" w:rsidP="00616BBB">
      <w:pPr>
        <w:pStyle w:val="ListParagraph"/>
        <w:numPr>
          <w:ilvl w:val="0"/>
          <w:numId w:val="35"/>
        </w:numPr>
        <w:spacing w:line="360" w:lineRule="auto"/>
        <w:jc w:val="both"/>
        <w:rPr>
          <w:rFonts w:ascii="Arial" w:hAnsi="Arial" w:cs="Arial"/>
          <w:lang w:val="en-US"/>
        </w:rPr>
      </w:pPr>
      <w:r w:rsidRPr="000E0A4D">
        <w:rPr>
          <w:rFonts w:ascii="Arial" w:hAnsi="Arial" w:cs="Arial"/>
          <w:lang w:val="en-US"/>
        </w:rPr>
        <w:t>Financial difficulties prevent the purchase of new technology and recruitment of additional cancer personnel.</w:t>
      </w:r>
    </w:p>
    <w:p w14:paraId="5FCCFBF3" w14:textId="77777777" w:rsidR="00616BBB" w:rsidRPr="000E0A4D" w:rsidRDefault="00616BBB" w:rsidP="00616BBB">
      <w:pPr>
        <w:pStyle w:val="ListParagraph"/>
        <w:numPr>
          <w:ilvl w:val="0"/>
          <w:numId w:val="35"/>
        </w:numPr>
        <w:spacing w:line="360" w:lineRule="auto"/>
        <w:jc w:val="both"/>
        <w:rPr>
          <w:rFonts w:ascii="Arial" w:hAnsi="Arial" w:cs="Arial"/>
          <w:lang w:val="en-US"/>
        </w:rPr>
      </w:pPr>
      <w:r w:rsidRPr="000E0A4D">
        <w:rPr>
          <w:rFonts w:ascii="Arial" w:hAnsi="Arial" w:cs="Arial"/>
          <w:lang w:val="en-US"/>
        </w:rPr>
        <w:t>The location of screening varies by region and health gaps are maintained.</w:t>
      </w:r>
    </w:p>
    <w:p w14:paraId="55EA87DF" w14:textId="77777777" w:rsidR="00616BBB" w:rsidRPr="000E0A4D" w:rsidRDefault="00616BBB" w:rsidP="00616BBB">
      <w:pPr>
        <w:pStyle w:val="ListParagraph"/>
        <w:numPr>
          <w:ilvl w:val="0"/>
          <w:numId w:val="35"/>
        </w:numPr>
        <w:spacing w:line="360" w:lineRule="auto"/>
        <w:jc w:val="both"/>
        <w:rPr>
          <w:rFonts w:ascii="Arial" w:hAnsi="Arial" w:cs="Arial"/>
          <w:lang w:val="en-US"/>
        </w:rPr>
      </w:pPr>
      <w:r w:rsidRPr="000E0A4D">
        <w:rPr>
          <w:rFonts w:ascii="Arial" w:hAnsi="Arial" w:cs="Arial"/>
          <w:lang w:val="en-US"/>
        </w:rPr>
        <w:t>The COVID resulted in long scan lines, operating rooms and follow-up lines, so the patients are not diagnosed at an early age.</w:t>
      </w:r>
    </w:p>
    <w:p w14:paraId="216B53C0" w14:textId="77777777" w:rsidR="00616BBB" w:rsidRPr="000E0A4D" w:rsidRDefault="00616BBB" w:rsidP="00616BBB">
      <w:pPr>
        <w:pStyle w:val="ListParagraph"/>
        <w:numPr>
          <w:ilvl w:val="0"/>
          <w:numId w:val="35"/>
        </w:numPr>
        <w:spacing w:line="360" w:lineRule="auto"/>
        <w:jc w:val="both"/>
        <w:rPr>
          <w:rFonts w:ascii="Arial" w:hAnsi="Arial" w:cs="Arial"/>
          <w:lang w:val="en-US"/>
        </w:rPr>
      </w:pPr>
      <w:r w:rsidRPr="000E0A4D">
        <w:rPr>
          <w:rFonts w:ascii="Arial" w:hAnsi="Arial" w:cs="Arial"/>
          <w:lang w:val="en-US"/>
        </w:rPr>
        <w:t>Poor data sharing and incompatible records in computers prevent the coordination of services in a fast manner.</w:t>
      </w:r>
    </w:p>
    <w:p w14:paraId="2D78A925" w14:textId="77777777" w:rsidR="008F0B71" w:rsidRPr="000E0A4D" w:rsidRDefault="00616BBB" w:rsidP="00616BBB">
      <w:pPr>
        <w:pStyle w:val="ListParagraph"/>
        <w:numPr>
          <w:ilvl w:val="0"/>
          <w:numId w:val="35"/>
        </w:numPr>
        <w:spacing w:line="360" w:lineRule="auto"/>
        <w:jc w:val="both"/>
        <w:rPr>
          <w:rFonts w:ascii="Arial" w:hAnsi="Arial" w:cs="Arial"/>
          <w:lang w:val="en-US"/>
        </w:rPr>
      </w:pPr>
      <w:r w:rsidRPr="000E0A4D">
        <w:rPr>
          <w:rFonts w:ascii="Arial" w:hAnsi="Arial" w:cs="Arial"/>
          <w:lang w:val="en-US"/>
        </w:rPr>
        <w:t>All these issues complicate the provision of good, fast lung -cancer treatment</w:t>
      </w:r>
      <w:r w:rsidR="008F0B71" w:rsidRPr="000E0A4D">
        <w:rPr>
          <w:rFonts w:ascii="Arial" w:hAnsi="Arial" w:cs="Arial"/>
          <w:lang w:val="en-US"/>
        </w:rPr>
        <w:t xml:space="preserve"> (Kalidindi and Gandhi, 2023).</w:t>
      </w:r>
    </w:p>
    <w:tbl>
      <w:tblPr>
        <w:tblStyle w:val="TableGrid"/>
        <w:tblW w:w="0" w:type="auto"/>
        <w:tblLook w:val="04A0" w:firstRow="1" w:lastRow="0" w:firstColumn="1" w:lastColumn="0" w:noHBand="0" w:noVBand="1"/>
      </w:tblPr>
      <w:tblGrid>
        <w:gridCol w:w="1641"/>
        <w:gridCol w:w="2488"/>
        <w:gridCol w:w="2486"/>
      </w:tblGrid>
      <w:tr w:rsidR="00FD3765" w:rsidRPr="000E0A4D" w14:paraId="714A90F5" w14:textId="77777777" w:rsidTr="00FD3765">
        <w:tc>
          <w:tcPr>
            <w:tcW w:w="0" w:type="auto"/>
            <w:hideMark/>
          </w:tcPr>
          <w:p w14:paraId="08FDB35B" w14:textId="77777777" w:rsidR="00FD3765" w:rsidRPr="000E0A4D" w:rsidRDefault="00FD3765" w:rsidP="00FD3765">
            <w:pPr>
              <w:jc w:val="center"/>
              <w:rPr>
                <w:rFonts w:ascii="Arial" w:eastAsia="Times New Roman" w:hAnsi="Arial" w:cs="Arial"/>
                <w:b/>
                <w:bCs/>
                <w:szCs w:val="24"/>
                <w:lang w:val="en-US"/>
              </w:rPr>
            </w:pPr>
            <w:r w:rsidRPr="000E0A4D">
              <w:rPr>
                <w:rFonts w:ascii="Arial" w:eastAsia="Times New Roman" w:hAnsi="Arial" w:cs="Arial"/>
                <w:b/>
                <w:bCs/>
                <w:szCs w:val="24"/>
                <w:lang w:val="en-US"/>
              </w:rPr>
              <w:t>Area</w:t>
            </w:r>
          </w:p>
        </w:tc>
        <w:tc>
          <w:tcPr>
            <w:tcW w:w="0" w:type="auto"/>
            <w:hideMark/>
          </w:tcPr>
          <w:p w14:paraId="07D66568" w14:textId="77777777" w:rsidR="00FD3765" w:rsidRPr="000E0A4D" w:rsidRDefault="00FD3765" w:rsidP="00FD3765">
            <w:pPr>
              <w:jc w:val="center"/>
              <w:rPr>
                <w:rFonts w:ascii="Arial" w:eastAsia="Times New Roman" w:hAnsi="Arial" w:cs="Arial"/>
                <w:b/>
                <w:bCs/>
                <w:szCs w:val="24"/>
                <w:lang w:val="en-US"/>
              </w:rPr>
            </w:pPr>
            <w:r w:rsidRPr="000E0A4D">
              <w:rPr>
                <w:rFonts w:ascii="Arial" w:eastAsia="Times New Roman" w:hAnsi="Arial" w:cs="Arial"/>
                <w:b/>
                <w:bCs/>
                <w:szCs w:val="24"/>
                <w:lang w:val="en-US"/>
              </w:rPr>
              <w:t>National Agendas</w:t>
            </w:r>
          </w:p>
        </w:tc>
        <w:tc>
          <w:tcPr>
            <w:tcW w:w="0" w:type="auto"/>
            <w:hideMark/>
          </w:tcPr>
          <w:p w14:paraId="46FCF4DD" w14:textId="77777777" w:rsidR="00FD3765" w:rsidRPr="000E0A4D" w:rsidRDefault="00FD3765" w:rsidP="00FD3765">
            <w:pPr>
              <w:jc w:val="center"/>
              <w:rPr>
                <w:rFonts w:ascii="Arial" w:eastAsia="Times New Roman" w:hAnsi="Arial" w:cs="Arial"/>
                <w:b/>
                <w:bCs/>
                <w:szCs w:val="24"/>
                <w:lang w:val="en-US"/>
              </w:rPr>
            </w:pPr>
            <w:r w:rsidRPr="000E0A4D">
              <w:rPr>
                <w:rFonts w:ascii="Arial" w:eastAsia="Times New Roman" w:hAnsi="Arial" w:cs="Arial"/>
                <w:b/>
                <w:bCs/>
                <w:szCs w:val="24"/>
                <w:lang w:val="en-US"/>
              </w:rPr>
              <w:t>Local Agendas (ICS)</w:t>
            </w:r>
          </w:p>
        </w:tc>
      </w:tr>
      <w:tr w:rsidR="00FD3765" w:rsidRPr="000E0A4D" w14:paraId="49B7B4BC" w14:textId="77777777" w:rsidTr="00FD3765">
        <w:tc>
          <w:tcPr>
            <w:tcW w:w="0" w:type="auto"/>
            <w:hideMark/>
          </w:tcPr>
          <w:p w14:paraId="54A7FC91"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b/>
                <w:bCs/>
                <w:szCs w:val="24"/>
                <w:lang w:val="en-US"/>
              </w:rPr>
              <w:t>Focus</w:t>
            </w:r>
          </w:p>
        </w:tc>
        <w:tc>
          <w:tcPr>
            <w:tcW w:w="0" w:type="auto"/>
            <w:hideMark/>
          </w:tcPr>
          <w:p w14:paraId="4B91205D"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Early diagnosis, survival targets, and standardised NICE pathways.</w:t>
            </w:r>
          </w:p>
        </w:tc>
        <w:tc>
          <w:tcPr>
            <w:tcW w:w="0" w:type="auto"/>
            <w:hideMark/>
          </w:tcPr>
          <w:p w14:paraId="199379E3"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Adapting national goals to local population needs.</w:t>
            </w:r>
          </w:p>
        </w:tc>
      </w:tr>
      <w:tr w:rsidR="00FD3765" w:rsidRPr="000E0A4D" w14:paraId="15D4F4D5" w14:textId="77777777" w:rsidTr="00FD3765">
        <w:tc>
          <w:tcPr>
            <w:tcW w:w="0" w:type="auto"/>
            <w:hideMark/>
          </w:tcPr>
          <w:p w14:paraId="279D5DC6"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b/>
                <w:bCs/>
                <w:szCs w:val="24"/>
                <w:lang w:val="en-US"/>
              </w:rPr>
              <w:t>Key Programmes</w:t>
            </w:r>
          </w:p>
        </w:tc>
        <w:tc>
          <w:tcPr>
            <w:tcW w:w="0" w:type="auto"/>
            <w:hideMark/>
          </w:tcPr>
          <w:p w14:paraId="5B2347B9"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NHS Long Term Plan, NICE NG122, Targeted Lung Health Checks.</w:t>
            </w:r>
          </w:p>
        </w:tc>
        <w:tc>
          <w:tcPr>
            <w:tcW w:w="0" w:type="auto"/>
            <w:hideMark/>
          </w:tcPr>
          <w:p w14:paraId="73837964"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Community diagnostic hubs, mobile CT units, outreach services.</w:t>
            </w:r>
          </w:p>
        </w:tc>
      </w:tr>
      <w:tr w:rsidR="00FD3765" w:rsidRPr="000E0A4D" w14:paraId="7C4C8B2A" w14:textId="77777777" w:rsidTr="00FD3765">
        <w:tc>
          <w:tcPr>
            <w:tcW w:w="0" w:type="auto"/>
            <w:hideMark/>
          </w:tcPr>
          <w:p w14:paraId="25C13A77"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b/>
                <w:bCs/>
                <w:szCs w:val="24"/>
                <w:lang w:val="en-US"/>
              </w:rPr>
              <w:t>Governance</w:t>
            </w:r>
          </w:p>
        </w:tc>
        <w:tc>
          <w:tcPr>
            <w:tcW w:w="0" w:type="auto"/>
            <w:hideMark/>
          </w:tcPr>
          <w:p w14:paraId="00ECABB8"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Central government and NHS England direction.</w:t>
            </w:r>
          </w:p>
        </w:tc>
        <w:tc>
          <w:tcPr>
            <w:tcW w:w="0" w:type="auto"/>
            <w:hideMark/>
          </w:tcPr>
          <w:p w14:paraId="12846612"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Integrated Care Systems coordinating hospitals, GPs, and local authorities.</w:t>
            </w:r>
          </w:p>
        </w:tc>
      </w:tr>
      <w:tr w:rsidR="00FD3765" w:rsidRPr="000E0A4D" w14:paraId="432F792A" w14:textId="77777777" w:rsidTr="00FD3765">
        <w:tc>
          <w:tcPr>
            <w:tcW w:w="0" w:type="auto"/>
            <w:hideMark/>
          </w:tcPr>
          <w:p w14:paraId="1F83D2AB"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b/>
                <w:bCs/>
                <w:szCs w:val="24"/>
                <w:lang w:val="en-US"/>
              </w:rPr>
              <w:t>Strengths</w:t>
            </w:r>
          </w:p>
        </w:tc>
        <w:tc>
          <w:tcPr>
            <w:tcW w:w="0" w:type="auto"/>
            <w:hideMark/>
          </w:tcPr>
          <w:p w14:paraId="1F35A458"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Clear national targets, consistency, investment in research and screening.</w:t>
            </w:r>
          </w:p>
        </w:tc>
        <w:tc>
          <w:tcPr>
            <w:tcW w:w="0" w:type="auto"/>
            <w:hideMark/>
          </w:tcPr>
          <w:p w14:paraId="67EE7C9D"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Improved accessibility, reduced waiting times, tailored local support.</w:t>
            </w:r>
          </w:p>
        </w:tc>
      </w:tr>
      <w:tr w:rsidR="00FD3765" w:rsidRPr="000E0A4D" w14:paraId="59E44A16" w14:textId="77777777" w:rsidTr="00FD3765">
        <w:tc>
          <w:tcPr>
            <w:tcW w:w="0" w:type="auto"/>
            <w:hideMark/>
          </w:tcPr>
          <w:p w14:paraId="0F4809D7"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b/>
                <w:bCs/>
                <w:szCs w:val="24"/>
                <w:lang w:val="en-US"/>
              </w:rPr>
              <w:t>Challenges</w:t>
            </w:r>
          </w:p>
        </w:tc>
        <w:tc>
          <w:tcPr>
            <w:tcW w:w="0" w:type="auto"/>
            <w:hideMark/>
          </w:tcPr>
          <w:p w14:paraId="59AE3ED1"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Workforce shortages, funding pressures, regional inequalities.</w:t>
            </w:r>
          </w:p>
        </w:tc>
        <w:tc>
          <w:tcPr>
            <w:tcW w:w="0" w:type="auto"/>
            <w:hideMark/>
          </w:tcPr>
          <w:p w14:paraId="0CACBD3B" w14:textId="77777777" w:rsidR="00FD3765" w:rsidRPr="000E0A4D" w:rsidRDefault="00FD3765" w:rsidP="00FD3765">
            <w:pPr>
              <w:rPr>
                <w:rFonts w:ascii="Arial" w:eastAsia="Times New Roman" w:hAnsi="Arial" w:cs="Arial"/>
                <w:szCs w:val="24"/>
                <w:lang w:val="en-US"/>
              </w:rPr>
            </w:pPr>
            <w:r w:rsidRPr="000E0A4D">
              <w:rPr>
                <w:rFonts w:ascii="Arial" w:eastAsia="Times New Roman" w:hAnsi="Arial" w:cs="Arial"/>
                <w:szCs w:val="24"/>
                <w:lang w:val="en-US"/>
              </w:rPr>
              <w:t>Variation in resources, digital integration issues, post-COVID backlogs.</w:t>
            </w:r>
          </w:p>
        </w:tc>
      </w:tr>
    </w:tbl>
    <w:p w14:paraId="25FB1D0A" w14:textId="77777777" w:rsidR="008F0B71" w:rsidRPr="000E0A4D" w:rsidRDefault="00FD3765" w:rsidP="00FD3765">
      <w:pPr>
        <w:spacing w:line="360" w:lineRule="auto"/>
        <w:jc w:val="center"/>
        <w:rPr>
          <w:rFonts w:ascii="Arial" w:hAnsi="Arial" w:cs="Arial"/>
          <w:b/>
          <w:u w:val="single"/>
          <w:lang w:val="en-US"/>
        </w:rPr>
      </w:pPr>
      <w:r w:rsidRPr="000E0A4D">
        <w:rPr>
          <w:rFonts w:ascii="Arial" w:hAnsi="Arial" w:cs="Arial"/>
          <w:b/>
          <w:u w:val="single"/>
          <w:lang w:val="en-US"/>
        </w:rPr>
        <w:t>Comparison Table of Healthcare Agendas</w:t>
      </w:r>
    </w:p>
    <w:p w14:paraId="2D95C374" w14:textId="77777777" w:rsidR="0061600D" w:rsidRPr="000E0A4D" w:rsidRDefault="0061600D" w:rsidP="00C709DA">
      <w:pPr>
        <w:pStyle w:val="Heading1"/>
        <w:spacing w:line="360" w:lineRule="auto"/>
        <w:jc w:val="center"/>
        <w:rPr>
          <w:rFonts w:ascii="Arial" w:hAnsi="Arial" w:cs="Arial"/>
          <w:b/>
          <w:sz w:val="22"/>
          <w:szCs w:val="22"/>
        </w:rPr>
      </w:pPr>
      <w:bookmarkStart w:id="26" w:name="_Toc213762836"/>
      <w:r w:rsidRPr="000E0A4D">
        <w:rPr>
          <w:rFonts w:ascii="Arial" w:hAnsi="Arial" w:cs="Arial"/>
          <w:b/>
          <w:sz w:val="22"/>
          <w:szCs w:val="22"/>
        </w:rPr>
        <w:t>7. Recommendations for Person-Centred Care</w:t>
      </w:r>
      <w:bookmarkEnd w:id="26"/>
    </w:p>
    <w:p w14:paraId="6578032B" w14:textId="77777777" w:rsidR="0061600D" w:rsidRPr="000E0A4D" w:rsidRDefault="0061600D" w:rsidP="0061600D">
      <w:pPr>
        <w:pStyle w:val="Heading2"/>
        <w:spacing w:line="360" w:lineRule="auto"/>
        <w:jc w:val="both"/>
        <w:rPr>
          <w:rFonts w:ascii="Arial" w:hAnsi="Arial" w:cs="Arial"/>
          <w:i/>
          <w:sz w:val="22"/>
          <w:szCs w:val="22"/>
          <w:u w:val="single"/>
        </w:rPr>
      </w:pPr>
      <w:bookmarkStart w:id="27" w:name="_Toc213762837"/>
      <w:r w:rsidRPr="000E0A4D">
        <w:rPr>
          <w:rFonts w:ascii="Arial" w:hAnsi="Arial" w:cs="Arial"/>
          <w:i/>
          <w:sz w:val="22"/>
          <w:szCs w:val="22"/>
          <w:u w:val="single"/>
        </w:rPr>
        <w:t>7.1 Enhancing Self-Management and Empowerment</w:t>
      </w:r>
      <w:bookmarkEnd w:id="27"/>
    </w:p>
    <w:p w14:paraId="481E7425"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Good long-term care involves helping an individual with lung cancer to maintain their health. The emphasis of doctors and social-care workers should be on increasing the level of health literacy of patients, to make them aware of their disease, treatments available and any side effects. Categorical learning sessions, written and virtual materials, and plans of the personal type assist the patients in monitoring their symptoms and identifying warning signs at an early stage. Change behavioural techniques such as motivational interviewing enable individuals to continue quitting smoking, exercising and maintaining a healthy diet. Frequent visits to primary-care centers or nurse-led facilities maintain the motivation level high and identify any deteriorating conditions early. To provide patients with confidence also implies understanding their emotions and making them feel that they are capable to make decisions and voice their desires during the disease (Holmes, 2024).</w:t>
      </w:r>
    </w:p>
    <w:p w14:paraId="535A7C04" w14:textId="77777777" w:rsidR="0061600D" w:rsidRPr="000E0A4D" w:rsidRDefault="0061600D" w:rsidP="0061600D">
      <w:pPr>
        <w:pStyle w:val="Heading2"/>
        <w:spacing w:line="360" w:lineRule="auto"/>
        <w:jc w:val="both"/>
        <w:rPr>
          <w:rFonts w:ascii="Arial" w:hAnsi="Arial" w:cs="Arial"/>
          <w:i/>
          <w:sz w:val="22"/>
          <w:szCs w:val="22"/>
          <w:u w:val="single"/>
        </w:rPr>
      </w:pPr>
      <w:bookmarkStart w:id="28" w:name="_Toc213762838"/>
      <w:r w:rsidRPr="000E0A4D">
        <w:rPr>
          <w:rFonts w:ascii="Arial" w:hAnsi="Arial" w:cs="Arial"/>
          <w:i/>
          <w:sz w:val="22"/>
          <w:szCs w:val="22"/>
          <w:u w:val="single"/>
        </w:rPr>
        <w:t>7.2 Strengthening Inter-Professional Practice</w:t>
      </w:r>
      <w:bookmarkEnd w:id="28"/>
      <w:r w:rsidRPr="000E0A4D">
        <w:rPr>
          <w:rFonts w:ascii="Arial" w:hAnsi="Arial" w:cs="Arial"/>
          <w:i/>
          <w:sz w:val="22"/>
          <w:szCs w:val="22"/>
          <w:u w:val="single"/>
        </w:rPr>
        <w:t xml:space="preserve"> </w:t>
      </w:r>
    </w:p>
    <w:p w14:paraId="515497B8"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The people with lung cancer should be well taken care of by the teams that should work well together. The doctors, nurses, pharmacists, therapists and social workers have to make a decision collectively on the superior plan, which suits the medical requirements of each patient and what is essential to him. Certain methods of communication about patients and shared electronic records assist in the transfer of information among hospitals, community care, and palliative care. Examining the mental and social standing of a patient during regular checkups on cancer and the breathing will allow them to know how the disease impacts patients in the body but not only in the body. A social-care person should be invited to speak with the team about housing, money and other requirements they may have at all times (Hardavella et al., 2020).</w:t>
      </w:r>
    </w:p>
    <w:p w14:paraId="354D47C2" w14:textId="77777777" w:rsidR="0061600D" w:rsidRPr="000E0A4D" w:rsidRDefault="0061600D" w:rsidP="0061600D">
      <w:pPr>
        <w:pStyle w:val="Heading2"/>
        <w:spacing w:line="360" w:lineRule="auto"/>
        <w:jc w:val="both"/>
        <w:rPr>
          <w:rFonts w:ascii="Arial" w:hAnsi="Arial" w:cs="Arial"/>
          <w:i/>
          <w:sz w:val="22"/>
          <w:szCs w:val="22"/>
          <w:u w:val="single"/>
        </w:rPr>
      </w:pPr>
      <w:bookmarkStart w:id="29" w:name="_Toc213762839"/>
      <w:r w:rsidRPr="000E0A4D">
        <w:rPr>
          <w:rFonts w:ascii="Arial" w:hAnsi="Arial" w:cs="Arial"/>
          <w:i/>
          <w:sz w:val="22"/>
          <w:szCs w:val="22"/>
          <w:u w:val="single"/>
        </w:rPr>
        <w:t>7.3 End-of-Life and Palliative Approaches</w:t>
      </w:r>
      <w:bookmarkEnd w:id="29"/>
      <w:r w:rsidRPr="000E0A4D">
        <w:rPr>
          <w:rFonts w:ascii="Arial" w:hAnsi="Arial" w:cs="Arial"/>
          <w:i/>
          <w:sz w:val="22"/>
          <w:szCs w:val="22"/>
          <w:u w:val="single"/>
        </w:rPr>
        <w:t xml:space="preserve"> </w:t>
      </w:r>
    </w:p>
    <w:p w14:paraId="70C6B61D"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In the case of individuals who are nearing the end of life, the care provision must be made on a total evaluation and cautious communication. There are reasons why professionals should initiate a discussion of future care plans early, and in this way, they will be able to document what they want to receive, whether or not to use life-saving treatments, and where they will want to be provided. Collaboration of cancer specialists, primary doctors and palliative care Teams ensures that care is always smooth and can promptly assist when the symptoms worsen. Training clinicians on how to communicate with the patient can assist them to be honest when explaining the outlook and remain compassionate and optimistic (Castro, Hannon and Zimmermann, 2023).</w:t>
      </w:r>
    </w:p>
    <w:p w14:paraId="1245722C" w14:textId="77777777" w:rsidR="0061600D" w:rsidRPr="000E0A4D" w:rsidRDefault="0061600D" w:rsidP="00C709DA">
      <w:pPr>
        <w:pStyle w:val="Heading1"/>
        <w:spacing w:line="360" w:lineRule="auto"/>
        <w:jc w:val="center"/>
        <w:rPr>
          <w:rFonts w:ascii="Arial" w:hAnsi="Arial" w:cs="Arial"/>
          <w:b/>
          <w:sz w:val="22"/>
          <w:szCs w:val="22"/>
        </w:rPr>
      </w:pPr>
      <w:bookmarkStart w:id="30" w:name="_Toc213762840"/>
      <w:r w:rsidRPr="000E0A4D">
        <w:rPr>
          <w:rFonts w:ascii="Arial" w:hAnsi="Arial" w:cs="Arial"/>
          <w:b/>
          <w:sz w:val="22"/>
          <w:szCs w:val="22"/>
        </w:rPr>
        <w:t>8. Conclusion</w:t>
      </w:r>
      <w:bookmarkEnd w:id="30"/>
    </w:p>
    <w:p w14:paraId="0D39AA39" w14:textId="77777777" w:rsidR="0061600D" w:rsidRPr="000E0A4D" w:rsidRDefault="0061600D" w:rsidP="0061600D">
      <w:pPr>
        <w:pStyle w:val="Heading2"/>
        <w:spacing w:line="360" w:lineRule="auto"/>
        <w:jc w:val="both"/>
        <w:rPr>
          <w:rFonts w:ascii="Arial" w:hAnsi="Arial" w:cs="Arial"/>
          <w:i/>
          <w:sz w:val="22"/>
          <w:szCs w:val="22"/>
          <w:u w:val="single"/>
        </w:rPr>
      </w:pPr>
      <w:bookmarkStart w:id="31" w:name="_Toc213762841"/>
      <w:r w:rsidRPr="000E0A4D">
        <w:rPr>
          <w:rFonts w:ascii="Arial" w:hAnsi="Arial" w:cs="Arial"/>
          <w:i/>
          <w:sz w:val="22"/>
          <w:szCs w:val="22"/>
          <w:u w:val="single"/>
        </w:rPr>
        <w:t>8.1 Summary of Key Findings</w:t>
      </w:r>
      <w:bookmarkEnd w:id="31"/>
      <w:r w:rsidRPr="000E0A4D">
        <w:rPr>
          <w:rFonts w:ascii="Arial" w:hAnsi="Arial" w:cs="Arial"/>
          <w:i/>
          <w:sz w:val="22"/>
          <w:szCs w:val="22"/>
          <w:u w:val="single"/>
        </w:rPr>
        <w:t xml:space="preserve"> </w:t>
      </w:r>
    </w:p>
    <w:p w14:paraId="784414EF" w14:textId="77777777" w:rsidR="008F0B71" w:rsidRPr="000E0A4D" w:rsidRDefault="008F0B71" w:rsidP="008F0B71">
      <w:pPr>
        <w:numPr>
          <w:ilvl w:val="0"/>
          <w:numId w:val="34"/>
        </w:numPr>
        <w:spacing w:line="360" w:lineRule="auto"/>
        <w:jc w:val="both"/>
        <w:rPr>
          <w:rFonts w:ascii="Arial" w:hAnsi="Arial" w:cs="Arial"/>
          <w:lang w:val="en-US"/>
        </w:rPr>
      </w:pPr>
      <w:r w:rsidRPr="000E0A4D">
        <w:rPr>
          <w:rFonts w:ascii="Arial" w:hAnsi="Arial" w:cs="Arial"/>
          <w:lang w:val="en-US"/>
        </w:rPr>
        <w:t>Lung cancer remains a major public-health challenge requiring coordinated, evidence-based care across the entire treatment pathway.</w:t>
      </w:r>
    </w:p>
    <w:p w14:paraId="66E418EC" w14:textId="77777777" w:rsidR="008F0B71" w:rsidRPr="000E0A4D" w:rsidRDefault="008F0B71" w:rsidP="008F0B71">
      <w:pPr>
        <w:numPr>
          <w:ilvl w:val="0"/>
          <w:numId w:val="34"/>
        </w:numPr>
        <w:spacing w:line="360" w:lineRule="auto"/>
        <w:jc w:val="both"/>
        <w:rPr>
          <w:rFonts w:ascii="Arial" w:hAnsi="Arial" w:cs="Arial"/>
          <w:lang w:val="en-US"/>
        </w:rPr>
      </w:pPr>
      <w:r w:rsidRPr="000E0A4D">
        <w:rPr>
          <w:rFonts w:ascii="Arial" w:hAnsi="Arial" w:cs="Arial"/>
          <w:lang w:val="en-US"/>
        </w:rPr>
        <w:t>Smoking cessation, targeted screening, and early diagnosis following NICE-recommended pathways significantly improve survival outcomes.</w:t>
      </w:r>
    </w:p>
    <w:p w14:paraId="579CF890" w14:textId="77777777" w:rsidR="008F0B71" w:rsidRPr="000E0A4D" w:rsidRDefault="008F0B71" w:rsidP="008F0B71">
      <w:pPr>
        <w:numPr>
          <w:ilvl w:val="0"/>
          <w:numId w:val="34"/>
        </w:numPr>
        <w:spacing w:line="360" w:lineRule="auto"/>
        <w:jc w:val="both"/>
        <w:rPr>
          <w:rFonts w:ascii="Arial" w:hAnsi="Arial" w:cs="Arial"/>
          <w:lang w:val="en-US"/>
        </w:rPr>
      </w:pPr>
      <w:r w:rsidRPr="000E0A4D">
        <w:rPr>
          <w:rFonts w:ascii="Arial" w:hAnsi="Arial" w:cs="Arial"/>
          <w:lang w:val="en-US"/>
        </w:rPr>
        <w:t>Multidisciplinary collaboration—bringing together respiratory teams, oncologists, nurses, palliative-care specialists, and social-care professionals—is essential for safe and holistic care.</w:t>
      </w:r>
    </w:p>
    <w:p w14:paraId="3BF89C8E" w14:textId="77777777" w:rsidR="008F0B71" w:rsidRPr="000E0A4D" w:rsidRDefault="008F0B71" w:rsidP="008F0B71">
      <w:pPr>
        <w:numPr>
          <w:ilvl w:val="0"/>
          <w:numId w:val="34"/>
        </w:numPr>
        <w:spacing w:line="360" w:lineRule="auto"/>
        <w:jc w:val="both"/>
        <w:rPr>
          <w:rFonts w:ascii="Arial" w:hAnsi="Arial" w:cs="Arial"/>
          <w:lang w:val="en-US"/>
        </w:rPr>
      </w:pPr>
      <w:r w:rsidRPr="000E0A4D">
        <w:rPr>
          <w:rFonts w:ascii="Arial" w:hAnsi="Arial" w:cs="Arial"/>
          <w:lang w:val="en-US"/>
        </w:rPr>
        <w:t>Addressing psychological needs, providing rehabilitation, and supporting families enhances quality of life and treatment engagement.</w:t>
      </w:r>
    </w:p>
    <w:p w14:paraId="4B9AD12C" w14:textId="77777777" w:rsidR="008F0B71" w:rsidRPr="000E0A4D" w:rsidRDefault="008F0B71" w:rsidP="008F0B71">
      <w:pPr>
        <w:numPr>
          <w:ilvl w:val="0"/>
          <w:numId w:val="34"/>
        </w:numPr>
        <w:spacing w:line="360" w:lineRule="auto"/>
        <w:jc w:val="both"/>
        <w:rPr>
          <w:rFonts w:ascii="Arial" w:hAnsi="Arial" w:cs="Arial"/>
          <w:lang w:val="en-US"/>
        </w:rPr>
      </w:pPr>
      <w:r w:rsidRPr="000E0A4D">
        <w:rPr>
          <w:rFonts w:ascii="Arial" w:hAnsi="Arial" w:cs="Arial"/>
          <w:lang w:val="en-US"/>
        </w:rPr>
        <w:t>Delivering equitable services across all NHS regions aligns with national priorities to reduce variation and ensure comprehensive, person-centred cancer care (HHS, 2020).</w:t>
      </w:r>
    </w:p>
    <w:p w14:paraId="0D5759CE" w14:textId="77777777" w:rsidR="0061600D" w:rsidRPr="000E0A4D" w:rsidRDefault="0061600D" w:rsidP="0061600D">
      <w:pPr>
        <w:pStyle w:val="Heading2"/>
        <w:spacing w:line="360" w:lineRule="auto"/>
        <w:jc w:val="both"/>
        <w:rPr>
          <w:rFonts w:ascii="Arial" w:hAnsi="Arial" w:cs="Arial"/>
          <w:i/>
          <w:sz w:val="22"/>
          <w:szCs w:val="22"/>
          <w:u w:val="single"/>
        </w:rPr>
      </w:pPr>
      <w:bookmarkStart w:id="32" w:name="_Toc213762842"/>
      <w:r w:rsidRPr="000E0A4D">
        <w:rPr>
          <w:rFonts w:ascii="Arial" w:hAnsi="Arial" w:cs="Arial"/>
          <w:i/>
          <w:sz w:val="22"/>
          <w:szCs w:val="22"/>
          <w:u w:val="single"/>
        </w:rPr>
        <w:t>8.2 Future Outlook</w:t>
      </w:r>
      <w:bookmarkEnd w:id="32"/>
    </w:p>
    <w:p w14:paraId="6B1CFEFD" w14:textId="77777777" w:rsidR="0061600D" w:rsidRPr="000E0A4D" w:rsidRDefault="0061600D" w:rsidP="0061600D">
      <w:pPr>
        <w:spacing w:line="360" w:lineRule="auto"/>
        <w:ind w:firstLine="720"/>
        <w:jc w:val="both"/>
        <w:rPr>
          <w:rFonts w:ascii="Arial" w:hAnsi="Arial" w:cs="Arial"/>
        </w:rPr>
      </w:pPr>
      <w:r w:rsidRPr="000E0A4D">
        <w:rPr>
          <w:rFonts w:ascii="Arial" w:hAnsi="Arial" w:cs="Arial"/>
        </w:rPr>
        <w:t>Agreement on the continued expenditure on digital tools, equal access to all, and regular physician training will be required to provide better lung-cancer care in the future. The emergence of new technology such as AI imaging, genome testing, and remote monitoring will assist in detecting cancer in the initial stages and continue with their care, but only on the condition that the data systems are integrated with one another. Plugging of staff gaps and geographical gaps are important to achieving national survival objectives. The further study and careful practice will assist physicians to adapt to novel interventions and the complex patient demands (Patel et al., 2023).</w:t>
      </w:r>
    </w:p>
    <w:p w14:paraId="526F10DE" w14:textId="77777777" w:rsidR="00C709DA" w:rsidRPr="000E0A4D" w:rsidRDefault="00C709DA">
      <w:pPr>
        <w:rPr>
          <w:rFonts w:ascii="Arial" w:eastAsiaTheme="majorEastAsia" w:hAnsi="Arial" w:cs="Arial"/>
          <w:smallCaps/>
        </w:rPr>
      </w:pPr>
      <w:r w:rsidRPr="000E0A4D">
        <w:rPr>
          <w:rFonts w:ascii="Arial" w:hAnsi="Arial" w:cs="Arial"/>
        </w:rPr>
        <w:br w:type="page"/>
      </w:r>
    </w:p>
    <w:p w14:paraId="09E6F024" w14:textId="77777777" w:rsidR="00C709DA" w:rsidRPr="000E0A4D" w:rsidRDefault="00C709DA" w:rsidP="00C709DA">
      <w:pPr>
        <w:jc w:val="center"/>
        <w:rPr>
          <w:rFonts w:ascii="Arial" w:hAnsi="Arial" w:cs="Arial"/>
          <w:b/>
        </w:rPr>
      </w:pPr>
      <w:r w:rsidRPr="000E0A4D">
        <w:rPr>
          <w:rFonts w:ascii="Arial" w:hAnsi="Arial" w:cs="Arial"/>
          <w:b/>
        </w:rPr>
        <w:t>Supporting Articles List</w:t>
      </w:r>
    </w:p>
    <w:p w14:paraId="7B97403C"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Avancini, A., Sartori, G., Gkountakos, A., Casali, M., Trestini, I., Tregnago, D., Bria, E., Jones, L.W., Milella, M., Lanza, M. and Pilotto, S. (2020). Physical Activity and Exercise in Lung Cancer Care: Will Promises Be Fulfilled? </w:t>
      </w:r>
      <w:r w:rsidRPr="000E0A4D">
        <w:rPr>
          <w:rFonts w:ascii="Arial" w:hAnsi="Arial" w:cs="Arial"/>
          <w:i/>
          <w:iCs/>
        </w:rPr>
        <w:t>The Oncologist</w:t>
      </w:r>
      <w:r w:rsidRPr="000E0A4D">
        <w:rPr>
          <w:rFonts w:ascii="Arial" w:hAnsi="Arial" w:cs="Arial"/>
        </w:rPr>
        <w:t xml:space="preserve">, [online] 25(3), pp.e555–e569. doi: </w:t>
      </w:r>
      <w:hyperlink r:id="rId23" w:history="1">
        <w:r w:rsidRPr="000E0A4D">
          <w:rPr>
            <w:rStyle w:val="Hyperlink"/>
            <w:rFonts w:ascii="Arial" w:eastAsiaTheme="majorEastAsia" w:hAnsi="Arial" w:cs="Arial"/>
          </w:rPr>
          <w:t>https://doi.org/10.1634/theoncologist.2019-0463</w:t>
        </w:r>
      </w:hyperlink>
      <w:r w:rsidRPr="000E0A4D">
        <w:rPr>
          <w:rFonts w:ascii="Arial" w:hAnsi="Arial" w:cs="Arial"/>
        </w:rPr>
        <w:t>.</w:t>
      </w:r>
    </w:p>
    <w:p w14:paraId="74882F9C"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Bray, F., Laversanne, M., Sung, H., Ferlay, J., Siegel, R.L., Soerjomataram, I. and Jemal, A. (2024). Global Cancer Statistics 2022: GLOBOCAN Estimates of Incidence and Mortality Worldwide for 36 Cancers in 185 Countries. </w:t>
      </w:r>
      <w:r w:rsidRPr="000E0A4D">
        <w:rPr>
          <w:rFonts w:ascii="Arial" w:hAnsi="Arial" w:cs="Arial"/>
          <w:i/>
          <w:iCs/>
        </w:rPr>
        <w:t>CA: A Cancer Journal for Clinicians</w:t>
      </w:r>
      <w:r w:rsidRPr="000E0A4D">
        <w:rPr>
          <w:rFonts w:ascii="Arial" w:hAnsi="Arial" w:cs="Arial"/>
        </w:rPr>
        <w:t xml:space="preserve">, [online] 74(3), pp.229–263. doi: </w:t>
      </w:r>
      <w:hyperlink r:id="rId24" w:history="1">
        <w:r w:rsidRPr="000E0A4D">
          <w:rPr>
            <w:rStyle w:val="Hyperlink"/>
            <w:rFonts w:ascii="Arial" w:eastAsiaTheme="majorEastAsia" w:hAnsi="Arial" w:cs="Arial"/>
          </w:rPr>
          <w:t>https://doi.org/10.3322/caac.21834</w:t>
        </w:r>
      </w:hyperlink>
      <w:r w:rsidRPr="000E0A4D">
        <w:rPr>
          <w:rFonts w:ascii="Arial" w:hAnsi="Arial" w:cs="Arial"/>
        </w:rPr>
        <w:t>.</w:t>
      </w:r>
    </w:p>
    <w:p w14:paraId="27977094"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Brock, B.A., Mir, H., Flenaugh, E.L., Oprea-Ilies, G., Singh, R. and Singh, S. (2024). Social and Biological Determinants in Lung Cancer Disparity. </w:t>
      </w:r>
      <w:r w:rsidRPr="000E0A4D">
        <w:rPr>
          <w:rFonts w:ascii="Arial" w:hAnsi="Arial" w:cs="Arial"/>
          <w:i/>
          <w:iCs/>
        </w:rPr>
        <w:t>Cancers</w:t>
      </w:r>
      <w:r w:rsidRPr="000E0A4D">
        <w:rPr>
          <w:rFonts w:ascii="Arial" w:hAnsi="Arial" w:cs="Arial"/>
        </w:rPr>
        <w:t xml:space="preserve">, [online] 16(3), p.612. doi: </w:t>
      </w:r>
      <w:hyperlink r:id="rId25" w:history="1">
        <w:r w:rsidRPr="000E0A4D">
          <w:rPr>
            <w:rStyle w:val="Hyperlink"/>
            <w:rFonts w:ascii="Arial" w:eastAsiaTheme="majorEastAsia" w:hAnsi="Arial" w:cs="Arial"/>
          </w:rPr>
          <w:t>https://doi.org/10.3390/cancers16030612</w:t>
        </w:r>
      </w:hyperlink>
      <w:r w:rsidRPr="000E0A4D">
        <w:rPr>
          <w:rFonts w:ascii="Arial" w:hAnsi="Arial" w:cs="Arial"/>
        </w:rPr>
        <w:t>.</w:t>
      </w:r>
    </w:p>
    <w:p w14:paraId="77C6AFCF"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Brown Johnson, C.G., Brodsky, J.L. and Cataldo, J.K. (2014). Lung Cancer Stigma, Anxiety, Depression, and Quality of Life. </w:t>
      </w:r>
      <w:r w:rsidRPr="000E0A4D">
        <w:rPr>
          <w:rFonts w:ascii="Arial" w:hAnsi="Arial" w:cs="Arial"/>
          <w:i/>
          <w:iCs/>
        </w:rPr>
        <w:t>Journal of Psychosocial Oncology</w:t>
      </w:r>
      <w:r w:rsidRPr="000E0A4D">
        <w:rPr>
          <w:rFonts w:ascii="Arial" w:hAnsi="Arial" w:cs="Arial"/>
        </w:rPr>
        <w:t xml:space="preserve">, 32(1), pp.59–73. doi: </w:t>
      </w:r>
      <w:hyperlink r:id="rId26" w:history="1">
        <w:r w:rsidRPr="000E0A4D">
          <w:rPr>
            <w:rStyle w:val="Hyperlink"/>
            <w:rFonts w:ascii="Arial" w:eastAsiaTheme="majorEastAsia" w:hAnsi="Arial" w:cs="Arial"/>
          </w:rPr>
          <w:t>https://doi.org/10.1080/07347332.2013.855963</w:t>
        </w:r>
      </w:hyperlink>
      <w:r w:rsidRPr="000E0A4D">
        <w:rPr>
          <w:rFonts w:ascii="Arial" w:hAnsi="Arial" w:cs="Arial"/>
        </w:rPr>
        <w:t>.</w:t>
      </w:r>
    </w:p>
    <w:p w14:paraId="1C53946F"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Castro, J.A., Hannon, B. and Zimmermann, C. (2023). Integrating Palliative Care into Oncology Care Worldwide: The Right Care in the Right Place at the Right Time. </w:t>
      </w:r>
      <w:r w:rsidRPr="000E0A4D">
        <w:rPr>
          <w:rFonts w:ascii="Arial" w:hAnsi="Arial" w:cs="Arial"/>
          <w:i/>
          <w:iCs/>
        </w:rPr>
        <w:t>Current Treatment Options in Oncology</w:t>
      </w:r>
      <w:r w:rsidRPr="000E0A4D">
        <w:rPr>
          <w:rFonts w:ascii="Arial" w:hAnsi="Arial" w:cs="Arial"/>
        </w:rPr>
        <w:t xml:space="preserve">, [online] 24(4), pp.353–372. doi: </w:t>
      </w:r>
      <w:hyperlink r:id="rId27" w:history="1">
        <w:r w:rsidRPr="000E0A4D">
          <w:rPr>
            <w:rStyle w:val="Hyperlink"/>
            <w:rFonts w:ascii="Arial" w:eastAsiaTheme="majorEastAsia" w:hAnsi="Arial" w:cs="Arial"/>
          </w:rPr>
          <w:t>https://doi.org/10.1007/s11864-023-01060-9</w:t>
        </w:r>
      </w:hyperlink>
      <w:r w:rsidRPr="000E0A4D">
        <w:rPr>
          <w:rFonts w:ascii="Arial" w:hAnsi="Arial" w:cs="Arial"/>
        </w:rPr>
        <w:t>.</w:t>
      </w:r>
    </w:p>
    <w:p w14:paraId="4D721FF2"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Charles, A., Ewbank, L., McKenna, H. and Wenzel, L. (2019). </w:t>
      </w:r>
      <w:r w:rsidRPr="000E0A4D">
        <w:rPr>
          <w:rFonts w:ascii="Arial" w:hAnsi="Arial" w:cs="Arial"/>
          <w:i/>
          <w:iCs/>
        </w:rPr>
        <w:t>The NHS Long-term Plan Explained</w:t>
      </w:r>
      <w:r w:rsidRPr="000E0A4D">
        <w:rPr>
          <w:rFonts w:ascii="Arial" w:hAnsi="Arial" w:cs="Arial"/>
        </w:rPr>
        <w:t xml:space="preserve">. [online] The King’s Fund. Available at: </w:t>
      </w:r>
      <w:hyperlink r:id="rId28" w:history="1">
        <w:r w:rsidRPr="000E0A4D">
          <w:rPr>
            <w:rStyle w:val="Hyperlink"/>
            <w:rFonts w:ascii="Arial" w:eastAsiaTheme="majorEastAsia" w:hAnsi="Arial" w:cs="Arial"/>
          </w:rPr>
          <w:t>https://www.kingsfund.org.uk/insight-and-analysis/long-reads/nhs-long-term-plan-explained</w:t>
        </w:r>
      </w:hyperlink>
      <w:r w:rsidRPr="000E0A4D">
        <w:rPr>
          <w:rFonts w:ascii="Arial" w:hAnsi="Arial" w:cs="Arial"/>
        </w:rPr>
        <w:t>.</w:t>
      </w:r>
    </w:p>
    <w:p w14:paraId="2E40548B"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Coleman, K., Austin, B.T., Brach, C. and Wagner, E.H. (2019). Evidence On The Chronic Care Model In The New Millennium. </w:t>
      </w:r>
      <w:r w:rsidRPr="000E0A4D">
        <w:rPr>
          <w:rFonts w:ascii="Arial" w:hAnsi="Arial" w:cs="Arial"/>
          <w:i/>
          <w:iCs/>
        </w:rPr>
        <w:t>Health Affairs</w:t>
      </w:r>
      <w:r w:rsidRPr="000E0A4D">
        <w:rPr>
          <w:rFonts w:ascii="Arial" w:hAnsi="Arial" w:cs="Arial"/>
        </w:rPr>
        <w:t xml:space="preserve">, [online] 28(1), pp.75–85. doi: </w:t>
      </w:r>
      <w:hyperlink r:id="rId29" w:history="1">
        <w:r w:rsidRPr="000E0A4D">
          <w:rPr>
            <w:rStyle w:val="Hyperlink"/>
            <w:rFonts w:ascii="Arial" w:eastAsiaTheme="majorEastAsia" w:hAnsi="Arial" w:cs="Arial"/>
          </w:rPr>
          <w:t>https://doi.org/10.1377/hlthaff.28.1.75</w:t>
        </w:r>
      </w:hyperlink>
      <w:r w:rsidRPr="000E0A4D">
        <w:rPr>
          <w:rFonts w:ascii="Arial" w:hAnsi="Arial" w:cs="Arial"/>
        </w:rPr>
        <w:t>.</w:t>
      </w:r>
    </w:p>
    <w:p w14:paraId="74F812DD"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Gee, P.M., Greenwood, D.A., Paterniti, D.A., Ward, D. and Miller, L.M.S. (2015). The eHealth Enhanced Chronic Care Model: a theory derivation approach. </w:t>
      </w:r>
      <w:r w:rsidRPr="000E0A4D">
        <w:rPr>
          <w:rFonts w:ascii="Arial" w:hAnsi="Arial" w:cs="Arial"/>
          <w:i/>
          <w:iCs/>
        </w:rPr>
        <w:t>Journal of Medical Internet Research</w:t>
      </w:r>
      <w:r w:rsidRPr="000E0A4D">
        <w:rPr>
          <w:rFonts w:ascii="Arial" w:hAnsi="Arial" w:cs="Arial"/>
        </w:rPr>
        <w:t xml:space="preserve">, [online] 17(4), p.e86. doi: </w:t>
      </w:r>
      <w:hyperlink r:id="rId30" w:history="1">
        <w:r w:rsidRPr="000E0A4D">
          <w:rPr>
            <w:rStyle w:val="Hyperlink"/>
            <w:rFonts w:ascii="Arial" w:eastAsiaTheme="majorEastAsia" w:hAnsi="Arial" w:cs="Arial"/>
          </w:rPr>
          <w:t>https://doi.org/10.2196/jmir.4067</w:t>
        </w:r>
      </w:hyperlink>
      <w:r w:rsidRPr="000E0A4D">
        <w:rPr>
          <w:rFonts w:ascii="Arial" w:hAnsi="Arial" w:cs="Arial"/>
        </w:rPr>
        <w:t>.</w:t>
      </w:r>
    </w:p>
    <w:p w14:paraId="6BF8953B"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Grundy, R., O’Brien, J., Saghafi, F. and Stirling, C. (2025). A lung cancer nurse specialist conceptual model of practice: a mixed methods study. </w:t>
      </w:r>
      <w:r w:rsidRPr="000E0A4D">
        <w:rPr>
          <w:rFonts w:ascii="Arial" w:hAnsi="Arial" w:cs="Arial"/>
          <w:i/>
          <w:iCs/>
        </w:rPr>
        <w:t>Supportive Care in Cancer</w:t>
      </w:r>
      <w:r w:rsidRPr="000E0A4D">
        <w:rPr>
          <w:rFonts w:ascii="Arial" w:hAnsi="Arial" w:cs="Arial"/>
        </w:rPr>
        <w:t xml:space="preserve">, 33(9). doi: </w:t>
      </w:r>
      <w:hyperlink r:id="rId31" w:history="1">
        <w:r w:rsidRPr="000E0A4D">
          <w:rPr>
            <w:rStyle w:val="Hyperlink"/>
            <w:rFonts w:ascii="Arial" w:eastAsiaTheme="majorEastAsia" w:hAnsi="Arial" w:cs="Arial"/>
          </w:rPr>
          <w:t>https://doi.org/10.1007/s00520-025-09833-8</w:t>
        </w:r>
      </w:hyperlink>
      <w:r w:rsidRPr="000E0A4D">
        <w:rPr>
          <w:rFonts w:ascii="Arial" w:hAnsi="Arial" w:cs="Arial"/>
        </w:rPr>
        <w:t>.</w:t>
      </w:r>
    </w:p>
    <w:p w14:paraId="3A81D652"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Hardavella, G., Frille, A., Theochari, C., Keramida, E., Bellou, E., Fotineas, A., Bracka, I., Pappa, L., Zagana, V., Palamiotou, M., Demertzis, P. and Karampinis, I. (2020). Multidisciplinary care models for patients with lung cancer. </w:t>
      </w:r>
      <w:r w:rsidRPr="000E0A4D">
        <w:rPr>
          <w:rFonts w:ascii="Arial" w:hAnsi="Arial" w:cs="Arial"/>
          <w:i/>
          <w:iCs/>
        </w:rPr>
        <w:t>Breathe</w:t>
      </w:r>
      <w:r w:rsidRPr="000E0A4D">
        <w:rPr>
          <w:rFonts w:ascii="Arial" w:hAnsi="Arial" w:cs="Arial"/>
        </w:rPr>
        <w:t xml:space="preserve">, [online] 16(4). doi: </w:t>
      </w:r>
      <w:hyperlink r:id="rId32" w:history="1">
        <w:r w:rsidRPr="000E0A4D">
          <w:rPr>
            <w:rStyle w:val="Hyperlink"/>
            <w:rFonts w:ascii="Arial" w:eastAsiaTheme="majorEastAsia" w:hAnsi="Arial" w:cs="Arial"/>
          </w:rPr>
          <w:t>https://doi.org/10.1183/20734735.0076-2020</w:t>
        </w:r>
      </w:hyperlink>
      <w:r w:rsidRPr="000E0A4D">
        <w:rPr>
          <w:rFonts w:ascii="Arial" w:hAnsi="Arial" w:cs="Arial"/>
        </w:rPr>
        <w:t>.</w:t>
      </w:r>
    </w:p>
    <w:p w14:paraId="2207D232"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HHS (2020). </w:t>
      </w:r>
      <w:r w:rsidRPr="000E0A4D">
        <w:rPr>
          <w:rFonts w:ascii="Arial" w:hAnsi="Arial" w:cs="Arial"/>
          <w:i/>
          <w:iCs/>
        </w:rPr>
        <w:t>Interventions for smoking cessation and treatments for nicotine dependence</w:t>
      </w:r>
      <w:r w:rsidRPr="000E0A4D">
        <w:rPr>
          <w:rFonts w:ascii="Arial" w:hAnsi="Arial" w:cs="Arial"/>
        </w:rPr>
        <w:t xml:space="preserve">. [online] </w:t>
      </w:r>
      <w:r w:rsidRPr="000E0A4D">
        <w:rPr>
          <w:rFonts w:ascii="Arial" w:hAnsi="Arial" w:cs="Arial"/>
          <w:i/>
          <w:iCs/>
        </w:rPr>
        <w:t>www.ncbi.nlm.nih.gov</w:t>
      </w:r>
      <w:r w:rsidRPr="000E0A4D">
        <w:rPr>
          <w:rFonts w:ascii="Arial" w:hAnsi="Arial" w:cs="Arial"/>
        </w:rPr>
        <w:t xml:space="preserve">. US Department of Health and Human Services. Available at: </w:t>
      </w:r>
      <w:hyperlink r:id="rId33" w:history="1">
        <w:r w:rsidRPr="000E0A4D">
          <w:rPr>
            <w:rStyle w:val="Hyperlink"/>
            <w:rFonts w:ascii="Arial" w:eastAsiaTheme="majorEastAsia" w:hAnsi="Arial" w:cs="Arial"/>
          </w:rPr>
          <w:t>https://www.ncbi.nlm.nih.gov/books/NBK555596/</w:t>
        </w:r>
      </w:hyperlink>
      <w:r w:rsidRPr="000E0A4D">
        <w:rPr>
          <w:rFonts w:ascii="Arial" w:hAnsi="Arial" w:cs="Arial"/>
        </w:rPr>
        <w:t>.</w:t>
      </w:r>
    </w:p>
    <w:p w14:paraId="211789CE"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Holmes, C. (2024). </w:t>
      </w:r>
      <w:r w:rsidRPr="000E0A4D">
        <w:rPr>
          <w:rFonts w:ascii="Arial" w:hAnsi="Arial" w:cs="Arial"/>
          <w:i/>
          <w:iCs/>
        </w:rPr>
        <w:t>Health literacy and patient education: empowering patients with the right tools for better health outcomes</w:t>
      </w:r>
      <w:r w:rsidRPr="000E0A4D">
        <w:rPr>
          <w:rFonts w:ascii="Arial" w:hAnsi="Arial" w:cs="Arial"/>
        </w:rPr>
        <w:t xml:space="preserve">. [online] Merative.com. Available at: </w:t>
      </w:r>
      <w:hyperlink r:id="rId34" w:history="1">
        <w:r w:rsidRPr="000E0A4D">
          <w:rPr>
            <w:rStyle w:val="Hyperlink"/>
            <w:rFonts w:ascii="Arial" w:eastAsiaTheme="majorEastAsia" w:hAnsi="Arial" w:cs="Arial"/>
          </w:rPr>
          <w:t>https://www.merative.com/blog/health-literacy-patient-education-tools</w:t>
        </w:r>
      </w:hyperlink>
      <w:r w:rsidRPr="000E0A4D">
        <w:rPr>
          <w:rFonts w:ascii="Arial" w:hAnsi="Arial" w:cs="Arial"/>
        </w:rPr>
        <w:t>.</w:t>
      </w:r>
    </w:p>
    <w:p w14:paraId="1F0E5BCF"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Kalidindi, S. and Gandhi, S. (2023). Workforce Crisis in Radiology in the UK and the Strategies to Deal With It: Is Artificial Intelligence the Saviour? </w:t>
      </w:r>
      <w:r w:rsidRPr="000E0A4D">
        <w:rPr>
          <w:rFonts w:ascii="Arial" w:hAnsi="Arial" w:cs="Arial"/>
          <w:i/>
          <w:iCs/>
        </w:rPr>
        <w:t>Cureus</w:t>
      </w:r>
      <w:r w:rsidRPr="000E0A4D">
        <w:rPr>
          <w:rFonts w:ascii="Arial" w:hAnsi="Arial" w:cs="Arial"/>
        </w:rPr>
        <w:t xml:space="preserve">, [online] 15(8). doi: </w:t>
      </w:r>
      <w:hyperlink r:id="rId35" w:history="1">
        <w:r w:rsidRPr="000E0A4D">
          <w:rPr>
            <w:rStyle w:val="Hyperlink"/>
            <w:rFonts w:ascii="Arial" w:eastAsiaTheme="majorEastAsia" w:hAnsi="Arial" w:cs="Arial"/>
          </w:rPr>
          <w:t>https://doi.org/10.7759/cureus.43866</w:t>
        </w:r>
      </w:hyperlink>
      <w:r w:rsidRPr="000E0A4D">
        <w:rPr>
          <w:rFonts w:ascii="Arial" w:hAnsi="Arial" w:cs="Arial"/>
        </w:rPr>
        <w:t>.</w:t>
      </w:r>
    </w:p>
    <w:p w14:paraId="04E4E1FB"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Kuśnierczyk, P. (2023). Genetic differences between smokers and never-smokers with lung cancer. </w:t>
      </w:r>
      <w:r w:rsidRPr="000E0A4D">
        <w:rPr>
          <w:rFonts w:ascii="Arial" w:hAnsi="Arial" w:cs="Arial"/>
          <w:i/>
          <w:iCs/>
        </w:rPr>
        <w:t>Frontiers in Immunology</w:t>
      </w:r>
      <w:r w:rsidRPr="000E0A4D">
        <w:rPr>
          <w:rFonts w:ascii="Arial" w:hAnsi="Arial" w:cs="Arial"/>
        </w:rPr>
        <w:t xml:space="preserve">, [online] 14. doi: </w:t>
      </w:r>
      <w:hyperlink r:id="rId36" w:history="1">
        <w:r w:rsidRPr="000E0A4D">
          <w:rPr>
            <w:rStyle w:val="Hyperlink"/>
            <w:rFonts w:ascii="Arial" w:eastAsiaTheme="majorEastAsia" w:hAnsi="Arial" w:cs="Arial"/>
          </w:rPr>
          <w:t>https://doi.org/10.3389/fimmu.2023.1063716</w:t>
        </w:r>
      </w:hyperlink>
      <w:r w:rsidRPr="000E0A4D">
        <w:rPr>
          <w:rFonts w:ascii="Arial" w:hAnsi="Arial" w:cs="Arial"/>
        </w:rPr>
        <w:t>.</w:t>
      </w:r>
    </w:p>
    <w:p w14:paraId="5BBDFC20"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Langevin, S.M., Kratzke, R.A. and Kelsey, K.T. (2015). Epigenetics of Lung Cancer. </w:t>
      </w:r>
      <w:r w:rsidRPr="000E0A4D">
        <w:rPr>
          <w:rFonts w:ascii="Arial" w:hAnsi="Arial" w:cs="Arial"/>
          <w:i/>
          <w:iCs/>
        </w:rPr>
        <w:t>Translational research : the journal of laboratory and clinical medicine</w:t>
      </w:r>
      <w:r w:rsidRPr="000E0A4D">
        <w:rPr>
          <w:rFonts w:ascii="Arial" w:hAnsi="Arial" w:cs="Arial"/>
        </w:rPr>
        <w:t xml:space="preserve">, 165(1), pp.74–90. doi: </w:t>
      </w:r>
      <w:hyperlink r:id="rId37" w:history="1">
        <w:r w:rsidRPr="000E0A4D">
          <w:rPr>
            <w:rStyle w:val="Hyperlink"/>
            <w:rFonts w:ascii="Arial" w:eastAsiaTheme="majorEastAsia" w:hAnsi="Arial" w:cs="Arial"/>
          </w:rPr>
          <w:t>https://doi.org/10.1016/j.trsl.2014.03.001</w:t>
        </w:r>
      </w:hyperlink>
      <w:r w:rsidRPr="000E0A4D">
        <w:rPr>
          <w:rFonts w:ascii="Arial" w:hAnsi="Arial" w:cs="Arial"/>
        </w:rPr>
        <w:t>.</w:t>
      </w:r>
    </w:p>
    <w:p w14:paraId="227E3C55"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Mayo Clinic (2022). </w:t>
      </w:r>
      <w:r w:rsidRPr="000E0A4D">
        <w:rPr>
          <w:rFonts w:ascii="Arial" w:hAnsi="Arial" w:cs="Arial"/>
          <w:i/>
          <w:iCs/>
        </w:rPr>
        <w:t>Lung Cancer - Diagnosis and Treatment - Mayo Clinic</w:t>
      </w:r>
      <w:r w:rsidRPr="000E0A4D">
        <w:rPr>
          <w:rFonts w:ascii="Arial" w:hAnsi="Arial" w:cs="Arial"/>
        </w:rPr>
        <w:t xml:space="preserve">. [online] Mayoclinic.org. Available at: </w:t>
      </w:r>
      <w:hyperlink r:id="rId38" w:history="1">
        <w:r w:rsidRPr="000E0A4D">
          <w:rPr>
            <w:rStyle w:val="Hyperlink"/>
            <w:rFonts w:ascii="Arial" w:eastAsiaTheme="majorEastAsia" w:hAnsi="Arial" w:cs="Arial"/>
          </w:rPr>
          <w:t>https://www.mayoclinic.org/diseases-conditions/lung-cancer/diagnosis-treatment/drc-20374627</w:t>
        </w:r>
      </w:hyperlink>
      <w:r w:rsidRPr="000E0A4D">
        <w:rPr>
          <w:rFonts w:ascii="Arial" w:hAnsi="Arial" w:cs="Arial"/>
        </w:rPr>
        <w:t>.</w:t>
      </w:r>
    </w:p>
    <w:p w14:paraId="5FDD4126"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Modglin, L. (2024). </w:t>
      </w:r>
      <w:r w:rsidRPr="000E0A4D">
        <w:rPr>
          <w:rFonts w:ascii="Arial" w:hAnsi="Arial" w:cs="Arial"/>
          <w:i/>
          <w:iCs/>
        </w:rPr>
        <w:t>Lung Cancer Symptoms: The Complete Medical List &amp; More</w:t>
      </w:r>
      <w:r w:rsidRPr="000E0A4D">
        <w:rPr>
          <w:rFonts w:ascii="Arial" w:hAnsi="Arial" w:cs="Arial"/>
        </w:rPr>
        <w:t xml:space="preserve">. [online] Patient Power. Available at: </w:t>
      </w:r>
      <w:hyperlink r:id="rId39" w:history="1">
        <w:r w:rsidRPr="000E0A4D">
          <w:rPr>
            <w:rStyle w:val="Hyperlink"/>
            <w:rFonts w:ascii="Arial" w:eastAsiaTheme="majorEastAsia" w:hAnsi="Arial" w:cs="Arial"/>
          </w:rPr>
          <w:t>https://www.patientpower.info/lung-cancer/symptoms</w:t>
        </w:r>
      </w:hyperlink>
      <w:r w:rsidRPr="000E0A4D">
        <w:rPr>
          <w:rFonts w:ascii="Arial" w:hAnsi="Arial" w:cs="Arial"/>
        </w:rPr>
        <w:t xml:space="preserve"> [Accessed 11 Nov. 2025].</w:t>
      </w:r>
    </w:p>
    <w:p w14:paraId="46193874"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NHS England (2024). </w:t>
      </w:r>
      <w:r w:rsidRPr="000E0A4D">
        <w:rPr>
          <w:rFonts w:ascii="Arial" w:hAnsi="Arial" w:cs="Arial"/>
          <w:i/>
          <w:iCs/>
        </w:rPr>
        <w:t>NHS England» NHS England Cancer Programme progress update – Spring 2024</w:t>
      </w:r>
      <w:r w:rsidRPr="000E0A4D">
        <w:rPr>
          <w:rFonts w:ascii="Arial" w:hAnsi="Arial" w:cs="Arial"/>
        </w:rPr>
        <w:t xml:space="preserve">. [online] </w:t>
      </w:r>
      <w:hyperlink r:id="rId40" w:history="1">
        <w:r w:rsidRPr="000E0A4D">
          <w:rPr>
            <w:rStyle w:val="Hyperlink"/>
            <w:rFonts w:ascii="Arial" w:eastAsiaTheme="majorEastAsia" w:hAnsi="Arial" w:cs="Arial"/>
          </w:rPr>
          <w:t>www.england.nhs.uk</w:t>
        </w:r>
      </w:hyperlink>
      <w:r w:rsidRPr="000E0A4D">
        <w:rPr>
          <w:rFonts w:ascii="Arial" w:hAnsi="Arial" w:cs="Arial"/>
        </w:rPr>
        <w:t xml:space="preserve">. Available at: </w:t>
      </w:r>
      <w:hyperlink r:id="rId41" w:history="1">
        <w:r w:rsidRPr="000E0A4D">
          <w:rPr>
            <w:rStyle w:val="Hyperlink"/>
            <w:rFonts w:ascii="Arial" w:eastAsiaTheme="majorEastAsia" w:hAnsi="Arial" w:cs="Arial"/>
          </w:rPr>
          <w:t>https://www.england.nhs.uk/long-read/nhs-england-cancer-programme-progress-update-spring-2024/</w:t>
        </w:r>
      </w:hyperlink>
      <w:r w:rsidRPr="000E0A4D">
        <w:rPr>
          <w:rFonts w:ascii="Arial" w:hAnsi="Arial" w:cs="Arial"/>
        </w:rPr>
        <w:t>.</w:t>
      </w:r>
    </w:p>
    <w:p w14:paraId="50979853"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NICE (2023). </w:t>
      </w:r>
      <w:r w:rsidRPr="000E0A4D">
        <w:rPr>
          <w:rFonts w:ascii="Arial" w:hAnsi="Arial" w:cs="Arial"/>
          <w:i/>
          <w:iCs/>
        </w:rPr>
        <w:t>National Institute for Health and Care Excellence: Clinical Guidelines</w:t>
      </w:r>
      <w:r w:rsidRPr="000E0A4D">
        <w:rPr>
          <w:rFonts w:ascii="Arial" w:hAnsi="Arial" w:cs="Arial"/>
        </w:rPr>
        <w:t xml:space="preserve">. [online] Nih.gov. Available at: </w:t>
      </w:r>
      <w:hyperlink r:id="rId42" w:history="1">
        <w:r w:rsidRPr="000E0A4D">
          <w:rPr>
            <w:rStyle w:val="Hyperlink"/>
            <w:rFonts w:ascii="Arial" w:eastAsiaTheme="majorEastAsia" w:hAnsi="Arial" w:cs="Arial"/>
          </w:rPr>
          <w:t>https://www.ncbi.nlm.nih.gov/books/NBK11822/</w:t>
        </w:r>
      </w:hyperlink>
      <w:r w:rsidRPr="000E0A4D">
        <w:rPr>
          <w:rFonts w:ascii="Arial" w:hAnsi="Arial" w:cs="Arial"/>
        </w:rPr>
        <w:t>.</w:t>
      </w:r>
    </w:p>
    <w:p w14:paraId="62BB8E5A"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Oke, J.L., Brown, S.J., Senger, C. and Welch, H.G. (2023). Deceptive measures of progress in the NHS long-term plan for cancer: case-based vs. population-based measures. </w:t>
      </w:r>
      <w:r w:rsidRPr="000E0A4D">
        <w:rPr>
          <w:rFonts w:ascii="Arial" w:hAnsi="Arial" w:cs="Arial"/>
          <w:i/>
          <w:iCs/>
        </w:rPr>
        <w:t>British Journal of Cancer</w:t>
      </w:r>
      <w:r w:rsidRPr="000E0A4D">
        <w:rPr>
          <w:rFonts w:ascii="Arial" w:hAnsi="Arial" w:cs="Arial"/>
        </w:rPr>
        <w:t xml:space="preserve">, [online] 129(1), pp.3–7. doi: </w:t>
      </w:r>
      <w:hyperlink r:id="rId43" w:history="1">
        <w:r w:rsidRPr="000E0A4D">
          <w:rPr>
            <w:rStyle w:val="Hyperlink"/>
            <w:rFonts w:ascii="Arial" w:eastAsiaTheme="majorEastAsia" w:hAnsi="Arial" w:cs="Arial"/>
          </w:rPr>
          <w:t>https://doi.org/10.1038/s41416-023-02308-9</w:t>
        </w:r>
      </w:hyperlink>
      <w:r w:rsidRPr="000E0A4D">
        <w:rPr>
          <w:rFonts w:ascii="Arial" w:hAnsi="Arial" w:cs="Arial"/>
        </w:rPr>
        <w:t>.</w:t>
      </w:r>
    </w:p>
    <w:p w14:paraId="5051099B"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Patel, S., Goldsack, J.C., Cordovano, G., Downing, A., Fields, K.K., Geoghegan, C., Grewal, U., Nieva, J., Patel, N., Rollison, D.E., Sah, A., Said, M., Keere, I.V.D., Way, A., Wolff-Hughes, D.L., Wood, W.A. and Robinson, E.J. (2023). Advancing Digital Health Innovation in Oncology: Priorities for High-Value Digital Transformation in Cancer Care. </w:t>
      </w:r>
      <w:r w:rsidRPr="000E0A4D">
        <w:rPr>
          <w:rFonts w:ascii="Arial" w:hAnsi="Arial" w:cs="Arial"/>
          <w:i/>
          <w:iCs/>
        </w:rPr>
        <w:t>Journal of Medical Internet Research</w:t>
      </w:r>
      <w:r w:rsidRPr="000E0A4D">
        <w:rPr>
          <w:rFonts w:ascii="Arial" w:hAnsi="Arial" w:cs="Arial"/>
        </w:rPr>
        <w:t xml:space="preserve">, [online] 25(1), p.e43404. doi: </w:t>
      </w:r>
      <w:hyperlink r:id="rId44" w:history="1">
        <w:r w:rsidRPr="000E0A4D">
          <w:rPr>
            <w:rStyle w:val="Hyperlink"/>
            <w:rFonts w:ascii="Arial" w:eastAsiaTheme="majorEastAsia" w:hAnsi="Arial" w:cs="Arial"/>
          </w:rPr>
          <w:t>https://doi.org/10.2196/43404</w:t>
        </w:r>
      </w:hyperlink>
      <w:r w:rsidRPr="000E0A4D">
        <w:rPr>
          <w:rFonts w:ascii="Arial" w:hAnsi="Arial" w:cs="Arial"/>
        </w:rPr>
        <w:t>.</w:t>
      </w:r>
    </w:p>
    <w:p w14:paraId="4FEA6343"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Popat, S., Navani, N., Kerr, K.M., Smit, E.F., Batchelor, T.J.P., Van Schil, P., Senan, S. and McDonald, F. (2021). Navigating Diagnostic and Treatment Decisions in Non</w:t>
      </w:r>
      <w:r w:rsidRPr="000E0A4D">
        <w:rPr>
          <w:rFonts w:cs="Arial"/>
        </w:rPr>
        <w:t>‐</w:t>
      </w:r>
      <w:r w:rsidRPr="000E0A4D">
        <w:rPr>
          <w:rFonts w:ascii="Arial" w:hAnsi="Arial" w:cs="Arial"/>
        </w:rPr>
        <w:t xml:space="preserve">Small Cell Lung Cancer: Expert Commentary on the Multidisciplinary Team Approach. </w:t>
      </w:r>
      <w:r w:rsidRPr="000E0A4D">
        <w:rPr>
          <w:rFonts w:ascii="Arial" w:hAnsi="Arial" w:cs="Arial"/>
          <w:i/>
          <w:iCs/>
        </w:rPr>
        <w:t>The Oncologist</w:t>
      </w:r>
      <w:r w:rsidRPr="000E0A4D">
        <w:rPr>
          <w:rFonts w:ascii="Arial" w:hAnsi="Arial" w:cs="Arial"/>
        </w:rPr>
        <w:t xml:space="preserve">, [online] 26(2), pp.e306–e315. doi: </w:t>
      </w:r>
      <w:hyperlink r:id="rId45" w:history="1">
        <w:r w:rsidRPr="000E0A4D">
          <w:rPr>
            <w:rStyle w:val="Hyperlink"/>
            <w:rFonts w:ascii="Arial" w:eastAsiaTheme="majorEastAsia" w:hAnsi="Arial" w:cs="Arial"/>
          </w:rPr>
          <w:t>https://doi.org/10.1002/onco.13586</w:t>
        </w:r>
      </w:hyperlink>
      <w:r w:rsidRPr="000E0A4D">
        <w:rPr>
          <w:rFonts w:ascii="Arial" w:hAnsi="Arial" w:cs="Arial"/>
        </w:rPr>
        <w:t>.</w:t>
      </w:r>
    </w:p>
    <w:p w14:paraId="6DEEE704"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Rogers, I., Cooper, M., Memon, A., Forbes, L., Harm van Marwijk and Ford, E. (2024). The effect of comorbidities on diagnostic interval for lung cancer in England: a cohort study using electronic health record data. </w:t>
      </w:r>
      <w:r w:rsidRPr="000E0A4D">
        <w:rPr>
          <w:rFonts w:ascii="Arial" w:hAnsi="Arial" w:cs="Arial"/>
          <w:i/>
          <w:iCs/>
        </w:rPr>
        <w:t>British Journal of Cancer</w:t>
      </w:r>
      <w:r w:rsidRPr="000E0A4D">
        <w:rPr>
          <w:rFonts w:ascii="Arial" w:hAnsi="Arial" w:cs="Arial"/>
        </w:rPr>
        <w:t xml:space="preserve">, [online] 131(7), pp.1147–1157. doi: </w:t>
      </w:r>
      <w:hyperlink r:id="rId46" w:history="1">
        <w:r w:rsidRPr="000E0A4D">
          <w:rPr>
            <w:rStyle w:val="Hyperlink"/>
            <w:rFonts w:ascii="Arial" w:eastAsiaTheme="majorEastAsia" w:hAnsi="Arial" w:cs="Arial"/>
          </w:rPr>
          <w:t>https://doi.org/10.1038/s41416-024-02824-2</w:t>
        </w:r>
      </w:hyperlink>
      <w:r w:rsidRPr="000E0A4D">
        <w:rPr>
          <w:rFonts w:ascii="Arial" w:hAnsi="Arial" w:cs="Arial"/>
        </w:rPr>
        <w:t>.</w:t>
      </w:r>
    </w:p>
    <w:p w14:paraId="012170F4"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Romero, J.A.V. (2014). Relational coordination and healthcare management in lung cancer. </w:t>
      </w:r>
      <w:r w:rsidRPr="000E0A4D">
        <w:rPr>
          <w:rFonts w:ascii="Arial" w:hAnsi="Arial" w:cs="Arial"/>
          <w:i/>
          <w:iCs/>
        </w:rPr>
        <w:t>World Journal of Clinical Cases</w:t>
      </w:r>
      <w:r w:rsidRPr="000E0A4D">
        <w:rPr>
          <w:rFonts w:ascii="Arial" w:hAnsi="Arial" w:cs="Arial"/>
        </w:rPr>
        <w:t xml:space="preserve">, 2(12), p.757. doi: </w:t>
      </w:r>
      <w:hyperlink r:id="rId47" w:history="1">
        <w:r w:rsidRPr="000E0A4D">
          <w:rPr>
            <w:rStyle w:val="Hyperlink"/>
            <w:rFonts w:ascii="Arial" w:eastAsiaTheme="majorEastAsia" w:hAnsi="Arial" w:cs="Arial"/>
          </w:rPr>
          <w:t>https://doi.org/10.12998/wjcc.v2.i12.757</w:t>
        </w:r>
      </w:hyperlink>
      <w:r w:rsidRPr="000E0A4D">
        <w:rPr>
          <w:rFonts w:ascii="Arial" w:hAnsi="Arial" w:cs="Arial"/>
        </w:rPr>
        <w:t>.</w:t>
      </w:r>
    </w:p>
    <w:p w14:paraId="7AF6F4B6"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Shield, T., Bayliss, K., Hodkinson, A., Panagioti, M., Wearden, A., Flynn, J., Rowland, C., Bee, P., Farquhar, M., Harris, D., Grande, G., Shield, T., Bayliss, K., Hodkinson, A., Panagioti, M., Wearden, A., Flynn, J., Rowland, C., Bee, P. and Farquhar, M. (2023). </w:t>
      </w:r>
      <w:r w:rsidRPr="000E0A4D">
        <w:rPr>
          <w:rFonts w:ascii="Arial" w:hAnsi="Arial" w:cs="Arial"/>
          <w:i/>
          <w:iCs/>
        </w:rPr>
        <w:t>What factors are associated with informal carers’ psychological morbidity during end-of-life home care? A systematic review and thematic synthesis of observational quantitative studies</w:t>
      </w:r>
      <w:r w:rsidRPr="000E0A4D">
        <w:rPr>
          <w:rFonts w:ascii="Arial" w:hAnsi="Arial" w:cs="Arial"/>
        </w:rPr>
        <w:t xml:space="preserve">. [online] </w:t>
      </w:r>
      <w:r w:rsidRPr="000E0A4D">
        <w:rPr>
          <w:rFonts w:ascii="Arial" w:hAnsi="Arial" w:cs="Arial"/>
          <w:i/>
          <w:iCs/>
        </w:rPr>
        <w:t>PubMed</w:t>
      </w:r>
      <w:r w:rsidRPr="000E0A4D">
        <w:rPr>
          <w:rFonts w:ascii="Arial" w:hAnsi="Arial" w:cs="Arial"/>
        </w:rPr>
        <w:t xml:space="preserve">. National Institute for Health and Care Research. Available at: </w:t>
      </w:r>
      <w:hyperlink r:id="rId48" w:history="1">
        <w:r w:rsidRPr="000E0A4D">
          <w:rPr>
            <w:rStyle w:val="Hyperlink"/>
            <w:rFonts w:ascii="Arial" w:eastAsiaTheme="majorEastAsia" w:hAnsi="Arial" w:cs="Arial"/>
          </w:rPr>
          <w:t>https://www.ncbi.nlm.nih.gov/books/NBK597786/</w:t>
        </w:r>
      </w:hyperlink>
      <w:r w:rsidRPr="000E0A4D">
        <w:rPr>
          <w:rFonts w:ascii="Arial" w:hAnsi="Arial" w:cs="Arial"/>
        </w:rPr>
        <w:t>.</w:t>
      </w:r>
    </w:p>
    <w:p w14:paraId="6F16F389"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Siddiqui, F., Siddiqui, A.H. and Vaqar, S. (2023). </w:t>
      </w:r>
      <w:r w:rsidRPr="000E0A4D">
        <w:rPr>
          <w:rFonts w:ascii="Arial" w:hAnsi="Arial" w:cs="Arial"/>
          <w:i/>
          <w:iCs/>
        </w:rPr>
        <w:t>Lung Cancer</w:t>
      </w:r>
      <w:r w:rsidRPr="000E0A4D">
        <w:rPr>
          <w:rFonts w:ascii="Arial" w:hAnsi="Arial" w:cs="Arial"/>
        </w:rPr>
        <w:t xml:space="preserve">. [online] Nih.gov. Available at: </w:t>
      </w:r>
      <w:hyperlink r:id="rId49" w:history="1">
        <w:r w:rsidRPr="000E0A4D">
          <w:rPr>
            <w:rStyle w:val="Hyperlink"/>
            <w:rFonts w:ascii="Arial" w:eastAsiaTheme="majorEastAsia" w:hAnsi="Arial" w:cs="Arial"/>
          </w:rPr>
          <w:t>https://www.ncbi.nlm.nih.gov/books/NBK482357/</w:t>
        </w:r>
      </w:hyperlink>
      <w:r w:rsidRPr="000E0A4D">
        <w:rPr>
          <w:rFonts w:ascii="Arial" w:hAnsi="Arial" w:cs="Arial"/>
        </w:rPr>
        <w:t>.</w:t>
      </w:r>
    </w:p>
    <w:p w14:paraId="5E89B917"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Smith, J. (2024). </w:t>
      </w:r>
      <w:r w:rsidRPr="000E0A4D">
        <w:rPr>
          <w:rFonts w:ascii="Arial" w:hAnsi="Arial" w:cs="Arial"/>
          <w:i/>
          <w:iCs/>
        </w:rPr>
        <w:t>Cancers caused by smoking reach all time high</w:t>
      </w:r>
      <w:r w:rsidRPr="000E0A4D">
        <w:rPr>
          <w:rFonts w:ascii="Arial" w:hAnsi="Arial" w:cs="Arial"/>
        </w:rPr>
        <w:t xml:space="preserve">. [online] Cancer Research UK - Cancer News. Available at: </w:t>
      </w:r>
      <w:hyperlink r:id="rId50" w:history="1">
        <w:r w:rsidRPr="000E0A4D">
          <w:rPr>
            <w:rStyle w:val="Hyperlink"/>
            <w:rFonts w:ascii="Arial" w:eastAsiaTheme="majorEastAsia" w:hAnsi="Arial" w:cs="Arial"/>
          </w:rPr>
          <w:t>https://news.cancerresearchuk.org/2024/07/09/smoking-cancers-reach-all-time-high/</w:t>
        </w:r>
      </w:hyperlink>
      <w:r w:rsidRPr="000E0A4D">
        <w:rPr>
          <w:rFonts w:ascii="Arial" w:hAnsi="Arial" w:cs="Arial"/>
        </w:rPr>
        <w:t>.</w:t>
      </w:r>
    </w:p>
    <w:p w14:paraId="648E9DF7"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van der Feltz-Cornelis, C., Attree, E., Heightman, M., Gabbay, M. and Allsopp, G. (2023). Integrated Care pathways: a New Approach for Integrated Care Systems. </w:t>
      </w:r>
      <w:r w:rsidRPr="000E0A4D">
        <w:rPr>
          <w:rFonts w:ascii="Arial" w:hAnsi="Arial" w:cs="Arial"/>
          <w:i/>
          <w:iCs/>
        </w:rPr>
        <w:t>The British Journal of General Practice</w:t>
      </w:r>
      <w:r w:rsidRPr="000E0A4D">
        <w:rPr>
          <w:rFonts w:ascii="Arial" w:hAnsi="Arial" w:cs="Arial"/>
        </w:rPr>
        <w:t xml:space="preserve">, 73(734), p.422. doi: </w:t>
      </w:r>
      <w:hyperlink r:id="rId51" w:history="1">
        <w:r w:rsidRPr="000E0A4D">
          <w:rPr>
            <w:rStyle w:val="Hyperlink"/>
            <w:rFonts w:ascii="Arial" w:eastAsiaTheme="majorEastAsia" w:hAnsi="Arial" w:cs="Arial"/>
          </w:rPr>
          <w:t>https://doi.org/10.3399/bjgp23X734925</w:t>
        </w:r>
      </w:hyperlink>
      <w:r w:rsidRPr="000E0A4D">
        <w:rPr>
          <w:rFonts w:ascii="Arial" w:hAnsi="Arial" w:cs="Arial"/>
        </w:rPr>
        <w:t>.</w:t>
      </w:r>
    </w:p>
    <w:p w14:paraId="4E4EFB2D"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Van Schil, P.E., Balduyck, B., De Waele, M., Hendriks, J.M., Hertoghs, M. and Lauwers, P. (2013). Surgical treatment of early-stage non-small-cell lung cancer. </w:t>
      </w:r>
      <w:r w:rsidRPr="000E0A4D">
        <w:rPr>
          <w:rFonts w:ascii="Arial" w:hAnsi="Arial" w:cs="Arial"/>
          <w:i/>
          <w:iCs/>
        </w:rPr>
        <w:t>European Journal of Cancer Supplements</w:t>
      </w:r>
      <w:r w:rsidRPr="000E0A4D">
        <w:rPr>
          <w:rFonts w:ascii="Arial" w:hAnsi="Arial" w:cs="Arial"/>
        </w:rPr>
        <w:t xml:space="preserve">, 11(2), pp.110–122. doi: </w:t>
      </w:r>
      <w:hyperlink r:id="rId52" w:history="1">
        <w:r w:rsidRPr="000E0A4D">
          <w:rPr>
            <w:rStyle w:val="Hyperlink"/>
            <w:rFonts w:ascii="Arial" w:eastAsiaTheme="majorEastAsia" w:hAnsi="Arial" w:cs="Arial"/>
          </w:rPr>
          <w:t>https://doi.org/10.1016/j.ejcsup.2013.07.021</w:t>
        </w:r>
      </w:hyperlink>
      <w:r w:rsidRPr="000E0A4D">
        <w:rPr>
          <w:rFonts w:ascii="Arial" w:hAnsi="Arial" w:cs="Arial"/>
        </w:rPr>
        <w:t>.</w:t>
      </w:r>
    </w:p>
    <w:p w14:paraId="4706BD25"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van Westen-Lagerweij, N.A., Hipple Walters, B.J., Potyka, F., Croes, E.A. and Willemsen, M.C. (2022). Proactive referral to behavioral smoking cessation programs by healthcare staff: a systematic review. </w:t>
      </w:r>
      <w:r w:rsidRPr="000E0A4D">
        <w:rPr>
          <w:rFonts w:ascii="Arial" w:hAnsi="Arial" w:cs="Arial"/>
          <w:i/>
          <w:iCs/>
        </w:rPr>
        <w:t>Nicotine &amp; Tobacco Research</w:t>
      </w:r>
      <w:r w:rsidRPr="000E0A4D">
        <w:rPr>
          <w:rFonts w:ascii="Arial" w:hAnsi="Arial" w:cs="Arial"/>
        </w:rPr>
        <w:t xml:space="preserve">, 25(5). doi: </w:t>
      </w:r>
      <w:hyperlink r:id="rId53" w:history="1">
        <w:r w:rsidRPr="000E0A4D">
          <w:rPr>
            <w:rStyle w:val="Hyperlink"/>
            <w:rFonts w:ascii="Arial" w:eastAsiaTheme="majorEastAsia" w:hAnsi="Arial" w:cs="Arial"/>
          </w:rPr>
          <w:t>https://doi.org/10.1093/ntr/ntac262</w:t>
        </w:r>
      </w:hyperlink>
      <w:r w:rsidRPr="000E0A4D">
        <w:rPr>
          <w:rFonts w:ascii="Arial" w:hAnsi="Arial" w:cs="Arial"/>
        </w:rPr>
        <w:t>.</w:t>
      </w:r>
    </w:p>
    <w:p w14:paraId="68931F70" w14:textId="77777777" w:rsidR="00C709DA" w:rsidRPr="000E0A4D" w:rsidRDefault="00C709DA" w:rsidP="00C709DA">
      <w:pPr>
        <w:jc w:val="center"/>
        <w:rPr>
          <w:rFonts w:ascii="Arial" w:hAnsi="Arial" w:cs="Arial"/>
          <w:b/>
          <w:bCs/>
          <w:lang w:val="en-US"/>
        </w:rPr>
      </w:pPr>
      <w:bookmarkStart w:id="33" w:name="_Toc213762844"/>
      <w:r w:rsidRPr="000E0A4D">
        <w:rPr>
          <w:rFonts w:ascii="Arial" w:hAnsi="Arial" w:cs="Arial"/>
          <w:b/>
          <w:bCs/>
          <w:lang w:val="en-US"/>
        </w:rPr>
        <w:t>Other Source List</w:t>
      </w:r>
      <w:bookmarkEnd w:id="33"/>
    </w:p>
    <w:p w14:paraId="6F29F436"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Ashraf-Uz-Zaman, M., Bhalerao, A., Mikelis, C.M., Cucullo, L. and German, N.A. (2020). Assessing the Current State of Lung Cancer Chemoprevention: A Comprehensive Overview. </w:t>
      </w:r>
      <w:r w:rsidRPr="000E0A4D">
        <w:rPr>
          <w:rFonts w:ascii="Arial" w:hAnsi="Arial" w:cs="Arial"/>
          <w:i/>
          <w:iCs/>
        </w:rPr>
        <w:t>Cancers</w:t>
      </w:r>
      <w:r w:rsidRPr="000E0A4D">
        <w:rPr>
          <w:rFonts w:ascii="Arial" w:hAnsi="Arial" w:cs="Arial"/>
        </w:rPr>
        <w:t xml:space="preserve">, [online] 12(5), p.1265. doi: </w:t>
      </w:r>
      <w:hyperlink r:id="rId54" w:history="1">
        <w:r w:rsidRPr="000E0A4D">
          <w:rPr>
            <w:rStyle w:val="Hyperlink"/>
            <w:rFonts w:ascii="Arial" w:eastAsiaTheme="majorEastAsia" w:hAnsi="Arial" w:cs="Arial"/>
          </w:rPr>
          <w:t>https://doi.org/10.3390/cancers12051265</w:t>
        </w:r>
      </w:hyperlink>
      <w:r w:rsidRPr="000E0A4D">
        <w:rPr>
          <w:rFonts w:ascii="Arial" w:hAnsi="Arial" w:cs="Arial"/>
        </w:rPr>
        <w:t>.</w:t>
      </w:r>
    </w:p>
    <w:p w14:paraId="378AA45E"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Bower, P., Reeves, D., Roland, M., Blakeman, T. and Richardson, G. (2013). </w:t>
      </w:r>
      <w:r w:rsidRPr="000E0A4D">
        <w:rPr>
          <w:rFonts w:ascii="Arial" w:hAnsi="Arial" w:cs="Arial"/>
          <w:i/>
          <w:iCs/>
        </w:rPr>
        <w:t>Care planning in the treatment of long term conditions – final report of the CAPITOL project to the DH Policy Research programme</w:t>
      </w:r>
      <w:r w:rsidRPr="000E0A4D">
        <w:rPr>
          <w:rFonts w:ascii="Arial" w:hAnsi="Arial" w:cs="Arial"/>
        </w:rPr>
        <w:t xml:space="preserve">. [online] Available at: </w:t>
      </w:r>
      <w:hyperlink r:id="rId55" w:history="1">
        <w:r w:rsidRPr="000E0A4D">
          <w:rPr>
            <w:rStyle w:val="Hyperlink"/>
            <w:rFonts w:ascii="Arial" w:eastAsiaTheme="majorEastAsia" w:hAnsi="Arial" w:cs="Arial"/>
          </w:rPr>
          <w:t>https://www.researchgate.net/publication/265085907_Care_planning_in_the_treatment_of_long_term_conditions_-_final_report_of_the_CAPITOL_project_to_the_DH_Policy_Research_programme?_tp=eyJjb250ZXh0Ijp7ImZpcnN0UGFnZSI6Il9kaXJlY3QiLCJwYWdlIjoiX2RpcmVjdCJ9fQ</w:t>
        </w:r>
      </w:hyperlink>
      <w:r w:rsidRPr="000E0A4D">
        <w:rPr>
          <w:rFonts w:ascii="Arial" w:hAnsi="Arial" w:cs="Arial"/>
        </w:rPr>
        <w:t>.</w:t>
      </w:r>
    </w:p>
    <w:p w14:paraId="5CD08170"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Brock, B.A., Mir, H., Flenaugh, E.L., Oprea-Ilies, G., Singh, R. and Singh, S. (2024). Social and Biological Determinants in Lung Cancer Disparity. </w:t>
      </w:r>
      <w:r w:rsidRPr="000E0A4D">
        <w:rPr>
          <w:rFonts w:ascii="Arial" w:hAnsi="Arial" w:cs="Arial"/>
          <w:i/>
          <w:iCs/>
        </w:rPr>
        <w:t>Cancers</w:t>
      </w:r>
      <w:r w:rsidRPr="000E0A4D">
        <w:rPr>
          <w:rFonts w:ascii="Arial" w:hAnsi="Arial" w:cs="Arial"/>
        </w:rPr>
        <w:t xml:space="preserve">, [online] 16(3), p.612. doi: </w:t>
      </w:r>
      <w:hyperlink r:id="rId56" w:history="1">
        <w:r w:rsidRPr="000E0A4D">
          <w:rPr>
            <w:rStyle w:val="Hyperlink"/>
            <w:rFonts w:ascii="Arial" w:eastAsiaTheme="majorEastAsia" w:hAnsi="Arial" w:cs="Arial"/>
          </w:rPr>
          <w:t>https://doi.org/10.3390/cancers16030612</w:t>
        </w:r>
      </w:hyperlink>
      <w:r w:rsidRPr="000E0A4D">
        <w:rPr>
          <w:rFonts w:ascii="Arial" w:hAnsi="Arial" w:cs="Arial"/>
        </w:rPr>
        <w:t>.</w:t>
      </w:r>
    </w:p>
    <w:p w14:paraId="460296FB"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Bulgaru-Iliescu, D., OPREA, L., Cojocaru, D. and Sandu, A. (2013). The Chronic Care Model (CCM) and the Social Gradient in Health. </w:t>
      </w:r>
      <w:r w:rsidRPr="000E0A4D">
        <w:rPr>
          <w:rFonts w:ascii="Arial" w:hAnsi="Arial" w:cs="Arial"/>
          <w:i/>
          <w:iCs/>
        </w:rPr>
        <w:t>REVISTA DE CERCETARE SI INTERVENTIE SOCIALA</w:t>
      </w:r>
      <w:r w:rsidRPr="000E0A4D">
        <w:rPr>
          <w:rFonts w:ascii="Arial" w:hAnsi="Arial" w:cs="Arial"/>
        </w:rPr>
        <w:t xml:space="preserve">, [online] 41, pp.176–189. Available at: </w:t>
      </w:r>
      <w:hyperlink r:id="rId57" w:history="1">
        <w:r w:rsidRPr="000E0A4D">
          <w:rPr>
            <w:rStyle w:val="Hyperlink"/>
            <w:rFonts w:ascii="Arial" w:eastAsiaTheme="majorEastAsia" w:hAnsi="Arial" w:cs="Arial"/>
          </w:rPr>
          <w:t>https://www.researchgate.net/publication/271585144_The_Chronic_Care_Model_CCM_and_the_Social_Gradient_in_Health?_tp=eyJjb250ZXh0Ijp7ImZpcnN0UGFnZSI6Il9kaXJlY3QiLCJwYWdlIjoiX2RpcmVjdCJ9fQ</w:t>
        </w:r>
      </w:hyperlink>
      <w:r w:rsidRPr="000E0A4D">
        <w:rPr>
          <w:rFonts w:ascii="Arial" w:hAnsi="Arial" w:cs="Arial"/>
        </w:rPr>
        <w:t>.</w:t>
      </w:r>
    </w:p>
    <w:p w14:paraId="6C66E73C"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Mozdiak, E., Tsertsvadze, A., McFarlane, M., Widlak, M., Tabuso, M., Dunlop, A. and Arasaradnam, R. (2016). The effect of the 2-week wait referral system on the detection of and mortality from colorectal cancer: protocol of a systematic review and meta-analysis. </w:t>
      </w:r>
      <w:r w:rsidRPr="000E0A4D">
        <w:rPr>
          <w:rFonts w:ascii="Arial" w:hAnsi="Arial" w:cs="Arial"/>
          <w:i/>
          <w:iCs/>
        </w:rPr>
        <w:t>Systematic Reviews</w:t>
      </w:r>
      <w:r w:rsidRPr="000E0A4D">
        <w:rPr>
          <w:rFonts w:ascii="Arial" w:hAnsi="Arial" w:cs="Arial"/>
        </w:rPr>
        <w:t xml:space="preserve">, 5(1). doi: </w:t>
      </w:r>
      <w:hyperlink r:id="rId58" w:history="1">
        <w:r w:rsidRPr="000E0A4D">
          <w:rPr>
            <w:rStyle w:val="Hyperlink"/>
            <w:rFonts w:ascii="Arial" w:eastAsiaTheme="majorEastAsia" w:hAnsi="Arial" w:cs="Arial"/>
          </w:rPr>
          <w:t>https://doi.org/10.1186/s13643-016-0358-6</w:t>
        </w:r>
      </w:hyperlink>
      <w:r w:rsidRPr="000E0A4D">
        <w:rPr>
          <w:rFonts w:ascii="Arial" w:hAnsi="Arial" w:cs="Arial"/>
        </w:rPr>
        <w:t>.</w:t>
      </w:r>
    </w:p>
    <w:p w14:paraId="42C1D0A6"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National Institute for Health and Care Excellence (2019). Overview | Lung cancer: diagnosis and management  | Guidance | NICE. [online] Nice.org.uk. Available at: </w:t>
      </w:r>
      <w:hyperlink r:id="rId59" w:history="1">
        <w:r w:rsidRPr="000E0A4D">
          <w:rPr>
            <w:rStyle w:val="Hyperlink"/>
            <w:rFonts w:ascii="Arial" w:eastAsiaTheme="majorEastAsia" w:hAnsi="Arial" w:cs="Arial"/>
          </w:rPr>
          <w:t>https://www.nice.org.uk/guidance/ng122</w:t>
        </w:r>
      </w:hyperlink>
      <w:r w:rsidRPr="000E0A4D">
        <w:rPr>
          <w:rFonts w:ascii="Arial" w:hAnsi="Arial" w:cs="Arial"/>
        </w:rPr>
        <w:t>.</w:t>
      </w:r>
    </w:p>
    <w:p w14:paraId="206E40B4" w14:textId="77777777" w:rsidR="00C709DA" w:rsidRPr="000E0A4D"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NHS England (2023). </w:t>
      </w:r>
      <w:r w:rsidRPr="000E0A4D">
        <w:rPr>
          <w:rFonts w:ascii="Arial" w:hAnsi="Arial" w:cs="Arial"/>
          <w:i/>
          <w:iCs/>
        </w:rPr>
        <w:t>Working in Partnership with People and communities: Statutory Guidance</w:t>
      </w:r>
      <w:r w:rsidRPr="000E0A4D">
        <w:rPr>
          <w:rFonts w:ascii="Arial" w:hAnsi="Arial" w:cs="Arial"/>
        </w:rPr>
        <w:t xml:space="preserve">. [online] NHS England. Available at: </w:t>
      </w:r>
      <w:hyperlink r:id="rId60" w:history="1">
        <w:r w:rsidRPr="000E0A4D">
          <w:rPr>
            <w:rStyle w:val="Hyperlink"/>
            <w:rFonts w:ascii="Arial" w:eastAsiaTheme="majorEastAsia" w:hAnsi="Arial" w:cs="Arial"/>
          </w:rPr>
          <w:t>https://www.england.nhs.uk/long-read/working-in-partnership-with-people-and-communities-statutory-guidance/</w:t>
        </w:r>
      </w:hyperlink>
      <w:r w:rsidRPr="000E0A4D">
        <w:rPr>
          <w:rFonts w:ascii="Arial" w:hAnsi="Arial" w:cs="Arial"/>
        </w:rPr>
        <w:t>.</w:t>
      </w:r>
    </w:p>
    <w:p w14:paraId="40B50F69" w14:textId="77777777" w:rsidR="00C709DA" w:rsidRPr="00CB52A1" w:rsidRDefault="00C709DA" w:rsidP="00C709DA">
      <w:pPr>
        <w:pStyle w:val="NormalWeb"/>
        <w:spacing w:before="0" w:beforeAutospacing="0" w:after="240" w:afterAutospacing="0" w:line="360" w:lineRule="auto"/>
        <w:rPr>
          <w:rFonts w:ascii="Arial" w:hAnsi="Arial" w:cs="Arial"/>
        </w:rPr>
      </w:pPr>
      <w:r w:rsidRPr="000E0A4D">
        <w:rPr>
          <w:rFonts w:ascii="Arial" w:hAnsi="Arial" w:cs="Arial"/>
        </w:rPr>
        <w:t xml:space="preserve">Zsolt Megyesfalvi, Gay, C.M., Popper, H., Pirker, R., Gyula Ostoros, Heeke, S., Lang, C., Konrad Hoetzenecker, Schwendenwein, A., Boettiger, K., Bunn, P.A., F Renyi-Vamos, Schelch, K., Prosch, H., Byers, L.A., Hirsch, F.R. and Dome, B. (2023). Clinical insights into small cell lung cancer: Tumor heterogeneity, diagnosis, therapy, and future directions. doi: </w:t>
      </w:r>
      <w:hyperlink r:id="rId61" w:history="1">
        <w:r w:rsidRPr="000E0A4D">
          <w:rPr>
            <w:rStyle w:val="Hyperlink"/>
            <w:rFonts w:ascii="Arial" w:eastAsiaTheme="majorEastAsia" w:hAnsi="Arial" w:cs="Arial"/>
          </w:rPr>
          <w:t>https://doi.org/10.3322/caac.21785</w:t>
        </w:r>
      </w:hyperlink>
      <w:r w:rsidRPr="000E0A4D">
        <w:rPr>
          <w:rFonts w:ascii="Arial" w:hAnsi="Arial" w:cs="Arial"/>
        </w:rPr>
        <w:t>.</w:t>
      </w:r>
    </w:p>
    <w:p w14:paraId="7D1CF6B3" w14:textId="77777777" w:rsidR="00C709DA" w:rsidRPr="00C709DA" w:rsidRDefault="00C709DA" w:rsidP="00C709DA"/>
    <w:p w14:paraId="5B311CC6" w14:textId="77777777" w:rsidR="00C709DA" w:rsidRPr="00C709DA" w:rsidRDefault="00C709DA" w:rsidP="00C709DA"/>
    <w:sectPr w:rsidR="00C709DA" w:rsidRPr="00C709DA" w:rsidSect="00602372">
      <w:type w:val="continuous"/>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A169A" w14:textId="77777777" w:rsidR="00F345C4" w:rsidRDefault="00F345C4" w:rsidP="00A74F64">
      <w:pPr>
        <w:spacing w:after="0" w:line="240" w:lineRule="auto"/>
      </w:pPr>
      <w:r>
        <w:separator/>
      </w:r>
    </w:p>
  </w:endnote>
  <w:endnote w:type="continuationSeparator" w:id="0">
    <w:p w14:paraId="524886A3" w14:textId="77777777" w:rsidR="00F345C4" w:rsidRDefault="00F345C4" w:rsidP="00A74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97BAF" w14:textId="77777777" w:rsidR="000D4F16" w:rsidRDefault="000D4F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F21B6" w14:textId="77777777" w:rsidR="000D4F16" w:rsidRDefault="000D4F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25244" w14:textId="77777777" w:rsidR="000D4F16" w:rsidRDefault="000D4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402C1" w14:textId="77777777" w:rsidR="00F345C4" w:rsidRDefault="00F345C4" w:rsidP="00A74F64">
      <w:pPr>
        <w:spacing w:after="0" w:line="240" w:lineRule="auto"/>
      </w:pPr>
      <w:r>
        <w:separator/>
      </w:r>
    </w:p>
  </w:footnote>
  <w:footnote w:type="continuationSeparator" w:id="0">
    <w:p w14:paraId="0E98E5D6" w14:textId="77777777" w:rsidR="00F345C4" w:rsidRDefault="00F345C4" w:rsidP="00A74F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4CCB9" w14:textId="77777777" w:rsidR="000D4F16" w:rsidRDefault="000D4F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4915174"/>
      <w:docPartObj>
        <w:docPartGallery w:val="Page Numbers (Top of Page)"/>
        <w:docPartUnique/>
      </w:docPartObj>
    </w:sdtPr>
    <w:sdtEndPr/>
    <w:sdtContent>
      <w:p w14:paraId="689F2589" w14:textId="77777777" w:rsidR="00602372" w:rsidRDefault="00A90F55">
        <w:pPr>
          <w:pStyle w:val="Header"/>
          <w:jc w:val="right"/>
        </w:pPr>
        <w:r>
          <w:rPr>
            <w:noProof/>
          </w:rPr>
          <w:fldChar w:fldCharType="begin"/>
        </w:r>
        <w:r>
          <w:rPr>
            <w:noProof/>
          </w:rPr>
          <w:instrText xml:space="preserve"> PAGE   \* MERGEFORMAT </w:instrText>
        </w:r>
        <w:r>
          <w:rPr>
            <w:noProof/>
          </w:rPr>
          <w:fldChar w:fldCharType="separate"/>
        </w:r>
        <w:r w:rsidR="005B1B2A">
          <w:rPr>
            <w:noProof/>
          </w:rPr>
          <w:t>1</w:t>
        </w:r>
        <w:r>
          <w:rPr>
            <w:noProof/>
          </w:rPr>
          <w:fldChar w:fldCharType="end"/>
        </w:r>
      </w:p>
    </w:sdtContent>
  </w:sdt>
  <w:p w14:paraId="3C6FE9B0" w14:textId="77777777" w:rsidR="00602372" w:rsidRDefault="006023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0890E" w14:textId="77777777" w:rsidR="000D4F16" w:rsidRDefault="000D4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64667"/>
    <w:multiLevelType w:val="multilevel"/>
    <w:tmpl w:val="37F06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21CC8"/>
    <w:multiLevelType w:val="multilevel"/>
    <w:tmpl w:val="B06E2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053570"/>
    <w:multiLevelType w:val="multilevel"/>
    <w:tmpl w:val="8DCE9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8819A4"/>
    <w:multiLevelType w:val="multilevel"/>
    <w:tmpl w:val="D0D2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2E0899"/>
    <w:multiLevelType w:val="multilevel"/>
    <w:tmpl w:val="07BE4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0022C4"/>
    <w:multiLevelType w:val="multilevel"/>
    <w:tmpl w:val="D13EE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5840E4"/>
    <w:multiLevelType w:val="multilevel"/>
    <w:tmpl w:val="343C3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BC1711"/>
    <w:multiLevelType w:val="hybridMultilevel"/>
    <w:tmpl w:val="55CA8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DF3136"/>
    <w:multiLevelType w:val="multilevel"/>
    <w:tmpl w:val="427AD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726A7B"/>
    <w:multiLevelType w:val="multilevel"/>
    <w:tmpl w:val="9BB0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603219"/>
    <w:multiLevelType w:val="multilevel"/>
    <w:tmpl w:val="53EA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8F2FCE"/>
    <w:multiLevelType w:val="multilevel"/>
    <w:tmpl w:val="7C74D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443BC1"/>
    <w:multiLevelType w:val="multilevel"/>
    <w:tmpl w:val="1E26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6966DC"/>
    <w:multiLevelType w:val="multilevel"/>
    <w:tmpl w:val="BC38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FF6105"/>
    <w:multiLevelType w:val="multilevel"/>
    <w:tmpl w:val="A29E26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D94A1C"/>
    <w:multiLevelType w:val="hybridMultilevel"/>
    <w:tmpl w:val="EEDC3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2360E2"/>
    <w:multiLevelType w:val="multilevel"/>
    <w:tmpl w:val="F024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CA4E79"/>
    <w:multiLevelType w:val="hybridMultilevel"/>
    <w:tmpl w:val="FB767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AA604E"/>
    <w:multiLevelType w:val="multilevel"/>
    <w:tmpl w:val="0E2E5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040B31"/>
    <w:multiLevelType w:val="multilevel"/>
    <w:tmpl w:val="26C0D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2133BE"/>
    <w:multiLevelType w:val="multilevel"/>
    <w:tmpl w:val="5E58C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216EFB"/>
    <w:multiLevelType w:val="multilevel"/>
    <w:tmpl w:val="BA82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257BF6"/>
    <w:multiLevelType w:val="multilevel"/>
    <w:tmpl w:val="D1707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5B63BA"/>
    <w:multiLevelType w:val="multilevel"/>
    <w:tmpl w:val="201A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0C4DD2"/>
    <w:multiLevelType w:val="multilevel"/>
    <w:tmpl w:val="68840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D21C9C"/>
    <w:multiLevelType w:val="multilevel"/>
    <w:tmpl w:val="7FFC5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3C47E8"/>
    <w:multiLevelType w:val="multilevel"/>
    <w:tmpl w:val="9C0A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D01E51"/>
    <w:multiLevelType w:val="multilevel"/>
    <w:tmpl w:val="5F2E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FF0C8C"/>
    <w:multiLevelType w:val="multilevel"/>
    <w:tmpl w:val="FFE20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017396"/>
    <w:multiLevelType w:val="multilevel"/>
    <w:tmpl w:val="40068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533F01"/>
    <w:multiLevelType w:val="multilevel"/>
    <w:tmpl w:val="89AAD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AD446C"/>
    <w:multiLevelType w:val="multilevel"/>
    <w:tmpl w:val="643A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AD1FBC"/>
    <w:multiLevelType w:val="multilevel"/>
    <w:tmpl w:val="31B68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772D2"/>
    <w:multiLevelType w:val="multilevel"/>
    <w:tmpl w:val="83C46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477261"/>
    <w:multiLevelType w:val="hybridMultilevel"/>
    <w:tmpl w:val="11124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8809118">
    <w:abstractNumId w:val="18"/>
  </w:num>
  <w:num w:numId="2" w16cid:durableId="338971208">
    <w:abstractNumId w:val="0"/>
  </w:num>
  <w:num w:numId="3" w16cid:durableId="1180510729">
    <w:abstractNumId w:val="9"/>
  </w:num>
  <w:num w:numId="4" w16cid:durableId="1607156454">
    <w:abstractNumId w:val="22"/>
  </w:num>
  <w:num w:numId="5" w16cid:durableId="1025982180">
    <w:abstractNumId w:val="23"/>
  </w:num>
  <w:num w:numId="6" w16cid:durableId="298876510">
    <w:abstractNumId w:val="20"/>
  </w:num>
  <w:num w:numId="7" w16cid:durableId="351155681">
    <w:abstractNumId w:val="21"/>
  </w:num>
  <w:num w:numId="8" w16cid:durableId="1370956972">
    <w:abstractNumId w:val="31"/>
  </w:num>
  <w:num w:numId="9" w16cid:durableId="1090738675">
    <w:abstractNumId w:val="30"/>
  </w:num>
  <w:num w:numId="10" w16cid:durableId="123042000">
    <w:abstractNumId w:val="29"/>
  </w:num>
  <w:num w:numId="11" w16cid:durableId="198668187">
    <w:abstractNumId w:val="3"/>
  </w:num>
  <w:num w:numId="12" w16cid:durableId="517623621">
    <w:abstractNumId w:val="26"/>
  </w:num>
  <w:num w:numId="13" w16cid:durableId="1768767124">
    <w:abstractNumId w:val="8"/>
  </w:num>
  <w:num w:numId="14" w16cid:durableId="1633246266">
    <w:abstractNumId w:val="13"/>
  </w:num>
  <w:num w:numId="15" w16cid:durableId="922758205">
    <w:abstractNumId w:val="6"/>
  </w:num>
  <w:num w:numId="16" w16cid:durableId="462772511">
    <w:abstractNumId w:val="10"/>
  </w:num>
  <w:num w:numId="17" w16cid:durableId="1339889876">
    <w:abstractNumId w:val="14"/>
  </w:num>
  <w:num w:numId="18" w16cid:durableId="1329485443">
    <w:abstractNumId w:val="11"/>
  </w:num>
  <w:num w:numId="19" w16cid:durableId="1497915308">
    <w:abstractNumId w:val="19"/>
  </w:num>
  <w:num w:numId="20" w16cid:durableId="413091115">
    <w:abstractNumId w:val="16"/>
  </w:num>
  <w:num w:numId="21" w16cid:durableId="1691419646">
    <w:abstractNumId w:val="32"/>
  </w:num>
  <w:num w:numId="22" w16cid:durableId="1904371867">
    <w:abstractNumId w:val="4"/>
  </w:num>
  <w:num w:numId="23" w16cid:durableId="1908492611">
    <w:abstractNumId w:val="24"/>
  </w:num>
  <w:num w:numId="24" w16cid:durableId="1702972467">
    <w:abstractNumId w:val="12"/>
  </w:num>
  <w:num w:numId="25" w16cid:durableId="898243547">
    <w:abstractNumId w:val="15"/>
  </w:num>
  <w:num w:numId="26" w16cid:durableId="1662387926">
    <w:abstractNumId w:val="17"/>
  </w:num>
  <w:num w:numId="27" w16cid:durableId="533927076">
    <w:abstractNumId w:val="1"/>
  </w:num>
  <w:num w:numId="28" w16cid:durableId="1478180415">
    <w:abstractNumId w:val="33"/>
  </w:num>
  <w:num w:numId="29" w16cid:durableId="1757627530">
    <w:abstractNumId w:val="2"/>
  </w:num>
  <w:num w:numId="30" w16cid:durableId="1683505501">
    <w:abstractNumId w:val="25"/>
  </w:num>
  <w:num w:numId="31" w16cid:durableId="757940995">
    <w:abstractNumId w:val="5"/>
  </w:num>
  <w:num w:numId="32" w16cid:durableId="1853375187">
    <w:abstractNumId w:val="27"/>
  </w:num>
  <w:num w:numId="33" w16cid:durableId="1164515980">
    <w:abstractNumId w:val="34"/>
  </w:num>
  <w:num w:numId="34" w16cid:durableId="1643119429">
    <w:abstractNumId w:val="28"/>
  </w:num>
  <w:num w:numId="35" w16cid:durableId="19959859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1220E"/>
    <w:rsid w:val="00094211"/>
    <w:rsid w:val="000D0A07"/>
    <w:rsid w:val="000D4F16"/>
    <w:rsid w:val="000E0A4D"/>
    <w:rsid w:val="000F660D"/>
    <w:rsid w:val="00232457"/>
    <w:rsid w:val="002D6BA8"/>
    <w:rsid w:val="002F4E3B"/>
    <w:rsid w:val="003002CE"/>
    <w:rsid w:val="00510D95"/>
    <w:rsid w:val="005560F3"/>
    <w:rsid w:val="005B1B2A"/>
    <w:rsid w:val="00602372"/>
    <w:rsid w:val="0061600D"/>
    <w:rsid w:val="00616BBB"/>
    <w:rsid w:val="006C4883"/>
    <w:rsid w:val="00730B19"/>
    <w:rsid w:val="00801DDA"/>
    <w:rsid w:val="0081444B"/>
    <w:rsid w:val="008F0B71"/>
    <w:rsid w:val="00904927"/>
    <w:rsid w:val="0093567D"/>
    <w:rsid w:val="00973DEC"/>
    <w:rsid w:val="009A5679"/>
    <w:rsid w:val="00A02B4A"/>
    <w:rsid w:val="00A3256A"/>
    <w:rsid w:val="00A32912"/>
    <w:rsid w:val="00A50B57"/>
    <w:rsid w:val="00A74F64"/>
    <w:rsid w:val="00A90F55"/>
    <w:rsid w:val="00B136E0"/>
    <w:rsid w:val="00BC6327"/>
    <w:rsid w:val="00C709DA"/>
    <w:rsid w:val="00C72A50"/>
    <w:rsid w:val="00C73C63"/>
    <w:rsid w:val="00D068BE"/>
    <w:rsid w:val="00D15C6F"/>
    <w:rsid w:val="00D738B4"/>
    <w:rsid w:val="00D95654"/>
    <w:rsid w:val="00DF3743"/>
    <w:rsid w:val="00E35272"/>
    <w:rsid w:val="00F11368"/>
    <w:rsid w:val="00F20F37"/>
    <w:rsid w:val="00F345C4"/>
    <w:rsid w:val="00F74BB1"/>
    <w:rsid w:val="00F80973"/>
    <w:rsid w:val="00FA222B"/>
    <w:rsid w:val="00FD376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DFC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74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4F64"/>
    <w:rPr>
      <w:rFonts w:ascii="Tahoma" w:hAnsi="Tahoma" w:cs="Tahoma"/>
      <w:sz w:val="16"/>
      <w:szCs w:val="16"/>
    </w:rPr>
  </w:style>
  <w:style w:type="paragraph" w:styleId="Header">
    <w:name w:val="header"/>
    <w:basedOn w:val="Normal"/>
    <w:link w:val="HeaderChar"/>
    <w:uiPriority w:val="99"/>
    <w:unhideWhenUsed/>
    <w:rsid w:val="00A74F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4F64"/>
  </w:style>
  <w:style w:type="paragraph" w:styleId="Footer">
    <w:name w:val="footer"/>
    <w:basedOn w:val="Normal"/>
    <w:link w:val="FooterChar"/>
    <w:uiPriority w:val="99"/>
    <w:semiHidden/>
    <w:unhideWhenUsed/>
    <w:rsid w:val="00A74F6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74F64"/>
  </w:style>
  <w:style w:type="paragraph" w:styleId="NormalWeb">
    <w:name w:val="Normal (Web)"/>
    <w:basedOn w:val="Normal"/>
    <w:uiPriority w:val="99"/>
    <w:unhideWhenUsed/>
    <w:rsid w:val="00A74F6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709DA"/>
    <w:rPr>
      <w:color w:val="0000FF" w:themeColor="hyperlink"/>
      <w:u w:val="single"/>
    </w:rPr>
  </w:style>
  <w:style w:type="paragraph" w:styleId="ListParagraph">
    <w:name w:val="List Paragraph"/>
    <w:basedOn w:val="Normal"/>
    <w:uiPriority w:val="34"/>
    <w:qFormat/>
    <w:rsid w:val="00BC63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08339">
      <w:bodyDiv w:val="1"/>
      <w:marLeft w:val="0"/>
      <w:marRight w:val="0"/>
      <w:marTop w:val="0"/>
      <w:marBottom w:val="0"/>
      <w:divBdr>
        <w:top w:val="none" w:sz="0" w:space="0" w:color="auto"/>
        <w:left w:val="none" w:sz="0" w:space="0" w:color="auto"/>
        <w:bottom w:val="none" w:sz="0" w:space="0" w:color="auto"/>
        <w:right w:val="none" w:sz="0" w:space="0" w:color="auto"/>
      </w:divBdr>
    </w:div>
    <w:div w:id="171603796">
      <w:bodyDiv w:val="1"/>
      <w:marLeft w:val="0"/>
      <w:marRight w:val="0"/>
      <w:marTop w:val="0"/>
      <w:marBottom w:val="0"/>
      <w:divBdr>
        <w:top w:val="none" w:sz="0" w:space="0" w:color="auto"/>
        <w:left w:val="none" w:sz="0" w:space="0" w:color="auto"/>
        <w:bottom w:val="none" w:sz="0" w:space="0" w:color="auto"/>
        <w:right w:val="none" w:sz="0" w:space="0" w:color="auto"/>
      </w:divBdr>
    </w:div>
    <w:div w:id="178668873">
      <w:bodyDiv w:val="1"/>
      <w:marLeft w:val="0"/>
      <w:marRight w:val="0"/>
      <w:marTop w:val="0"/>
      <w:marBottom w:val="0"/>
      <w:divBdr>
        <w:top w:val="none" w:sz="0" w:space="0" w:color="auto"/>
        <w:left w:val="none" w:sz="0" w:space="0" w:color="auto"/>
        <w:bottom w:val="none" w:sz="0" w:space="0" w:color="auto"/>
        <w:right w:val="none" w:sz="0" w:space="0" w:color="auto"/>
      </w:divBdr>
    </w:div>
    <w:div w:id="179047316">
      <w:bodyDiv w:val="1"/>
      <w:marLeft w:val="0"/>
      <w:marRight w:val="0"/>
      <w:marTop w:val="0"/>
      <w:marBottom w:val="0"/>
      <w:divBdr>
        <w:top w:val="none" w:sz="0" w:space="0" w:color="auto"/>
        <w:left w:val="none" w:sz="0" w:space="0" w:color="auto"/>
        <w:bottom w:val="none" w:sz="0" w:space="0" w:color="auto"/>
        <w:right w:val="none" w:sz="0" w:space="0" w:color="auto"/>
      </w:divBdr>
    </w:div>
    <w:div w:id="184247642">
      <w:bodyDiv w:val="1"/>
      <w:marLeft w:val="0"/>
      <w:marRight w:val="0"/>
      <w:marTop w:val="0"/>
      <w:marBottom w:val="0"/>
      <w:divBdr>
        <w:top w:val="none" w:sz="0" w:space="0" w:color="auto"/>
        <w:left w:val="none" w:sz="0" w:space="0" w:color="auto"/>
        <w:bottom w:val="none" w:sz="0" w:space="0" w:color="auto"/>
        <w:right w:val="none" w:sz="0" w:space="0" w:color="auto"/>
      </w:divBdr>
      <w:divsChild>
        <w:div w:id="235095669">
          <w:marLeft w:val="0"/>
          <w:marRight w:val="0"/>
          <w:marTop w:val="0"/>
          <w:marBottom w:val="0"/>
          <w:divBdr>
            <w:top w:val="single" w:sz="2" w:space="0" w:color="auto"/>
            <w:left w:val="single" w:sz="2" w:space="0" w:color="auto"/>
            <w:bottom w:val="single" w:sz="2" w:space="0" w:color="auto"/>
            <w:right w:val="single" w:sz="2" w:space="0" w:color="auto"/>
          </w:divBdr>
        </w:div>
      </w:divsChild>
    </w:div>
    <w:div w:id="212430164">
      <w:bodyDiv w:val="1"/>
      <w:marLeft w:val="0"/>
      <w:marRight w:val="0"/>
      <w:marTop w:val="0"/>
      <w:marBottom w:val="0"/>
      <w:divBdr>
        <w:top w:val="none" w:sz="0" w:space="0" w:color="auto"/>
        <w:left w:val="none" w:sz="0" w:space="0" w:color="auto"/>
        <w:bottom w:val="none" w:sz="0" w:space="0" w:color="auto"/>
        <w:right w:val="none" w:sz="0" w:space="0" w:color="auto"/>
      </w:divBdr>
    </w:div>
    <w:div w:id="216168990">
      <w:bodyDiv w:val="1"/>
      <w:marLeft w:val="0"/>
      <w:marRight w:val="0"/>
      <w:marTop w:val="0"/>
      <w:marBottom w:val="0"/>
      <w:divBdr>
        <w:top w:val="none" w:sz="0" w:space="0" w:color="auto"/>
        <w:left w:val="none" w:sz="0" w:space="0" w:color="auto"/>
        <w:bottom w:val="none" w:sz="0" w:space="0" w:color="auto"/>
        <w:right w:val="none" w:sz="0" w:space="0" w:color="auto"/>
      </w:divBdr>
    </w:div>
    <w:div w:id="233705415">
      <w:bodyDiv w:val="1"/>
      <w:marLeft w:val="0"/>
      <w:marRight w:val="0"/>
      <w:marTop w:val="0"/>
      <w:marBottom w:val="0"/>
      <w:divBdr>
        <w:top w:val="none" w:sz="0" w:space="0" w:color="auto"/>
        <w:left w:val="none" w:sz="0" w:space="0" w:color="auto"/>
        <w:bottom w:val="none" w:sz="0" w:space="0" w:color="auto"/>
        <w:right w:val="none" w:sz="0" w:space="0" w:color="auto"/>
      </w:divBdr>
    </w:div>
    <w:div w:id="237712956">
      <w:bodyDiv w:val="1"/>
      <w:marLeft w:val="0"/>
      <w:marRight w:val="0"/>
      <w:marTop w:val="0"/>
      <w:marBottom w:val="0"/>
      <w:divBdr>
        <w:top w:val="none" w:sz="0" w:space="0" w:color="auto"/>
        <w:left w:val="none" w:sz="0" w:space="0" w:color="auto"/>
        <w:bottom w:val="none" w:sz="0" w:space="0" w:color="auto"/>
        <w:right w:val="none" w:sz="0" w:space="0" w:color="auto"/>
      </w:divBdr>
    </w:div>
    <w:div w:id="392505857">
      <w:bodyDiv w:val="1"/>
      <w:marLeft w:val="0"/>
      <w:marRight w:val="0"/>
      <w:marTop w:val="0"/>
      <w:marBottom w:val="0"/>
      <w:divBdr>
        <w:top w:val="none" w:sz="0" w:space="0" w:color="auto"/>
        <w:left w:val="none" w:sz="0" w:space="0" w:color="auto"/>
        <w:bottom w:val="none" w:sz="0" w:space="0" w:color="auto"/>
        <w:right w:val="none" w:sz="0" w:space="0" w:color="auto"/>
      </w:divBdr>
    </w:div>
    <w:div w:id="408893190">
      <w:bodyDiv w:val="1"/>
      <w:marLeft w:val="0"/>
      <w:marRight w:val="0"/>
      <w:marTop w:val="0"/>
      <w:marBottom w:val="0"/>
      <w:divBdr>
        <w:top w:val="none" w:sz="0" w:space="0" w:color="auto"/>
        <w:left w:val="none" w:sz="0" w:space="0" w:color="auto"/>
        <w:bottom w:val="none" w:sz="0" w:space="0" w:color="auto"/>
        <w:right w:val="none" w:sz="0" w:space="0" w:color="auto"/>
      </w:divBdr>
      <w:divsChild>
        <w:div w:id="1660570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8354511">
      <w:bodyDiv w:val="1"/>
      <w:marLeft w:val="0"/>
      <w:marRight w:val="0"/>
      <w:marTop w:val="0"/>
      <w:marBottom w:val="0"/>
      <w:divBdr>
        <w:top w:val="none" w:sz="0" w:space="0" w:color="auto"/>
        <w:left w:val="none" w:sz="0" w:space="0" w:color="auto"/>
        <w:bottom w:val="none" w:sz="0" w:space="0" w:color="auto"/>
        <w:right w:val="none" w:sz="0" w:space="0" w:color="auto"/>
      </w:divBdr>
    </w:div>
    <w:div w:id="563219423">
      <w:bodyDiv w:val="1"/>
      <w:marLeft w:val="0"/>
      <w:marRight w:val="0"/>
      <w:marTop w:val="0"/>
      <w:marBottom w:val="0"/>
      <w:divBdr>
        <w:top w:val="none" w:sz="0" w:space="0" w:color="auto"/>
        <w:left w:val="none" w:sz="0" w:space="0" w:color="auto"/>
        <w:bottom w:val="none" w:sz="0" w:space="0" w:color="auto"/>
        <w:right w:val="none" w:sz="0" w:space="0" w:color="auto"/>
      </w:divBdr>
    </w:div>
    <w:div w:id="842939968">
      <w:bodyDiv w:val="1"/>
      <w:marLeft w:val="0"/>
      <w:marRight w:val="0"/>
      <w:marTop w:val="0"/>
      <w:marBottom w:val="0"/>
      <w:divBdr>
        <w:top w:val="none" w:sz="0" w:space="0" w:color="auto"/>
        <w:left w:val="none" w:sz="0" w:space="0" w:color="auto"/>
        <w:bottom w:val="none" w:sz="0" w:space="0" w:color="auto"/>
        <w:right w:val="none" w:sz="0" w:space="0" w:color="auto"/>
      </w:divBdr>
    </w:div>
    <w:div w:id="851724129">
      <w:bodyDiv w:val="1"/>
      <w:marLeft w:val="0"/>
      <w:marRight w:val="0"/>
      <w:marTop w:val="0"/>
      <w:marBottom w:val="0"/>
      <w:divBdr>
        <w:top w:val="none" w:sz="0" w:space="0" w:color="auto"/>
        <w:left w:val="none" w:sz="0" w:space="0" w:color="auto"/>
        <w:bottom w:val="none" w:sz="0" w:space="0" w:color="auto"/>
        <w:right w:val="none" w:sz="0" w:space="0" w:color="auto"/>
      </w:divBdr>
      <w:divsChild>
        <w:div w:id="878205122">
          <w:marLeft w:val="0"/>
          <w:marRight w:val="0"/>
          <w:marTop w:val="0"/>
          <w:marBottom w:val="0"/>
          <w:divBdr>
            <w:top w:val="none" w:sz="0" w:space="0" w:color="auto"/>
            <w:left w:val="none" w:sz="0" w:space="0" w:color="auto"/>
            <w:bottom w:val="none" w:sz="0" w:space="0" w:color="auto"/>
            <w:right w:val="none" w:sz="0" w:space="0" w:color="auto"/>
          </w:divBdr>
          <w:divsChild>
            <w:div w:id="18446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434294">
      <w:bodyDiv w:val="1"/>
      <w:marLeft w:val="0"/>
      <w:marRight w:val="0"/>
      <w:marTop w:val="0"/>
      <w:marBottom w:val="0"/>
      <w:divBdr>
        <w:top w:val="none" w:sz="0" w:space="0" w:color="auto"/>
        <w:left w:val="none" w:sz="0" w:space="0" w:color="auto"/>
        <w:bottom w:val="none" w:sz="0" w:space="0" w:color="auto"/>
        <w:right w:val="none" w:sz="0" w:space="0" w:color="auto"/>
      </w:divBdr>
    </w:div>
    <w:div w:id="903223195">
      <w:bodyDiv w:val="1"/>
      <w:marLeft w:val="0"/>
      <w:marRight w:val="0"/>
      <w:marTop w:val="0"/>
      <w:marBottom w:val="0"/>
      <w:divBdr>
        <w:top w:val="none" w:sz="0" w:space="0" w:color="auto"/>
        <w:left w:val="none" w:sz="0" w:space="0" w:color="auto"/>
        <w:bottom w:val="none" w:sz="0" w:space="0" w:color="auto"/>
        <w:right w:val="none" w:sz="0" w:space="0" w:color="auto"/>
      </w:divBdr>
    </w:div>
    <w:div w:id="940337560">
      <w:bodyDiv w:val="1"/>
      <w:marLeft w:val="0"/>
      <w:marRight w:val="0"/>
      <w:marTop w:val="0"/>
      <w:marBottom w:val="0"/>
      <w:divBdr>
        <w:top w:val="none" w:sz="0" w:space="0" w:color="auto"/>
        <w:left w:val="none" w:sz="0" w:space="0" w:color="auto"/>
        <w:bottom w:val="none" w:sz="0" w:space="0" w:color="auto"/>
        <w:right w:val="none" w:sz="0" w:space="0" w:color="auto"/>
      </w:divBdr>
    </w:div>
    <w:div w:id="1029180186">
      <w:bodyDiv w:val="1"/>
      <w:marLeft w:val="0"/>
      <w:marRight w:val="0"/>
      <w:marTop w:val="0"/>
      <w:marBottom w:val="0"/>
      <w:divBdr>
        <w:top w:val="none" w:sz="0" w:space="0" w:color="auto"/>
        <w:left w:val="none" w:sz="0" w:space="0" w:color="auto"/>
        <w:bottom w:val="none" w:sz="0" w:space="0" w:color="auto"/>
        <w:right w:val="none" w:sz="0" w:space="0" w:color="auto"/>
      </w:divBdr>
    </w:div>
    <w:div w:id="1064379685">
      <w:bodyDiv w:val="1"/>
      <w:marLeft w:val="0"/>
      <w:marRight w:val="0"/>
      <w:marTop w:val="0"/>
      <w:marBottom w:val="0"/>
      <w:divBdr>
        <w:top w:val="none" w:sz="0" w:space="0" w:color="auto"/>
        <w:left w:val="none" w:sz="0" w:space="0" w:color="auto"/>
        <w:bottom w:val="none" w:sz="0" w:space="0" w:color="auto"/>
        <w:right w:val="none" w:sz="0" w:space="0" w:color="auto"/>
      </w:divBdr>
    </w:div>
    <w:div w:id="1100683556">
      <w:bodyDiv w:val="1"/>
      <w:marLeft w:val="0"/>
      <w:marRight w:val="0"/>
      <w:marTop w:val="0"/>
      <w:marBottom w:val="0"/>
      <w:divBdr>
        <w:top w:val="none" w:sz="0" w:space="0" w:color="auto"/>
        <w:left w:val="none" w:sz="0" w:space="0" w:color="auto"/>
        <w:bottom w:val="none" w:sz="0" w:space="0" w:color="auto"/>
        <w:right w:val="none" w:sz="0" w:space="0" w:color="auto"/>
      </w:divBdr>
    </w:div>
    <w:div w:id="1103645971">
      <w:bodyDiv w:val="1"/>
      <w:marLeft w:val="0"/>
      <w:marRight w:val="0"/>
      <w:marTop w:val="0"/>
      <w:marBottom w:val="0"/>
      <w:divBdr>
        <w:top w:val="none" w:sz="0" w:space="0" w:color="auto"/>
        <w:left w:val="none" w:sz="0" w:space="0" w:color="auto"/>
        <w:bottom w:val="none" w:sz="0" w:space="0" w:color="auto"/>
        <w:right w:val="none" w:sz="0" w:space="0" w:color="auto"/>
      </w:divBdr>
      <w:divsChild>
        <w:div w:id="2146854621">
          <w:marLeft w:val="0"/>
          <w:marRight w:val="0"/>
          <w:marTop w:val="0"/>
          <w:marBottom w:val="0"/>
          <w:divBdr>
            <w:top w:val="single" w:sz="2" w:space="0" w:color="auto"/>
            <w:left w:val="single" w:sz="2" w:space="0" w:color="auto"/>
            <w:bottom w:val="single" w:sz="2" w:space="0" w:color="auto"/>
            <w:right w:val="single" w:sz="2" w:space="0" w:color="auto"/>
          </w:divBdr>
        </w:div>
      </w:divsChild>
    </w:div>
    <w:div w:id="1294755960">
      <w:bodyDiv w:val="1"/>
      <w:marLeft w:val="0"/>
      <w:marRight w:val="0"/>
      <w:marTop w:val="0"/>
      <w:marBottom w:val="0"/>
      <w:divBdr>
        <w:top w:val="none" w:sz="0" w:space="0" w:color="auto"/>
        <w:left w:val="none" w:sz="0" w:space="0" w:color="auto"/>
        <w:bottom w:val="none" w:sz="0" w:space="0" w:color="auto"/>
        <w:right w:val="none" w:sz="0" w:space="0" w:color="auto"/>
      </w:divBdr>
      <w:divsChild>
        <w:div w:id="756946570">
          <w:blockQuote w:val="1"/>
          <w:marLeft w:val="720"/>
          <w:marRight w:val="720"/>
          <w:marTop w:val="100"/>
          <w:marBottom w:val="100"/>
          <w:divBdr>
            <w:top w:val="none" w:sz="0" w:space="0" w:color="auto"/>
            <w:left w:val="none" w:sz="0" w:space="0" w:color="auto"/>
            <w:bottom w:val="none" w:sz="0" w:space="0" w:color="auto"/>
            <w:right w:val="none" w:sz="0" w:space="0" w:color="auto"/>
          </w:divBdr>
        </w:div>
        <w:div w:id="103616405">
          <w:blockQuote w:val="1"/>
          <w:marLeft w:val="720"/>
          <w:marRight w:val="720"/>
          <w:marTop w:val="100"/>
          <w:marBottom w:val="100"/>
          <w:divBdr>
            <w:top w:val="none" w:sz="0" w:space="0" w:color="auto"/>
            <w:left w:val="none" w:sz="0" w:space="0" w:color="auto"/>
            <w:bottom w:val="none" w:sz="0" w:space="0" w:color="auto"/>
            <w:right w:val="none" w:sz="0" w:space="0" w:color="auto"/>
          </w:divBdr>
        </w:div>
        <w:div w:id="17969505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0792701">
      <w:bodyDiv w:val="1"/>
      <w:marLeft w:val="0"/>
      <w:marRight w:val="0"/>
      <w:marTop w:val="0"/>
      <w:marBottom w:val="0"/>
      <w:divBdr>
        <w:top w:val="none" w:sz="0" w:space="0" w:color="auto"/>
        <w:left w:val="none" w:sz="0" w:space="0" w:color="auto"/>
        <w:bottom w:val="none" w:sz="0" w:space="0" w:color="auto"/>
        <w:right w:val="none" w:sz="0" w:space="0" w:color="auto"/>
      </w:divBdr>
    </w:div>
    <w:div w:id="1721050844">
      <w:bodyDiv w:val="1"/>
      <w:marLeft w:val="0"/>
      <w:marRight w:val="0"/>
      <w:marTop w:val="0"/>
      <w:marBottom w:val="0"/>
      <w:divBdr>
        <w:top w:val="none" w:sz="0" w:space="0" w:color="auto"/>
        <w:left w:val="none" w:sz="0" w:space="0" w:color="auto"/>
        <w:bottom w:val="none" w:sz="0" w:space="0" w:color="auto"/>
        <w:right w:val="none" w:sz="0" w:space="0" w:color="auto"/>
      </w:divBdr>
    </w:div>
    <w:div w:id="1795128089">
      <w:bodyDiv w:val="1"/>
      <w:marLeft w:val="0"/>
      <w:marRight w:val="0"/>
      <w:marTop w:val="0"/>
      <w:marBottom w:val="0"/>
      <w:divBdr>
        <w:top w:val="none" w:sz="0" w:space="0" w:color="auto"/>
        <w:left w:val="none" w:sz="0" w:space="0" w:color="auto"/>
        <w:bottom w:val="none" w:sz="0" w:space="0" w:color="auto"/>
        <w:right w:val="none" w:sz="0" w:space="0" w:color="auto"/>
      </w:divBdr>
    </w:div>
    <w:div w:id="2001300728">
      <w:bodyDiv w:val="1"/>
      <w:marLeft w:val="0"/>
      <w:marRight w:val="0"/>
      <w:marTop w:val="0"/>
      <w:marBottom w:val="0"/>
      <w:divBdr>
        <w:top w:val="none" w:sz="0" w:space="0" w:color="auto"/>
        <w:left w:val="none" w:sz="0" w:space="0" w:color="auto"/>
        <w:bottom w:val="none" w:sz="0" w:space="0" w:color="auto"/>
        <w:right w:val="none" w:sz="0" w:space="0" w:color="auto"/>
      </w:divBdr>
      <w:divsChild>
        <w:div w:id="1394742929">
          <w:blockQuote w:val="1"/>
          <w:marLeft w:val="720"/>
          <w:marRight w:val="720"/>
          <w:marTop w:val="100"/>
          <w:marBottom w:val="100"/>
          <w:divBdr>
            <w:top w:val="none" w:sz="0" w:space="0" w:color="auto"/>
            <w:left w:val="none" w:sz="0" w:space="0" w:color="auto"/>
            <w:bottom w:val="none" w:sz="0" w:space="0" w:color="auto"/>
            <w:right w:val="none" w:sz="0" w:space="0" w:color="auto"/>
          </w:divBdr>
        </w:div>
        <w:div w:id="712387296">
          <w:blockQuote w:val="1"/>
          <w:marLeft w:val="720"/>
          <w:marRight w:val="720"/>
          <w:marTop w:val="100"/>
          <w:marBottom w:val="100"/>
          <w:divBdr>
            <w:top w:val="none" w:sz="0" w:space="0" w:color="auto"/>
            <w:left w:val="none" w:sz="0" w:space="0" w:color="auto"/>
            <w:bottom w:val="none" w:sz="0" w:space="0" w:color="auto"/>
            <w:right w:val="none" w:sz="0" w:space="0" w:color="auto"/>
          </w:divBdr>
        </w:div>
        <w:div w:id="7803467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6612003">
      <w:bodyDiv w:val="1"/>
      <w:marLeft w:val="0"/>
      <w:marRight w:val="0"/>
      <w:marTop w:val="0"/>
      <w:marBottom w:val="0"/>
      <w:divBdr>
        <w:top w:val="none" w:sz="0" w:space="0" w:color="auto"/>
        <w:left w:val="none" w:sz="0" w:space="0" w:color="auto"/>
        <w:bottom w:val="none" w:sz="0" w:space="0" w:color="auto"/>
        <w:right w:val="none" w:sz="0" w:space="0" w:color="auto"/>
      </w:divBdr>
    </w:div>
    <w:div w:id="2044942990">
      <w:bodyDiv w:val="1"/>
      <w:marLeft w:val="0"/>
      <w:marRight w:val="0"/>
      <w:marTop w:val="0"/>
      <w:marBottom w:val="0"/>
      <w:divBdr>
        <w:top w:val="none" w:sz="0" w:space="0" w:color="auto"/>
        <w:left w:val="none" w:sz="0" w:space="0" w:color="auto"/>
        <w:bottom w:val="none" w:sz="0" w:space="0" w:color="auto"/>
        <w:right w:val="none" w:sz="0" w:space="0" w:color="auto"/>
      </w:divBdr>
    </w:div>
    <w:div w:id="2065785567">
      <w:bodyDiv w:val="1"/>
      <w:marLeft w:val="0"/>
      <w:marRight w:val="0"/>
      <w:marTop w:val="0"/>
      <w:marBottom w:val="0"/>
      <w:divBdr>
        <w:top w:val="none" w:sz="0" w:space="0" w:color="auto"/>
        <w:left w:val="none" w:sz="0" w:space="0" w:color="auto"/>
        <w:bottom w:val="none" w:sz="0" w:space="0" w:color="auto"/>
        <w:right w:val="none" w:sz="0" w:space="0" w:color="auto"/>
      </w:divBdr>
      <w:divsChild>
        <w:div w:id="92166600">
          <w:marLeft w:val="0"/>
          <w:marRight w:val="0"/>
          <w:marTop w:val="0"/>
          <w:marBottom w:val="0"/>
          <w:divBdr>
            <w:top w:val="single" w:sz="2" w:space="0" w:color="auto"/>
            <w:left w:val="single" w:sz="2" w:space="0" w:color="auto"/>
            <w:bottom w:val="single" w:sz="2" w:space="0" w:color="auto"/>
            <w:right w:val="single" w:sz="2" w:space="0" w:color="auto"/>
          </w:divBdr>
        </w:div>
      </w:divsChild>
    </w:div>
    <w:div w:id="2132362865">
      <w:bodyDiv w:val="1"/>
      <w:marLeft w:val="0"/>
      <w:marRight w:val="0"/>
      <w:marTop w:val="0"/>
      <w:marBottom w:val="0"/>
      <w:divBdr>
        <w:top w:val="none" w:sz="0" w:space="0" w:color="auto"/>
        <w:left w:val="none" w:sz="0" w:space="0" w:color="auto"/>
        <w:bottom w:val="none" w:sz="0" w:space="0" w:color="auto"/>
        <w:right w:val="none" w:sz="0" w:space="0" w:color="auto"/>
      </w:divBdr>
    </w:div>
    <w:div w:id="2141723993">
      <w:bodyDiv w:val="1"/>
      <w:marLeft w:val="0"/>
      <w:marRight w:val="0"/>
      <w:marTop w:val="0"/>
      <w:marBottom w:val="0"/>
      <w:divBdr>
        <w:top w:val="none" w:sz="0" w:space="0" w:color="auto"/>
        <w:left w:val="none" w:sz="0" w:space="0" w:color="auto"/>
        <w:bottom w:val="none" w:sz="0" w:space="0" w:color="auto"/>
        <w:right w:val="none" w:sz="0" w:space="0" w:color="auto"/>
      </w:divBdr>
      <w:divsChild>
        <w:div w:id="16910751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2356015">
          <w:blockQuote w:val="1"/>
          <w:marLeft w:val="720"/>
          <w:marRight w:val="720"/>
          <w:marTop w:val="100"/>
          <w:marBottom w:val="100"/>
          <w:divBdr>
            <w:top w:val="none" w:sz="0" w:space="0" w:color="auto"/>
            <w:left w:val="none" w:sz="0" w:space="0" w:color="auto"/>
            <w:bottom w:val="none" w:sz="0" w:space="0" w:color="auto"/>
            <w:right w:val="none" w:sz="0" w:space="0" w:color="auto"/>
          </w:divBdr>
        </w:div>
        <w:div w:id="21239124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eader" Target="header3.xml" /><Relationship Id="rId18" Type="http://schemas.openxmlformats.org/officeDocument/2006/relationships/image" Target="media/image5.png" /><Relationship Id="rId26" Type="http://schemas.openxmlformats.org/officeDocument/2006/relationships/hyperlink" Target="https://doi.org/10.1080/07347332.2013.855963" TargetMode="External" /><Relationship Id="rId39" Type="http://schemas.openxmlformats.org/officeDocument/2006/relationships/hyperlink" Target="https://www.patientpower.info/lung-cancer/symptoms" TargetMode="External" /><Relationship Id="rId21" Type="http://schemas.openxmlformats.org/officeDocument/2006/relationships/image" Target="media/image8.png" /><Relationship Id="rId34" Type="http://schemas.openxmlformats.org/officeDocument/2006/relationships/hyperlink" Target="https://www.merative.com/blog/health-literacy-patient-education-tools" TargetMode="External" /><Relationship Id="rId42" Type="http://schemas.openxmlformats.org/officeDocument/2006/relationships/hyperlink" Target="https://www.ncbi.nlm.nih.gov/books/NBK11822/" TargetMode="External" /><Relationship Id="rId47" Type="http://schemas.openxmlformats.org/officeDocument/2006/relationships/hyperlink" Target="https://doi.org/10.12998/wjcc.v2.i12.757" TargetMode="External" /><Relationship Id="rId50" Type="http://schemas.openxmlformats.org/officeDocument/2006/relationships/hyperlink" Target="https://news.cancerresearchuk.org/2024/07/09/smoking-cancers-reach-all-time-high/" TargetMode="External" /><Relationship Id="rId55" Type="http://schemas.openxmlformats.org/officeDocument/2006/relationships/hyperlink" Target="https://www.researchgate.net/publication/265085907_Care_planning_in_the_treatment_of_long_term_conditions_-_final_report_of_the_CAPITOL_project_to_the_DH_Policy_Research_programme?_tp=eyJjb250ZXh0Ijp7ImZpcnN0UGFnZSI6Il9kaXJlY3QiLCJwYWdlIjoiX2RpcmVjdCJ9fQ" TargetMode="External" /><Relationship Id="rId63" Type="http://schemas.openxmlformats.org/officeDocument/2006/relationships/theme" Target="theme/theme1.xm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image" Target="media/image3.png" /><Relationship Id="rId20" Type="http://schemas.openxmlformats.org/officeDocument/2006/relationships/image" Target="media/image7.png" /><Relationship Id="rId29" Type="http://schemas.openxmlformats.org/officeDocument/2006/relationships/hyperlink" Target="https://doi.org/10.1377/hlthaff.28.1.75" TargetMode="External" /><Relationship Id="rId41" Type="http://schemas.openxmlformats.org/officeDocument/2006/relationships/hyperlink" Target="https://www.england.nhs.uk/long-read/nhs-england-cancer-programme-progress-update-spring-2024/" TargetMode="External" /><Relationship Id="rId54" Type="http://schemas.openxmlformats.org/officeDocument/2006/relationships/hyperlink" Target="https://doi.org/10.3390/cancers12051265" TargetMode="External" /><Relationship Id="rId62"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24" Type="http://schemas.openxmlformats.org/officeDocument/2006/relationships/hyperlink" Target="https://doi.org/10.3322/caac.21834" TargetMode="External" /><Relationship Id="rId32" Type="http://schemas.openxmlformats.org/officeDocument/2006/relationships/hyperlink" Target="https://doi.org/10.1183/20734735.0076-2020" TargetMode="External" /><Relationship Id="rId37" Type="http://schemas.openxmlformats.org/officeDocument/2006/relationships/hyperlink" Target="https://doi.org/10.1016/j.trsl.2014.03.001" TargetMode="External" /><Relationship Id="rId40" Type="http://schemas.openxmlformats.org/officeDocument/2006/relationships/hyperlink" Target="http://www.england.nhs.uk" TargetMode="External" /><Relationship Id="rId45" Type="http://schemas.openxmlformats.org/officeDocument/2006/relationships/hyperlink" Target="https://doi.org/10.1002/onco.13586" TargetMode="External" /><Relationship Id="rId53" Type="http://schemas.openxmlformats.org/officeDocument/2006/relationships/hyperlink" Target="https://doi.org/10.1093/ntr/ntac262" TargetMode="External" /><Relationship Id="rId58" Type="http://schemas.openxmlformats.org/officeDocument/2006/relationships/hyperlink" Target="https://doi.org/10.1186/s13643-016-0358-6" TargetMode="External" /><Relationship Id="rId5" Type="http://schemas.openxmlformats.org/officeDocument/2006/relationships/webSettings" Target="webSettings.xml" /><Relationship Id="rId15" Type="http://schemas.openxmlformats.org/officeDocument/2006/relationships/image" Target="media/image2.png" /><Relationship Id="rId23" Type="http://schemas.openxmlformats.org/officeDocument/2006/relationships/hyperlink" Target="https://doi.org/10.1634/theoncologist.2019-0463" TargetMode="External" /><Relationship Id="rId28" Type="http://schemas.openxmlformats.org/officeDocument/2006/relationships/hyperlink" Target="https://www.kingsfund.org.uk/insight-and-analysis/long-reads/nhs-long-term-plan-explained" TargetMode="External" /><Relationship Id="rId36" Type="http://schemas.openxmlformats.org/officeDocument/2006/relationships/hyperlink" Target="https://doi.org/10.3389/fimmu.2023.1063716" TargetMode="External" /><Relationship Id="rId49" Type="http://schemas.openxmlformats.org/officeDocument/2006/relationships/hyperlink" Target="https://www.ncbi.nlm.nih.gov/books/NBK482357/" TargetMode="External" /><Relationship Id="rId57" Type="http://schemas.openxmlformats.org/officeDocument/2006/relationships/hyperlink" Target="https://www.researchgate.net/publication/271585144_The_Chronic_Care_Model_CCM_and_the_Social_Gradient_in_Health?_tp=eyJjb250ZXh0Ijp7ImZpcnN0UGFnZSI6Il9kaXJlY3QiLCJwYWdlIjoiX2RpcmVjdCJ9fQ" TargetMode="External" /><Relationship Id="rId61" Type="http://schemas.openxmlformats.org/officeDocument/2006/relationships/hyperlink" Target="https://doi.org/10.3322/caac.21785" TargetMode="External" /><Relationship Id="rId10" Type="http://schemas.openxmlformats.org/officeDocument/2006/relationships/header" Target="header2.xml" /><Relationship Id="rId19" Type="http://schemas.openxmlformats.org/officeDocument/2006/relationships/image" Target="media/image6.png" /><Relationship Id="rId31" Type="http://schemas.openxmlformats.org/officeDocument/2006/relationships/hyperlink" Target="https://doi.org/10.1007/s00520-025-09833-8" TargetMode="External" /><Relationship Id="rId44" Type="http://schemas.openxmlformats.org/officeDocument/2006/relationships/hyperlink" Target="https://doi.org/10.2196/43404" TargetMode="External" /><Relationship Id="rId52" Type="http://schemas.openxmlformats.org/officeDocument/2006/relationships/hyperlink" Target="https://doi.org/10.1016/j.ejcsup.2013.07.021" TargetMode="External" /><Relationship Id="rId60" Type="http://schemas.openxmlformats.org/officeDocument/2006/relationships/hyperlink" Target="https://www.england.nhs.uk/long-read/working-in-partnership-with-people-and-communities-statutory-guidance/" TargetMode="Externa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 Id="rId22" Type="http://schemas.openxmlformats.org/officeDocument/2006/relationships/image" Target="media/image9.png" /><Relationship Id="rId27" Type="http://schemas.openxmlformats.org/officeDocument/2006/relationships/hyperlink" Target="https://doi.org/10.1007/s11864-023-01060-9" TargetMode="External" /><Relationship Id="rId30" Type="http://schemas.openxmlformats.org/officeDocument/2006/relationships/hyperlink" Target="https://doi.org/10.2196/jmir.4067" TargetMode="External" /><Relationship Id="rId35" Type="http://schemas.openxmlformats.org/officeDocument/2006/relationships/hyperlink" Target="https://doi.org/10.7759/cureus.43866" TargetMode="External" /><Relationship Id="rId43" Type="http://schemas.openxmlformats.org/officeDocument/2006/relationships/hyperlink" Target="https://doi.org/10.1038/s41416-023-02308-9" TargetMode="External" /><Relationship Id="rId48" Type="http://schemas.openxmlformats.org/officeDocument/2006/relationships/hyperlink" Target="https://www.ncbi.nlm.nih.gov/books/NBK597786/" TargetMode="External" /><Relationship Id="rId56" Type="http://schemas.openxmlformats.org/officeDocument/2006/relationships/hyperlink" Target="https://doi.org/10.3390/cancers16030612" TargetMode="External" /><Relationship Id="rId8" Type="http://schemas.openxmlformats.org/officeDocument/2006/relationships/image" Target="media/image1.png" /><Relationship Id="rId51" Type="http://schemas.openxmlformats.org/officeDocument/2006/relationships/hyperlink" Target="https://doi.org/10.3399/bjgp23X734925" TargetMode="External" /><Relationship Id="rId3" Type="http://schemas.openxmlformats.org/officeDocument/2006/relationships/styles" Target="styles.xml" /><Relationship Id="rId12" Type="http://schemas.openxmlformats.org/officeDocument/2006/relationships/footer" Target="footer2.xml" /><Relationship Id="rId17" Type="http://schemas.openxmlformats.org/officeDocument/2006/relationships/image" Target="media/image4.jpeg" /><Relationship Id="rId25" Type="http://schemas.openxmlformats.org/officeDocument/2006/relationships/hyperlink" Target="https://doi.org/10.3390/cancers16030612" TargetMode="External" /><Relationship Id="rId33" Type="http://schemas.openxmlformats.org/officeDocument/2006/relationships/hyperlink" Target="https://www.ncbi.nlm.nih.gov/books/NBK555596/" TargetMode="External" /><Relationship Id="rId38" Type="http://schemas.openxmlformats.org/officeDocument/2006/relationships/hyperlink" Target="https://www.mayoclinic.org/diseases-conditions/lung-cancer/diagnosis-treatment/drc-20374627" TargetMode="External" /><Relationship Id="rId46" Type="http://schemas.openxmlformats.org/officeDocument/2006/relationships/hyperlink" Target="https://doi.org/10.1038/s41416-024-02824-2" TargetMode="External" /><Relationship Id="rId59" Type="http://schemas.openxmlformats.org/officeDocument/2006/relationships/hyperlink" Target="https://www.nice.org.uk/guidance/ng12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01DF8B-C60C-4CFD-B9BF-3B7EEF9128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5716</Words>
  <Characters>32582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2025-11-14T10:33:00Z</dcterms:created>
  <dcterms:modified xsi:type="dcterms:W3CDTF">2025-11-14T10:33:00Z</dcterms:modified>
</cp:coreProperties>
</file>